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05B1" w:rsidRPr="00AB4A73" w:rsidP="004D6414">
      <w:pPr>
        <w:rPr>
          <w:rFonts w:cs="Hind Vadodara"/>
        </w:rPr>
      </w:pPr>
    </w:p>
    <w:p w:rsidR="002C05B1" w:rsidRPr="00AB4A73" w:rsidP="000D568B">
      <w:pPr>
        <w:jc w:val="center"/>
        <w:rPr>
          <w:rFonts w:ascii="Aptos" w:hAnsi="Aptos" w:cstheme="majorHAnsi"/>
          <w:b/>
        </w:rPr>
      </w:pPr>
      <w:r w:rsidRPr="00AB4A73">
        <w:rPr>
          <w:rFonts w:ascii="Aptos" w:hAnsi="Aptos" w:cstheme="majorHAnsi"/>
          <w:b/>
        </w:rPr>
        <w:t>WRITTEN EVIDENCE SUBMITTED BY CHILDREN’S COMMISSIONER FOR ENGLAND</w:t>
      </w:r>
    </w:p>
    <w:p w:rsidR="000D568B" w:rsidRPr="00AB4A73" w:rsidP="000D568B">
      <w:pPr>
        <w:jc w:val="center"/>
        <w:rPr>
          <w:rFonts w:ascii="Aptos" w:hAnsi="Aptos" w:cstheme="majorHAnsi"/>
          <w:b/>
        </w:rPr>
      </w:pPr>
      <w:r w:rsidRPr="00AB4A73">
        <w:rPr>
          <w:rFonts w:ascii="Aptos" w:hAnsi="Aptos" w:cstheme="majorHAnsi"/>
          <w:b/>
        </w:rPr>
        <w:t>(CSC0101)</w:t>
      </w:r>
    </w:p>
    <w:p w:rsidR="002C05B1" w:rsidRPr="00AB4A73" w:rsidP="50479D22">
      <w:pPr>
        <w:rPr>
          <w:rFonts w:cs="Hind Vadodara"/>
          <w:b/>
          <w:bCs/>
        </w:rPr>
      </w:pPr>
    </w:p>
    <w:p w:rsidR="002C05B1" w:rsidRPr="00AB4A73" w:rsidP="004D6414">
      <w:pPr>
        <w:rPr>
          <w:rFonts w:cs="Hind Vadodara"/>
        </w:rPr>
      </w:pPr>
    </w:p>
    <w:sdt>
      <w:sdtPr>
        <w:rPr>
          <w:rFonts w:ascii="Hind Vadodara" w:hAnsi="Hind Vadodara" w:eastAsiaTheme="minorEastAsia" w:cs="Hind Vadodara"/>
          <w:b w:val="0"/>
          <w:bCs w:val="0"/>
          <w:color w:val="auto"/>
          <w:sz w:val="24"/>
          <w:szCs w:val="24"/>
          <w:lang w:val="en-GB"/>
        </w:rPr>
        <w:id w:val="2026741245"/>
        <w:docPartObj>
          <w:docPartGallery w:val="Table of Contents"/>
          <w:docPartUnique/>
        </w:docPartObj>
      </w:sdtPr>
      <w:sdtContent>
        <w:p w:rsidR="002C05B1" w:rsidRPr="00AB4A73">
          <w:pPr>
            <w:pStyle w:val="TOCHeading"/>
            <w:rPr>
              <w:rFonts w:ascii="Hind Vadodara" w:hAnsi="Hind Vadodara" w:cs="Hind Vadodara"/>
              <w:color w:val="auto"/>
              <w:sz w:val="24"/>
              <w:szCs w:val="24"/>
            </w:rPr>
          </w:pPr>
          <w:r w:rsidRPr="00AB4A73">
            <w:rPr>
              <w:rFonts w:ascii="Hind Vadodara" w:hAnsi="Hind Vadodara" w:cs="Hind Vadodara"/>
              <w:color w:val="auto"/>
              <w:sz w:val="24"/>
              <w:szCs w:val="24"/>
              <w:lang w:val="en-GB"/>
            </w:rPr>
            <w:t>Contents</w:t>
          </w:r>
        </w:p>
        <w:p w:rsidR="002C05B1" w:rsidRPr="00AB4A73" w:rsidP="00FB0BE4">
          <w:pPr>
            <w:pStyle w:val="TOC2"/>
            <w:tabs>
              <w:tab w:val="right" w:leader="dot" w:pos="9016"/>
            </w:tabs>
            <w:ind w:left="0"/>
            <w:rPr>
              <w:rFonts w:cs="Hind Vadodara"/>
              <w:noProof/>
            </w:rPr>
          </w:pPr>
          <w:r w:rsidRPr="00AB4A73">
            <w:rPr>
              <w:rFonts w:cs="Hind Vadodara"/>
            </w:rPr>
            <w:fldChar w:fldCharType="begin"/>
          </w:r>
          <w:r w:rsidRPr="00AB4A73">
            <w:rPr>
              <w:rFonts w:cs="Hind Vadodara"/>
            </w:rPr>
            <w:instrText xml:space="preserve"> TOC \o "1-3" \h \z \u </w:instrText>
          </w:r>
          <w:r w:rsidRPr="00AB4A73">
            <w:rPr>
              <w:rFonts w:cs="Hind Vadodara"/>
            </w:rPr>
            <w:fldChar w:fldCharType="separate"/>
          </w:r>
          <w:r>
            <w:fldChar w:fldCharType="begin"/>
          </w:r>
          <w:r>
            <w:instrText xml:space="preserve"> HYPERLINK \l "_Toc206059264" </w:instrText>
          </w:r>
          <w:r>
            <w:fldChar w:fldCharType="separate"/>
          </w:r>
          <w:r w:rsidRPr="00AB4A73">
            <w:rPr>
              <w:rStyle w:val="Hyperlink"/>
              <w:rFonts w:cs="Hind Vadodara"/>
              <w:noProof/>
              <w:color w:val="auto"/>
            </w:rPr>
            <w:t>About this submission</w:t>
          </w:r>
          <w:r w:rsidRPr="00AB4A73">
            <w:rPr>
              <w:rFonts w:cs="Hind Vadodara"/>
              <w:noProof/>
              <w:webHidden/>
            </w:rPr>
            <w:tab/>
          </w:r>
          <w:r w:rsidRPr="00AB4A73">
            <w:rPr>
              <w:rFonts w:cs="Hind Vadodara"/>
              <w:noProof/>
              <w:webHidden/>
            </w:rPr>
            <w:fldChar w:fldCharType="begin"/>
          </w:r>
          <w:r w:rsidRPr="00AB4A73">
            <w:rPr>
              <w:rFonts w:cs="Hind Vadodara"/>
              <w:noProof/>
              <w:webHidden/>
            </w:rPr>
            <w:instrText xml:space="preserve"> PAGEREF _Toc206059264 \h </w:instrText>
          </w:r>
          <w:r w:rsidRPr="00AB4A73">
            <w:rPr>
              <w:rFonts w:cs="Hind Vadodara"/>
              <w:noProof/>
              <w:webHidden/>
            </w:rPr>
            <w:fldChar w:fldCharType="separate"/>
          </w:r>
          <w:r w:rsidRPr="00AB4A73">
            <w:rPr>
              <w:rFonts w:cs="Hind Vadodara"/>
              <w:noProof/>
              <w:webHidden/>
            </w:rPr>
            <w:t>2</w:t>
          </w:r>
          <w:r w:rsidRPr="00AB4A73">
            <w:rPr>
              <w:rFonts w:cs="Hind Vadodara"/>
              <w:noProof/>
              <w:webHidden/>
            </w:rPr>
            <w:fldChar w:fldCharType="end"/>
          </w:r>
          <w:r>
            <w:fldChar w:fldCharType="end"/>
          </w:r>
        </w:p>
        <w:p w:rsidR="002C05B1" w:rsidRPr="00AB4A73">
          <w:pPr>
            <w:pStyle w:val="TOC1"/>
            <w:tabs>
              <w:tab w:val="right" w:leader="dot" w:pos="9016"/>
            </w:tabs>
            <w:rPr>
              <w:rFonts w:cs="Hind Vadodara"/>
              <w:noProof/>
            </w:rPr>
          </w:pPr>
          <w:r>
            <w:fldChar w:fldCharType="begin"/>
          </w:r>
          <w:r>
            <w:instrText xml:space="preserve"> HYPERLINK \l "_Toc206059265" </w:instrText>
          </w:r>
          <w:r>
            <w:fldChar w:fldCharType="separate"/>
          </w:r>
          <w:r w:rsidRPr="00AB4A73">
            <w:rPr>
              <w:rStyle w:val="Hyperlink"/>
              <w:rFonts w:cs="Hind Vadodara"/>
              <w:noProof/>
              <w:color w:val="auto"/>
            </w:rPr>
            <w:t>Legal Framework</w:t>
          </w:r>
          <w:r w:rsidRPr="00AB4A73">
            <w:rPr>
              <w:rFonts w:cs="Hind Vadodara"/>
              <w:noProof/>
              <w:webHidden/>
            </w:rPr>
            <w:tab/>
          </w:r>
          <w:r w:rsidRPr="00AB4A73">
            <w:rPr>
              <w:rFonts w:cs="Hind Vadodara"/>
              <w:noProof/>
              <w:webHidden/>
            </w:rPr>
            <w:fldChar w:fldCharType="begin"/>
          </w:r>
          <w:r w:rsidRPr="00AB4A73">
            <w:rPr>
              <w:rFonts w:cs="Hind Vadodara"/>
              <w:noProof/>
              <w:webHidden/>
            </w:rPr>
            <w:instrText xml:space="preserve"> PAGEREF _Toc206059265 \h </w:instrText>
          </w:r>
          <w:r w:rsidRPr="00AB4A73">
            <w:rPr>
              <w:rFonts w:cs="Hind Vadodara"/>
              <w:noProof/>
              <w:webHidden/>
            </w:rPr>
            <w:fldChar w:fldCharType="separate"/>
          </w:r>
          <w:r w:rsidRPr="00AB4A73">
            <w:rPr>
              <w:rFonts w:cs="Hind Vadodara"/>
              <w:noProof/>
              <w:webHidden/>
            </w:rPr>
            <w:t>3</w:t>
          </w:r>
          <w:r w:rsidRPr="00AB4A73">
            <w:rPr>
              <w:rFonts w:cs="Hind Vadodara"/>
              <w:noProof/>
              <w:webHidden/>
            </w:rPr>
            <w:fldChar w:fldCharType="end"/>
          </w:r>
          <w:r>
            <w:fldChar w:fldCharType="end"/>
          </w:r>
        </w:p>
        <w:p w:rsidR="002C05B1" w:rsidRPr="00AB4A73">
          <w:pPr>
            <w:pStyle w:val="TOC1"/>
            <w:tabs>
              <w:tab w:val="right" w:leader="dot" w:pos="9016"/>
            </w:tabs>
            <w:rPr>
              <w:rFonts w:cs="Hind Vadodara"/>
              <w:noProof/>
            </w:rPr>
          </w:pPr>
          <w:r>
            <w:fldChar w:fldCharType="begin"/>
          </w:r>
          <w:r>
            <w:instrText xml:space="preserve"> HYPERLINK \l "_Toc206059266" </w:instrText>
          </w:r>
          <w:r>
            <w:fldChar w:fldCharType="separate"/>
          </w:r>
          <w:r w:rsidRPr="00AB4A73">
            <w:rPr>
              <w:rStyle w:val="Hyperlink"/>
              <w:rFonts w:cs="Hind Vadodara"/>
              <w:noProof/>
              <w:color w:val="auto"/>
            </w:rPr>
            <w:t>Accommodation</w:t>
          </w:r>
          <w:r w:rsidRPr="00AB4A73">
            <w:rPr>
              <w:rFonts w:cs="Hind Vadodara"/>
              <w:noProof/>
              <w:webHidden/>
            </w:rPr>
            <w:tab/>
          </w:r>
          <w:r w:rsidRPr="00AB4A73">
            <w:rPr>
              <w:rFonts w:cs="Hind Vadodara"/>
              <w:noProof/>
              <w:webHidden/>
            </w:rPr>
            <w:fldChar w:fldCharType="begin"/>
          </w:r>
          <w:r w:rsidRPr="00AB4A73">
            <w:rPr>
              <w:rFonts w:cs="Hind Vadodara"/>
              <w:noProof/>
              <w:webHidden/>
            </w:rPr>
            <w:instrText xml:space="preserve"> PAGEREF _Toc206059266 \h </w:instrText>
          </w:r>
          <w:r w:rsidRPr="00AB4A73">
            <w:rPr>
              <w:rFonts w:cs="Hind Vadodara"/>
              <w:noProof/>
              <w:webHidden/>
            </w:rPr>
            <w:fldChar w:fldCharType="separate"/>
          </w:r>
          <w:r w:rsidRPr="00AB4A73">
            <w:rPr>
              <w:rFonts w:cs="Hind Vadodara"/>
              <w:noProof/>
              <w:webHidden/>
            </w:rPr>
            <w:t>11</w:t>
          </w:r>
          <w:r w:rsidRPr="00AB4A73">
            <w:rPr>
              <w:rFonts w:cs="Hind Vadodara"/>
              <w:noProof/>
              <w:webHidden/>
            </w:rPr>
            <w:fldChar w:fldCharType="end"/>
          </w:r>
          <w:r>
            <w:fldChar w:fldCharType="end"/>
          </w:r>
        </w:p>
        <w:p w:rsidR="002C05B1" w:rsidRPr="00AB4A73">
          <w:pPr>
            <w:pStyle w:val="TOC1"/>
            <w:tabs>
              <w:tab w:val="right" w:leader="dot" w:pos="9016"/>
            </w:tabs>
            <w:rPr>
              <w:rFonts w:cs="Hind Vadodara"/>
              <w:noProof/>
            </w:rPr>
          </w:pPr>
          <w:r>
            <w:fldChar w:fldCharType="begin"/>
          </w:r>
          <w:r>
            <w:instrText xml:space="preserve"> HYPERLINK \l "_Toc206059267" </w:instrText>
          </w:r>
          <w:r>
            <w:fldChar w:fldCharType="separate"/>
          </w:r>
          <w:r w:rsidRPr="00AB4A73">
            <w:rPr>
              <w:rStyle w:val="Hyperlink"/>
              <w:rFonts w:cs="Hind Vadodara"/>
              <w:noProof/>
              <w:color w:val="auto"/>
            </w:rPr>
            <w:t>Kinship care</w:t>
          </w:r>
          <w:r w:rsidRPr="00AB4A73">
            <w:rPr>
              <w:rFonts w:cs="Hind Vadodara"/>
              <w:noProof/>
              <w:webHidden/>
            </w:rPr>
            <w:tab/>
          </w:r>
          <w:r w:rsidRPr="00AB4A73">
            <w:rPr>
              <w:rFonts w:cs="Hind Vadodara"/>
              <w:noProof/>
              <w:webHidden/>
            </w:rPr>
            <w:fldChar w:fldCharType="begin"/>
          </w:r>
          <w:r w:rsidRPr="00AB4A73">
            <w:rPr>
              <w:rFonts w:cs="Hind Vadodara"/>
              <w:noProof/>
              <w:webHidden/>
            </w:rPr>
            <w:instrText xml:space="preserve"> PAGEREF _Toc206059267 \h </w:instrText>
          </w:r>
          <w:r w:rsidRPr="00AB4A73">
            <w:rPr>
              <w:rFonts w:cs="Hind Vadodara"/>
              <w:noProof/>
              <w:webHidden/>
            </w:rPr>
            <w:fldChar w:fldCharType="separate"/>
          </w:r>
          <w:r w:rsidRPr="00AB4A73">
            <w:rPr>
              <w:rFonts w:cs="Hind Vadodara"/>
              <w:noProof/>
              <w:webHidden/>
            </w:rPr>
            <w:t>14</w:t>
          </w:r>
          <w:r w:rsidRPr="00AB4A73">
            <w:rPr>
              <w:rFonts w:cs="Hind Vadodara"/>
              <w:noProof/>
              <w:webHidden/>
            </w:rPr>
            <w:fldChar w:fldCharType="end"/>
          </w:r>
          <w:r>
            <w:fldChar w:fldCharType="end"/>
          </w:r>
        </w:p>
        <w:p w:rsidR="002C05B1" w:rsidRPr="00AB4A73">
          <w:pPr>
            <w:pStyle w:val="TOC1"/>
            <w:tabs>
              <w:tab w:val="right" w:leader="dot" w:pos="9016"/>
            </w:tabs>
            <w:rPr>
              <w:rFonts w:cs="Hind Vadodara"/>
              <w:noProof/>
            </w:rPr>
          </w:pPr>
          <w:r>
            <w:fldChar w:fldCharType="begin"/>
          </w:r>
          <w:r>
            <w:instrText xml:space="preserve"> HYPERLINK \l "_Toc206059268" </w:instrText>
          </w:r>
          <w:r>
            <w:fldChar w:fldCharType="separate"/>
          </w:r>
          <w:r w:rsidRPr="00AB4A73">
            <w:rPr>
              <w:rStyle w:val="Hyperlink"/>
              <w:rFonts w:cs="Hind Vadodara"/>
              <w:noProof/>
              <w:color w:val="auto"/>
            </w:rPr>
            <w:t>Criminal Justice</w:t>
          </w:r>
          <w:r w:rsidRPr="00AB4A73">
            <w:rPr>
              <w:rFonts w:cs="Hind Vadodara"/>
              <w:noProof/>
              <w:webHidden/>
            </w:rPr>
            <w:tab/>
          </w:r>
          <w:r w:rsidRPr="00AB4A73">
            <w:rPr>
              <w:rFonts w:cs="Hind Vadodara"/>
              <w:noProof/>
              <w:webHidden/>
            </w:rPr>
            <w:fldChar w:fldCharType="begin"/>
          </w:r>
          <w:r w:rsidRPr="00AB4A73">
            <w:rPr>
              <w:rFonts w:cs="Hind Vadodara"/>
              <w:noProof/>
              <w:webHidden/>
            </w:rPr>
            <w:instrText xml:space="preserve"> PAGEREF _Toc206059268 \h </w:instrText>
          </w:r>
          <w:r w:rsidRPr="00AB4A73">
            <w:rPr>
              <w:rFonts w:cs="Hind Vadodara"/>
              <w:noProof/>
              <w:webHidden/>
            </w:rPr>
            <w:fldChar w:fldCharType="separate"/>
          </w:r>
          <w:r w:rsidRPr="00AB4A73">
            <w:rPr>
              <w:rFonts w:cs="Hind Vadodara"/>
              <w:noProof/>
              <w:webHidden/>
            </w:rPr>
            <w:t>14</w:t>
          </w:r>
          <w:r w:rsidRPr="00AB4A73">
            <w:rPr>
              <w:rFonts w:cs="Hind Vadodara"/>
              <w:noProof/>
              <w:webHidden/>
            </w:rPr>
            <w:fldChar w:fldCharType="end"/>
          </w:r>
          <w:r>
            <w:fldChar w:fldCharType="end"/>
          </w:r>
        </w:p>
        <w:p w:rsidR="002C05B1" w:rsidRPr="00AB4A73">
          <w:pPr>
            <w:rPr>
              <w:rFonts w:cs="Hind Vadodara"/>
            </w:rPr>
          </w:pPr>
          <w:r w:rsidRPr="00AB4A73">
            <w:rPr>
              <w:rFonts w:cs="Hind Vadodara"/>
              <w:b/>
              <w:bCs/>
            </w:rPr>
            <w:fldChar w:fldCharType="end"/>
          </w:r>
        </w:p>
      </w:sdtContent>
    </w:sdt>
    <w:p w:rsidR="002C05B1" w:rsidRPr="00AB4A73" w:rsidP="004D6414">
      <w:pPr>
        <w:rPr>
          <w:rFonts w:cs="Hind Vadodara"/>
        </w:rPr>
      </w:pPr>
    </w:p>
    <w:p w:rsidR="002C05B1" w:rsidRPr="00AB4A73">
      <w:r w:rsidRPr="00AB4A73">
        <w:br w:type="page"/>
      </w:r>
    </w:p>
    <w:p w:rsidR="002C05B1" w:rsidRPr="00AB4A73" w:rsidP="00F97F88">
      <w:pPr>
        <w:pStyle w:val="CCHeader2"/>
        <w:rPr>
          <w:rFonts w:cs="Hind Vadodara"/>
          <w:color w:val="auto"/>
          <w:sz w:val="24"/>
          <w:szCs w:val="24"/>
        </w:rPr>
      </w:pPr>
      <w:bookmarkStart w:id="0" w:name="_Toc205556228"/>
      <w:bookmarkStart w:id="1" w:name="_Toc206059264"/>
      <w:r w:rsidRPr="00AB4A73">
        <w:rPr>
          <w:rFonts w:cs="Hind Vadodara"/>
          <w:color w:val="auto"/>
          <w:sz w:val="24"/>
          <w:szCs w:val="24"/>
        </w:rPr>
        <w:t>About this submission</w:t>
      </w:r>
      <w:bookmarkEnd w:id="0"/>
      <w:bookmarkEnd w:id="1"/>
      <w:r w:rsidRPr="00AB4A73">
        <w:rPr>
          <w:rFonts w:cs="Hind Vadodara"/>
          <w:color w:val="auto"/>
          <w:sz w:val="24"/>
          <w:szCs w:val="24"/>
        </w:rPr>
        <w:t xml:space="preserve"> </w:t>
      </w:r>
    </w:p>
    <w:p w:rsidR="002C05B1" w:rsidRPr="00AB4A73" w:rsidP="004D6414">
      <w:pPr>
        <w:rPr>
          <w:rFonts w:cs="Hind Vadodara"/>
        </w:rPr>
      </w:pPr>
      <w:r w:rsidRPr="00AB4A73">
        <w:rPr>
          <w:rFonts w:cs="Hind Vadodara"/>
        </w:rPr>
        <w:t xml:space="preserve">This submission is from the Children’s Commissioner for England’s office. The submission refers to reports produced by the office using the Commissioner’s statutory powers across a range of issues affecting children in care. </w:t>
      </w:r>
    </w:p>
    <w:p w:rsidR="002C05B1" w:rsidRPr="00AB4A73" w:rsidP="004D6414">
      <w:pPr>
        <w:rPr>
          <w:rFonts w:cs="Hind Vadodara"/>
        </w:rPr>
      </w:pPr>
    </w:p>
    <w:p w:rsidR="002C05B1" w:rsidRPr="00AB4A73" w:rsidP="64A8C533">
      <w:pPr>
        <w:rPr>
          <w:rFonts w:cs="Hind Vadodara"/>
        </w:rPr>
      </w:pPr>
      <w:r w:rsidRPr="00AB4A73">
        <w:rPr>
          <w:rFonts w:cs="Hind Vadodara"/>
        </w:rPr>
        <w:t xml:space="preserve">The Children’s Commissioner for England has a statutory duty set out in the Children Act 2004 to promote and protect the rights of all children, with particular regard to children who are living away from home or receiving social care services (s8A). This includes children who are in care, leaving care, staying in hospital, or remanded in youth custody, as well as children in need of children’s services who are living with their families. </w:t>
      </w:r>
    </w:p>
    <w:p w:rsidR="002C05B1" w:rsidRPr="00AB4A73" w:rsidP="64A8C533">
      <w:pPr>
        <w:rPr>
          <w:rFonts w:cs="Hind Vadodara"/>
        </w:rPr>
      </w:pPr>
    </w:p>
    <w:p w:rsidR="002C05B1" w:rsidRPr="00AB4A73" w:rsidP="64A8C533">
      <w:pPr>
        <w:rPr>
          <w:rFonts w:cs="Hind Vadodara"/>
        </w:rPr>
      </w:pPr>
      <w:r w:rsidRPr="00AB4A73">
        <w:rPr>
          <w:rFonts w:cs="Hind Vadodara"/>
        </w:rPr>
        <w:t xml:space="preserve">The Children’s Commissioner may, under Section 2D of the Act, intervene on behalf of these children to provide advice, assistance, and representation. This responsibility is fulfilled by the Commissioner’s Help at Hand service which supports children, their families, and professionals to address some of the barriers they are facing to receiving the care and support they need. </w:t>
      </w:r>
    </w:p>
    <w:p w:rsidR="002C05B1" w:rsidRPr="00AB4A73" w:rsidP="64A8C533">
      <w:pPr>
        <w:rPr>
          <w:rFonts w:cs="Hind Vadodara"/>
        </w:rPr>
      </w:pPr>
    </w:p>
    <w:p w:rsidR="002C05B1" w:rsidRPr="00AB4A73" w:rsidP="004D6414">
      <w:pPr>
        <w:rPr>
          <w:rFonts w:cs="Hind Vadodara"/>
        </w:rPr>
      </w:pPr>
      <w:r w:rsidRPr="00AB4A73">
        <w:rPr>
          <w:rFonts w:cs="Hind Vadodara"/>
        </w:rPr>
        <w:t>Under Section 2E of the Act the Children’s Commissioner can enter any institution that is accommodating children living away from home and under Section 2F of the Act the CCo can ask any person exercising functions of a public office to provide the Commissioner with information related to the function of the office.</w:t>
      </w: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C81C51">
      <w:pPr>
        <w:pStyle w:val="CCHeader1"/>
        <w:rPr>
          <w:rFonts w:cs="Hind Vadodara"/>
          <w:color w:val="auto"/>
          <w:sz w:val="24"/>
          <w:szCs w:val="24"/>
        </w:rPr>
      </w:pPr>
      <w:bookmarkStart w:id="2" w:name="_Toc206059265"/>
      <w:r w:rsidRPr="00AB4A73">
        <w:rPr>
          <w:rFonts w:cs="Hind Vadodara"/>
          <w:color w:val="auto"/>
          <w:sz w:val="24"/>
          <w:szCs w:val="24"/>
        </w:rPr>
        <w:t>Legal Framework</w:t>
      </w:r>
      <w:bookmarkEnd w:id="2"/>
      <w:r w:rsidRPr="00AB4A73">
        <w:rPr>
          <w:rFonts w:ascii="Cambria" w:hAnsi="Cambria" w:cs="Cambria"/>
          <w:color w:val="auto"/>
          <w:sz w:val="24"/>
          <w:szCs w:val="24"/>
        </w:rPr>
        <w:t> </w:t>
      </w:r>
    </w:p>
    <w:p w:rsidR="002C05B1" w:rsidRPr="00AB4A73" w:rsidP="004D6414">
      <w:pPr>
        <w:rPr>
          <w:rFonts w:cs="Hind Vadodara"/>
        </w:rPr>
      </w:pPr>
    </w:p>
    <w:p w:rsidR="002C05B1" w:rsidRPr="00AB4A73" w:rsidP="004D6414">
      <w:pPr>
        <w:rPr>
          <w:rFonts w:cs="Hind Vadodara"/>
          <w:b/>
          <w:bCs/>
        </w:rPr>
      </w:pPr>
      <w:r w:rsidRPr="00AB4A73">
        <w:rPr>
          <w:rFonts w:cs="Hind Vadodara"/>
          <w:b/>
          <w:bCs/>
        </w:rPr>
        <w:t>1. To what extent are Convention rights protected in the children’s social care system, particularly:</w:t>
      </w:r>
    </w:p>
    <w:p w:rsidR="002C05B1" w:rsidRPr="00AB4A73" w:rsidP="004D6414">
      <w:pPr>
        <w:rPr>
          <w:rFonts w:cs="Hind Vadodara"/>
          <w:b/>
          <w:bCs/>
        </w:rPr>
      </w:pPr>
    </w:p>
    <w:p w:rsidR="002C05B1" w:rsidRPr="00AB4A73" w:rsidP="004D6414">
      <w:pPr>
        <w:pStyle w:val="ListParagraph"/>
        <w:numPr>
          <w:ilvl w:val="0"/>
          <w:numId w:val="19"/>
        </w:numPr>
        <w:rPr>
          <w:rFonts w:ascii="Hind Vadodara" w:hAnsi="Hind Vadodara" w:cs="Hind Vadodara"/>
          <w:color w:val="auto"/>
          <w:sz w:val="24"/>
        </w:rPr>
      </w:pPr>
      <w:r w:rsidRPr="00AB4A73">
        <w:rPr>
          <w:rFonts w:ascii="Hind Vadodara" w:hAnsi="Hind Vadodara" w:cs="Hind Vadodara"/>
          <w:color w:val="auto"/>
          <w:sz w:val="24"/>
        </w:rPr>
        <w:t>The right to respect for private and family life, Article 8 ECHR (for example in relation to sibling separation and relocation).</w:t>
      </w:r>
    </w:p>
    <w:p w:rsidR="002C05B1" w:rsidRPr="00AB4A73" w:rsidP="004D6414">
      <w:pPr>
        <w:pStyle w:val="ListParagraph"/>
        <w:numPr>
          <w:ilvl w:val="0"/>
          <w:numId w:val="19"/>
        </w:numPr>
        <w:rPr>
          <w:rFonts w:ascii="Hind Vadodara" w:hAnsi="Hind Vadodara" w:cs="Hind Vadodara"/>
          <w:color w:val="auto"/>
          <w:sz w:val="24"/>
        </w:rPr>
      </w:pPr>
      <w:r w:rsidRPr="00AB4A73">
        <w:rPr>
          <w:rFonts w:ascii="Hind Vadodara" w:hAnsi="Hind Vadodara" w:cs="Hind Vadodara"/>
          <w:color w:val="auto"/>
          <w:sz w:val="24"/>
        </w:rPr>
        <w:t>The right to liberty and security, Article 5 ECHR (for example in relation to Deprivation of Liberty orders).</w:t>
      </w:r>
    </w:p>
    <w:p w:rsidR="002C05B1" w:rsidRPr="00AB4A73" w:rsidP="001F7414">
      <w:pPr>
        <w:pStyle w:val="ListParagraph"/>
        <w:numPr>
          <w:ilvl w:val="0"/>
          <w:numId w:val="19"/>
        </w:numPr>
        <w:rPr>
          <w:rFonts w:ascii="Hind Vadodara" w:hAnsi="Hind Vadodara" w:cs="Hind Vadodara"/>
          <w:color w:val="auto"/>
          <w:sz w:val="24"/>
        </w:rPr>
      </w:pPr>
      <w:r w:rsidRPr="00AB4A73">
        <w:rPr>
          <w:rFonts w:ascii="Hind Vadodara" w:hAnsi="Hind Vadodara" w:cs="Hind Vadodara"/>
          <w:color w:val="auto"/>
          <w:sz w:val="24"/>
        </w:rPr>
        <w:t xml:space="preserve">The right to a fair trial, Article 6 ECHR (for example in relation to access to justice and legal advice). </w:t>
      </w:r>
    </w:p>
    <w:p w:rsidR="002C05B1" w:rsidRPr="00AB4A73" w:rsidP="004D6414">
      <w:pPr>
        <w:pStyle w:val="ListParagraph"/>
        <w:numPr>
          <w:ilvl w:val="0"/>
          <w:numId w:val="19"/>
        </w:numPr>
        <w:rPr>
          <w:rFonts w:ascii="Hind Vadodara" w:hAnsi="Hind Vadodara" w:cs="Hind Vadodara"/>
          <w:color w:val="auto"/>
          <w:sz w:val="24"/>
        </w:rPr>
      </w:pPr>
      <w:r w:rsidRPr="00AB4A73">
        <w:rPr>
          <w:rFonts w:ascii="Hind Vadodara" w:hAnsi="Hind Vadodara" w:cs="Hind Vadodara"/>
          <w:color w:val="auto"/>
          <w:sz w:val="24"/>
        </w:rPr>
        <w:t>The protection against discrimination in the enjoyment of Convention rights, Article 14 ECHR.</w:t>
      </w:r>
    </w:p>
    <w:p w:rsidR="002C05B1" w:rsidRPr="00AB4A73" w:rsidP="004D6414">
      <w:pPr>
        <w:pStyle w:val="ListParagraph"/>
        <w:numPr>
          <w:ilvl w:val="0"/>
          <w:numId w:val="19"/>
        </w:numPr>
        <w:rPr>
          <w:rFonts w:ascii="Hind Vadodara" w:hAnsi="Hind Vadodara" w:cs="Hind Vadodara"/>
          <w:color w:val="auto"/>
          <w:sz w:val="24"/>
        </w:rPr>
      </w:pPr>
      <w:r w:rsidRPr="00AB4A73">
        <w:rPr>
          <w:rFonts w:ascii="Hind Vadodara" w:hAnsi="Hind Vadodara" w:cs="Hind Vadodara"/>
          <w:color w:val="auto"/>
          <w:sz w:val="24"/>
        </w:rPr>
        <w:t>The right to an effective education, Article 2, Protocol 1 ECHR.</w:t>
      </w:r>
    </w:p>
    <w:p w:rsidR="002C05B1" w:rsidRPr="00AB4A73" w:rsidP="004D6414">
      <w:pPr>
        <w:rPr>
          <w:rFonts w:cs="Hind Vadodara"/>
          <w:b/>
          <w:bCs/>
        </w:rPr>
      </w:pPr>
    </w:p>
    <w:p w:rsidR="002C05B1" w:rsidRPr="00AB4A73" w:rsidP="004D6414">
      <w:pPr>
        <w:rPr>
          <w:rFonts w:cs="Hind Vadodara"/>
        </w:rPr>
      </w:pPr>
      <w:r w:rsidRPr="00AB4A73">
        <w:rPr>
          <w:rFonts w:cs="Hind Vadodara"/>
        </w:rPr>
        <w:t xml:space="preserve">The office has concerns about three of the European Convention on Human Rights (the Convention’s rights) in relation to children interacting with the care system: the right to an effective education, the right to respect for private and family life (particularly in relation to sibling separation), and the right to liberty and security, namely the use of Deprivation of Liberty orders. </w:t>
      </w:r>
    </w:p>
    <w:p w:rsidR="002C05B1" w:rsidRPr="00AB4A73" w:rsidP="004D6414">
      <w:pPr>
        <w:rPr>
          <w:rFonts w:cs="Hind Vadodara"/>
          <w:b/>
          <w:bCs/>
        </w:rPr>
      </w:pPr>
    </w:p>
    <w:p w:rsidR="002C05B1" w:rsidRPr="00AB4A73" w:rsidP="004D6414">
      <w:pPr>
        <w:rPr>
          <w:rFonts w:cs="Hind Vadodara"/>
          <w:b/>
          <w:bCs/>
        </w:rPr>
      </w:pPr>
      <w:r w:rsidRPr="00AB4A73">
        <w:rPr>
          <w:rFonts w:cs="Hind Vadodara"/>
          <w:b/>
          <w:bCs/>
        </w:rPr>
        <w:t>Right to education:</w:t>
      </w:r>
    </w:p>
    <w:p w:rsidR="002C05B1" w:rsidRPr="00AB4A73" w:rsidP="004D6414">
      <w:pPr>
        <w:rPr>
          <w:rFonts w:cs="Hind Vadodara"/>
          <w:b/>
          <w:bCs/>
        </w:rPr>
      </w:pPr>
      <w:r w:rsidRPr="00AB4A73">
        <w:rPr>
          <w:rFonts w:cs="Hind Vadodara"/>
          <w:b/>
          <w:bCs/>
        </w:rPr>
        <w:t xml:space="preserve"> </w:t>
      </w:r>
    </w:p>
    <w:p w:rsidR="002C05B1" w:rsidRPr="00AB4A73" w:rsidP="007D0F6E">
      <w:pPr>
        <w:rPr>
          <w:rFonts w:cs="Hind Vadodara"/>
        </w:rPr>
      </w:pPr>
      <w:r w:rsidRPr="00AB4A73">
        <w:rPr>
          <w:rFonts w:cs="Hind Vadodara"/>
        </w:rPr>
        <w:t xml:space="preserve">School is important for every child, and every child should be able to attend, engage, and attain in education. This is most important for the most vulnerable children, including children who are in care. These are children who have experienced trauma and upheaval, and where school can and should be a source of stability and a caring relationship that can help them to develop. For these children, being in school and receiving an excellent education could not be more important. School forms a central part of the safety net supporting these children and can provide them with a sense of stability and trusted relationships they need but may not freely have. </w:t>
      </w:r>
    </w:p>
    <w:p w:rsidR="002C05B1" w:rsidRPr="00AB4A73" w:rsidP="004D6414">
      <w:pPr>
        <w:rPr>
          <w:rFonts w:cs="Hind Vadodara"/>
        </w:rPr>
      </w:pPr>
    </w:p>
    <w:p w:rsidR="002C05B1" w:rsidRPr="00AB4A73" w:rsidP="004D6414">
      <w:pPr>
        <w:rPr>
          <w:rFonts w:cs="Hind Vadodara"/>
        </w:rPr>
      </w:pPr>
      <w:r w:rsidRPr="00AB4A73">
        <w:rPr>
          <w:rFonts w:cs="Hind Vadodara"/>
        </w:rPr>
        <w:t>And yet, in 2022 the office examined the education of looked after children, the findings were concerning.</w:t>
      </w:r>
      <w:r>
        <w:rPr>
          <w:rStyle w:val="EndnoteReference"/>
          <w:rFonts w:cs="Hind Vadodara"/>
        </w:rPr>
        <w:endnoteReference w:id="2"/>
      </w:r>
      <w:r w:rsidRPr="00AB4A73">
        <w:rPr>
          <w:rFonts w:cs="Hind Vadodara"/>
        </w:rPr>
        <w:t xml:space="preserve"> The research showed that looked after children were over-represented among those missing from school. Under the CCo's definition, 97.3% of </w:t>
      </w:r>
      <w:r w:rsidRPr="00AB4A73">
        <w:rPr>
          <w:rFonts w:cs="Hind Vadodara"/>
        </w:rPr>
        <w:t>looked after children were in school, and 1,363 (2.7%) of looked after children were not in school. By local authority, this varied from 0% to 13.4%</w:t>
      </w:r>
    </w:p>
    <w:p w:rsidR="002C05B1" w:rsidRPr="00AB4A73" w:rsidP="004D6414">
      <w:pPr>
        <w:rPr>
          <w:rFonts w:cs="Hind Vadodara"/>
        </w:rPr>
      </w:pPr>
    </w:p>
    <w:p w:rsidR="002C05B1" w:rsidRPr="00AB4A73" w:rsidP="004D6414">
      <w:pPr>
        <w:rPr>
          <w:rFonts w:cs="Hind Vadodara"/>
        </w:rPr>
      </w:pPr>
      <w:r w:rsidRPr="00AB4A73">
        <w:rPr>
          <w:rFonts w:cs="Hind Vadodara"/>
        </w:rPr>
        <w:t>Amongst other findings, the analysis revealed of all looked after children, unaccompanied children seeking asylum, male children, older children, children with special educational needs, and children without stable care placements were disproportionately more likely to not be in school.</w:t>
      </w:r>
    </w:p>
    <w:p w:rsidR="002C05B1" w:rsidRPr="00AB4A73" w:rsidP="004D6414">
      <w:pPr>
        <w:rPr>
          <w:rFonts w:cs="Hind Vadodara"/>
        </w:rPr>
      </w:pPr>
    </w:p>
    <w:p w:rsidR="002C05B1" w:rsidRPr="00AB4A73" w:rsidP="004D6414">
      <w:pPr>
        <w:rPr>
          <w:rFonts w:cs="Hind Vadodara"/>
        </w:rPr>
      </w:pPr>
      <w:r w:rsidRPr="00AB4A73">
        <w:rPr>
          <w:rFonts w:cs="Hind Vadodara"/>
        </w:rPr>
        <w:t>The attainment outcomes of looked after children and children in need remain low compared to their peers who are not in contact with the children’s social care system</w:t>
      </w:r>
      <w:r>
        <w:rPr>
          <w:rStyle w:val="EndnoteReference"/>
          <w:rFonts w:cs="Hind Vadodara"/>
        </w:rPr>
        <w:endnoteReference w:id="3"/>
      </w:r>
      <w:r w:rsidRPr="00AB4A73">
        <w:rPr>
          <w:rFonts w:cs="Hind Vadodara"/>
        </w:rPr>
        <w:t xml:space="preserve">. </w:t>
      </w:r>
    </w:p>
    <w:p w:rsidR="002C05B1" w:rsidRPr="00AB4A73" w:rsidP="004D6414">
      <w:pPr>
        <w:rPr>
          <w:rFonts w:cs="Hind Vadodara"/>
          <w:b/>
          <w:bCs/>
        </w:rPr>
      </w:pPr>
    </w:p>
    <w:p w:rsidR="002C05B1" w:rsidRPr="00AB4A73" w:rsidP="00446D4A">
      <w:pPr>
        <w:rPr>
          <w:rFonts w:cs="Hind Vadodara"/>
          <w:b/>
          <w:bCs/>
        </w:rPr>
      </w:pPr>
      <w:r w:rsidRPr="00AB4A73">
        <w:rPr>
          <w:rFonts w:cs="Hind Vadodara"/>
          <w:b/>
          <w:bCs/>
        </w:rPr>
        <w:t>The right to respect for private and family life</w:t>
      </w:r>
    </w:p>
    <w:p w:rsidR="002C05B1" w:rsidRPr="00AB4A73" w:rsidP="004D6414">
      <w:pPr>
        <w:rPr>
          <w:rFonts w:cs="Hind Vadodara"/>
        </w:rPr>
      </w:pPr>
    </w:p>
    <w:p w:rsidR="002C05B1" w:rsidRPr="00AB4A73" w:rsidP="004D6414">
      <w:pPr>
        <w:rPr>
          <w:rFonts w:cs="Hind Vadodara"/>
        </w:rPr>
      </w:pPr>
      <w:r w:rsidRPr="00AB4A73">
        <w:rPr>
          <w:rFonts w:cs="Hind Vadodara"/>
        </w:rPr>
        <w:t>Children in care and care experienced young people told the Children’s Commissioner’s office about how important sibling relationships are to them. In 2023, in order to better understand what happens to siblings, the office conducted analysis to estimate the number of children in care who are separated from their siblings.</w:t>
      </w:r>
      <w:r>
        <w:rPr>
          <w:rStyle w:val="EndnoteReference"/>
          <w:rFonts w:cs="Hind Vadodara"/>
        </w:rPr>
        <w:endnoteReference w:id="4"/>
      </w:r>
      <w:r w:rsidRPr="00AB4A73">
        <w:rPr>
          <w:rFonts w:cs="Hind Vadodara"/>
        </w:rPr>
        <w:t xml:space="preserve"> Our analysis revealed that: there were an estimated 20,000 children in care in England who have been separated from their siblings. This is more than 1 in 3 children in care (37%). </w:t>
      </w:r>
    </w:p>
    <w:p w:rsidR="002C05B1" w:rsidRPr="00AB4A73" w:rsidP="004D6414">
      <w:pPr>
        <w:rPr>
          <w:rFonts w:cs="Hind Vadodara"/>
        </w:rPr>
      </w:pPr>
    </w:p>
    <w:p w:rsidR="002C05B1" w:rsidRPr="00AB4A73" w:rsidP="004D6414">
      <w:pPr>
        <w:rPr>
          <w:rFonts w:cs="Hind Vadodara"/>
        </w:rPr>
      </w:pPr>
      <w:r w:rsidRPr="00AB4A73">
        <w:rPr>
          <w:rFonts w:cs="Hind Vadodara"/>
        </w:rPr>
        <w:t>Of the sibling groups who were split up, 39% were split between 2 different local authorities and 2% were split between 3 or more different local authorities.  Certain characteristics are associated with a higher probability of being split up from siblings including being in a larger sibling group, going into care at an older age, and going into a children’s home or semi-independent accommodation.</w:t>
      </w:r>
    </w:p>
    <w:p w:rsidR="002C05B1" w:rsidRPr="00AB4A73" w:rsidP="004D6414">
      <w:pPr>
        <w:rPr>
          <w:rFonts w:cs="Hind Vadodara"/>
        </w:rPr>
      </w:pPr>
    </w:p>
    <w:p w:rsidR="002C05B1" w:rsidRPr="00AB4A73" w:rsidP="004D6414">
      <w:pPr>
        <w:rPr>
          <w:rFonts w:cs="Hind Vadodara"/>
        </w:rPr>
      </w:pPr>
      <w:r w:rsidRPr="00AB4A73">
        <w:rPr>
          <w:rFonts w:cs="Hind Vadodara"/>
        </w:rPr>
        <w:t>Interviews with children in care, care experienced young people and case studies from the Children’s Commissioner’s Help at Hand team, reveal some of the main reasons why siblings are separated. This includes a lack of sufficient places for siblings, with particular challenges identified for larger sibling groups and older teenagers placed in supported accommodation.</w:t>
      </w: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r w:rsidRPr="00AB4A73">
        <w:rPr>
          <w:rFonts w:cs="Hind Vadodara"/>
        </w:rPr>
        <w:t xml:space="preserve">Through the Children’s Wellbeing and Schools Bill, the Department for Education should introduce legislative change to ensure that children are placed with their siblings whenever it is in their best interests and have contact with siblings if they are separated. The office recommended this in 2023 in the Siblings in Care report. </w:t>
      </w:r>
    </w:p>
    <w:p w:rsidR="002C05B1" w:rsidRPr="00AB4A73" w:rsidP="004D6414">
      <w:pPr>
        <w:rPr>
          <w:rFonts w:cs="Hind Vadodara"/>
        </w:rPr>
      </w:pPr>
    </w:p>
    <w:p w:rsidR="002C05B1" w:rsidRPr="00AB4A73" w:rsidP="004D6414">
      <w:pPr>
        <w:rPr>
          <w:rFonts w:cs="Hind Vadodara"/>
          <w:b/>
          <w:bCs/>
        </w:rPr>
      </w:pPr>
      <w:r w:rsidRPr="00AB4A73">
        <w:rPr>
          <w:rFonts w:cs="Hind Vadodara"/>
          <w:b/>
          <w:bCs/>
        </w:rPr>
        <w:t>The right to liberty and security</w:t>
      </w:r>
    </w:p>
    <w:p w:rsidR="002C05B1" w:rsidRPr="00AB4A73" w:rsidP="004D6414">
      <w:pPr>
        <w:rPr>
          <w:rFonts w:cs="Hind Vadodara"/>
        </w:rPr>
      </w:pPr>
    </w:p>
    <w:p w:rsidR="002C05B1" w:rsidRPr="00AB4A73" w:rsidP="004D6414">
      <w:pPr>
        <w:rPr>
          <w:rFonts w:cs="Hind Vadodara"/>
        </w:rPr>
      </w:pPr>
      <w:r w:rsidRPr="00AB4A73">
        <w:rPr>
          <w:rFonts w:cs="Hind Vadodara"/>
        </w:rPr>
        <w:t xml:space="preserve">Last year the Children’s Commissioner was commissioned to carry out research with children by the Department for Education’s Task and Finish Group on ‘Improving cross-sector support for children with multiple needs in complex situations’. In November, drawing on interviews with 15 young people who have been subject to a Deprivation of Liberty (DoL) order, the office published ‘Children with complex needs who are deprived of their liberty’. </w:t>
      </w:r>
      <w:r>
        <w:rPr>
          <w:rStyle w:val="EndnoteReference"/>
          <w:rFonts w:cs="Hind Vadodara"/>
        </w:rPr>
        <w:endnoteReference w:id="5"/>
      </w:r>
      <w:r w:rsidRPr="00AB4A73">
        <w:rPr>
          <w:rFonts w:cs="Hind Vadodara"/>
        </w:rPr>
        <w:t>This work showed just how complex and varied the needs of</w:t>
      </w:r>
    </w:p>
    <w:p w:rsidR="002C05B1" w:rsidRPr="00AB4A73" w:rsidP="004D6414">
      <w:pPr>
        <w:rPr>
          <w:rFonts w:cs="Hind Vadodara"/>
        </w:rPr>
      </w:pPr>
      <w:r w:rsidRPr="00AB4A73">
        <w:rPr>
          <w:rFonts w:cs="Hind Vadodara"/>
        </w:rPr>
        <w:t xml:space="preserve">children on DoLs are. </w:t>
      </w:r>
    </w:p>
    <w:p w:rsidR="002C05B1" w:rsidRPr="00AB4A73" w:rsidP="004D6414">
      <w:pPr>
        <w:rPr>
          <w:rFonts w:cs="Hind Vadodara"/>
        </w:rPr>
      </w:pPr>
    </w:p>
    <w:p w:rsidR="002C05B1" w:rsidRPr="00AB4A73" w:rsidP="004D6414">
      <w:pPr>
        <w:rPr>
          <w:rFonts w:cs="Hind Vadodara"/>
        </w:rPr>
      </w:pPr>
      <w:r w:rsidRPr="00AB4A73">
        <w:rPr>
          <w:rFonts w:cs="Hind Vadodara"/>
        </w:rPr>
        <w:t>Despite these children being highly vulnerable, most children interviewed had previously been placed in an illegal children’s home. Moreover, the Children’s Commissioner’s report in the same year on illegal children’s homes</w:t>
      </w:r>
      <w:r>
        <w:rPr>
          <w:rStyle w:val="EndnoteReference"/>
          <w:rFonts w:cs="Hind Vadodara"/>
        </w:rPr>
        <w:endnoteReference w:id="6"/>
      </w:r>
      <w:r w:rsidRPr="00AB4A73">
        <w:rPr>
          <w:rFonts w:cs="Hind Vadodara"/>
        </w:rPr>
        <w:t xml:space="preserve">, found that of 775 children living in unregistered placements on 1 September 2024, almost a third (31%) were subject to a court-ordered DoL. The placement of these highly vulnerable children in wholly illegal settings is deeply concerning. </w:t>
      </w:r>
    </w:p>
    <w:p w:rsidR="002C05B1" w:rsidRPr="00AB4A73" w:rsidP="004D6414">
      <w:pPr>
        <w:rPr>
          <w:rFonts w:cs="Hind Vadodara"/>
        </w:rPr>
      </w:pPr>
    </w:p>
    <w:p w:rsidR="002C05B1" w:rsidRPr="00AB4A73" w:rsidP="004D6414">
      <w:pPr>
        <w:rPr>
          <w:rFonts w:cs="Hind Vadodara"/>
        </w:rPr>
      </w:pPr>
      <w:r w:rsidRPr="00AB4A73">
        <w:rPr>
          <w:rFonts w:cs="Hind Vadodara"/>
        </w:rPr>
        <w:t xml:space="preserve">Notably, Clause 11 in the Children’s Wellbeing and Schools Bill would amend Section 25 of the Children Act 1989 to provide for the courts to be able to authorise the deprivation of a child’s liberty in accommodation other than a secure children’s home (referred to as “relevant accommodation”). </w:t>
      </w:r>
    </w:p>
    <w:p w:rsidR="002C05B1" w:rsidRPr="00AB4A73" w:rsidP="004D6414">
      <w:pPr>
        <w:rPr>
          <w:rFonts w:cs="Hind Vadodara"/>
        </w:rPr>
      </w:pPr>
    </w:p>
    <w:p w:rsidR="002C05B1" w:rsidRPr="00AB4A73" w:rsidP="004D6414">
      <w:pPr>
        <w:rPr>
          <w:rFonts w:cs="Hind Vadodara"/>
        </w:rPr>
      </w:pPr>
      <w:r w:rsidRPr="00AB4A73">
        <w:rPr>
          <w:rFonts w:cs="Hind Vadodara"/>
        </w:rPr>
        <w:t>It is important that this amendment ensures that when any child is deprived of their liberty, it happens under a clear legislative regime. That’s why the Children’s Commissioner is calling for a new legal framework, one that provides a mechanism for restrictions on children’s liberty other than in a secure setting, supported by statutory guidance. That must include children whose primary needs are learning and physical disabilities needing support/supervision; and children experiencing, or at risk of, external or extrafamilial risk factors such as sexual or criminal exploitation.</w:t>
      </w: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b/>
          <w:bCs/>
        </w:rPr>
      </w:pPr>
    </w:p>
    <w:p w:rsidR="002C05B1" w:rsidRPr="00AB4A73" w:rsidP="00E66EC3">
      <w:pPr>
        <w:rPr>
          <w:rFonts w:cs="Hind Vadodara"/>
          <w:b/>
          <w:bCs/>
        </w:rPr>
      </w:pPr>
      <w:r w:rsidRPr="00AB4A73">
        <w:rPr>
          <w:rFonts w:cs="Hind Vadodara"/>
          <w:b/>
          <w:bCs/>
        </w:rPr>
        <w:t>2. If the UN Convention on the Rights of the Child were to be incorporated into domestic law in England, to what extent would that affect the protection of the human rights of children supported by or in the social care system?</w:t>
      </w:r>
    </w:p>
    <w:p w:rsidR="002C05B1" w:rsidRPr="00AB4A73" w:rsidP="64A8C533">
      <w:pPr>
        <w:rPr>
          <w:rFonts w:cs="Hind Vadodara"/>
        </w:rPr>
      </w:pPr>
    </w:p>
    <w:p w:rsidR="002C05B1" w:rsidRPr="00AB4A73" w:rsidP="64A8C533">
      <w:pPr>
        <w:rPr>
          <w:rFonts w:cs="Hind Vadodara"/>
        </w:rPr>
      </w:pPr>
      <w:r w:rsidRPr="00AB4A73">
        <w:rPr>
          <w:rFonts w:cs="Hind Vadodara"/>
        </w:rPr>
        <w:t xml:space="preserve">If the UN Convention on the Rights of the Child were incorporated into domestic law in England, it would be a major step forward in how we protect children’s rights, especially for children in care and those who interact with the care system.  </w:t>
      </w:r>
    </w:p>
    <w:p w:rsidR="002C05B1" w:rsidRPr="00AB4A73" w:rsidP="64A8C533">
      <w:pPr>
        <w:rPr>
          <w:rFonts w:cs="Hind Vadodara"/>
        </w:rPr>
      </w:pPr>
    </w:p>
    <w:p w:rsidR="002C05B1" w:rsidRPr="00AB4A73" w:rsidP="00B27D6D">
      <w:pPr>
        <w:rPr>
          <w:rFonts w:cs="Hind Vadodara"/>
        </w:rPr>
      </w:pPr>
      <w:r w:rsidRPr="00AB4A73">
        <w:rPr>
          <w:rFonts w:cs="Hind Vadodara"/>
        </w:rPr>
        <w:t xml:space="preserve">While many of the Convention’s principles are reflected in laws like the Children Act 1989, full incorporation would make those rights directly enforceable. It would mean that public bodies must uphold children’s rights in every decision they make and every service they deliver. The office is aware that no single reform would address all issues in the care system, but incorporation would be a step forward to ensuring children’s rights are upheld. </w:t>
      </w:r>
    </w:p>
    <w:p w:rsidR="002C05B1" w:rsidRPr="00AB4A73" w:rsidP="00B27D6D">
      <w:pPr>
        <w:rPr>
          <w:rFonts w:cs="Hind Vadodara"/>
        </w:rPr>
      </w:pPr>
    </w:p>
    <w:p w:rsidR="002C05B1" w:rsidRPr="00AB4A73" w:rsidP="00B27D6D">
      <w:pPr>
        <w:rPr>
          <w:rFonts w:cs="Hind Vadodara"/>
        </w:rPr>
      </w:pPr>
      <w:r w:rsidRPr="00AB4A73">
        <w:rPr>
          <w:rFonts w:cs="Hind Vadodara"/>
        </w:rPr>
        <w:t xml:space="preserve">While the Children Act gives effect to many UNCRC articles and sets out clear responsibilities and routes for redress, my independent advocacy team continues to see serious rights violations in the care system every day. </w:t>
      </w:r>
    </w:p>
    <w:p w:rsidR="002C05B1" w:rsidRPr="00AB4A73" w:rsidP="00B27D6D">
      <w:pPr>
        <w:rPr>
          <w:rFonts w:cs="Hind Vadodara"/>
        </w:rPr>
      </w:pPr>
    </w:p>
    <w:p w:rsidR="002C05B1" w:rsidRPr="00AB4A73" w:rsidP="00B27D6D">
      <w:pPr>
        <w:rPr>
          <w:rFonts w:cs="Hind Vadodara"/>
        </w:rPr>
      </w:pPr>
      <w:r w:rsidRPr="00AB4A73">
        <w:rPr>
          <w:rFonts w:cs="Hind Vadodara"/>
        </w:rPr>
        <w:t>Incorporation could help to address specific and recurring issues in children’s social care. For example:</w:t>
      </w:r>
    </w:p>
    <w:p w:rsidR="002C05B1" w:rsidRPr="00AB4A73" w:rsidP="00B27D6D">
      <w:pPr>
        <w:rPr>
          <w:rFonts w:cs="Hind Vadodara"/>
          <w:b/>
          <w:bCs/>
        </w:rPr>
      </w:pPr>
    </w:p>
    <w:p w:rsidR="002C05B1" w:rsidRPr="00AB4A73" w:rsidP="00B27D6D">
      <w:pPr>
        <w:rPr>
          <w:rFonts w:cs="Hind Vadodara"/>
        </w:rPr>
      </w:pPr>
      <w:r w:rsidRPr="00AB4A73">
        <w:rPr>
          <w:rFonts w:cs="Hind Vadodara"/>
          <w:b/>
          <w:bCs/>
        </w:rPr>
        <w:t>Education</w:t>
      </w:r>
      <w:r w:rsidRPr="00AB4A73">
        <w:rPr>
          <w:rFonts w:cs="Hind Vadodara"/>
        </w:rPr>
        <w:t>: Article 28 guarantees the right to education and Article 29 outlines the goals of education. Incorporation could help ensure that children in care are not missing out on education and receive appropriate support.</w:t>
      </w:r>
      <w:r>
        <w:rPr>
          <w:rStyle w:val="FootnoteReference"/>
          <w:rFonts w:cs="Hind Vadodara"/>
        </w:rPr>
        <w:footnoteReference w:id="2"/>
      </w:r>
      <w:r w:rsidRPr="00AB4A73">
        <w:rPr>
          <w:rFonts w:cs="Hind Vadodara"/>
        </w:rPr>
        <w:t xml:space="preserve"> </w:t>
      </w:r>
    </w:p>
    <w:p w:rsidR="002C05B1" w:rsidRPr="00AB4A73" w:rsidP="00B27D6D">
      <w:pPr>
        <w:rPr>
          <w:rFonts w:cs="Hind Vadodara"/>
          <w:b/>
          <w:bCs/>
        </w:rPr>
      </w:pPr>
    </w:p>
    <w:p w:rsidR="002C05B1" w:rsidRPr="00AB4A73" w:rsidP="00B27D6D">
      <w:pPr>
        <w:rPr>
          <w:rFonts w:cs="Hind Vadodara"/>
        </w:rPr>
      </w:pPr>
      <w:r w:rsidRPr="00AB4A73">
        <w:rPr>
          <w:rFonts w:cs="Hind Vadodara"/>
          <w:b/>
          <w:bCs/>
        </w:rPr>
        <w:t>Homeless 16- and 17-year-olds</w:t>
      </w:r>
      <w:r w:rsidRPr="00AB4A73">
        <w:rPr>
          <w:rFonts w:cs="Hind Vadodara"/>
        </w:rPr>
        <w:t>: Article 20 outlines that if a child cannot be looked after by their family, they must be provided with alternative care. Yet, in 2023 the office found that the majority of 16 and 17-year-olds who present as homeless were not given ‘looked after’ status under section 20 of the Children Act</w:t>
      </w:r>
      <w:r>
        <w:rPr>
          <w:rStyle w:val="EndnoteReference"/>
          <w:rFonts w:cs="Hind Vadodara"/>
        </w:rPr>
        <w:endnoteReference w:id="7"/>
      </w:r>
      <w:r w:rsidRPr="00AB4A73">
        <w:rPr>
          <w:rFonts w:cs="Hind Vadodara"/>
        </w:rPr>
        <w:t>. Instead, many are accommodated under housing legislation or section 17, without the protections and entitlements that come with care status. Incorporation could help ensure that these children are treated as children first, with access to care, support and advocacy.</w:t>
      </w:r>
    </w:p>
    <w:p w:rsidR="002C05B1" w:rsidRPr="00AB4A73" w:rsidP="00B27D6D">
      <w:pPr>
        <w:rPr>
          <w:rFonts w:cs="Hind Vadodara"/>
          <w:b/>
          <w:bCs/>
        </w:rPr>
      </w:pPr>
    </w:p>
    <w:p w:rsidR="002C05B1" w:rsidRPr="00AB4A73" w:rsidP="00B27D6D">
      <w:pPr>
        <w:rPr>
          <w:rFonts w:cs="Hind Vadodara"/>
        </w:rPr>
      </w:pPr>
      <w:r w:rsidRPr="00AB4A73">
        <w:rPr>
          <w:rFonts w:cs="Hind Vadodara"/>
          <w:b/>
          <w:bCs/>
        </w:rPr>
        <w:t>Care standards in supported accommodation</w:t>
      </w:r>
      <w:r w:rsidRPr="00AB4A73">
        <w:rPr>
          <w:rFonts w:cs="Hind Vadodara"/>
        </w:rPr>
        <w:t>: Article 20 outlines that if a child cannot be looked after by their family, they must be provided with alternative care. Currently, 16- and 17-year-olds can be placed in settings that legally provide only support, not care. Incorporation could help drive reform to introduce universal care standards across all settings, ensuring that every child in care receives the care they need, regardless of placement type.</w:t>
      </w:r>
    </w:p>
    <w:p w:rsidR="002C05B1" w:rsidRPr="00AB4A73" w:rsidP="00B27D6D">
      <w:pPr>
        <w:rPr>
          <w:rFonts w:cs="Hind Vadodara"/>
        </w:rPr>
      </w:pPr>
    </w:p>
    <w:p w:rsidR="002C05B1" w:rsidRPr="00AB4A73" w:rsidP="00B27D6D">
      <w:pPr>
        <w:rPr>
          <w:rFonts w:cs="Hind Vadodara"/>
        </w:rPr>
      </w:pPr>
      <w:r w:rsidRPr="00AB4A73">
        <w:rPr>
          <w:rFonts w:cs="Hind Vadodara"/>
        </w:rPr>
        <w:t xml:space="preserve">Incorporation would also enable strategic litigation, enabling challenge to decisions that breach their rights under the UNCRC. For example, if a child in care is denied access to education, incorporation would allow these issues to be tested in court. This would not only provide redress for individual children but could also drive wider systemic change by setting legal precedents and holding public bodies to account. </w:t>
      </w:r>
    </w:p>
    <w:p w:rsidR="002C05B1" w:rsidRPr="00AB4A73" w:rsidP="00B27D6D">
      <w:pPr>
        <w:rPr>
          <w:rFonts w:cs="Hind Vadodara"/>
        </w:rPr>
      </w:pPr>
      <w:r w:rsidRPr="00AB4A73">
        <w:rPr>
          <w:rFonts w:cs="Hind Vadodara"/>
        </w:rPr>
        <w:t xml:space="preserve"> </w:t>
      </w:r>
    </w:p>
    <w:p w:rsidR="002C05B1" w:rsidRPr="00AB4A73" w:rsidP="00B27D6D">
      <w:pPr>
        <w:rPr>
          <w:rFonts w:cs="Hind Vadodara"/>
        </w:rPr>
      </w:pPr>
      <w:r w:rsidRPr="00AB4A73">
        <w:rPr>
          <w:rFonts w:cs="Hind Vadodara"/>
        </w:rPr>
        <w:t>Scotland’s decision to incorporate the UNCRC is an important development. The office is keen to learn from their experience and will be closely monitoring whether incorporation leads to meaningful improvements in children’s lives.</w:t>
      </w:r>
    </w:p>
    <w:p w:rsidR="002C05B1" w:rsidRPr="00AB4A73" w:rsidP="00B27D6D">
      <w:pPr>
        <w:rPr>
          <w:rFonts w:cs="Hind Vadodara"/>
        </w:rPr>
      </w:pPr>
      <w:r w:rsidRPr="00AB4A73">
        <w:rPr>
          <w:rFonts w:cs="Hind Vadodara"/>
        </w:rPr>
        <w:t>In England, the Commissioner is clear that a roadmap is needed to explore what incorporation could look like in practice. This must be a thoughtful and ambitious process, grounded in the lived experiences of children and focused on building a system that empowers them to claim and enjoy their rights fully.</w:t>
      </w: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b/>
          <w:bCs/>
        </w:rPr>
      </w:pPr>
      <w:r w:rsidRPr="00AB4A73">
        <w:rPr>
          <w:rFonts w:cs="Hind Vadodara"/>
        </w:rPr>
        <w:t>3</w:t>
      </w:r>
      <w:r w:rsidRPr="00AB4A73">
        <w:rPr>
          <w:rFonts w:cs="Hind Vadodara"/>
          <w:b/>
          <w:bCs/>
        </w:rPr>
        <w:t>. Do you believe there should be changes to legal protections for care experienced people? Could there be any potential drawbacks of making such changes on the basis of care experience?</w:t>
      </w:r>
    </w:p>
    <w:p w:rsidR="002C05B1" w:rsidRPr="00AB4A73" w:rsidP="004D6414">
      <w:pPr>
        <w:rPr>
          <w:rFonts w:cs="Hind Vadodara"/>
        </w:rPr>
      </w:pPr>
    </w:p>
    <w:p w:rsidR="002C05B1" w:rsidRPr="00AB4A73" w:rsidP="00243A5B">
      <w:pPr>
        <w:rPr>
          <w:rFonts w:cs="Hind Vadodara"/>
        </w:rPr>
      </w:pPr>
      <w:r w:rsidRPr="00AB4A73">
        <w:rPr>
          <w:rFonts w:cs="Hind Vadodara"/>
        </w:rPr>
        <w:t>Critically, both making care experience a protected characteristic and corporate parenting duties only have a benefit if they lead to real change in the way  care experienced people are supported. Introducing a broader range of corporate parenting responsibilities is a real route to improving that support, but it must be met by genuine action to improve care leavers lives.</w:t>
      </w:r>
    </w:p>
    <w:p w:rsidR="002C05B1" w:rsidRPr="00AB4A73" w:rsidP="00243A5B">
      <w:pPr>
        <w:rPr>
          <w:rFonts w:cs="Hind Vadodara"/>
        </w:rPr>
      </w:pPr>
    </w:p>
    <w:p w:rsidR="002C05B1" w:rsidRPr="00AB4A73" w:rsidP="004D6414">
      <w:pPr>
        <w:rPr>
          <w:rFonts w:cs="Hind Vadodara"/>
        </w:rPr>
      </w:pPr>
      <w:r w:rsidRPr="00AB4A73">
        <w:rPr>
          <w:rFonts w:cs="Hind Vadodara"/>
        </w:rPr>
        <w:t xml:space="preserve">The office is delighted that the Children’s Wellbeing and Schools Bill now includes a set of corporate parenting responsibilities for a range of bodies and organisations include, Secretaries of State and other public bodies including, Ofsted, the NHS and Youth Justice Board. This is a welcome addition, ensuring that Secretaries of State and </w:t>
      </w:r>
      <w:r w:rsidRPr="00AB4A73">
        <w:rPr>
          <w:rFonts w:cs="Hind Vadodara"/>
        </w:rPr>
        <w:t xml:space="preserve">relevant public bodies are actively considering how they can better support care experienced children and young people. </w:t>
      </w:r>
    </w:p>
    <w:p w:rsidR="002C05B1" w:rsidRPr="00AB4A73" w:rsidP="004D6414">
      <w:pPr>
        <w:rPr>
          <w:rFonts w:cs="Hind Vadodara"/>
        </w:rPr>
      </w:pPr>
    </w:p>
    <w:p w:rsidR="002C05B1" w:rsidRPr="00AB4A73" w:rsidP="004D6414">
      <w:pPr>
        <w:rPr>
          <w:rFonts w:cs="Hind Vadodara"/>
        </w:rPr>
      </w:pPr>
      <w:r w:rsidRPr="00AB4A73">
        <w:rPr>
          <w:rFonts w:cs="Hind Vadodara"/>
        </w:rPr>
        <w:t>However, the office remains concerned about the exclusion of immigration functions from these responsibilities, particularly given the vulnerability of children in the immigration and asylum system and the need for consistent support across all areas of government.</w:t>
      </w:r>
    </w:p>
    <w:p w:rsidR="002C05B1" w:rsidRPr="00AB4A73" w:rsidP="004D6414">
      <w:pPr>
        <w:rPr>
          <w:rFonts w:cs="Hind Vadodara"/>
        </w:rPr>
      </w:pPr>
    </w:p>
    <w:p w:rsidR="002C05B1" w:rsidRPr="00AB4A73" w:rsidP="004D6414">
      <w:pPr>
        <w:rPr>
          <w:rFonts w:cs="Hind Vadodara"/>
        </w:rPr>
      </w:pPr>
      <w:r w:rsidRPr="00AB4A73">
        <w:rPr>
          <w:rFonts w:cs="Hind Vadodara"/>
        </w:rPr>
        <w:t>While the Commissioner greatly welcomes the introduction of these measures, it is crucial that the change leads to tangible benefits for care leavers. Last year the office heard from over 1,700 care experienced people about their view on whether care experience should be made a protected characteristic. The overwhelming majority of care experienced people agreed that it should, though there are important reflections from both those in favour and against the reform</w:t>
      </w:r>
      <w:r>
        <w:rPr>
          <w:rStyle w:val="EndnoteReference"/>
          <w:rFonts w:cs="Hind Vadodara"/>
        </w:rPr>
        <w:endnoteReference w:id="8"/>
      </w:r>
      <w:r w:rsidRPr="00AB4A73">
        <w:rPr>
          <w:rFonts w:cs="Hind Vadodara"/>
        </w:rPr>
        <w:t xml:space="preserve">. </w:t>
      </w:r>
    </w:p>
    <w:p w:rsidR="002C05B1" w:rsidRPr="00AB4A73" w:rsidP="004D6414">
      <w:pPr>
        <w:rPr>
          <w:rFonts w:cs="Hind Vadodara"/>
          <w:b/>
          <w:bCs/>
        </w:rPr>
      </w:pPr>
    </w:p>
    <w:p w:rsidR="002C05B1" w:rsidRPr="00AB4A73" w:rsidP="004D6414">
      <w:pPr>
        <w:rPr>
          <w:rFonts w:cs="Hind Vadodara"/>
        </w:rPr>
      </w:pPr>
      <w:r w:rsidRPr="00AB4A73">
        <w:rPr>
          <w:rFonts w:cs="Hind Vadodara"/>
        </w:rPr>
        <w:t xml:space="preserve">Many of the 6% of respondents who disagreed that care-experience should be a protected characteristic also provided justifications for their perspective. Therefore, below some of the potential drawbacks of the change are outlined. </w:t>
      </w:r>
    </w:p>
    <w:p w:rsidR="002C05B1" w:rsidRPr="00AB4A73" w:rsidP="004D6414">
      <w:pPr>
        <w:rPr>
          <w:rFonts w:cs="Hind Vadodara"/>
        </w:rPr>
      </w:pPr>
    </w:p>
    <w:p w:rsidR="002C05B1" w:rsidRPr="00AB4A73" w:rsidP="004D6414">
      <w:pPr>
        <w:rPr>
          <w:rFonts w:cs="Hind Vadodara"/>
        </w:rPr>
      </w:pPr>
      <w:r w:rsidRPr="00AB4A73">
        <w:rPr>
          <w:rFonts w:cs="Hind Vadodara"/>
        </w:rPr>
        <w:t xml:space="preserve">Some care experienced people believed that the change was was merely an example of activism that would have a limited impact on the day-to-day barriers faced by the care experienced community. In particular, they highlighted how other groups are still subjected to discrimination, such as racism and ableism, despite having other protected characteristics, so this is unlikely to make a difference to the lives of care-experienced people. </w:t>
      </w:r>
    </w:p>
    <w:p w:rsidR="002C05B1" w:rsidRPr="00AB4A73" w:rsidP="004D6414">
      <w:pPr>
        <w:rPr>
          <w:rFonts w:cs="Hind Vadodara"/>
        </w:rPr>
      </w:pPr>
    </w:p>
    <w:p w:rsidR="002C05B1" w:rsidRPr="00AB4A73" w:rsidP="004D6414">
      <w:pPr>
        <w:rPr>
          <w:rFonts w:cs="Hind Vadodara"/>
        </w:rPr>
      </w:pPr>
      <w:r w:rsidRPr="00AB4A73">
        <w:rPr>
          <w:rFonts w:cs="Hind Vadodara"/>
        </w:rPr>
        <w:t xml:space="preserve">Some respondents also commented on how being care-experienced is a less obvious compared to other protected characteristics, such as an individual’s race or disability. This might therefore minimise the extent to which it could even contribute to discrimination. </w:t>
      </w:r>
    </w:p>
    <w:p w:rsidR="002C05B1" w:rsidRPr="00AB4A73" w:rsidP="004D6414">
      <w:pPr>
        <w:rPr>
          <w:rFonts w:cs="Hind Vadodara"/>
        </w:rPr>
      </w:pPr>
    </w:p>
    <w:p w:rsidR="002C05B1" w:rsidRPr="00AB4A73" w:rsidP="004D6414">
      <w:pPr>
        <w:rPr>
          <w:rFonts w:cs="Hind Vadodara"/>
        </w:rPr>
      </w:pPr>
      <w:r w:rsidRPr="00AB4A73">
        <w:rPr>
          <w:rFonts w:cs="Hind Vadodara"/>
        </w:rPr>
        <w:t xml:space="preserve">For example, one respondent said: “People have only ever found out at me being in care by me disclos[ing] it and I’ve never experienced any negativity due to people knowing about it, I wish I could say the same for being Black.” </w:t>
      </w:r>
    </w:p>
    <w:p w:rsidR="002C05B1" w:rsidRPr="00AB4A73" w:rsidP="004D6414">
      <w:pPr>
        <w:rPr>
          <w:rFonts w:cs="Hind Vadodara"/>
        </w:rPr>
      </w:pPr>
    </w:p>
    <w:p w:rsidR="002C05B1" w:rsidRPr="00AB4A73" w:rsidP="004D6414">
      <w:pPr>
        <w:rPr>
          <w:rFonts w:cs="Hind Vadodara"/>
        </w:rPr>
      </w:pPr>
      <w:r w:rsidRPr="00AB4A73">
        <w:rPr>
          <w:rFonts w:cs="Hind Vadodara"/>
        </w:rPr>
        <w:t xml:space="preserve">Other respondents were also concerned that focussing on care-experienced people may subsequently disadvantage those with similar adverse experiences, creating a two-tier system of support: “Why should the negative consequences of care experienced </w:t>
      </w:r>
      <w:r w:rsidRPr="00AB4A73">
        <w:rPr>
          <w:rFonts w:cs="Hind Vadodara"/>
        </w:rPr>
        <w:t xml:space="preserve">people be given privileged status of extra protection, over and above people who experienced consequences of poor or abusive parental care.” </w:t>
      </w:r>
    </w:p>
    <w:p w:rsidR="002C05B1" w:rsidRPr="00AB4A73" w:rsidP="004D6414">
      <w:pPr>
        <w:rPr>
          <w:rFonts w:cs="Hind Vadodara"/>
        </w:rPr>
      </w:pPr>
    </w:p>
    <w:p w:rsidR="002C05B1" w:rsidRPr="00AB4A73" w:rsidP="004D6414">
      <w:pPr>
        <w:rPr>
          <w:rFonts w:cs="Hind Vadodara"/>
        </w:rPr>
      </w:pPr>
      <w:r w:rsidRPr="00AB4A73">
        <w:rPr>
          <w:rFonts w:cs="Hind Vadodara"/>
        </w:rPr>
        <w:t xml:space="preserve">Another key theme across responses from both professionals who work with this community, as well as care-experienced young people and adults themselves, was the concern that this proposal would reinforce negative stereotypes about this group. </w:t>
      </w:r>
    </w:p>
    <w:p w:rsidR="002C05B1" w:rsidRPr="00AB4A73" w:rsidP="004D6414">
      <w:pPr>
        <w:rPr>
          <w:rFonts w:cs="Hind Vadodara"/>
        </w:rPr>
      </w:pPr>
    </w:p>
    <w:p w:rsidR="002C05B1" w:rsidRPr="00AB4A73" w:rsidP="004D6414">
      <w:pPr>
        <w:rPr>
          <w:rFonts w:cs="Hind Vadodara"/>
        </w:rPr>
      </w:pPr>
      <w:r w:rsidRPr="00AB4A73">
        <w:rPr>
          <w:rFonts w:cs="Hind Vadodara"/>
        </w:rPr>
        <w:t>In particular, respondents highlighted how care experienced people might not want to disclose their past, be defined by their trauma, or seen as ‘different’.</w:t>
      </w:r>
    </w:p>
    <w:p w:rsidR="002C05B1" w:rsidRPr="00AB4A73" w:rsidP="004D6414">
      <w:pPr>
        <w:rPr>
          <w:rFonts w:cs="Hind Vadodara"/>
        </w:rPr>
      </w:pPr>
    </w:p>
    <w:p w:rsidR="002C05B1" w:rsidRPr="00AB4A73" w:rsidP="004D6414">
      <w:pPr>
        <w:rPr>
          <w:rFonts w:cs="Hind Vadodara"/>
        </w:rPr>
      </w:pPr>
      <w:r w:rsidRPr="00AB4A73">
        <w:rPr>
          <w:rFonts w:cs="Hind Vadodara"/>
        </w:rPr>
        <w:t xml:space="preserve">Across respondents who both agreed and disagreed, there was widespread acknowledgment that care leavers would benefit from greater tangible support from public bodies. With some respondents highlighting that time and resources could be better spent on championing systemic changes which could improve the lives of care-experienced people, including increasing access to mental health support and introducing mandatory training for all professionals on the impacts of care-experience. </w:t>
      </w:r>
    </w:p>
    <w:p w:rsidR="002C05B1" w:rsidRPr="00AB4A73" w:rsidP="004D6414">
      <w:pPr>
        <w:rPr>
          <w:rFonts w:cs="Hind Vadodara"/>
        </w:rPr>
      </w:pPr>
    </w:p>
    <w:p w:rsidR="002C05B1" w:rsidRPr="00AB4A73" w:rsidP="004D6414">
      <w:pPr>
        <w:rPr>
          <w:rFonts w:cs="Hind Vadodara"/>
        </w:rPr>
      </w:pPr>
      <w:r w:rsidRPr="00AB4A73">
        <w:rPr>
          <w:rFonts w:cs="Hind Vadodara"/>
        </w:rPr>
        <w:t>This would ensure equal opportunities and improve parity of outcomes “I do not believe being care experienced should be a protected characteristic as it is not the most effective way of addressing the challenges faced by care leavers. Instead, focusing on specific policies and support programmes are available to support care leavers to have the same opportunities as their peers.”</w:t>
      </w: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rPr>
      </w:pPr>
    </w:p>
    <w:p w:rsidR="002C05B1" w:rsidRPr="00AB4A73" w:rsidP="004D6414">
      <w:pPr>
        <w:rPr>
          <w:rFonts w:cs="Hind Vadodara"/>
          <w:b/>
          <w:bCs/>
        </w:rPr>
      </w:pPr>
      <w:r w:rsidRPr="00AB4A73">
        <w:rPr>
          <w:rFonts w:cs="Hind Vadodara"/>
          <w:b/>
          <w:bCs/>
        </w:rPr>
        <w:t>4. Do any human rights concerns arise from the disabled children’s social care framework? If so, what are they?</w:t>
      </w:r>
      <w:r w:rsidRPr="00AB4A73">
        <w:rPr>
          <w:rFonts w:ascii="Cambria" w:hAnsi="Cambria" w:cs="Cambria"/>
          <w:b/>
          <w:bCs/>
        </w:rPr>
        <w:t> </w:t>
      </w:r>
    </w:p>
    <w:p w:rsidR="002C05B1" w:rsidRPr="00AB4A73" w:rsidP="004D6414">
      <w:pPr>
        <w:rPr>
          <w:rFonts w:cs="Hind Vadodara"/>
        </w:rPr>
      </w:pPr>
    </w:p>
    <w:p w:rsidR="002C05B1" w:rsidRPr="00AB4A73" w:rsidP="00835A73">
      <w:pPr>
        <w:rPr>
          <w:rFonts w:cs="Hind Vadodara"/>
        </w:rPr>
      </w:pPr>
    </w:p>
    <w:p w:rsidR="002C05B1" w:rsidRPr="00AB4A73" w:rsidP="00835A73">
      <w:pPr>
        <w:rPr>
          <w:rFonts w:cs="Hind Vadodara"/>
        </w:rPr>
      </w:pPr>
      <w:r w:rsidRPr="00AB4A73">
        <w:rPr>
          <w:rFonts w:cs="Hind Vadodara"/>
        </w:rPr>
        <w:t xml:space="preserve">The Children's Commissioner greatly welcomed the Law Commission’s examination of disabled children’s social care and has responded to the consultation, recognising its importance in addressing long-standing concerns about the complexity, fairness and accessibility of the current legal framework. Below is a summary of the office’s submission to the Law Commission’ consultation. The office looks forward to the government’s response later this year. </w:t>
      </w:r>
    </w:p>
    <w:p w:rsidR="002C05B1" w:rsidRPr="00AB4A73" w:rsidP="00835A73">
      <w:pPr>
        <w:rPr>
          <w:rFonts w:cs="Hind Vadodara"/>
        </w:rPr>
      </w:pPr>
    </w:p>
    <w:p w:rsidR="002C05B1" w:rsidRPr="00AB4A73" w:rsidP="00835A73">
      <w:pPr>
        <w:rPr>
          <w:rFonts w:cs="Hind Vadodara"/>
        </w:rPr>
      </w:pPr>
      <w:r w:rsidRPr="00AB4A73">
        <w:rPr>
          <w:rFonts w:cs="Hind Vadodara"/>
        </w:rPr>
        <w:t xml:space="preserve">Broadly the office supports the intention to simplify the system, making it easier for children and families to access the right help. Specifically, the office welcomes the recommendation to streamline assessments through the introduction of a single duty to assess the social care needs of disabled child, ensuring there is transition support in place to avoid a cliff edge where support drops off when entering adulthood and the combining of plans where appropriate. </w:t>
      </w:r>
    </w:p>
    <w:p w:rsidR="002C05B1" w:rsidRPr="00AB4A73" w:rsidP="00835A73">
      <w:pPr>
        <w:rPr>
          <w:rFonts w:cs="Hind Vadodara"/>
        </w:rPr>
      </w:pPr>
    </w:p>
    <w:p w:rsidR="002C05B1" w:rsidRPr="00AB4A73" w:rsidP="00835A73">
      <w:pPr>
        <w:rPr>
          <w:rFonts w:cs="Hind Vadodara"/>
        </w:rPr>
      </w:pPr>
      <w:r w:rsidRPr="00AB4A73">
        <w:rPr>
          <w:rFonts w:cs="Hind Vadodara"/>
        </w:rPr>
        <w:t xml:space="preserve">Last year the office published two reports looking at section 17 support for all children. This consultation’s thorough examination of section 17 for disabled children is greatly welcome and yet the office is clear that there are challenges with consistency across the child in need system that need examining in full. </w:t>
      </w:r>
    </w:p>
    <w:p w:rsidR="002C05B1" w:rsidRPr="00AB4A73" w:rsidP="00835A73">
      <w:pPr>
        <w:rPr>
          <w:rFonts w:cs="Hind Vadodara"/>
        </w:rPr>
      </w:pPr>
    </w:p>
    <w:p w:rsidR="002C05B1" w:rsidRPr="00AB4A73" w:rsidP="00835A73">
      <w:pPr>
        <w:rPr>
          <w:rFonts w:cs="Hind Vadodara"/>
        </w:rPr>
      </w:pPr>
      <w:r w:rsidRPr="00AB4A73">
        <w:rPr>
          <w:rFonts w:cs="Hind Vadodara"/>
        </w:rPr>
        <w:t>Last year, in the first part of this work, using data from all local authorities in England, the Children’s Commissioner’s office published ‘Children on Child in Need plans’ in March</w:t>
      </w:r>
      <w:r>
        <w:rPr>
          <w:rStyle w:val="EndnoteReference"/>
          <w:rFonts w:cs="Hind Vadodara"/>
        </w:rPr>
        <w:endnoteReference w:id="9"/>
      </w:r>
      <w:r w:rsidRPr="00AB4A73">
        <w:rPr>
          <w:rFonts w:cs="Hind Vadodara"/>
        </w:rPr>
        <w:t>. Driven by the lack of available data and understanding on who these children are and how effective the support they receive is, the office focused on this subset of around 100,000 children on child in need plans. Using unpublished Department for Education data as well as analysis of published local authority procedures for child in need plans, the office found substantial variations between what happens to children and families in need of support between different local authorities, when it comes to children on child in need plans.</w:t>
      </w:r>
    </w:p>
    <w:p w:rsidR="002C05B1" w:rsidRPr="00AB4A73" w:rsidP="00835A73">
      <w:pPr>
        <w:rPr>
          <w:rFonts w:cs="Hind Vadodara"/>
        </w:rPr>
      </w:pPr>
    </w:p>
    <w:p w:rsidR="002C05B1" w:rsidRPr="00AB4A73" w:rsidP="00835A73">
      <w:pPr>
        <w:rPr>
          <w:rFonts w:cs="Hind Vadodara"/>
        </w:rPr>
      </w:pPr>
      <w:r w:rsidRPr="00AB4A73">
        <w:rPr>
          <w:rFonts w:cs="Hind Vadodara"/>
        </w:rPr>
        <w:t>In the second part of this work, the office published ‘What is this plan for’ in November</w:t>
      </w:r>
      <w:r>
        <w:rPr>
          <w:rStyle w:val="EndnoteReference"/>
          <w:rFonts w:cs="Hind Vadodara"/>
        </w:rPr>
        <w:endnoteReference w:id="10"/>
      </w:r>
      <w:r w:rsidRPr="00AB4A73">
        <w:rPr>
          <w:rFonts w:cs="Hind Vadodara"/>
        </w:rPr>
        <w:t xml:space="preserve">. In this report the office shows that even when plans are in place, families – and even the professionals creating them – say they can be vague and confusing, without achievable actions, no clear timeframes for improvements and delivered with poor communication. In-depth analysis of a sample of plans found that an overwhelming majority (85%) of actions recorded within them did not meet the office’s criteria for a 'high quality' action. This means that for the majority of actions – essential steps that must be completed to reach the plan's overall objective of protecting and supporting a vulnerable child – it was difficult to assess what had been done and whether progress had been made when the plans ended. </w:t>
      </w:r>
    </w:p>
    <w:p w:rsidR="002C05B1" w:rsidRPr="00AB4A73" w:rsidP="00835A73">
      <w:pPr>
        <w:rPr>
          <w:rFonts w:cs="Hind Vadodara"/>
        </w:rPr>
      </w:pPr>
    </w:p>
    <w:p w:rsidR="002C05B1" w:rsidRPr="00AB4A73" w:rsidP="00835A73">
      <w:pPr>
        <w:rPr>
          <w:rFonts w:cs="Hind Vadodara"/>
        </w:rPr>
      </w:pPr>
      <w:r w:rsidRPr="00AB4A73">
        <w:rPr>
          <w:rFonts w:cs="Hind Vadodara"/>
        </w:rPr>
        <w:t xml:space="preserve">For this work, the office conducted a series of interviews with parents of children on child in need plans. One interview the office conducted was with a single mother of multiple children; the eldest has complex needs and is non-verbal. During the interview the mother reflected that it had taken around a year to get the right support in place for her eldest child, despite seeking help multiple times and communicating the challenges she was facing. Even when some support was being provided, she told us that there were other forms of support for the other children that was promised but never put in place. </w:t>
      </w:r>
    </w:p>
    <w:p w:rsidR="002C05B1" w:rsidRPr="00AB4A73" w:rsidP="00835A73">
      <w:pPr>
        <w:rPr>
          <w:rFonts w:cs="Hind Vadodara"/>
        </w:rPr>
      </w:pPr>
    </w:p>
    <w:p w:rsidR="002C05B1" w:rsidRPr="00AB4A73" w:rsidP="00835A73">
      <w:pPr>
        <w:rPr>
          <w:rFonts w:cs="Hind Vadodara"/>
        </w:rPr>
      </w:pPr>
      <w:r w:rsidRPr="00AB4A73">
        <w:rPr>
          <w:rFonts w:cs="Hind Vadodara"/>
        </w:rPr>
        <w:t>In these reports the office sets out series of recommendations that, if implemented, would create meaningful reform for children and families. This starts with a comprehensive review of the Children Act 1989 that lays the foundation for local action that better supports families. The need for clearly defined national thresholds of need for children and families, under section 17 of the Children Act, to guide local practice. We need to set a uniform approach nationally for how often children receive help and how frequently that help is reviewed. We also need a comprehensive National Child in Need Outcomes Framework to measure the effectiveness of the help that children and families receive.</w:t>
      </w:r>
    </w:p>
    <w:p w:rsidR="002C05B1" w:rsidRPr="00AB4A73" w:rsidP="00835A73">
      <w:pPr>
        <w:rPr>
          <w:rFonts w:cs="Hind Vadodara"/>
        </w:rPr>
      </w:pPr>
    </w:p>
    <w:p w:rsidR="002C05B1" w:rsidRPr="00AB4A73" w:rsidP="00835A73">
      <w:pPr>
        <w:rPr>
          <w:rFonts w:cs="Hind Vadodara"/>
        </w:rPr>
      </w:pPr>
      <w:r w:rsidRPr="00AB4A73">
        <w:rPr>
          <w:rFonts w:cs="Hind Vadodara"/>
        </w:rPr>
        <w:t>Moreover, the office has been clear that every child requiring support should have a single, coordinated multi-agency plan designed to effectively meet their individual needs. This would give greater clarity to parents and practitioners about who and what is needed to support that child.</w:t>
      </w:r>
      <w:r w:rsidRPr="00AB4A73">
        <w:rPr>
          <w:rFonts w:ascii="Cambria" w:hAnsi="Cambria" w:cs="Cambria"/>
        </w:rPr>
        <w:t> </w:t>
      </w:r>
    </w:p>
    <w:p w:rsidR="002C05B1" w:rsidRPr="00AB4A73" w:rsidP="00835A73">
      <w:pPr>
        <w:rPr>
          <w:rFonts w:cs="Hind Vadodara"/>
        </w:rPr>
      </w:pPr>
    </w:p>
    <w:p w:rsidR="002C05B1" w:rsidRPr="00AB4A73" w:rsidP="004D6414">
      <w:pPr>
        <w:rPr>
          <w:rFonts w:cs="Hind Vadodara"/>
        </w:rPr>
      </w:pPr>
    </w:p>
    <w:p w:rsidR="002C05B1" w:rsidRPr="00AB4A73" w:rsidP="00C81C51">
      <w:pPr>
        <w:pStyle w:val="CCHeader1"/>
        <w:rPr>
          <w:rFonts w:cs="Hind Vadodara"/>
          <w:color w:val="auto"/>
          <w:sz w:val="24"/>
          <w:szCs w:val="24"/>
        </w:rPr>
      </w:pPr>
      <w:bookmarkStart w:id="3" w:name="_Toc206059266"/>
      <w:r w:rsidRPr="00AB4A73">
        <w:rPr>
          <w:rFonts w:cs="Hind Vadodara"/>
          <w:color w:val="auto"/>
          <w:sz w:val="24"/>
          <w:szCs w:val="24"/>
        </w:rPr>
        <w:t>Accommodation</w:t>
      </w:r>
      <w:bookmarkEnd w:id="3"/>
      <w:r w:rsidRPr="00AB4A73">
        <w:rPr>
          <w:rFonts w:ascii="Cambria" w:hAnsi="Cambria" w:cs="Cambria"/>
          <w:color w:val="auto"/>
          <w:sz w:val="24"/>
          <w:szCs w:val="24"/>
        </w:rPr>
        <w:t> </w:t>
      </w:r>
    </w:p>
    <w:p w:rsidR="002C05B1" w:rsidRPr="00AB4A73" w:rsidP="004D6414">
      <w:pPr>
        <w:rPr>
          <w:rFonts w:cs="Hind Vadodara"/>
          <w:b/>
          <w:bCs/>
        </w:rPr>
      </w:pPr>
      <w:r w:rsidRPr="00AB4A73">
        <w:rPr>
          <w:rFonts w:cs="Hind Vadodara"/>
        </w:rPr>
        <w:t xml:space="preserve">5. </w:t>
      </w:r>
      <w:r w:rsidRPr="00AB4A73">
        <w:rPr>
          <w:rFonts w:cs="Hind Vadodara"/>
          <w:b/>
          <w:bCs/>
        </w:rPr>
        <w:t>To what extent are there human rights concerns about the accommodation available to children in care? Are there particular concerns in relation to available accommodation for unaccompanied asylum-seeking children?</w:t>
      </w:r>
      <w:r w:rsidRPr="00AB4A73">
        <w:rPr>
          <w:rFonts w:ascii="Cambria" w:hAnsi="Cambria" w:cs="Cambria"/>
          <w:b/>
          <w:bCs/>
        </w:rPr>
        <w:t> </w:t>
      </w:r>
      <w:r w:rsidRPr="00AB4A73">
        <w:rPr>
          <w:rFonts w:cs="Hind Vadodara"/>
          <w:b/>
          <w:bCs/>
        </w:rPr>
        <w:t xml:space="preserve"> </w:t>
      </w:r>
    </w:p>
    <w:p w:rsidR="002C05B1" w:rsidRPr="00AB4A73" w:rsidP="004D6414">
      <w:pPr>
        <w:rPr>
          <w:rFonts w:cs="Hind Vadodara"/>
        </w:rPr>
      </w:pPr>
    </w:p>
    <w:p w:rsidR="002C05B1" w:rsidRPr="00AB4A73" w:rsidP="004D6414">
      <w:pPr>
        <w:rPr>
          <w:rFonts w:cs="Hind Vadodara"/>
        </w:rPr>
      </w:pPr>
      <w:r w:rsidRPr="00AB4A73">
        <w:rPr>
          <w:rFonts w:cs="Hind Vadodara"/>
        </w:rPr>
        <w:t xml:space="preserve">The office has ongoing concerns about some forms of accommodation for children in care, as well as unaccompanied asylum seeking children (although in the past year the issues affecting this group have improved). There are four main areas of concern to the office, the use of unregistered children’s homes, 16/17 year olds not receiving their entitlement to care when presenting as homeless, children in supported accommodation not receiving care to the age of 18, and the need for more safe and legal routes for the arrival of unaccompanied children. </w:t>
      </w:r>
    </w:p>
    <w:p w:rsidR="002C05B1" w:rsidRPr="00AB4A73" w:rsidP="004D6414">
      <w:pPr>
        <w:rPr>
          <w:rFonts w:cs="Hind Vadodara"/>
        </w:rPr>
      </w:pPr>
    </w:p>
    <w:p w:rsidR="002C05B1" w:rsidRPr="00AB4A73" w:rsidP="004D6414">
      <w:pPr>
        <w:rPr>
          <w:rFonts w:cs="Hind Vadodara"/>
          <w:b/>
          <w:bCs/>
        </w:rPr>
      </w:pPr>
      <w:r w:rsidRPr="00AB4A73">
        <w:rPr>
          <w:rFonts w:cs="Hind Vadodara"/>
          <w:b/>
          <w:bCs/>
        </w:rPr>
        <w:t>Unregistered children’s homes</w:t>
      </w:r>
    </w:p>
    <w:p w:rsidR="002C05B1" w:rsidRPr="00AB4A73" w:rsidP="004D6414">
      <w:pPr>
        <w:rPr>
          <w:rFonts w:cs="Hind Vadodara"/>
        </w:rPr>
      </w:pPr>
    </w:p>
    <w:p w:rsidR="002C05B1" w:rsidRPr="00AB4A73" w:rsidP="004D6414">
      <w:pPr>
        <w:rPr>
          <w:rFonts w:cs="Hind Vadodara"/>
        </w:rPr>
      </w:pPr>
      <w:r w:rsidRPr="00AB4A73">
        <w:rPr>
          <w:rFonts w:cs="Hind Vadodara"/>
        </w:rPr>
        <w:t>In recent years the office’s independent advocacy team ‘Help at Hand’ has supported numerous children with extreme vulnerabilities, often subject to a Deprivation of Liberty (DoL) order, who are placed in children’s homes not registered with Ofsted as by law they should be.</w:t>
      </w:r>
    </w:p>
    <w:p w:rsidR="002C05B1" w:rsidRPr="00AB4A73" w:rsidP="004D6414">
      <w:pPr>
        <w:rPr>
          <w:rFonts w:cs="Hind Vadodara"/>
        </w:rPr>
      </w:pPr>
    </w:p>
    <w:p w:rsidR="002C05B1" w:rsidRPr="00AB4A73" w:rsidP="004D6414">
      <w:pPr>
        <w:rPr>
          <w:rFonts w:cs="Hind Vadodara"/>
        </w:rPr>
      </w:pPr>
      <w:r w:rsidRPr="00AB4A73">
        <w:rPr>
          <w:rFonts w:cs="Hind Vadodara"/>
        </w:rPr>
        <w:t>In a December 2024 report</w:t>
      </w:r>
      <w:r>
        <w:rPr>
          <w:rStyle w:val="EndnoteReference"/>
          <w:rFonts w:cs="Hind Vadodara"/>
        </w:rPr>
        <w:endnoteReference w:id="11"/>
      </w:r>
      <w:r w:rsidRPr="00AB4A73">
        <w:rPr>
          <w:rFonts w:cs="Hind Vadodara"/>
        </w:rPr>
        <w:t>, for the first time, the office used local authority data to establish how many children are placed in unregistered accommodation and how much these placements are costing. On 1st September, there were 775 children in unregistered homes. That included children under the age of 10, children who had spent over two years in those homes and children in entirely inappropriate unregistered settings, such as caravans. Staggeringly, the average cost was over £1,500 a day, with an estimated total annual cost to local authorities of over £400 million. The use of these homes is a national scandal; vulnerable children are being failed which should never be allowed.</w:t>
      </w:r>
    </w:p>
    <w:p w:rsidR="002C05B1" w:rsidRPr="00AB4A73" w:rsidP="004D6414">
      <w:pPr>
        <w:rPr>
          <w:rFonts w:cs="Hind Vadodara"/>
        </w:rPr>
      </w:pPr>
    </w:p>
    <w:p w:rsidR="002C05B1" w:rsidRPr="00AB4A73" w:rsidP="004D6414">
      <w:pPr>
        <w:rPr>
          <w:rFonts w:cs="Hind Vadodara"/>
        </w:rPr>
      </w:pPr>
      <w:r w:rsidRPr="00AB4A73">
        <w:rPr>
          <w:rFonts w:cs="Hind Vadodara"/>
        </w:rPr>
        <w:t>We welcome the introduction of enforcement powers for Ofsted to issue civil penalties against providers of unregistered children’s homes.  It is essential that Ofsted give adequate resource to discharge their new power. However, it’s also crucial that local authorities and, where they exist, regional care cooperatives are accountable for the use of illegal homes in their area.</w:t>
      </w:r>
    </w:p>
    <w:p w:rsidR="002C05B1" w:rsidRPr="00AB4A73" w:rsidP="004D6414">
      <w:pPr>
        <w:rPr>
          <w:rFonts w:cs="Hind Vadodara"/>
        </w:rPr>
      </w:pPr>
    </w:p>
    <w:p w:rsidR="002C05B1" w:rsidRPr="00AB4A73" w:rsidP="004D6414">
      <w:pPr>
        <w:rPr>
          <w:rFonts w:cs="Hind Vadodara"/>
        </w:rPr>
      </w:pPr>
      <w:r w:rsidRPr="00AB4A73">
        <w:rPr>
          <w:rFonts w:cs="Hind Vadodara"/>
        </w:rPr>
        <w:t xml:space="preserve">To ensure that this critical issue is not forgotten about, and that the need for urgent action and accountability to ensure highly vulnerable children are not placed these </w:t>
      </w:r>
      <w:r w:rsidRPr="00AB4A73">
        <w:rPr>
          <w:rFonts w:cs="Hind Vadodara"/>
        </w:rPr>
        <w:t xml:space="preserve">illegal settings, the office will be repeating its data request to all local authorities in England this year. This report will be published in the coming months. </w:t>
      </w:r>
    </w:p>
    <w:p w:rsidR="002C05B1" w:rsidRPr="00AB4A73" w:rsidP="004D6414">
      <w:pPr>
        <w:rPr>
          <w:rFonts w:cs="Hind Vadodara"/>
        </w:rPr>
      </w:pPr>
    </w:p>
    <w:p w:rsidR="002C05B1" w:rsidRPr="00AB4A73" w:rsidP="004D6414">
      <w:pPr>
        <w:rPr>
          <w:rFonts w:cs="Hind Vadodara"/>
          <w:b/>
          <w:bCs/>
        </w:rPr>
      </w:pPr>
      <w:r w:rsidRPr="00AB4A73">
        <w:rPr>
          <w:rFonts w:cs="Hind Vadodara"/>
          <w:b/>
          <w:bCs/>
        </w:rPr>
        <w:t xml:space="preserve">Homeless 16- and 17-year-olds </w:t>
      </w:r>
    </w:p>
    <w:p w:rsidR="002C05B1" w:rsidRPr="00AB4A73" w:rsidP="004D6414">
      <w:pPr>
        <w:rPr>
          <w:rFonts w:cs="Hind Vadodara"/>
        </w:rPr>
      </w:pPr>
    </w:p>
    <w:p w:rsidR="002C05B1" w:rsidRPr="00AB4A73" w:rsidP="004D6414">
      <w:pPr>
        <w:rPr>
          <w:rFonts w:cs="Hind Vadodara"/>
        </w:rPr>
      </w:pPr>
      <w:r w:rsidRPr="00AB4A73">
        <w:rPr>
          <w:rFonts w:cs="Hind Vadodara"/>
        </w:rPr>
        <w:t xml:space="preserve">Statutory guidance and case law set out that children with nowhere to live should usually be taken into care under section 20 of the Children Act, giving them ‘looked after child’ status. However, of the approximately 6,000 children aged 16 and 17 who presented as homeless in the office’s novel data collection in 2022-23, only 39% of those accommodated were given this status. Most children accommodated (61%, 1,200) were instead accommodated under housing legislation or under section 17 of the Children Act without becoming ‘looked after’.  This office is deeply concerned about this practice and is aiming to look again at this issue later this year. </w:t>
      </w:r>
    </w:p>
    <w:p w:rsidR="002C05B1" w:rsidRPr="00AB4A73" w:rsidP="004D6414">
      <w:pPr>
        <w:rPr>
          <w:rFonts w:cs="Hind Vadodara"/>
        </w:rPr>
      </w:pPr>
    </w:p>
    <w:p w:rsidR="002C05B1" w:rsidRPr="00AB4A73" w:rsidP="004D6414">
      <w:pPr>
        <w:rPr>
          <w:rFonts w:cs="Hind Vadodara"/>
          <w:b/>
          <w:bCs/>
        </w:rPr>
      </w:pPr>
      <w:r w:rsidRPr="00AB4A73">
        <w:rPr>
          <w:rFonts w:cs="Hind Vadodara"/>
          <w:b/>
          <w:bCs/>
        </w:rPr>
        <w:t>All homes should provide care, not just support</w:t>
      </w:r>
    </w:p>
    <w:p w:rsidR="002C05B1" w:rsidRPr="00AB4A73" w:rsidP="004D6414">
      <w:pPr>
        <w:rPr>
          <w:rFonts w:cs="Hind Vadodara"/>
        </w:rPr>
      </w:pPr>
    </w:p>
    <w:p w:rsidR="002C05B1" w:rsidRPr="00AB4A73" w:rsidP="004D6414">
      <w:pPr>
        <w:rPr>
          <w:rFonts w:cs="Hind Vadodara"/>
        </w:rPr>
      </w:pPr>
      <w:r w:rsidRPr="00AB4A73">
        <w:rPr>
          <w:rFonts w:cs="Hind Vadodara"/>
        </w:rPr>
        <w:t xml:space="preserve">Currently, 16- and 17-year-olds can be placed in settings (supported accommodation) which legally only provide support, and not care. Universal care standards, that align regulatory framework across care settings and ensure that every setting caring for a child is legally able to provide care, must be introduced. </w:t>
      </w:r>
    </w:p>
    <w:p w:rsidR="002C05B1" w:rsidRPr="00AB4A73" w:rsidP="004D6414">
      <w:pPr>
        <w:rPr>
          <w:rFonts w:cs="Hind Vadodara"/>
        </w:rPr>
      </w:pPr>
    </w:p>
    <w:p w:rsidR="002C05B1" w:rsidRPr="00AB4A73" w:rsidP="004D6414">
      <w:pPr>
        <w:rPr>
          <w:rFonts w:cs="Hind Vadodara"/>
          <w:b/>
          <w:bCs/>
        </w:rPr>
      </w:pPr>
      <w:r w:rsidRPr="00AB4A73">
        <w:rPr>
          <w:rFonts w:cs="Hind Vadodara"/>
          <w:b/>
          <w:bCs/>
        </w:rPr>
        <w:t xml:space="preserve">Unaccompanied asylum-seeking children </w:t>
      </w:r>
    </w:p>
    <w:p w:rsidR="002C05B1" w:rsidRPr="00AB4A73" w:rsidP="00343B98">
      <w:pPr>
        <w:pStyle w:val="CCBodyCopy"/>
        <w:jc w:val="left"/>
        <w:rPr>
          <w:rFonts w:cs="Hind Vadodara"/>
          <w:color w:val="auto"/>
        </w:rPr>
      </w:pPr>
      <w:r w:rsidRPr="00AB4A73">
        <w:rPr>
          <w:rFonts w:cs="Hind Vadodara"/>
          <w:color w:val="auto"/>
        </w:rPr>
        <w:t>Under Section 2E of the Act the Children’s Commissioner can enter any institution that is accommodating children living away from home and under Section 2F of the Act the Commissioner can ask any person exercising functions of a public office to provide information related to the function of the office.</w:t>
      </w:r>
      <w:r w:rsidRPr="00AB4A73">
        <w:rPr>
          <w:rFonts w:cs="Hind Vadodara"/>
          <w:color w:val="auto"/>
        </w:rPr>
        <w:tab/>
      </w:r>
    </w:p>
    <w:p w:rsidR="002C05B1" w:rsidRPr="00AB4A73" w:rsidP="00343B98">
      <w:pPr>
        <w:pStyle w:val="CCBodyCopy"/>
        <w:jc w:val="left"/>
        <w:rPr>
          <w:rFonts w:cs="Hind Vadodara"/>
          <w:color w:val="auto"/>
        </w:rPr>
      </w:pPr>
      <w:r w:rsidRPr="00AB4A73">
        <w:rPr>
          <w:rFonts w:cs="Hind Vadodara"/>
          <w:color w:val="auto"/>
        </w:rPr>
        <w:t>The office has seen just how vulnerable unaccompanied asylum-seeking children are. Using statutory powers of entry, the Children’s Commissioner regularly visits border sites in Kent, including Manston, Western Jet Foil, and the Kent Intake Unit, to understand children's experiences and ensure their voices are heard.</w:t>
      </w:r>
    </w:p>
    <w:p w:rsidR="002C05B1" w:rsidRPr="00AB4A73" w:rsidP="004D6414">
      <w:pPr>
        <w:rPr>
          <w:rFonts w:eastAsia="Calibri" w:cs="Hind Vadodara"/>
          <w:lang w:eastAsia="en-GB"/>
        </w:rPr>
      </w:pPr>
      <w:r w:rsidRPr="00AB4A73">
        <w:rPr>
          <w:rFonts w:eastAsia="Calibri" w:cs="Hind Vadodara"/>
          <w:lang w:eastAsia="en-GB"/>
        </w:rPr>
        <w:t>The office was delighted to see the Border, Security, Asylum and Immigration Bill remove the Home Office’s power to accommodate these children. In 2023, the office used its statutory powers to show how wholly inappropriate the use of these hotels for these highly vulnerable children were</w:t>
      </w:r>
      <w:r>
        <w:rPr>
          <w:rStyle w:val="EndnoteReference"/>
          <w:rFonts w:eastAsia="Calibri" w:cs="Hind Vadodara"/>
          <w:lang w:eastAsia="en-GB"/>
        </w:rPr>
        <w:endnoteReference w:id="12"/>
      </w:r>
      <w:r w:rsidRPr="00AB4A73">
        <w:rPr>
          <w:rFonts w:eastAsia="Calibri" w:cs="Hind Vadodara"/>
          <w:lang w:eastAsia="en-GB"/>
        </w:rPr>
        <w:t xml:space="preserve">. </w:t>
      </w:r>
    </w:p>
    <w:p w:rsidR="002C05B1" w:rsidRPr="00AB4A73" w:rsidP="004D6414">
      <w:pPr>
        <w:rPr>
          <w:rFonts w:eastAsia="Calibri" w:cs="Hind Vadodara"/>
          <w:lang w:eastAsia="en-GB"/>
        </w:rPr>
      </w:pPr>
    </w:p>
    <w:p w:rsidR="002C05B1" w:rsidRPr="00AB4A73" w:rsidP="004D6414">
      <w:pPr>
        <w:rPr>
          <w:rFonts w:eastAsia="Calibri" w:cs="Hind Vadodara"/>
          <w:lang w:eastAsia="en-GB"/>
        </w:rPr>
      </w:pPr>
      <w:r w:rsidRPr="00AB4A73">
        <w:rPr>
          <w:rFonts w:eastAsia="Calibri" w:cs="Hind Vadodara"/>
          <w:lang w:eastAsia="en-GB"/>
        </w:rPr>
        <w:t>The Commissioner is clear that the ultimate goal for unaccompanied children seeking asylum must be that these children do not have to make the perilous small boat journeys across the channel. It is essential that vulnerable children fleeing war and persecution have the ability to access safe and legal routes.</w:t>
      </w:r>
    </w:p>
    <w:p w:rsidR="002C05B1" w:rsidRPr="00AB4A73" w:rsidP="004D6414">
      <w:pPr>
        <w:rPr>
          <w:rFonts w:cs="Hind Vadodara"/>
        </w:rPr>
      </w:pPr>
    </w:p>
    <w:p w:rsidR="002C05B1" w:rsidRPr="00AB4A73" w:rsidP="004D6414">
      <w:pPr>
        <w:rPr>
          <w:rFonts w:cs="Hind Vadodara"/>
        </w:rPr>
      </w:pPr>
    </w:p>
    <w:p w:rsidR="002C05B1" w:rsidRPr="00AB4A73" w:rsidP="00C81C51">
      <w:pPr>
        <w:pStyle w:val="CCHeader1"/>
        <w:rPr>
          <w:rFonts w:cs="Hind Vadodara"/>
          <w:color w:val="auto"/>
          <w:sz w:val="24"/>
          <w:szCs w:val="24"/>
        </w:rPr>
      </w:pPr>
      <w:bookmarkStart w:id="4" w:name="_Toc206059267"/>
      <w:r w:rsidRPr="00AB4A73">
        <w:rPr>
          <w:rFonts w:cs="Hind Vadodara"/>
          <w:color w:val="auto"/>
          <w:sz w:val="24"/>
          <w:szCs w:val="24"/>
        </w:rPr>
        <w:t>Kinship care</w:t>
      </w:r>
      <w:bookmarkEnd w:id="4"/>
      <w:r w:rsidRPr="00AB4A73">
        <w:rPr>
          <w:rFonts w:ascii="Cambria" w:hAnsi="Cambria" w:cs="Cambria"/>
          <w:color w:val="auto"/>
          <w:sz w:val="24"/>
          <w:szCs w:val="24"/>
        </w:rPr>
        <w:t> </w:t>
      </w:r>
    </w:p>
    <w:p w:rsidR="002C05B1" w:rsidRPr="00AB4A73" w:rsidP="004D6414">
      <w:pPr>
        <w:rPr>
          <w:rFonts w:cs="Hind Vadodara"/>
          <w:b/>
          <w:bCs/>
        </w:rPr>
      </w:pPr>
    </w:p>
    <w:p w:rsidR="002C05B1" w:rsidRPr="00AB4A73" w:rsidP="004D6414">
      <w:pPr>
        <w:rPr>
          <w:rFonts w:cs="Hind Vadodara"/>
          <w:b/>
          <w:bCs/>
        </w:rPr>
      </w:pPr>
      <w:r w:rsidRPr="00AB4A73">
        <w:rPr>
          <w:rFonts w:cs="Hind Vadodara"/>
          <w:b/>
          <w:bCs/>
        </w:rPr>
        <w:t>6. What human rights considerations arise from both formal and informal kinship care?</w:t>
      </w:r>
      <w:r w:rsidRPr="00AB4A73">
        <w:rPr>
          <w:rFonts w:ascii="Cambria" w:hAnsi="Cambria" w:cs="Cambria"/>
          <w:b/>
          <w:bCs/>
        </w:rPr>
        <w:t> </w:t>
      </w:r>
    </w:p>
    <w:p w:rsidR="002C05B1" w:rsidRPr="00AB4A73" w:rsidP="00986927">
      <w:pPr>
        <w:rPr>
          <w:rFonts w:cs="Hind Vadodara"/>
        </w:rPr>
      </w:pPr>
    </w:p>
    <w:p w:rsidR="002C05B1" w:rsidRPr="00AB4A73" w:rsidP="00986927">
      <w:pPr>
        <w:rPr>
          <w:rFonts w:cs="Hind Vadodara"/>
        </w:rPr>
      </w:pPr>
      <w:r w:rsidRPr="00AB4A73">
        <w:rPr>
          <w:rFonts w:cs="Hind Vadodara"/>
        </w:rPr>
        <w:t xml:space="preserve">Kinship care offers children the chance to grow up in loving, familiar environments when they cannot live with their parents, and it is often the first place families turn when facing crisis. The office is glad to see the government acknowledge this through new commitments, including the introduction of a financial allowance. </w:t>
      </w:r>
    </w:p>
    <w:p w:rsidR="002C05B1" w:rsidRPr="00AB4A73" w:rsidP="00986927">
      <w:pPr>
        <w:rPr>
          <w:rFonts w:cs="Hind Vadodara"/>
        </w:rPr>
      </w:pPr>
    </w:p>
    <w:p w:rsidR="002C05B1" w:rsidRPr="00AB4A73" w:rsidP="00BB5068">
      <w:pPr>
        <w:rPr>
          <w:rFonts w:cs="Hind Vadodara"/>
        </w:rPr>
      </w:pPr>
      <w:r w:rsidRPr="00AB4A73">
        <w:rPr>
          <w:rFonts w:cs="Hind Vadodara"/>
        </w:rPr>
        <w:t>While formal kinship care arrangements benefit from legal recognition and access to support services, informal kinship care presents significant challenges. Carers in informal arrangements often lack parental responsibility, which restricts their ability to make decisions about the child’s education, health and welfare. If you don’t have parental responsibility, it can make everyday decisions difficult depending on your relationship with the parents. You might struggle to come to agreements with the parents, or need regular contact to get their consent, such as for school trip.</w:t>
      </w:r>
    </w:p>
    <w:p w:rsidR="002C05B1" w:rsidRPr="00AB4A73" w:rsidP="00BB5068">
      <w:pPr>
        <w:rPr>
          <w:rFonts w:cs="Hind Vadodara"/>
        </w:rPr>
      </w:pPr>
      <w:r w:rsidRPr="00AB4A73">
        <w:rPr>
          <w:rFonts w:cs="Hind Vadodara"/>
        </w:rPr>
        <w:t xml:space="preserve"> </w:t>
      </w:r>
    </w:p>
    <w:p w:rsidR="002C05B1" w:rsidRPr="00AB4A73" w:rsidP="004D6414">
      <w:pPr>
        <w:rPr>
          <w:rFonts w:cs="Hind Vadodara"/>
        </w:rPr>
      </w:pPr>
      <w:r w:rsidRPr="00AB4A73">
        <w:rPr>
          <w:rFonts w:cs="Hind Vadodara"/>
        </w:rPr>
        <w:t xml:space="preserve">The office long called for the introduction of a Unique ID to help professionals better understand and respond to children’s needs. Embedding informal kinship care into this system would allow services to identify these arrangements more clearly, ensuring carers are recognised and children receive the support they need. </w:t>
      </w:r>
    </w:p>
    <w:p w:rsidR="002C05B1" w:rsidRPr="00AB4A73" w:rsidP="004D6414">
      <w:pPr>
        <w:rPr>
          <w:rFonts w:cs="Hind Vadodara"/>
          <w:b/>
          <w:bCs/>
        </w:rPr>
      </w:pPr>
    </w:p>
    <w:p w:rsidR="002C05B1" w:rsidRPr="00AB4A73" w:rsidP="004D6414">
      <w:pPr>
        <w:rPr>
          <w:rFonts w:cs="Hind Vadodara"/>
          <w:b/>
          <w:bCs/>
        </w:rPr>
      </w:pPr>
    </w:p>
    <w:p w:rsidR="002C05B1" w:rsidRPr="00AB4A73" w:rsidP="004D6414">
      <w:pPr>
        <w:rPr>
          <w:rFonts w:cs="Hind Vadodara"/>
          <w:b/>
          <w:bCs/>
        </w:rPr>
      </w:pPr>
    </w:p>
    <w:p w:rsidR="002C05B1" w:rsidRPr="00AB4A73" w:rsidP="004D6414">
      <w:pPr>
        <w:rPr>
          <w:rFonts w:cs="Hind Vadodara"/>
          <w:b/>
          <w:bCs/>
        </w:rPr>
      </w:pPr>
    </w:p>
    <w:p w:rsidR="002C05B1" w:rsidRPr="00AB4A73" w:rsidP="004D6414">
      <w:pPr>
        <w:rPr>
          <w:rFonts w:cs="Hind Vadodara"/>
          <w:b/>
          <w:bCs/>
        </w:rPr>
      </w:pPr>
    </w:p>
    <w:p w:rsidR="002C05B1" w:rsidRPr="00AB4A73" w:rsidP="004D6414">
      <w:pPr>
        <w:rPr>
          <w:rFonts w:cs="Hind Vadodara"/>
          <w:b/>
          <w:bCs/>
        </w:rPr>
      </w:pPr>
    </w:p>
    <w:p w:rsidR="002C05B1" w:rsidRPr="00AB4A73" w:rsidP="004D6414">
      <w:pPr>
        <w:rPr>
          <w:rFonts w:cs="Hind Vadodara"/>
          <w:b/>
          <w:bCs/>
        </w:rPr>
      </w:pPr>
    </w:p>
    <w:p w:rsidR="002C05B1" w:rsidRPr="00AB4A73" w:rsidP="004D6414">
      <w:pPr>
        <w:rPr>
          <w:rFonts w:cs="Hind Vadodara"/>
          <w:b/>
          <w:bCs/>
        </w:rPr>
      </w:pPr>
    </w:p>
    <w:p w:rsidR="002C05B1" w:rsidRPr="00AB4A73" w:rsidP="004D6414">
      <w:pPr>
        <w:rPr>
          <w:rFonts w:cs="Hind Vadodara"/>
          <w:b/>
          <w:bCs/>
        </w:rPr>
      </w:pPr>
    </w:p>
    <w:p w:rsidR="002C05B1" w:rsidRPr="00AB4A73" w:rsidP="00C81C51">
      <w:pPr>
        <w:pStyle w:val="CCHeader1"/>
        <w:rPr>
          <w:rFonts w:cs="Hind Vadodara"/>
          <w:color w:val="auto"/>
          <w:sz w:val="24"/>
          <w:szCs w:val="24"/>
        </w:rPr>
      </w:pPr>
      <w:bookmarkStart w:id="5" w:name="_Toc206059268"/>
      <w:r w:rsidRPr="00AB4A73">
        <w:rPr>
          <w:rFonts w:cs="Hind Vadodara"/>
          <w:color w:val="auto"/>
          <w:sz w:val="24"/>
          <w:szCs w:val="24"/>
        </w:rPr>
        <w:t>Criminal Justice</w:t>
      </w:r>
      <w:bookmarkEnd w:id="5"/>
      <w:r w:rsidRPr="00AB4A73">
        <w:rPr>
          <w:rFonts w:ascii="Cambria" w:hAnsi="Cambria" w:cs="Cambria"/>
          <w:color w:val="auto"/>
          <w:sz w:val="24"/>
          <w:szCs w:val="24"/>
        </w:rPr>
        <w:t> </w:t>
      </w:r>
    </w:p>
    <w:p w:rsidR="002C05B1" w:rsidRPr="00AB4A73" w:rsidP="004D6414">
      <w:pPr>
        <w:rPr>
          <w:rFonts w:cs="Hind Vadodara"/>
          <w:b/>
          <w:bCs/>
        </w:rPr>
      </w:pPr>
      <w:r w:rsidRPr="00AB4A73">
        <w:rPr>
          <w:rFonts w:cs="Hind Vadodara"/>
          <w:b/>
          <w:bCs/>
        </w:rPr>
        <w:t>7. To what extent are children with care experience overrepresented within the criminal justice system? If they are overrepresented, what are some of the driving factors for this?</w:t>
      </w:r>
      <w:r w:rsidRPr="00AB4A73">
        <w:rPr>
          <w:rFonts w:ascii="Cambria" w:hAnsi="Cambria" w:cs="Cambria"/>
          <w:b/>
          <w:bCs/>
        </w:rPr>
        <w:t> </w:t>
      </w:r>
    </w:p>
    <w:p w:rsidR="002C05B1" w:rsidRPr="00AB4A73" w:rsidP="004D6414">
      <w:pPr>
        <w:rPr>
          <w:rFonts w:cs="Hind Vadodara"/>
        </w:rPr>
      </w:pPr>
    </w:p>
    <w:p w:rsidR="002C05B1" w:rsidRPr="00AB4A73" w:rsidP="006D15F4">
      <w:pPr>
        <w:pStyle w:val="Bodycopy"/>
        <w:rPr>
          <w:rFonts w:ascii="Hind Vadodara" w:eastAsia="Hind Vadodara" w:hAnsi="Hind Vadodara" w:cs="Hind Vadodara"/>
          <w:color w:val="auto"/>
          <w:sz w:val="24"/>
          <w:lang w:val="en-GB"/>
        </w:rPr>
      </w:pPr>
      <w:r w:rsidRPr="00AB4A73">
        <w:rPr>
          <w:rFonts w:ascii="Hind Vadodara" w:eastAsia="Hind Vadodara" w:hAnsi="Hind Vadodara" w:cs="Hind Vadodara"/>
          <w:color w:val="auto"/>
          <w:sz w:val="24"/>
          <w:lang w:val="en-GB"/>
        </w:rPr>
        <w:t>Prior research shows that one in three (33%) children in care received a youth justice caution or conviction by age 17, compared to 4% of children without care experience.  5% of all care-experienced children received a custodial sentence, compared to less than 1% of their peers.</w:t>
      </w:r>
      <w:r>
        <w:rPr>
          <w:rStyle w:val="EndnoteReference"/>
          <w:rFonts w:ascii="Hind Vadodara" w:eastAsia="Hind Vadodara" w:hAnsi="Hind Vadodara" w:cs="Hind Vadodara"/>
          <w:color w:val="auto"/>
          <w:sz w:val="24"/>
          <w:lang w:val="en-GB"/>
        </w:rPr>
        <w:endnoteReference w:id="13"/>
      </w:r>
    </w:p>
    <w:p w:rsidR="002C05B1" w:rsidRPr="00AB4A73" w:rsidP="006D15F4">
      <w:pPr>
        <w:pStyle w:val="Bodycopy"/>
        <w:rPr>
          <w:rFonts w:ascii="Hind Vadodara" w:eastAsia="Hind Vadodara" w:hAnsi="Hind Vadodara" w:cs="Hind Vadodara"/>
          <w:color w:val="auto"/>
          <w:sz w:val="24"/>
          <w:lang w:val="en-GB"/>
        </w:rPr>
      </w:pPr>
    </w:p>
    <w:p w:rsidR="002C05B1" w:rsidRPr="00AB4A73" w:rsidP="00D71DE8">
      <w:pPr>
        <w:rPr>
          <w:rFonts w:eastAsia="Hind Vadodara" w:cs="Hind Vadodara"/>
        </w:rPr>
      </w:pPr>
      <w:r w:rsidRPr="00AB4A73">
        <w:rPr>
          <w:rFonts w:eastAsia="Hind Vadodara" w:cs="Hind Vadodara"/>
        </w:rPr>
        <w:t xml:space="preserve">Later this year, the office will publish a report examining the criminalisation of children in care. This work will explore the factors driving this overrepresentation, including the role of police responses to incidents in care settings, the procedures in place across forces, and whether children in care are more likely to be criminalised through harsher outcomes such as custodial sentences. </w:t>
      </w:r>
    </w:p>
    <w:p w:rsidR="002C05B1" w:rsidRPr="00AB4A73" w:rsidP="00D71DE8">
      <w:pPr>
        <w:rPr>
          <w:rFonts w:eastAsia="Hind Vadodara" w:cs="Hind Vadodara"/>
        </w:rPr>
      </w:pPr>
    </w:p>
    <w:p w:rsidR="002C05B1" w:rsidRPr="00AB4A73" w:rsidP="00D71DE8">
      <w:pPr>
        <w:rPr>
          <w:rFonts w:eastAsia="Hind Vadodara" w:cs="Hind Vadodara"/>
        </w:rPr>
      </w:pPr>
      <w:r w:rsidRPr="00AB4A73">
        <w:rPr>
          <w:rFonts w:eastAsia="Hind Vadodara" w:cs="Hind Vadodara"/>
        </w:rPr>
        <w:t>Using its office statutory powers, the office is analysing data from the Department for Education and Ministry of Justice data linkage, alongside information from Ofsted and police forces on callouts to children’s homes, foster care and supported accommodation for 16- and 17-year-olds.</w:t>
      </w:r>
    </w:p>
    <w:p w:rsidR="002C05B1" w:rsidRPr="00AB4A73" w:rsidP="004D6414">
      <w:pPr>
        <w:rPr>
          <w:rFonts w:eastAsia="Hind Vadodara" w:cs="Hind Vadodara"/>
        </w:rPr>
      </w:pPr>
      <w:r w:rsidRPr="00AB4A73">
        <w:rPr>
          <w:rFonts w:eastAsia="Hind Vadodara" w:cs="Hind Vadodara"/>
        </w:rPr>
        <w:t>This work is essential to understanding how and why children in care are being drawn into the criminal justice system, and to advocating for reforms that ensure they are supported, not criminalised</w:t>
      </w:r>
    </w:p>
    <w:p w:rsidR="002C05B1" w:rsidRPr="00AB4A73" w:rsidP="004D6414">
      <w:pPr>
        <w:rPr>
          <w:rFonts w:cs="Hind Vadodara"/>
        </w:rPr>
      </w:pPr>
    </w:p>
    <w:p w:rsidR="002C05B1" w:rsidRPr="00AB4A73" w:rsidP="004D6414">
      <w:pPr>
        <w:rPr>
          <w:rFonts w:cs="Hind Vadodara"/>
          <w:b/>
          <w:bCs/>
        </w:rPr>
      </w:pPr>
      <w:r w:rsidRPr="00AB4A73">
        <w:rPr>
          <w:rFonts w:cs="Hind Vadodara"/>
          <w:b/>
          <w:bCs/>
        </w:rPr>
        <w:t>Complaints and remedies</w:t>
      </w:r>
      <w:r w:rsidRPr="00AB4A73">
        <w:rPr>
          <w:rFonts w:ascii="Cambria" w:hAnsi="Cambria" w:cs="Cambria"/>
          <w:b/>
          <w:bCs/>
        </w:rPr>
        <w:t> </w:t>
      </w:r>
    </w:p>
    <w:p w:rsidR="002C05B1" w:rsidRPr="00AB4A73" w:rsidP="003E4AE6">
      <w:pPr>
        <w:rPr>
          <w:rFonts w:cs="Hind Vadodara"/>
        </w:rPr>
      </w:pPr>
      <w:r w:rsidRPr="00AB4A73">
        <w:rPr>
          <w:rFonts w:cs="Hind Vadodara"/>
        </w:rPr>
        <w:t>9. To what extent are there clear and effective complaints mechanisms, as well as effective remedies, to deal with human rights issues arising in children’s social care system?</w:t>
      </w:r>
      <w:r w:rsidRPr="00AB4A73">
        <w:rPr>
          <w:rFonts w:ascii="Cambria" w:hAnsi="Cambria" w:cs="Cambria"/>
        </w:rPr>
        <w:t> </w:t>
      </w:r>
    </w:p>
    <w:p w:rsidR="002C05B1" w:rsidRPr="00AB4A73" w:rsidP="003E4AE6">
      <w:pPr>
        <w:rPr>
          <w:rFonts w:cs="Hind Vadodara"/>
        </w:rPr>
      </w:pPr>
    </w:p>
    <w:p w:rsidR="002C05B1" w:rsidRPr="00AB4A73" w:rsidP="00687B35">
      <w:pPr>
        <w:spacing w:after="242" w:line="261" w:lineRule="auto"/>
        <w:rPr>
          <w:rFonts w:cs="Hind Vadodara"/>
        </w:rPr>
      </w:pPr>
      <w:r w:rsidRPr="00AB4A73">
        <w:rPr>
          <w:rFonts w:cs="Hind Vadodara"/>
        </w:rPr>
        <w:t xml:space="preserve">The Commissioner’s Help at Hand team have supported many children and families through the statutory complaints procedure. </w:t>
      </w:r>
    </w:p>
    <w:p w:rsidR="002C05B1" w:rsidRPr="00AB4A73" w:rsidP="00687B35">
      <w:pPr>
        <w:spacing w:after="242" w:line="261" w:lineRule="auto"/>
        <w:rPr>
          <w:rFonts w:cs="Hind Vadodara"/>
        </w:rPr>
      </w:pPr>
      <w:r w:rsidRPr="00AB4A73">
        <w:rPr>
          <w:rFonts w:cs="Hind Vadodara"/>
        </w:rPr>
        <w:t xml:space="preserve">The office has seen instances in which the complaints process is effective. The Help at Hand team recently supported an advocate to make a complaint through the statutory complaints procedure for a disabled looked after child who was placed out of area with foster cares and who had missed two years of education due to delays from the local authority in getting him set up with an Education Otherwise Than at School (EOTAS) </w:t>
      </w:r>
      <w:r w:rsidRPr="00AB4A73">
        <w:rPr>
          <w:rFonts w:cs="Hind Vadodara"/>
        </w:rPr>
        <w:t xml:space="preserve">package. The advocate was able to get £,5000 in compensation for the child and his family to acknowledge the injustice they had experiences. The foster carers will be using the compensation to engage him in extra curricular activities. </w:t>
      </w:r>
    </w:p>
    <w:p w:rsidR="002C05B1" w:rsidRPr="00AB4A73" w:rsidP="00687B35">
      <w:pPr>
        <w:spacing w:after="242" w:line="261" w:lineRule="auto"/>
        <w:rPr>
          <w:rFonts w:cs="Hind Vadodara"/>
        </w:rPr>
      </w:pPr>
      <w:r w:rsidRPr="00AB4A73">
        <w:rPr>
          <w:rFonts w:cs="Hind Vadodara"/>
        </w:rPr>
        <w:t>However, the Help at Hand team also often find that due to delays in the complaints process, complaints are not able to be escalated to the Ombudsman in a timely manner. The case below illustrates an example of a complaint being delayed and therefore not being able to escalate to the Ombudsman. The office therefore has limited experience of supporting families of dealing with complaints at the Ombudsman level.</w:t>
      </w:r>
    </w:p>
    <w:p w:rsidR="002C05B1" w:rsidRPr="00AB4A73" w:rsidP="00FB420C">
      <w:pPr>
        <w:spacing w:after="242" w:line="261" w:lineRule="auto"/>
        <w:rPr>
          <w:rFonts w:cs="Hind Vadodara"/>
        </w:rPr>
      </w:pPr>
      <w:r w:rsidRPr="00AB4A73">
        <w:rPr>
          <w:rFonts w:cs="Hind Vadodara"/>
        </w:rPr>
        <w:t xml:space="preserve">Case Study: Ruby is 6 years old and has autism. Her parents were struggling to manage her challenging behaviour and care for her younger sibling, meaning that neither of them could work. They requested support from the local authority, which led to a children’s social care assessment. The family found this process difficult, as they felt judged and patronised, with the Ruby’s needs and the challenge of meeting them minimised and the LA advising them to get help from family and universal services. The local authority offered direct payments to use for additional support from a personal assistant for 5 hours a week, but this was far less than the family requested. They were not given a child in need plan and found it very difficult to get an explanation from the social care team about how the decision had been reached and how they could challenge it. There were also long delays in the complaints process, with confusion from the local authority about when and how the complaint would be progressed, delaying the family’s opportunity for redress and the chance to take their concerns to the Local Government and Social Care Ombudsman. </w:t>
      </w:r>
    </w:p>
    <w:p w:rsidR="002C05B1" w:rsidRPr="00AB4A73" w:rsidP="00FB420C">
      <w:pPr>
        <w:spacing w:after="242" w:line="261" w:lineRule="auto"/>
        <w:rPr>
          <w:rFonts w:cs="Hind Vadodara"/>
        </w:rPr>
      </w:pPr>
    </w:p>
    <w:p w:rsidR="002C05B1" w:rsidRPr="00AB4A73" w:rsidP="004D6414">
      <w:pPr>
        <w:rPr>
          <w:rFonts w:cs="Hind Vadodara"/>
          <w:b/>
          <w:bCs/>
        </w:rPr>
      </w:pPr>
      <w:r w:rsidRPr="00AB4A73">
        <w:rPr>
          <w:rFonts w:cs="Hind Vadodara"/>
          <w:b/>
          <w:bCs/>
        </w:rPr>
        <w:t>Good practices</w:t>
      </w:r>
      <w:r w:rsidRPr="00AB4A73">
        <w:rPr>
          <w:rFonts w:ascii="Cambria" w:hAnsi="Cambria" w:cs="Cambria"/>
          <w:b/>
          <w:bCs/>
        </w:rPr>
        <w:t> </w:t>
      </w:r>
    </w:p>
    <w:p w:rsidR="002C05B1" w:rsidRPr="00AB4A73" w:rsidP="004D6414">
      <w:pPr>
        <w:rPr>
          <w:rFonts w:ascii="Cambria" w:hAnsi="Cambria" w:cs="Cambria"/>
        </w:rPr>
      </w:pPr>
      <w:r w:rsidRPr="00AB4A73">
        <w:rPr>
          <w:rFonts w:cs="Hind Vadodara"/>
        </w:rPr>
        <w:t>10. Are there examples of good practices that protect and promote human rights in children’s social care systems from devolved nations or other countries, which could improve the system in England?</w:t>
      </w:r>
      <w:r w:rsidRPr="00AB4A73">
        <w:rPr>
          <w:rFonts w:ascii="Cambria" w:hAnsi="Cambria" w:cs="Cambria"/>
        </w:rPr>
        <w:t> </w:t>
      </w:r>
    </w:p>
    <w:p w:rsidR="002C05B1" w:rsidRPr="00AB4A73" w:rsidP="004D6414">
      <w:pPr>
        <w:rPr>
          <w:rFonts w:ascii="Cambria" w:hAnsi="Cambria" w:cs="Cambria"/>
        </w:rPr>
      </w:pPr>
    </w:p>
    <w:p w:rsidR="002C05B1" w:rsidRPr="00AB4A73" w:rsidP="004D6414">
      <w:pPr>
        <w:rPr>
          <w:rFonts w:cs="Hind Vadodara"/>
        </w:rPr>
      </w:pPr>
      <w:r w:rsidRPr="00AB4A73">
        <w:rPr>
          <w:rFonts w:cs="Hind Vadodara"/>
        </w:rPr>
        <w:t xml:space="preserve">NA </w:t>
      </w:r>
    </w:p>
    <w:p w:rsidR="002C05B1" w:rsidRPr="00AB4A73" w:rsidP="004D6414">
      <w:pPr>
        <w:rPr>
          <w:rFonts w:cs="Hind Vadodara"/>
          <w:b/>
          <w:bCs/>
        </w:rPr>
      </w:pPr>
    </w:p>
    <w:p w:rsidR="002C05B1" w:rsidRPr="00AB4A73" w:rsidP="004D6414">
      <w:pPr>
        <w:rPr>
          <w:rFonts w:cs="Hind Vadodara"/>
          <w:b/>
          <w:bCs/>
        </w:rPr>
      </w:pPr>
      <w:r w:rsidRPr="00AB4A73">
        <w:rPr>
          <w:rFonts w:cs="Hind Vadodara"/>
          <w:b/>
          <w:bCs/>
        </w:rPr>
        <w:t xml:space="preserve">Independent advocacy </w:t>
      </w:r>
    </w:p>
    <w:p w:rsidR="002C05B1" w:rsidRPr="00AB4A73" w:rsidP="004D6414">
      <w:pPr>
        <w:rPr>
          <w:rFonts w:cs="Hind Vadodara"/>
        </w:rPr>
      </w:pPr>
      <w:r w:rsidRPr="00AB4A73">
        <w:rPr>
          <w:rFonts w:cs="Hind Vadodara"/>
        </w:rPr>
        <w:t xml:space="preserve">One tangible example of good practice is the impact that advocacy can have. As mentioned above in the section on accommodation, in 2023 the office examined whether 16 and 27 year olds who present as homeless receive their entitlement to care. </w:t>
      </w:r>
    </w:p>
    <w:p w:rsidR="002C05B1" w:rsidRPr="00AB4A73" w:rsidP="004D6414">
      <w:pPr>
        <w:rPr>
          <w:rFonts w:cs="Hind Vadodara"/>
        </w:rPr>
      </w:pPr>
      <w:r w:rsidRPr="00AB4A73">
        <w:rPr>
          <w:rFonts w:cs="Hind Vadodara"/>
        </w:rPr>
        <w:t xml:space="preserve">It is notable that children who had accepted an advocate were the most likely to be accommodated under section 20 of the Children Act. Over a third of children who had accepted an advocate were accommodated under section 20 (38%), compared to only 12% for children not offered an advocate. This could in part be down to local authorities with best practice when it comes to section 20 also being more likely to offer advocacy, although this was not explored for this report. However, even among just those children who were offered an advocate, children who accepted the offer were more likely to be given care under section 20 than children who declined (38% vs 31%). This may reflect the power of advocates to influence local authority decisions or may be the result of other cultural or contextual factors in local authorities. </w:t>
      </w:r>
    </w:p>
    <w:p w:rsidR="002C05B1" w:rsidRPr="00AB4A73" w:rsidP="004D6414">
      <w:pPr>
        <w:rPr>
          <w:rFonts w:cs="Hind Vadodara"/>
        </w:rPr>
      </w:pPr>
    </w:p>
    <w:p w:rsidR="002C05B1" w:rsidRPr="00AB4A73" w:rsidP="004D6414">
      <w:pPr>
        <w:rPr>
          <w:rFonts w:cs="Hind Vadodara"/>
        </w:rPr>
      </w:pPr>
      <w:r w:rsidRPr="00AB4A73">
        <w:rPr>
          <w:rFonts w:cs="Hind Vadodara"/>
        </w:rPr>
        <w:t>As the office set out in the office’s The Big Ambition</w:t>
      </w:r>
      <w:r>
        <w:rPr>
          <w:rStyle w:val="EndnoteReference"/>
          <w:rFonts w:cs="Hind Vadodara"/>
        </w:rPr>
        <w:endnoteReference w:id="14"/>
      </w:r>
      <w:r w:rsidRPr="00AB4A73">
        <w:rPr>
          <w:rFonts w:cs="Hind Vadodara"/>
        </w:rPr>
        <w:t xml:space="preserve"> published last year the office recommended that every child who is entitled to advocacy must be offered it on a proactive, opt-out basis. Too many children who are entitled to advocacy are still not receiving it, even though it can play a vital role in safeguarding their rights. This would mean children would not have to seek out advocacy themselves, but instead services would proactively offer it. This must cover all children who have a statutory entitlement to advocacy, including appropriate advocacy for children with special educational needs and disabilities. It must also be extended to children who are informally detained under the Mental Health Act. There needs to be an independent body for advocacy to oversee this, which would act as a broker between local authorities and external advocacy providers to ensure the needs of children and young people are met across local authorities and independence is maintained. Training and qualification standards should be introduced for advocates, including non-instructed advocates who support children who cannot express their own views.</w:t>
      </w:r>
    </w:p>
    <w:p w:rsidR="000D568B" w:rsidRPr="00AB4A73" w:rsidP="004D6414">
      <w:pPr>
        <w:rPr>
          <w:rFonts w:cs="Hind Vadodara"/>
        </w:rPr>
      </w:pPr>
    </w:p>
    <w:p w:rsidR="000D568B" w:rsidRPr="00AB4A73" w:rsidP="004D6414">
      <w:pPr>
        <w:rPr>
          <w:rFonts w:asciiTheme="majorHAnsi" w:hAnsiTheme="majorHAnsi" w:cs="Hind Vadodara"/>
          <w:b/>
          <w:bCs/>
          <w:i/>
          <w:iCs/>
        </w:rPr>
      </w:pPr>
      <w:r w:rsidRPr="00AB4A73">
        <w:rPr>
          <w:rFonts w:asciiTheme="majorHAnsi" w:hAnsiTheme="majorHAnsi" w:cs="Hind Vadodara"/>
          <w:b/>
          <w:bCs/>
          <w:i/>
          <w:iCs/>
        </w:rPr>
        <w:t>(</w:t>
      </w:r>
      <w:r w:rsidRPr="00AB4A73">
        <w:rPr>
          <w:rFonts w:asciiTheme="majorHAnsi" w:hAnsiTheme="majorHAnsi" w:cs="Hind Vadodara"/>
          <w:b/>
          <w:bCs/>
          <w:i/>
          <w:iCs/>
        </w:rPr>
        <w:t>June 2026</w:t>
      </w:r>
      <w:r w:rsidRPr="00AB4A73">
        <w:rPr>
          <w:rFonts w:asciiTheme="majorHAnsi" w:hAnsiTheme="majorHAnsi" w:cs="Hind Vadodara"/>
          <w:b/>
          <w:bCs/>
          <w:i/>
          <w:iCs/>
        </w:rPr>
        <w:t>)</w:t>
      </w:r>
    </w:p>
    <w:p w:rsidR="002C05B1" w:rsidRPr="00AB4A73" w:rsidP="004D6414">
      <w:pPr>
        <w:rPr>
          <w:rFonts w:cs="Hind Vadodara"/>
        </w:rPr>
      </w:pPr>
    </w:p>
    <w:p w:rsidR="002C05B1" w:rsidRPr="00AB4A73" w:rsidP="004D6414">
      <w:pPr>
        <w:rPr>
          <w:rFonts w:cs="Hind Vadodara"/>
        </w:rPr>
      </w:pPr>
    </w:p>
    <w:sect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5D2A20" w:rsidP="00D0252B">
      <w:r>
        <w:separator/>
      </w:r>
    </w:p>
  </w:endnote>
  <w:endnote w:type="continuationSeparator" w:id="1">
    <w:p w:rsidR="005D2A20" w:rsidP="00D0252B">
      <w:r>
        <w:continuationSeparator/>
      </w:r>
    </w:p>
  </w:endnote>
  <w:endnote w:id="2">
    <w:p w:rsidR="002C05B1">
      <w:pPr>
        <w:pStyle w:val="EndnoteText"/>
      </w:pPr>
      <w:r>
        <w:rPr>
          <w:rStyle w:val="EndnoteReference"/>
        </w:rPr>
        <w:endnoteRef/>
      </w:r>
      <w:r>
        <w:t xml:space="preserve">  Children’s Commissioner’s office, 2023. Looked after children who are not in school. Available at: </w:t>
      </w:r>
      <w:r>
        <w:fldChar w:fldCharType="begin"/>
      </w:r>
      <w:r>
        <w:instrText xml:space="preserve"> HYPERLINK "https://www.childrenscommissioner.gov.uk/resource/looked-after-children-who-are-not-in-school/" </w:instrText>
      </w:r>
      <w:r>
        <w:fldChar w:fldCharType="separate"/>
      </w:r>
      <w:r w:rsidRPr="00DA4182">
        <w:rPr>
          <w:rStyle w:val="Hyperlink"/>
        </w:rPr>
        <w:t>https://www.childrenscommissioner.gov.uk/resource/looked-after-children-who-are-not-in-school/</w:t>
      </w:r>
      <w:r>
        <w:fldChar w:fldCharType="end"/>
      </w:r>
    </w:p>
  </w:endnote>
  <w:endnote w:id="3">
    <w:p w:rsidR="002C05B1">
      <w:pPr>
        <w:pStyle w:val="EndnoteText"/>
      </w:pPr>
      <w:r>
        <w:rPr>
          <w:rStyle w:val="EndnoteReference"/>
        </w:rPr>
        <w:endnoteRef/>
      </w:r>
      <w:r>
        <w:t xml:space="preserve"> GOV.UK., </w:t>
      </w:r>
      <w:r w:rsidRPr="00085777">
        <w:t>Outcomes for children in need, including children looked after by local authorities in England</w:t>
      </w:r>
      <w:r>
        <w:t xml:space="preserve">. Available at: </w:t>
      </w:r>
      <w:r>
        <w:fldChar w:fldCharType="begin"/>
      </w:r>
      <w:r>
        <w:instrText xml:space="preserve"> HYPERLINK "https://explore-education-statistics.service.gov.uk/find-statistics/outcomes-for-children-in-need-including-children-looked-after-by-local-authorities-in-england/2024" </w:instrText>
      </w:r>
      <w:r>
        <w:fldChar w:fldCharType="separate"/>
      </w:r>
      <w:r>
        <w:rPr>
          <w:rStyle w:val="Hyperlink"/>
        </w:rPr>
        <w:t>https://explore-education-statistics.service.gov.uk/find-statistics/outcomes-for-children-in-need-including-children-looked-after-by-local-authorities-in-england/2024</w:t>
      </w:r>
      <w:r>
        <w:fldChar w:fldCharType="end"/>
      </w:r>
    </w:p>
  </w:endnote>
  <w:endnote w:id="4">
    <w:p w:rsidR="002C05B1">
      <w:pPr>
        <w:pStyle w:val="EndnoteText"/>
      </w:pPr>
      <w:r>
        <w:rPr>
          <w:rStyle w:val="EndnoteReference"/>
        </w:rPr>
        <w:endnoteRef/>
      </w:r>
      <w:r>
        <w:t xml:space="preserve"> Children’s Commissioner’s office, 2023. Siblings in Care Report. Available at:  </w:t>
      </w:r>
      <w:r>
        <w:fldChar w:fldCharType="begin"/>
      </w:r>
      <w:r>
        <w:instrText xml:space="preserve"> HYPERLINK "https://www.childrenscommissioner.gov.uk/resource/siblings-in-care/" </w:instrText>
      </w:r>
      <w:r>
        <w:fldChar w:fldCharType="separate"/>
      </w:r>
      <w:r w:rsidRPr="003C7217">
        <w:rPr>
          <w:rStyle w:val="Hyperlink"/>
        </w:rPr>
        <w:t>https://www.childrenscommissioner.gov.uk/resource/siblings-in-care/</w:t>
      </w:r>
      <w:r>
        <w:fldChar w:fldCharType="end"/>
      </w:r>
    </w:p>
  </w:endnote>
  <w:endnote w:id="5">
    <w:p w:rsidR="002C05B1">
      <w:pPr>
        <w:pStyle w:val="EndnoteText"/>
      </w:pPr>
      <w:r>
        <w:rPr>
          <w:rStyle w:val="EndnoteReference"/>
        </w:rPr>
        <w:endnoteRef/>
      </w:r>
      <w:r>
        <w:t xml:space="preserve"> </w:t>
      </w:r>
      <w:r w:rsidRPr="008D3B36">
        <w:t xml:space="preserve">Children’s Commissioner’s office, 2024. Children with complex needs who are deprived of liberty: Interviews with children to understand their experiences of being deprived of their liberty. Available at: </w:t>
      </w:r>
      <w:r>
        <w:fldChar w:fldCharType="begin"/>
      </w:r>
      <w:r>
        <w:instrText xml:space="preserve"> HYPERLINK "https://www.childrenscommissioner.gov.uk/resource/children-with-complex-needs-who-are-deprived-of-liberty-interviews-with-children-to-understand-their-experiences-of-being-deprived-of-their-liberty/" </w:instrText>
      </w:r>
      <w:r>
        <w:fldChar w:fldCharType="separate"/>
      </w:r>
      <w:r>
        <w:rPr>
          <w:rStyle w:val="Hyperlink"/>
        </w:rPr>
        <w:t>https://www.childrenscommissioner.gov.uk/resource/children-with-complex-needs-who-are-deprived-of-liberty-interviews-with-children-to-understand-their-experiences-of-being-deprived-of-their-liberty/</w:t>
      </w:r>
      <w:r>
        <w:fldChar w:fldCharType="end"/>
      </w:r>
      <w:r>
        <w:t xml:space="preserve"> </w:t>
      </w:r>
    </w:p>
  </w:endnote>
  <w:endnote w:id="6">
    <w:p w:rsidR="002C05B1" w:rsidRPr="00642499">
      <w:pPr>
        <w:pStyle w:val="EndnoteText"/>
        <w:rPr>
          <w:b/>
          <w:bCs/>
        </w:rPr>
      </w:pPr>
      <w:r>
        <w:rPr>
          <w:rStyle w:val="EndnoteReference"/>
        </w:rPr>
        <w:endnoteRef/>
      </w:r>
      <w:r>
        <w:t xml:space="preserve"> </w:t>
      </w:r>
      <w:r w:rsidRPr="008D3B36">
        <w:t>Children’s Commissioner’s office, 2024.</w:t>
      </w:r>
      <w:r>
        <w:t xml:space="preserve"> </w:t>
      </w:r>
      <w:r w:rsidRPr="00642499">
        <w:t xml:space="preserve">Illegal Children’s Homes Report. Available at: </w:t>
      </w:r>
      <w:r>
        <w:fldChar w:fldCharType="begin"/>
      </w:r>
      <w:r>
        <w:instrText xml:space="preserve"> HYPERLINK "https://www.childrenscommissioner.gov.uk/resource/illegal-childrens-homes/" </w:instrText>
      </w:r>
      <w:r>
        <w:fldChar w:fldCharType="separate"/>
      </w:r>
      <w:r w:rsidRPr="00642499">
        <w:rPr>
          <w:rStyle w:val="Hyperlink"/>
        </w:rPr>
        <w:t>https://www.childrenscommissioner.gov.uk/resource/illegal-childrens-homes/</w:t>
      </w:r>
      <w:r>
        <w:fldChar w:fldCharType="end"/>
      </w:r>
    </w:p>
  </w:endnote>
  <w:endnote w:id="7">
    <w:p w:rsidR="002C05B1">
      <w:pPr>
        <w:pStyle w:val="EndnoteText"/>
      </w:pPr>
      <w:r>
        <w:rPr>
          <w:rStyle w:val="EndnoteReference"/>
        </w:rPr>
        <w:endnoteRef/>
      </w:r>
      <w:r>
        <w:t xml:space="preserve"> Children’s Commissioner’s office, 2023. Homeless 16- and 17- Year Olds in Need of Care. Available at: </w:t>
      </w:r>
      <w:r>
        <w:fldChar w:fldCharType="begin"/>
      </w:r>
      <w:r>
        <w:instrText xml:space="preserve"> HYPERLINK "https://www.childrenscommissioner.gov.uk/resource/homeless-16-and-17-year-olds-in-need-of-care/" </w:instrText>
      </w:r>
      <w:r>
        <w:fldChar w:fldCharType="separate"/>
      </w:r>
      <w:r w:rsidRPr="00841B8D">
        <w:rPr>
          <w:rStyle w:val="Hyperlink"/>
        </w:rPr>
        <w:t>https://www.childrenscommissioner.gov.uk/resource/homeless-16-and-17-year-olds-in-need-of-care/</w:t>
      </w:r>
      <w:r>
        <w:fldChar w:fldCharType="end"/>
      </w:r>
    </w:p>
  </w:endnote>
  <w:endnote w:id="8">
    <w:p w:rsidR="002C05B1">
      <w:pPr>
        <w:pStyle w:val="EndnoteText"/>
      </w:pPr>
      <w:r>
        <w:rPr>
          <w:rStyle w:val="EndnoteReference"/>
        </w:rPr>
        <w:endnoteRef/>
      </w:r>
      <w:r>
        <w:t xml:space="preserve"> Children’s Commissioner’s office, 2025. Children’s Wellbeing and Schools Bill Briefing for Peers. Available at: </w:t>
      </w:r>
      <w:r>
        <w:fldChar w:fldCharType="begin"/>
      </w:r>
      <w:r>
        <w:instrText xml:space="preserve"> HYPERLINK "https://assets.childrenscommissioner.gov.uk/wpuploads/2025/05/Childrens-Wellbeing-and-Schools-Bill-Briefing-for-Peers.pdf" </w:instrText>
      </w:r>
      <w:r>
        <w:fldChar w:fldCharType="separate"/>
      </w:r>
      <w:r w:rsidRPr="00D0278D">
        <w:rPr>
          <w:rStyle w:val="Hyperlink"/>
        </w:rPr>
        <w:t>https://assets.childrenscommissioner.gov.uk/wpuploads/2025/05/Childrens-Wellbeing-and-Schools-Bill-Briefing-for-Peers.pdf</w:t>
      </w:r>
      <w:r>
        <w:fldChar w:fldCharType="end"/>
      </w:r>
      <w:r>
        <w:t xml:space="preserve"> </w:t>
      </w:r>
    </w:p>
  </w:endnote>
  <w:endnote w:id="9">
    <w:p w:rsidR="002C05B1">
      <w:pPr>
        <w:pStyle w:val="EndnoteText"/>
      </w:pPr>
      <w:r>
        <w:rPr>
          <w:rStyle w:val="EndnoteReference"/>
        </w:rPr>
        <w:endnoteRef/>
      </w:r>
      <w:r>
        <w:t xml:space="preserve"> </w:t>
      </w:r>
      <w:r w:rsidRPr="008D3B36">
        <w:t>Children’s Commissioner’s office, 2024.</w:t>
      </w:r>
      <w:r>
        <w:t xml:space="preserve"> </w:t>
      </w:r>
      <w:r w:rsidRPr="00C93197">
        <w:t>Children on child in need plans</w:t>
      </w:r>
      <w:r>
        <w:t xml:space="preserve">. Available at: </w:t>
      </w:r>
      <w:r>
        <w:fldChar w:fldCharType="begin"/>
      </w:r>
      <w:r>
        <w:instrText xml:space="preserve"> HYPERLINK "https://www.childrenscommissioner.gov.uk/resource/huge-regional-variation-in-support-from-childrens-social-services-for-some-of-englands-most-vulnerable-children-new-report-shows/" </w:instrText>
      </w:r>
      <w:r>
        <w:fldChar w:fldCharType="separate"/>
      </w:r>
      <w:r w:rsidRPr="000E31EF">
        <w:rPr>
          <w:rStyle w:val="Hyperlink"/>
        </w:rPr>
        <w:t>https://www.childrenscommissioner.gov.uk/resource/huge-regional-variation-in-support-from-childrens-social-services-for-some-of-englands-most-vulnerable-children-new-report-shows/</w:t>
      </w:r>
      <w:r>
        <w:fldChar w:fldCharType="end"/>
      </w:r>
    </w:p>
  </w:endnote>
  <w:endnote w:id="10">
    <w:p w:rsidR="002C05B1">
      <w:pPr>
        <w:pStyle w:val="EndnoteText"/>
      </w:pPr>
      <w:r>
        <w:rPr>
          <w:rStyle w:val="EndnoteReference"/>
        </w:rPr>
        <w:endnoteRef/>
      </w:r>
      <w:r>
        <w:t xml:space="preserve"> </w:t>
      </w:r>
      <w:r w:rsidRPr="008D3B36">
        <w:t>Children’s Commissioner’s office, 2024.</w:t>
      </w:r>
      <w:r>
        <w:t xml:space="preserve"> What is This Plan For? </w:t>
      </w:r>
      <w:r w:rsidRPr="00A47C0D">
        <w:t>The purpose and content of children in need plans.</w:t>
      </w:r>
      <w:r>
        <w:rPr>
          <w:b/>
          <w:bCs/>
        </w:rPr>
        <w:t xml:space="preserve"> </w:t>
      </w:r>
      <w:r>
        <w:t xml:space="preserve">Available at: </w:t>
      </w:r>
      <w:r>
        <w:fldChar w:fldCharType="begin"/>
      </w:r>
      <w:r>
        <w:instrText xml:space="preserve"> HYPERLINK "https://www.childrenscommissioner.gov.uk/resource/what-is-this-plan-for-the-purpose-and-content-of-children-in-need-plans/" </w:instrText>
      </w:r>
      <w:r>
        <w:fldChar w:fldCharType="separate"/>
      </w:r>
      <w:r w:rsidRPr="00A47C0D">
        <w:rPr>
          <w:rStyle w:val="Hyperlink"/>
        </w:rPr>
        <w:t>https://www.childrenscommissioner.gov.uk/resource/what-is-this-plan-for-the-purpose-and-content-of-children-in-need-plans/</w:t>
      </w:r>
      <w:r>
        <w:fldChar w:fldCharType="end"/>
      </w:r>
    </w:p>
  </w:endnote>
  <w:endnote w:id="11">
    <w:p w:rsidR="002C05B1">
      <w:pPr>
        <w:pStyle w:val="EndnoteText"/>
      </w:pPr>
      <w:r>
        <w:rPr>
          <w:rStyle w:val="EndnoteReference"/>
        </w:rPr>
        <w:endnoteRef/>
      </w:r>
      <w:r>
        <w:t xml:space="preserve"> </w:t>
      </w:r>
      <w:r w:rsidRPr="008D3B36">
        <w:t>Children’s Commissioner’s office, 2024.</w:t>
      </w:r>
      <w:r>
        <w:t xml:space="preserve"> </w:t>
      </w:r>
      <w:r w:rsidRPr="00642499">
        <w:t xml:space="preserve">Illegal Children’s Homes Report. Available at: </w:t>
      </w:r>
      <w:r>
        <w:fldChar w:fldCharType="begin"/>
      </w:r>
      <w:r>
        <w:instrText xml:space="preserve"> HYPERLINK "https://www.childrenscommissioner.gov.uk/resource/illegal-childrens-homes/" </w:instrText>
      </w:r>
      <w:r>
        <w:fldChar w:fldCharType="separate"/>
      </w:r>
      <w:r w:rsidRPr="00642499">
        <w:rPr>
          <w:rStyle w:val="Hyperlink"/>
        </w:rPr>
        <w:t>https://www.childrenscommissioner.gov.uk/resource/illegal-childrens-homes/</w:t>
      </w:r>
      <w:r>
        <w:fldChar w:fldCharType="end"/>
      </w:r>
    </w:p>
  </w:endnote>
  <w:endnote w:id="12">
    <w:p w:rsidR="002C05B1">
      <w:pPr>
        <w:pStyle w:val="EndnoteText"/>
      </w:pPr>
      <w:r>
        <w:rPr>
          <w:rStyle w:val="EndnoteReference"/>
        </w:rPr>
        <w:endnoteRef/>
      </w:r>
      <w:r>
        <w:t xml:space="preserve"> Children’s Commissioner’s office, 2023. </w:t>
      </w:r>
      <w:r w:rsidRPr="00E15F83">
        <w:t>Unaccompanied children in need of care</w:t>
      </w:r>
      <w:r>
        <w:t xml:space="preserve">. Available at: </w:t>
      </w:r>
      <w:r>
        <w:fldChar w:fldCharType="begin"/>
      </w:r>
      <w:r>
        <w:instrText xml:space="preserve"> HYPERLINK "https://www.childrenscommissioner.gov.uk/resource/unaccompanied-children-in-need-of-care/" </w:instrText>
      </w:r>
      <w:r>
        <w:fldChar w:fldCharType="separate"/>
      </w:r>
      <w:r w:rsidRPr="00E15F83">
        <w:rPr>
          <w:rStyle w:val="Hyperlink"/>
        </w:rPr>
        <w:t>https://www.childrenscommissioner.gov.uk/resource/unaccompanied-children-in-need-of-care/</w:t>
      </w:r>
      <w:r>
        <w:fldChar w:fldCharType="end"/>
      </w:r>
    </w:p>
  </w:endnote>
  <w:endnote w:id="13">
    <w:p w:rsidR="002C05B1">
      <w:pPr>
        <w:pStyle w:val="EndnoteText"/>
      </w:pPr>
      <w:r>
        <w:rPr>
          <w:rStyle w:val="EndnoteReference"/>
        </w:rPr>
        <w:endnoteRef/>
      </w:r>
      <w:r>
        <w:t xml:space="preserve"> </w:t>
      </w:r>
      <w:r w:rsidRPr="00FB7D9C">
        <w:t>Dr</w:t>
      </w:r>
      <w:r>
        <w:t xml:space="preserve"> </w:t>
      </w:r>
      <w:r w:rsidRPr="00FB7D9C">
        <w:t>Katie Hunter, Professor</w:t>
      </w:r>
      <w:r>
        <w:t xml:space="preserve"> </w:t>
      </w:r>
      <w:r w:rsidRPr="00FB7D9C">
        <w:t>Brian Francis and Dr</w:t>
      </w:r>
      <w:r>
        <w:t xml:space="preserve"> </w:t>
      </w:r>
      <w:r w:rsidRPr="00FB7D9C">
        <w:t>Claire Fitzpatrick</w:t>
      </w:r>
      <w:r>
        <w:t xml:space="preserve">, 2023. </w:t>
      </w:r>
      <w:r w:rsidRPr="00244651">
        <w:t>Care Experience, Ethnicity and Youth Justice Involvement: Key Trends and Policy Implications</w:t>
      </w:r>
      <w:r>
        <w:t xml:space="preserve">. Available at:  </w:t>
      </w:r>
      <w:r>
        <w:fldChar w:fldCharType="begin"/>
      </w:r>
      <w:r>
        <w:instrText xml:space="preserve"> HYPERLINK "https://www.adruk.org/fileadmin/uploads/adruk/Documents/Policy_Briefings/Policy-briefing-Katie-Hunter.pdf" </w:instrText>
      </w:r>
      <w:r>
        <w:fldChar w:fldCharType="separate"/>
      </w:r>
      <w:r w:rsidRPr="00FB7D9C">
        <w:rPr>
          <w:rStyle w:val="Hyperlink"/>
        </w:rPr>
        <w:t>https://www.adruk.org/fileadmin/uploads/adruk/Documents/Policy_Briefings/Policy-briefing-Katie-Hunter.pdf</w:t>
      </w:r>
      <w:r>
        <w:fldChar w:fldCharType="end"/>
      </w:r>
    </w:p>
  </w:endnote>
  <w:endnote w:id="14">
    <w:p w:rsidR="002C05B1">
      <w:pPr>
        <w:pStyle w:val="EndnoteText"/>
      </w:pPr>
      <w:r>
        <w:rPr>
          <w:rStyle w:val="EndnoteReference"/>
        </w:rPr>
        <w:endnoteRef/>
      </w:r>
      <w:r>
        <w:t xml:space="preserve"> Children’s Commissioner’s office, 2023. The Big Ambition: Ambitions, Findings and Solutions. Available at: </w:t>
      </w:r>
      <w:r>
        <w:fldChar w:fldCharType="begin"/>
      </w:r>
      <w:r>
        <w:instrText xml:space="preserve"> HYPERLINK "https://www.childrenscommissioner.gov.uk/the-big-ambition/" </w:instrText>
      </w:r>
      <w:r>
        <w:fldChar w:fldCharType="separate"/>
      </w:r>
      <w:r w:rsidRPr="00734324">
        <w:rPr>
          <w:rStyle w:val="Hyperlink"/>
        </w:rPr>
        <w:t>https://www.childrenscommissioner.gov.uk/the-big-ambition/</w:t>
      </w:r>
      <w: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nd Vadodara">
    <w:charset w:val="00"/>
    <w:family w:val="auto"/>
    <w:pitch w:val="variable"/>
    <w:sig w:usb0="00040007" w:usb1="00000000"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era Pro">
    <w:altName w:val="Calibri"/>
    <w:panose1 w:val="00000000000000000000"/>
    <w:charset w:val="00"/>
    <w:family w:val="modern"/>
    <w:notTrueType/>
    <w:pitch w:val="variable"/>
    <w:sig w:usb0="00000287" w:usb1="00000001" w:usb2="00000000" w:usb3="00000000" w:csb0="0000009F" w:csb1="00000000"/>
  </w:font>
  <w:font w:name="Montserrat Light">
    <w:charset w:val="00"/>
    <w:family w:val="auto"/>
    <w:pitch w:val="variable"/>
    <w:sig w:usb0="2000020F" w:usb1="00000003" w:usb2="00000000" w:usb3="00000000" w:csb0="00000197" w:csb1="00000000"/>
  </w:font>
  <w:font w:name="MinionPro-Regular">
    <w:altName w:val="Calibri"/>
    <w:charset w:val="4D"/>
    <w:family w:val="auto"/>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D2A20" w:rsidP="00D0252B">
      <w:r>
        <w:separator/>
      </w:r>
    </w:p>
  </w:footnote>
  <w:footnote w:type="continuationSeparator" w:id="1">
    <w:p w:rsidR="005D2A20" w:rsidP="00D0252B">
      <w:r>
        <w:continuationSeparator/>
      </w:r>
    </w:p>
  </w:footnote>
  <w:footnote w:id="2">
    <w:p w:rsidR="002C05B1" w:rsidRPr="00225BCB" w:rsidP="00B27D6D">
      <w:pPr>
        <w:pStyle w:val="FootnoteText"/>
        <w:rPr>
          <w:rFonts w:cs="Hind Vadodara"/>
          <w:sz w:val="22"/>
          <w:szCs w:val="22"/>
        </w:rPr>
      </w:pPr>
      <w:r w:rsidRPr="00225BCB">
        <w:rPr>
          <w:rStyle w:val="FootnoteReference"/>
          <w:rFonts w:cs="Hind Vadodara"/>
          <w:sz w:val="22"/>
          <w:szCs w:val="22"/>
        </w:rPr>
        <w:footnoteRef/>
      </w:r>
      <w:r w:rsidRPr="00225BCB">
        <w:rPr>
          <w:rFonts w:cs="Hind Vadodara"/>
          <w:sz w:val="22"/>
          <w:szCs w:val="22"/>
        </w:rPr>
        <w:t xml:space="preserve"> See answer to question 1 on children in care missing education.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C35078C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006301C"/>
    <w:multiLevelType w:val="multilevel"/>
    <w:tmpl w:val="BF82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7923B1"/>
    <w:multiLevelType w:val="hybridMultilevel"/>
    <w:tmpl w:val="070002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F467D7A"/>
    <w:multiLevelType w:val="hybridMultilevel"/>
    <w:tmpl w:val="B0DC691A"/>
    <w:lvl w:ilvl="0">
      <w:start w:val="1"/>
      <w:numFmt w:val="bullet"/>
      <w:pStyle w:val="ccBulleted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4AB7797"/>
    <w:multiLevelType w:val="hybridMultilevel"/>
    <w:tmpl w:val="3B8CF1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BF2DF7"/>
    <w:multiLevelType w:val="hybridMultilevel"/>
    <w:tmpl w:val="83B67474"/>
    <w:lvl w:ilvl="0">
      <w:start w:val="0"/>
      <w:numFmt w:val="bullet"/>
      <w:lvlText w:val="-"/>
      <w:lvlJc w:val="left"/>
      <w:pPr>
        <w:ind w:left="720" w:hanging="360"/>
      </w:pPr>
      <w:rPr>
        <w:rFonts w:ascii="Hind Vadodara" w:eastAsia="Hind Vadodara" w:hAnsi="Hind Vadodara" w:cs="Hind Vadodara"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7F81D63"/>
    <w:multiLevelType w:val="hybridMultilevel"/>
    <w:tmpl w:val="0960E628"/>
    <w:lvl w:ilvl="0">
      <w:start w:val="1"/>
      <w:numFmt w:val="lowerLetter"/>
      <w:pStyle w:val="3SpaceBullet"/>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DE603AE"/>
    <w:multiLevelType w:val="hybridMultilevel"/>
    <w:tmpl w:val="C9CACA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2945584"/>
    <w:multiLevelType w:val="hybridMultilevel"/>
    <w:tmpl w:val="E87EB76A"/>
    <w:lvl w:ilvl="0">
      <w:start w:val="1"/>
      <w:numFmt w:val="lowerRoman"/>
      <w:pStyle w:val="cc2ndnumberedlist"/>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73B12169"/>
    <w:multiLevelType w:val="hybridMultilevel"/>
    <w:tmpl w:val="E6F4CC2E"/>
    <w:lvl w:ilvl="0">
      <w:start w:val="1"/>
      <w:numFmt w:val="bullet"/>
      <w:pStyle w:val="cc2ndbulletedlist"/>
      <w:lvlText w:val="o"/>
      <w:lvlJc w:val="left"/>
      <w:pPr>
        <w:ind w:left="1571" w:hanging="360"/>
      </w:pPr>
      <w:rPr>
        <w:rFonts w:ascii="Courier New" w:hAnsi="Courier New" w:cs="Courier New"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0">
    <w:nsid w:val="7FB93D5B"/>
    <w:multiLevelType w:val="hybridMultilevel"/>
    <w:tmpl w:val="6E947ECA"/>
    <w:lvl w:ilvl="0">
      <w:start w:val="1"/>
      <w:numFmt w:val="decimal"/>
      <w:pStyle w:val="CCNumberedList"/>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9"/>
  </w:num>
  <w:num w:numId="4">
    <w:abstractNumId w:val="8"/>
  </w:num>
  <w:num w:numId="5">
    <w:abstractNumId w:val="6"/>
  </w:num>
  <w:num w:numId="6">
    <w:abstractNumId w:val="3"/>
  </w:num>
  <w:num w:numId="7">
    <w:abstractNumId w:val="10"/>
  </w:num>
  <w:num w:numId="8">
    <w:abstractNumId w:val="9"/>
  </w:num>
  <w:num w:numId="9">
    <w:abstractNumId w:val="8"/>
  </w:num>
  <w:num w:numId="10">
    <w:abstractNumId w:val="6"/>
  </w:num>
  <w:num w:numId="11">
    <w:abstractNumId w:val="3"/>
  </w:num>
  <w:num w:numId="12">
    <w:abstractNumId w:val="10"/>
  </w:num>
  <w:num w:numId="13">
    <w:abstractNumId w:val="9"/>
  </w:num>
  <w:num w:numId="14">
    <w:abstractNumId w:val="8"/>
  </w:num>
  <w:num w:numId="15">
    <w:abstractNumId w:val="6"/>
  </w:num>
  <w:num w:numId="16">
    <w:abstractNumId w:val="1"/>
  </w:num>
  <w:num w:numId="17">
    <w:abstractNumId w:val="7"/>
  </w:num>
  <w:num w:numId="18">
    <w:abstractNumId w:val="4"/>
  </w:num>
  <w:num w:numId="19">
    <w:abstractNumId w:val="2"/>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ind Vadodara" w:hAnsi="Hind Vadodara"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style>
  <w:style w:type="paragraph" w:styleId="Heading1">
    <w:name w:val="heading 1"/>
    <w:basedOn w:val="Normal"/>
    <w:next w:val="Normal"/>
    <w:link w:val="Heading1Char"/>
    <w:uiPriority w:val="9"/>
    <w:rsid w:val="00FF3A6E"/>
    <w:pPr>
      <w:keepNext/>
      <w:keepLines/>
      <w:spacing w:before="240"/>
      <w:outlineLvl w:val="0"/>
    </w:pPr>
    <w:rPr>
      <w:rFonts w:asciiTheme="majorHAnsi" w:eastAsiaTheme="majorEastAsia" w:hAnsiTheme="majorHAnsi" w:cstheme="majorBidi"/>
      <w:color w:val="128064" w:themeColor="accent1" w:themeShade="BF"/>
      <w:sz w:val="32"/>
      <w:szCs w:val="32"/>
    </w:rPr>
  </w:style>
  <w:style w:type="paragraph" w:styleId="Heading2">
    <w:name w:val="heading 2"/>
    <w:basedOn w:val="Normal"/>
    <w:next w:val="Normal"/>
    <w:link w:val="Heading2Char"/>
    <w:uiPriority w:val="9"/>
    <w:semiHidden/>
    <w:unhideWhenUsed/>
    <w:rsid w:val="004D6414"/>
    <w:pPr>
      <w:keepNext/>
      <w:keepLines/>
      <w:spacing w:before="160" w:after="80"/>
      <w:outlineLvl w:val="1"/>
    </w:pPr>
    <w:rPr>
      <w:rFonts w:asciiTheme="majorHAnsi" w:eastAsiaTheme="majorEastAsia" w:hAnsiTheme="majorHAnsi" w:cstheme="majorBidi"/>
      <w:color w:val="128064" w:themeColor="accent1" w:themeShade="BF"/>
      <w:sz w:val="32"/>
      <w:szCs w:val="32"/>
    </w:rPr>
  </w:style>
  <w:style w:type="paragraph" w:styleId="Heading3">
    <w:name w:val="heading 3"/>
    <w:basedOn w:val="Normal"/>
    <w:next w:val="Normal"/>
    <w:link w:val="Heading3Char"/>
    <w:uiPriority w:val="9"/>
    <w:semiHidden/>
    <w:unhideWhenUsed/>
    <w:qFormat/>
    <w:rsid w:val="00FF3A6E"/>
    <w:pPr>
      <w:keepNext/>
      <w:keepLines/>
      <w:spacing w:before="40"/>
      <w:outlineLvl w:val="2"/>
    </w:pPr>
    <w:rPr>
      <w:rFonts w:asciiTheme="majorHAnsi" w:eastAsiaTheme="majorEastAsia" w:hAnsiTheme="majorHAnsi" w:cstheme="majorBidi"/>
      <w:color w:val="0C5542" w:themeColor="accent1" w:themeShade="7F"/>
    </w:rPr>
  </w:style>
  <w:style w:type="paragraph" w:styleId="Heading4">
    <w:name w:val="heading 4"/>
    <w:basedOn w:val="Normal"/>
    <w:next w:val="Normal"/>
    <w:link w:val="Heading4Char"/>
    <w:uiPriority w:val="9"/>
    <w:semiHidden/>
    <w:unhideWhenUsed/>
    <w:qFormat/>
    <w:rsid w:val="004D6414"/>
    <w:pPr>
      <w:keepNext/>
      <w:keepLines/>
      <w:spacing w:before="80" w:after="40"/>
      <w:outlineLvl w:val="3"/>
    </w:pPr>
    <w:rPr>
      <w:rFonts w:asciiTheme="minorHAnsi" w:eastAsiaTheme="majorEastAsia" w:hAnsiTheme="minorHAnsi" w:cstheme="majorBidi"/>
      <w:i/>
      <w:iCs/>
      <w:color w:val="128064" w:themeColor="accent1" w:themeShade="BF"/>
    </w:rPr>
  </w:style>
  <w:style w:type="paragraph" w:styleId="Heading5">
    <w:name w:val="heading 5"/>
    <w:basedOn w:val="Normal"/>
    <w:next w:val="Normal"/>
    <w:link w:val="Heading5Char"/>
    <w:uiPriority w:val="9"/>
    <w:semiHidden/>
    <w:unhideWhenUsed/>
    <w:qFormat/>
    <w:rsid w:val="004D6414"/>
    <w:pPr>
      <w:keepNext/>
      <w:keepLines/>
      <w:spacing w:before="80" w:after="40"/>
      <w:outlineLvl w:val="4"/>
    </w:pPr>
    <w:rPr>
      <w:rFonts w:asciiTheme="minorHAnsi" w:eastAsiaTheme="majorEastAsia" w:hAnsiTheme="minorHAnsi" w:cstheme="majorBidi"/>
      <w:color w:val="128064" w:themeColor="accent1" w:themeShade="BF"/>
    </w:rPr>
  </w:style>
  <w:style w:type="paragraph" w:styleId="Heading6">
    <w:name w:val="heading 6"/>
    <w:basedOn w:val="Normal"/>
    <w:next w:val="Normal"/>
    <w:link w:val="Heading6Char"/>
    <w:uiPriority w:val="9"/>
    <w:semiHidden/>
    <w:unhideWhenUsed/>
    <w:qFormat/>
    <w:rsid w:val="004D6414"/>
    <w:pPr>
      <w:keepNext/>
      <w:keepLines/>
      <w:spacing w:before="40"/>
      <w:outlineLvl w:val="5"/>
    </w:pPr>
    <w:rPr>
      <w:rFonts w:asciiTheme="minorHAnsi" w:eastAsiaTheme="majorEastAsia" w:hAnsiTheme="minorHAnsi" w:cstheme="majorBidi"/>
      <w:i/>
      <w:iCs/>
      <w:color w:val="475FB4" w:themeColor="text1" w:themeTint="A6"/>
    </w:rPr>
  </w:style>
  <w:style w:type="paragraph" w:styleId="Heading7">
    <w:name w:val="heading 7"/>
    <w:basedOn w:val="Normal"/>
    <w:next w:val="Normal"/>
    <w:link w:val="Heading7Char"/>
    <w:uiPriority w:val="9"/>
    <w:semiHidden/>
    <w:unhideWhenUsed/>
    <w:qFormat/>
    <w:rsid w:val="004D6414"/>
    <w:pPr>
      <w:keepNext/>
      <w:keepLines/>
      <w:spacing w:before="40"/>
      <w:outlineLvl w:val="6"/>
    </w:pPr>
    <w:rPr>
      <w:rFonts w:asciiTheme="minorHAnsi" w:eastAsiaTheme="majorEastAsia" w:hAnsiTheme="minorHAnsi" w:cstheme="majorBidi"/>
      <w:color w:val="475FB4" w:themeColor="text1" w:themeTint="A6"/>
    </w:rPr>
  </w:style>
  <w:style w:type="paragraph" w:styleId="Heading8">
    <w:name w:val="heading 8"/>
    <w:basedOn w:val="Normal"/>
    <w:next w:val="Normal"/>
    <w:link w:val="Heading8Char"/>
    <w:uiPriority w:val="9"/>
    <w:semiHidden/>
    <w:unhideWhenUsed/>
    <w:qFormat/>
    <w:rsid w:val="004D6414"/>
    <w:pPr>
      <w:keepNext/>
      <w:keepLines/>
      <w:outlineLvl w:val="7"/>
    </w:pPr>
    <w:rPr>
      <w:rFonts w:asciiTheme="minorHAnsi" w:eastAsiaTheme="majorEastAsia" w:hAnsiTheme="minorHAnsi" w:cstheme="majorBidi"/>
      <w:i/>
      <w:iCs/>
      <w:color w:val="31427C" w:themeColor="text1" w:themeTint="D8"/>
    </w:rPr>
  </w:style>
  <w:style w:type="paragraph" w:styleId="Heading9">
    <w:name w:val="heading 9"/>
    <w:basedOn w:val="Normal"/>
    <w:next w:val="Normal"/>
    <w:link w:val="Heading9Char"/>
    <w:uiPriority w:val="9"/>
    <w:semiHidden/>
    <w:unhideWhenUsed/>
    <w:qFormat/>
    <w:rsid w:val="004D6414"/>
    <w:pPr>
      <w:keepNext/>
      <w:keepLines/>
      <w:outlineLvl w:val="8"/>
    </w:pPr>
    <w:rPr>
      <w:rFonts w:asciiTheme="minorHAnsi" w:eastAsiaTheme="majorEastAsia" w:hAnsiTheme="minorHAnsi" w:cstheme="majorBidi"/>
      <w:color w:val="31427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BodyCopy">
    <w:name w:val="CC Body Copy"/>
    <w:basedOn w:val="Normal"/>
    <w:link w:val="CCBodyCopyChar"/>
    <w:qFormat/>
    <w:rsid w:val="00FF3A6E"/>
    <w:pPr>
      <w:tabs>
        <w:tab w:val="left" w:pos="3552"/>
      </w:tabs>
      <w:spacing w:before="240" w:after="240" w:line="259" w:lineRule="auto"/>
      <w:jc w:val="both"/>
    </w:pPr>
    <w:rPr>
      <w:rFonts w:eastAsia="Calibri" w:cs="Calibri"/>
      <w:color w:val="202B51" w:themeColor="text1"/>
      <w:lang w:eastAsia="en-GB"/>
    </w:rPr>
  </w:style>
  <w:style w:type="character" w:customStyle="1" w:styleId="CCBodyCopyChar">
    <w:name w:val="CC Body Copy Char"/>
    <w:basedOn w:val="DefaultParagraphFont"/>
    <w:link w:val="CCBodyCopy"/>
    <w:rsid w:val="00FF3A6E"/>
    <w:rPr>
      <w:rFonts w:ascii="Hind Vadodara" w:eastAsia="Calibri" w:hAnsi="Hind Vadodara" w:cs="Calibri"/>
      <w:color w:val="202B51" w:themeColor="text1"/>
      <w:lang w:eastAsia="en-GB"/>
    </w:rPr>
  </w:style>
  <w:style w:type="paragraph" w:customStyle="1" w:styleId="ccBulletedList">
    <w:name w:val="cc Bulleted List"/>
    <w:basedOn w:val="CCBodyCopy"/>
    <w:link w:val="ccBulletedListChar"/>
    <w:qFormat/>
    <w:rsid w:val="00FF3A6E"/>
    <w:pPr>
      <w:numPr>
        <w:numId w:val="11"/>
      </w:numPr>
    </w:pPr>
  </w:style>
  <w:style w:type="character" w:customStyle="1" w:styleId="ccBulletedListChar">
    <w:name w:val="cc Bulleted List Char"/>
    <w:basedOn w:val="CCBodyCopyChar"/>
    <w:link w:val="ccBulletedList"/>
    <w:rsid w:val="00FF3A6E"/>
    <w:rPr>
      <w:rFonts w:ascii="Hind Vadodara" w:eastAsia="Calibri" w:hAnsi="Hind Vadodara" w:cs="Calibri"/>
      <w:color w:val="202B51" w:themeColor="text1"/>
      <w:lang w:eastAsia="en-GB"/>
    </w:rPr>
  </w:style>
  <w:style w:type="paragraph" w:customStyle="1" w:styleId="CCHeader3">
    <w:name w:val="CC Header 3"/>
    <w:basedOn w:val="CCHeader2"/>
    <w:qFormat/>
    <w:rsid w:val="00FF3A6E"/>
    <w:pPr>
      <w:spacing w:before="240" w:after="240"/>
      <w:outlineLvl w:val="2"/>
    </w:pPr>
    <w:rPr>
      <w:sz w:val="28"/>
      <w:szCs w:val="28"/>
    </w:rPr>
  </w:style>
  <w:style w:type="paragraph" w:customStyle="1" w:styleId="CCNumberedList">
    <w:name w:val="CC Numbered List"/>
    <w:basedOn w:val="CCBodyCopy"/>
    <w:link w:val="CCNumberedListChar"/>
    <w:qFormat/>
    <w:rsid w:val="00FF3A6E"/>
    <w:pPr>
      <w:numPr>
        <w:numId w:val="12"/>
      </w:numPr>
    </w:pPr>
  </w:style>
  <w:style w:type="character" w:customStyle="1" w:styleId="CCNumberedListChar">
    <w:name w:val="CC Numbered List Char"/>
    <w:basedOn w:val="CCBodyCopyChar"/>
    <w:link w:val="CCNumberedList"/>
    <w:rsid w:val="00FF3A6E"/>
    <w:rPr>
      <w:rFonts w:ascii="Hind Vadodara" w:eastAsia="Calibri" w:hAnsi="Hind Vadodara" w:cs="Calibri"/>
      <w:color w:val="202B51" w:themeColor="text1"/>
      <w:lang w:eastAsia="en-GB"/>
    </w:rPr>
  </w:style>
  <w:style w:type="paragraph" w:customStyle="1" w:styleId="CCHeader1">
    <w:name w:val="CC Header 1"/>
    <w:basedOn w:val="Heading1"/>
    <w:qFormat/>
    <w:rsid w:val="00FF3A6E"/>
    <w:pPr>
      <w:tabs>
        <w:tab w:val="left" w:pos="3552"/>
      </w:tabs>
      <w:spacing w:after="160" w:line="276" w:lineRule="auto"/>
      <w:jc w:val="both"/>
    </w:pPr>
    <w:rPr>
      <w:rFonts w:ascii="Hind Vadodara" w:eastAsia="Calibri" w:hAnsi="Hind Vadodara" w:cs="Calibri"/>
      <w:b/>
      <w:bCs/>
      <w:color w:val="202B51" w:themeColor="text1"/>
      <w:sz w:val="40"/>
      <w:szCs w:val="44"/>
      <w:lang w:eastAsia="en-GB"/>
    </w:rPr>
  </w:style>
  <w:style w:type="character" w:customStyle="1" w:styleId="Heading1Char">
    <w:name w:val="Heading 1 Char"/>
    <w:basedOn w:val="DefaultParagraphFont"/>
    <w:link w:val="Heading1"/>
    <w:uiPriority w:val="9"/>
    <w:rsid w:val="00FF3A6E"/>
    <w:rPr>
      <w:rFonts w:asciiTheme="majorHAnsi" w:eastAsiaTheme="majorEastAsia" w:hAnsiTheme="majorHAnsi" w:cstheme="majorBidi"/>
      <w:color w:val="128064" w:themeColor="accent1" w:themeShade="BF"/>
      <w:sz w:val="32"/>
      <w:szCs w:val="32"/>
    </w:rPr>
  </w:style>
  <w:style w:type="paragraph" w:customStyle="1" w:styleId="CCCoverTitle">
    <w:name w:val="CC Cover Title"/>
    <w:basedOn w:val="Normal"/>
    <w:qFormat/>
    <w:rsid w:val="00FF3A6E"/>
    <w:pPr>
      <w:spacing w:line="192" w:lineRule="auto"/>
    </w:pPr>
    <w:rPr>
      <w:rFonts w:eastAsia="Times New Roman" w:cs="Hind Vadodara"/>
      <w:b/>
      <w:bCs/>
      <w:color w:val="FFFFFF" w:themeColor="background1"/>
      <w:sz w:val="80"/>
      <w:szCs w:val="80"/>
    </w:rPr>
  </w:style>
  <w:style w:type="paragraph" w:customStyle="1" w:styleId="CCCoverDate">
    <w:name w:val="CC Cover Date"/>
    <w:basedOn w:val="Normal"/>
    <w:qFormat/>
    <w:rsid w:val="00FF3A6E"/>
    <w:pPr>
      <w:jc w:val="both"/>
    </w:pPr>
    <w:rPr>
      <w:rFonts w:cs="Hind Vadodara"/>
      <w:color w:val="FFFFFF" w:themeColor="background1"/>
      <w:sz w:val="48"/>
      <w:szCs w:val="48"/>
    </w:rPr>
  </w:style>
  <w:style w:type="paragraph" w:customStyle="1" w:styleId="CCTitleinsidereport">
    <w:name w:val="CC Title (inside report)"/>
    <w:basedOn w:val="Title"/>
    <w:qFormat/>
    <w:rsid w:val="00FF3A6E"/>
    <w:pPr>
      <w:spacing w:before="360" w:after="360"/>
      <w:jc w:val="both"/>
    </w:pPr>
    <w:rPr>
      <w:rFonts w:ascii="Hind Vadodara" w:hAnsi="Hind Vadodara"/>
      <w:b/>
      <w:color w:val="202B51" w:themeColor="text1"/>
      <w:sz w:val="40"/>
    </w:rPr>
  </w:style>
  <w:style w:type="paragraph" w:styleId="Title">
    <w:name w:val="Title"/>
    <w:basedOn w:val="Normal"/>
    <w:next w:val="Normal"/>
    <w:link w:val="TitleChar"/>
    <w:uiPriority w:val="10"/>
    <w:rsid w:val="00FF3A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A6E"/>
    <w:rPr>
      <w:rFonts w:asciiTheme="majorHAnsi" w:eastAsiaTheme="majorEastAsia" w:hAnsiTheme="majorHAnsi" w:cstheme="majorBidi"/>
      <w:spacing w:val="-10"/>
      <w:kern w:val="28"/>
      <w:sz w:val="56"/>
      <w:szCs w:val="56"/>
    </w:rPr>
  </w:style>
  <w:style w:type="paragraph" w:customStyle="1" w:styleId="CCHeader2">
    <w:name w:val="CC Header 2"/>
    <w:basedOn w:val="Normal"/>
    <w:qFormat/>
    <w:rsid w:val="00FF3A6E"/>
    <w:pPr>
      <w:keepNext/>
      <w:keepLines/>
      <w:tabs>
        <w:tab w:val="left" w:pos="3552"/>
      </w:tabs>
      <w:spacing w:after="160" w:line="276" w:lineRule="auto"/>
      <w:jc w:val="both"/>
      <w:outlineLvl w:val="1"/>
    </w:pPr>
    <w:rPr>
      <w:rFonts w:eastAsia="Calibri" w:cs="Calibri"/>
      <w:b/>
      <w:bCs/>
      <w:color w:val="202B51" w:themeColor="text1"/>
      <w:sz w:val="32"/>
      <w:szCs w:val="32"/>
      <w:lang w:eastAsia="en-GB"/>
    </w:rPr>
  </w:style>
  <w:style w:type="paragraph" w:customStyle="1" w:styleId="CCcasestudyinfopullouttitle">
    <w:name w:val="CC case study/info pull out title"/>
    <w:basedOn w:val="CCBodyCopy"/>
    <w:link w:val="CCcasestudyinfopullouttitleChar"/>
    <w:qFormat/>
    <w:rsid w:val="00FF3A6E"/>
    <w:pPr>
      <w:spacing w:before="120"/>
      <w:ind w:left="113"/>
    </w:pPr>
    <w:rPr>
      <w:b/>
      <w:sz w:val="28"/>
    </w:rPr>
  </w:style>
  <w:style w:type="character" w:customStyle="1" w:styleId="CCcasestudyinfopullouttitleChar">
    <w:name w:val="CC case study/info pull out title Char"/>
    <w:basedOn w:val="CCBodyCopyChar"/>
    <w:link w:val="CCcasestudyinfopullouttitle"/>
    <w:rsid w:val="00FF3A6E"/>
    <w:rPr>
      <w:rFonts w:ascii="Hind Vadodara" w:eastAsia="Calibri" w:hAnsi="Hind Vadodara" w:cs="Calibri"/>
      <w:b/>
      <w:color w:val="202B51" w:themeColor="text1"/>
      <w:sz w:val="28"/>
      <w:lang w:eastAsia="en-GB"/>
    </w:rPr>
  </w:style>
  <w:style w:type="paragraph" w:customStyle="1" w:styleId="CCpulloutquotes">
    <w:name w:val="CC pull out quotes"/>
    <w:basedOn w:val="CCBodyCopy"/>
    <w:link w:val="CCpulloutquotesChar"/>
    <w:qFormat/>
    <w:rsid w:val="00FF3A6E"/>
    <w:rPr>
      <w:color w:val="19AC86" w:themeColor="accent1"/>
      <w:sz w:val="32"/>
    </w:rPr>
  </w:style>
  <w:style w:type="character" w:customStyle="1" w:styleId="CCpulloutquotesChar">
    <w:name w:val="CC pull out quotes Char"/>
    <w:basedOn w:val="CCBodyCopyChar"/>
    <w:link w:val="CCpulloutquotes"/>
    <w:rsid w:val="00FF3A6E"/>
    <w:rPr>
      <w:rFonts w:ascii="Hind Vadodara" w:eastAsia="Calibri" w:hAnsi="Hind Vadodara" w:cs="Calibri"/>
      <w:color w:val="19AC86" w:themeColor="accent1"/>
      <w:sz w:val="32"/>
      <w:lang w:eastAsia="en-GB"/>
    </w:rPr>
  </w:style>
  <w:style w:type="paragraph" w:customStyle="1" w:styleId="CCfiguretableheadings">
    <w:name w:val="CC figure/table headings"/>
    <w:basedOn w:val="CCBodyCopy"/>
    <w:link w:val="CCfiguretableheadingsChar"/>
    <w:qFormat/>
    <w:rsid w:val="00FF3A6E"/>
    <w:rPr>
      <w:b/>
      <w:shd w:val="clear" w:color="auto" w:fill="FFFFFF"/>
    </w:rPr>
  </w:style>
  <w:style w:type="character" w:customStyle="1" w:styleId="CCfiguretableheadingsChar">
    <w:name w:val="CC figure/table headings Char"/>
    <w:basedOn w:val="CCBodyCopyChar"/>
    <w:link w:val="CCfiguretableheadings"/>
    <w:rsid w:val="00FF3A6E"/>
    <w:rPr>
      <w:rFonts w:ascii="Hind Vadodara" w:eastAsia="Calibri" w:hAnsi="Hind Vadodara" w:cs="Calibri"/>
      <w:b/>
      <w:color w:val="202B51" w:themeColor="text1"/>
      <w:lang w:eastAsia="en-GB"/>
    </w:rPr>
  </w:style>
  <w:style w:type="paragraph" w:customStyle="1" w:styleId="cc2ndbulletedlist">
    <w:name w:val="cc 2nd bulleted list"/>
    <w:basedOn w:val="ccBulletedList"/>
    <w:link w:val="cc2ndbulletedlistChar"/>
    <w:qFormat/>
    <w:rsid w:val="00FF3A6E"/>
    <w:pPr>
      <w:numPr>
        <w:numId w:val="13"/>
      </w:numPr>
    </w:pPr>
  </w:style>
  <w:style w:type="character" w:customStyle="1" w:styleId="cc2ndbulletedlistChar">
    <w:name w:val="cc 2nd bulleted list Char"/>
    <w:basedOn w:val="ccBulletedListChar"/>
    <w:link w:val="cc2ndbulletedlist"/>
    <w:rsid w:val="00FF3A6E"/>
    <w:rPr>
      <w:rFonts w:ascii="Hind Vadodara" w:eastAsia="Calibri" w:hAnsi="Hind Vadodara" w:cs="Calibri"/>
      <w:color w:val="202B51" w:themeColor="text1"/>
      <w:lang w:eastAsia="en-GB"/>
    </w:rPr>
  </w:style>
  <w:style w:type="paragraph" w:customStyle="1" w:styleId="cc2ndnumberedlist">
    <w:name w:val="cc 2nd numbered list"/>
    <w:basedOn w:val="CCNumberedList"/>
    <w:link w:val="cc2ndnumberedlistChar"/>
    <w:qFormat/>
    <w:rsid w:val="00FF3A6E"/>
    <w:pPr>
      <w:numPr>
        <w:numId w:val="14"/>
      </w:numPr>
    </w:pPr>
    <w:rPr>
      <w:shd w:val="clear" w:color="auto" w:fill="FFFFFF"/>
    </w:rPr>
  </w:style>
  <w:style w:type="character" w:customStyle="1" w:styleId="cc2ndnumberedlistChar">
    <w:name w:val="cc 2nd numbered list Char"/>
    <w:basedOn w:val="CCNumberedListChar"/>
    <w:link w:val="cc2ndnumberedlist"/>
    <w:rsid w:val="00FF3A6E"/>
    <w:rPr>
      <w:rFonts w:ascii="Hind Vadodara" w:eastAsia="Calibri" w:hAnsi="Hind Vadodara" w:cs="Calibri"/>
      <w:color w:val="202B51" w:themeColor="text1"/>
      <w:lang w:eastAsia="en-GB"/>
    </w:rPr>
  </w:style>
  <w:style w:type="paragraph" w:customStyle="1" w:styleId="CCendnote">
    <w:name w:val="CC endnote"/>
    <w:basedOn w:val="CCBodyCopy"/>
    <w:link w:val="CCendnoteChar"/>
    <w:qFormat/>
    <w:rsid w:val="00FF3A6E"/>
    <w:pPr>
      <w:spacing w:before="60" w:after="60"/>
    </w:pPr>
    <w:rPr>
      <w:sz w:val="20"/>
    </w:rPr>
  </w:style>
  <w:style w:type="character" w:customStyle="1" w:styleId="CCendnoteChar">
    <w:name w:val="CC endnote Char"/>
    <w:basedOn w:val="CCBodyCopyChar"/>
    <w:link w:val="CCendnote"/>
    <w:rsid w:val="00FF3A6E"/>
    <w:rPr>
      <w:rFonts w:ascii="Hind Vadodara" w:eastAsia="Calibri" w:hAnsi="Hind Vadodara" w:cs="Calibri"/>
      <w:color w:val="202B51" w:themeColor="text1"/>
      <w:sz w:val="20"/>
      <w:lang w:eastAsia="en-GB"/>
    </w:rPr>
  </w:style>
  <w:style w:type="paragraph" w:customStyle="1" w:styleId="3SpaceBullet">
    <w:name w:val="3_SpaceBullet"/>
    <w:basedOn w:val="ListParagraph"/>
    <w:qFormat/>
    <w:rsid w:val="00FF3A6E"/>
    <w:pPr>
      <w:numPr>
        <w:numId w:val="15"/>
      </w:numPr>
      <w:spacing w:after="120" w:line="264" w:lineRule="auto"/>
      <w:contextualSpacing w:val="0"/>
    </w:pPr>
    <w:rPr>
      <w:rFonts w:ascii="Cera Pro" w:hAnsi="Cera Pro" w:eastAsiaTheme="minorHAnsi" w:cstheme="minorBidi"/>
      <w:color w:val="auto"/>
      <w:szCs w:val="22"/>
      <w:lang w:eastAsia="en-US"/>
    </w:rPr>
  </w:style>
  <w:style w:type="paragraph" w:styleId="ListParagraph">
    <w:name w:val="List Paragraph"/>
    <w:basedOn w:val="Normal"/>
    <w:uiPriority w:val="34"/>
    <w:qFormat/>
    <w:rsid w:val="00FF3A6E"/>
    <w:pPr>
      <w:spacing w:after="160" w:line="259" w:lineRule="auto"/>
      <w:ind w:left="720"/>
      <w:contextualSpacing/>
    </w:pPr>
    <w:rPr>
      <w:rFonts w:ascii="Calibri" w:eastAsia="Calibri" w:hAnsi="Calibri" w:cs="Calibri"/>
      <w:color w:val="000000"/>
      <w:sz w:val="22"/>
      <w:lang w:eastAsia="en-GB"/>
    </w:rPr>
  </w:style>
  <w:style w:type="character" w:customStyle="1" w:styleId="Heading3Char">
    <w:name w:val="Heading 3 Char"/>
    <w:basedOn w:val="DefaultParagraphFont"/>
    <w:link w:val="Heading3"/>
    <w:uiPriority w:val="9"/>
    <w:semiHidden/>
    <w:rsid w:val="00FF3A6E"/>
    <w:rPr>
      <w:rFonts w:asciiTheme="majorHAnsi" w:eastAsiaTheme="majorEastAsia" w:hAnsiTheme="majorHAnsi" w:cstheme="majorBidi"/>
      <w:color w:val="0C5542" w:themeColor="accent1" w:themeShade="7F"/>
    </w:rPr>
  </w:style>
  <w:style w:type="paragraph" w:styleId="FootnoteText">
    <w:name w:val="footnote text"/>
    <w:aliases w:val=" Char,5_G,Char,Footnote Text Cha,Footnote Text Char Char,Footnote Text Char Char Char Char,Footnote Text Char Char Char Char1 Char Char,Footnote Text Char1 Char Char,Footnote Text Char1 Char Char1 Char Char,ft Char Char Char Char Char Char"/>
    <w:basedOn w:val="Normal"/>
    <w:link w:val="FootnoteTextChar"/>
    <w:uiPriority w:val="99"/>
    <w:unhideWhenUsed/>
    <w:qFormat/>
    <w:rsid w:val="00FF3A6E"/>
    <w:rPr>
      <w:sz w:val="20"/>
      <w:szCs w:val="20"/>
    </w:rPr>
  </w:style>
  <w:style w:type="character" w:customStyle="1" w:styleId="FootnoteTextChar">
    <w:name w:val="Footnote Text Char"/>
    <w:aliases w:val=" Char Char,5_G Char,Char Char,Footnote Text Cha Char,Footnote Text Char Char Char,Footnote Text Char Char Char Char Char,Footnote Text Char Char Char Char1 Char Char Char,Footnote Text Char1 Char Char Char"/>
    <w:basedOn w:val="DefaultParagraphFont"/>
    <w:link w:val="FootnoteText"/>
    <w:uiPriority w:val="99"/>
    <w:rsid w:val="00FF3A6E"/>
    <w:rPr>
      <w:rFonts w:eastAsiaTheme="minorHAnsi"/>
      <w:sz w:val="20"/>
      <w:szCs w:val="20"/>
    </w:rPr>
  </w:style>
  <w:style w:type="paragraph" w:styleId="BodyText">
    <w:name w:val="Body Text"/>
    <w:basedOn w:val="Normal"/>
    <w:link w:val="BodyTextChar"/>
    <w:uiPriority w:val="1"/>
    <w:qFormat/>
    <w:rsid w:val="00FF3A6E"/>
    <w:pPr>
      <w:widowControl w:val="0"/>
      <w:autoSpaceDE w:val="0"/>
      <w:autoSpaceDN w:val="0"/>
    </w:pPr>
    <w:rPr>
      <w:rFonts w:ascii="Montserrat Light" w:eastAsia="Montserrat Light" w:hAnsi="Montserrat Light" w:cs="Montserrat Light"/>
      <w:sz w:val="20"/>
      <w:szCs w:val="20"/>
      <w:lang w:val="en-US"/>
    </w:rPr>
  </w:style>
  <w:style w:type="character" w:customStyle="1" w:styleId="BodyTextChar">
    <w:name w:val="Body Text Char"/>
    <w:basedOn w:val="DefaultParagraphFont"/>
    <w:link w:val="BodyText"/>
    <w:uiPriority w:val="1"/>
    <w:rsid w:val="00FF3A6E"/>
    <w:rPr>
      <w:rFonts w:ascii="Montserrat Light" w:eastAsia="Montserrat Light" w:hAnsi="Montserrat Light" w:cs="Montserrat Light"/>
      <w:sz w:val="20"/>
      <w:szCs w:val="20"/>
      <w:lang w:val="en-US"/>
    </w:rPr>
  </w:style>
  <w:style w:type="character" w:styleId="Emphasis">
    <w:name w:val="Emphasis"/>
    <w:basedOn w:val="DefaultParagraphFont"/>
    <w:uiPriority w:val="20"/>
    <w:qFormat/>
    <w:rsid w:val="00FF3A6E"/>
    <w:rPr>
      <w:i/>
      <w:iCs/>
    </w:rPr>
  </w:style>
  <w:style w:type="paragraph" w:styleId="NoSpacing">
    <w:name w:val="No Spacing"/>
    <w:link w:val="NoSpacingChar"/>
    <w:uiPriority w:val="1"/>
    <w:qFormat/>
    <w:rsid w:val="00FF3A6E"/>
    <w:rPr>
      <w:rFonts w:ascii="Calibri" w:eastAsia="Calibri" w:hAnsi="Calibri" w:cs="Calibri"/>
      <w:color w:val="000000"/>
      <w:sz w:val="22"/>
    </w:rPr>
  </w:style>
  <w:style w:type="character" w:customStyle="1" w:styleId="NoSpacingChar">
    <w:name w:val="No Spacing Char"/>
    <w:basedOn w:val="DefaultParagraphFont"/>
    <w:link w:val="NoSpacing"/>
    <w:uiPriority w:val="1"/>
    <w:rsid w:val="00FF3A6E"/>
    <w:rPr>
      <w:rFonts w:ascii="Calibri" w:eastAsia="Calibri" w:hAnsi="Calibri" w:cs="Calibri"/>
      <w:color w:val="000000"/>
      <w:sz w:val="22"/>
    </w:rPr>
  </w:style>
  <w:style w:type="paragraph" w:styleId="TOCHeading">
    <w:name w:val="TOC Heading"/>
    <w:basedOn w:val="Heading1"/>
    <w:next w:val="Normal"/>
    <w:uiPriority w:val="39"/>
    <w:unhideWhenUsed/>
    <w:qFormat/>
    <w:rsid w:val="00FF3A6E"/>
    <w:pPr>
      <w:spacing w:before="480" w:line="276" w:lineRule="auto"/>
      <w:outlineLvl w:val="9"/>
    </w:pPr>
    <w:rPr>
      <w:b/>
      <w:bCs/>
      <w:sz w:val="28"/>
      <w:szCs w:val="28"/>
      <w:lang w:val="en-US"/>
    </w:rPr>
  </w:style>
  <w:style w:type="character" w:customStyle="1" w:styleId="Heading2Char">
    <w:name w:val="Heading 2 Char"/>
    <w:basedOn w:val="DefaultParagraphFont"/>
    <w:link w:val="Heading2"/>
    <w:uiPriority w:val="9"/>
    <w:semiHidden/>
    <w:rsid w:val="004D6414"/>
    <w:rPr>
      <w:rFonts w:asciiTheme="majorHAnsi" w:eastAsiaTheme="majorEastAsia" w:hAnsiTheme="majorHAnsi" w:cstheme="majorBidi"/>
      <w:color w:val="128064" w:themeColor="accent1" w:themeShade="BF"/>
      <w:sz w:val="32"/>
      <w:szCs w:val="32"/>
    </w:rPr>
  </w:style>
  <w:style w:type="character" w:customStyle="1" w:styleId="Heading4Char">
    <w:name w:val="Heading 4 Char"/>
    <w:basedOn w:val="DefaultParagraphFont"/>
    <w:link w:val="Heading4"/>
    <w:uiPriority w:val="9"/>
    <w:semiHidden/>
    <w:rsid w:val="004D6414"/>
    <w:rPr>
      <w:rFonts w:asciiTheme="minorHAnsi" w:eastAsiaTheme="majorEastAsia" w:hAnsiTheme="minorHAnsi" w:cstheme="majorBidi"/>
      <w:i/>
      <w:iCs/>
      <w:color w:val="128064" w:themeColor="accent1" w:themeShade="BF"/>
    </w:rPr>
  </w:style>
  <w:style w:type="character" w:customStyle="1" w:styleId="Heading5Char">
    <w:name w:val="Heading 5 Char"/>
    <w:basedOn w:val="DefaultParagraphFont"/>
    <w:link w:val="Heading5"/>
    <w:uiPriority w:val="9"/>
    <w:semiHidden/>
    <w:rsid w:val="004D6414"/>
    <w:rPr>
      <w:rFonts w:asciiTheme="minorHAnsi" w:eastAsiaTheme="majorEastAsia" w:hAnsiTheme="minorHAnsi" w:cstheme="majorBidi"/>
      <w:color w:val="128064" w:themeColor="accent1" w:themeShade="BF"/>
    </w:rPr>
  </w:style>
  <w:style w:type="character" w:customStyle="1" w:styleId="Heading6Char">
    <w:name w:val="Heading 6 Char"/>
    <w:basedOn w:val="DefaultParagraphFont"/>
    <w:link w:val="Heading6"/>
    <w:uiPriority w:val="9"/>
    <w:semiHidden/>
    <w:rsid w:val="004D6414"/>
    <w:rPr>
      <w:rFonts w:asciiTheme="minorHAnsi" w:eastAsiaTheme="majorEastAsia" w:hAnsiTheme="minorHAnsi" w:cstheme="majorBidi"/>
      <w:i/>
      <w:iCs/>
      <w:color w:val="475FB4" w:themeColor="text1" w:themeTint="A6"/>
    </w:rPr>
  </w:style>
  <w:style w:type="character" w:customStyle="1" w:styleId="Heading7Char">
    <w:name w:val="Heading 7 Char"/>
    <w:basedOn w:val="DefaultParagraphFont"/>
    <w:link w:val="Heading7"/>
    <w:uiPriority w:val="9"/>
    <w:semiHidden/>
    <w:rsid w:val="004D6414"/>
    <w:rPr>
      <w:rFonts w:asciiTheme="minorHAnsi" w:eastAsiaTheme="majorEastAsia" w:hAnsiTheme="minorHAnsi" w:cstheme="majorBidi"/>
      <w:color w:val="475FB4" w:themeColor="text1" w:themeTint="A6"/>
    </w:rPr>
  </w:style>
  <w:style w:type="character" w:customStyle="1" w:styleId="Heading8Char">
    <w:name w:val="Heading 8 Char"/>
    <w:basedOn w:val="DefaultParagraphFont"/>
    <w:link w:val="Heading8"/>
    <w:uiPriority w:val="9"/>
    <w:semiHidden/>
    <w:rsid w:val="004D6414"/>
    <w:rPr>
      <w:rFonts w:asciiTheme="minorHAnsi" w:eastAsiaTheme="majorEastAsia" w:hAnsiTheme="minorHAnsi" w:cstheme="majorBidi"/>
      <w:i/>
      <w:iCs/>
      <w:color w:val="31427C" w:themeColor="text1" w:themeTint="D8"/>
    </w:rPr>
  </w:style>
  <w:style w:type="character" w:customStyle="1" w:styleId="Heading9Char">
    <w:name w:val="Heading 9 Char"/>
    <w:basedOn w:val="DefaultParagraphFont"/>
    <w:link w:val="Heading9"/>
    <w:uiPriority w:val="9"/>
    <w:semiHidden/>
    <w:rsid w:val="004D6414"/>
    <w:rPr>
      <w:rFonts w:asciiTheme="minorHAnsi" w:eastAsiaTheme="majorEastAsia" w:hAnsiTheme="minorHAnsi" w:cstheme="majorBidi"/>
      <w:color w:val="31427C" w:themeColor="text1" w:themeTint="D8"/>
    </w:rPr>
  </w:style>
  <w:style w:type="paragraph" w:styleId="Subtitle">
    <w:name w:val="Subtitle"/>
    <w:basedOn w:val="Normal"/>
    <w:next w:val="Normal"/>
    <w:link w:val="SubtitleChar"/>
    <w:uiPriority w:val="11"/>
    <w:rsid w:val="004D6414"/>
    <w:pPr>
      <w:numPr>
        <w:ilvl w:val="1"/>
      </w:numPr>
      <w:spacing w:after="160"/>
    </w:pPr>
    <w:rPr>
      <w:rFonts w:asciiTheme="minorHAnsi" w:eastAsiaTheme="majorEastAsia" w:hAnsiTheme="minorHAnsi" w:cstheme="majorBidi"/>
      <w:color w:val="475FB4" w:themeColor="text1" w:themeTint="A6"/>
      <w:spacing w:val="15"/>
      <w:sz w:val="28"/>
      <w:szCs w:val="28"/>
    </w:rPr>
  </w:style>
  <w:style w:type="character" w:customStyle="1" w:styleId="SubtitleChar">
    <w:name w:val="Subtitle Char"/>
    <w:basedOn w:val="DefaultParagraphFont"/>
    <w:link w:val="Subtitle"/>
    <w:uiPriority w:val="11"/>
    <w:rsid w:val="004D6414"/>
    <w:rPr>
      <w:rFonts w:asciiTheme="minorHAnsi" w:eastAsiaTheme="majorEastAsia" w:hAnsiTheme="minorHAnsi" w:cstheme="majorBidi"/>
      <w:color w:val="475FB4" w:themeColor="text1" w:themeTint="A6"/>
      <w:spacing w:val="15"/>
      <w:sz w:val="28"/>
      <w:szCs w:val="28"/>
    </w:rPr>
  </w:style>
  <w:style w:type="paragraph" w:styleId="Quote">
    <w:name w:val="Quote"/>
    <w:basedOn w:val="Normal"/>
    <w:next w:val="Normal"/>
    <w:link w:val="QuoteChar"/>
    <w:uiPriority w:val="29"/>
    <w:rsid w:val="004D6414"/>
    <w:pPr>
      <w:spacing w:before="160" w:after="160"/>
      <w:jc w:val="center"/>
    </w:pPr>
    <w:rPr>
      <w:i/>
      <w:iCs/>
      <w:color w:val="3C5098" w:themeColor="text1" w:themeTint="BF"/>
    </w:rPr>
  </w:style>
  <w:style w:type="character" w:customStyle="1" w:styleId="QuoteChar">
    <w:name w:val="Quote Char"/>
    <w:basedOn w:val="DefaultParagraphFont"/>
    <w:link w:val="Quote"/>
    <w:uiPriority w:val="29"/>
    <w:rsid w:val="004D6414"/>
    <w:rPr>
      <w:i/>
      <w:iCs/>
      <w:color w:val="3C5098" w:themeColor="text1" w:themeTint="BF"/>
    </w:rPr>
  </w:style>
  <w:style w:type="character" w:styleId="IntenseEmphasis">
    <w:name w:val="Intense Emphasis"/>
    <w:basedOn w:val="DefaultParagraphFont"/>
    <w:uiPriority w:val="21"/>
    <w:rsid w:val="004D6414"/>
    <w:rPr>
      <w:i/>
      <w:iCs/>
      <w:color w:val="128064" w:themeColor="accent1" w:themeShade="BF"/>
    </w:rPr>
  </w:style>
  <w:style w:type="paragraph" w:styleId="IntenseQuote">
    <w:name w:val="Intense Quote"/>
    <w:basedOn w:val="Normal"/>
    <w:next w:val="Normal"/>
    <w:link w:val="IntenseQuoteChar"/>
    <w:uiPriority w:val="30"/>
    <w:rsid w:val="004D6414"/>
    <w:pPr>
      <w:pBdr>
        <w:top w:val="single" w:sz="4" w:space="10" w:color="128064" w:themeColor="accent1" w:themeShade="BF"/>
        <w:bottom w:val="single" w:sz="4" w:space="10" w:color="128064" w:themeColor="accent1" w:themeShade="BF"/>
      </w:pBdr>
      <w:spacing w:before="360" w:after="360"/>
      <w:ind w:left="864" w:right="864"/>
      <w:jc w:val="center"/>
    </w:pPr>
    <w:rPr>
      <w:i/>
      <w:iCs/>
      <w:color w:val="128064" w:themeColor="accent1" w:themeShade="BF"/>
    </w:rPr>
  </w:style>
  <w:style w:type="character" w:customStyle="1" w:styleId="IntenseQuoteChar">
    <w:name w:val="Intense Quote Char"/>
    <w:basedOn w:val="DefaultParagraphFont"/>
    <w:link w:val="IntenseQuote"/>
    <w:uiPriority w:val="30"/>
    <w:rsid w:val="004D6414"/>
    <w:rPr>
      <w:i/>
      <w:iCs/>
      <w:color w:val="128064" w:themeColor="accent1" w:themeShade="BF"/>
    </w:rPr>
  </w:style>
  <w:style w:type="character" w:styleId="IntenseReference">
    <w:name w:val="Intense Reference"/>
    <w:basedOn w:val="DefaultParagraphFont"/>
    <w:uiPriority w:val="32"/>
    <w:rsid w:val="004D6414"/>
    <w:rPr>
      <w:b/>
      <w:bCs/>
      <w:smallCaps/>
      <w:color w:val="128064" w:themeColor="accent1" w:themeShade="BF"/>
      <w:spacing w:val="5"/>
    </w:rPr>
  </w:style>
  <w:style w:type="character" w:styleId="Hyperlink">
    <w:name w:val="Hyperlink"/>
    <w:basedOn w:val="DefaultParagraphFont"/>
    <w:uiPriority w:val="99"/>
    <w:unhideWhenUsed/>
    <w:rsid w:val="004D6414"/>
    <w:rPr>
      <w:color w:val="0563C1" w:themeColor="hyperlink"/>
      <w:u w:val="single"/>
    </w:rPr>
  </w:style>
  <w:style w:type="character" w:customStyle="1" w:styleId="UnresolvedMention1">
    <w:name w:val="Unresolved Mention1"/>
    <w:basedOn w:val="DefaultParagraphFont"/>
    <w:uiPriority w:val="99"/>
    <w:semiHidden/>
    <w:unhideWhenUsed/>
    <w:rsid w:val="004D6414"/>
    <w:rPr>
      <w:color w:val="605E5C"/>
      <w:shd w:val="clear" w:color="auto" w:fill="E1DFDD"/>
    </w:rPr>
  </w:style>
  <w:style w:type="character" w:styleId="CommentReference">
    <w:name w:val="annotation reference"/>
    <w:basedOn w:val="DefaultParagraphFont"/>
    <w:semiHidden/>
    <w:unhideWhenUsed/>
    <w:rsid w:val="00124F21"/>
    <w:rPr>
      <w:sz w:val="16"/>
      <w:szCs w:val="16"/>
    </w:rPr>
  </w:style>
  <w:style w:type="paragraph" w:styleId="CommentText">
    <w:name w:val="annotation text"/>
    <w:basedOn w:val="Normal"/>
    <w:link w:val="CommentTextChar"/>
    <w:unhideWhenUsed/>
    <w:rsid w:val="00124F21"/>
    <w:rPr>
      <w:sz w:val="20"/>
      <w:szCs w:val="20"/>
    </w:rPr>
  </w:style>
  <w:style w:type="character" w:customStyle="1" w:styleId="CommentTextChar">
    <w:name w:val="Comment Text Char"/>
    <w:basedOn w:val="DefaultParagraphFont"/>
    <w:link w:val="CommentText"/>
    <w:rsid w:val="00124F21"/>
    <w:rPr>
      <w:sz w:val="20"/>
      <w:szCs w:val="20"/>
    </w:rPr>
  </w:style>
  <w:style w:type="paragraph" w:styleId="CommentSubject">
    <w:name w:val="annotation subject"/>
    <w:basedOn w:val="CommentText"/>
    <w:next w:val="CommentText"/>
    <w:link w:val="CommentSubjectChar"/>
    <w:uiPriority w:val="99"/>
    <w:semiHidden/>
    <w:unhideWhenUsed/>
    <w:rsid w:val="00124F21"/>
    <w:rPr>
      <w:b/>
      <w:bCs/>
    </w:rPr>
  </w:style>
  <w:style w:type="character" w:customStyle="1" w:styleId="CommentSubjectChar">
    <w:name w:val="Comment Subject Char"/>
    <w:basedOn w:val="CommentTextChar"/>
    <w:link w:val="CommentSubject"/>
    <w:uiPriority w:val="99"/>
    <w:semiHidden/>
    <w:rsid w:val="00124F21"/>
    <w:rPr>
      <w:b/>
      <w:bCs/>
      <w:sz w:val="20"/>
      <w:szCs w:val="20"/>
    </w:rPr>
  </w:style>
  <w:style w:type="paragraph" w:styleId="TOC2">
    <w:name w:val="toc 2"/>
    <w:basedOn w:val="Normal"/>
    <w:next w:val="Normal"/>
    <w:autoRedefine/>
    <w:uiPriority w:val="39"/>
    <w:unhideWhenUsed/>
    <w:rsid w:val="00C81C51"/>
    <w:pPr>
      <w:spacing w:after="100"/>
      <w:ind w:left="240"/>
    </w:pPr>
  </w:style>
  <w:style w:type="paragraph" w:styleId="TOC1">
    <w:name w:val="toc 1"/>
    <w:basedOn w:val="Normal"/>
    <w:next w:val="Normal"/>
    <w:autoRedefine/>
    <w:uiPriority w:val="39"/>
    <w:unhideWhenUsed/>
    <w:rsid w:val="00C81C51"/>
    <w:pPr>
      <w:spacing w:after="100"/>
    </w:pPr>
  </w:style>
  <w:style w:type="paragraph" w:customStyle="1" w:styleId="Bodycopy">
    <w:name w:val="Body copy"/>
    <w:basedOn w:val="Normal"/>
    <w:link w:val="BodycopyChar"/>
    <w:uiPriority w:val="99"/>
    <w:rsid w:val="006D15F4"/>
    <w:pPr>
      <w:widowControl w:val="0"/>
      <w:autoSpaceDE w:val="0"/>
      <w:autoSpaceDN w:val="0"/>
      <w:adjustRightInd w:val="0"/>
      <w:textAlignment w:val="center"/>
    </w:pPr>
    <w:rPr>
      <w:rFonts w:ascii="Montserrat Light" w:hAnsi="Montserrat Light" w:cs="MinionPro-Regular"/>
      <w:color w:val="000000"/>
      <w:sz w:val="20"/>
      <w:lang w:val="en-US"/>
    </w:rPr>
  </w:style>
  <w:style w:type="character" w:customStyle="1" w:styleId="BodycopyChar">
    <w:name w:val="Body copy Char"/>
    <w:basedOn w:val="DefaultParagraphFont"/>
    <w:link w:val="Bodycopy"/>
    <w:uiPriority w:val="99"/>
    <w:rsid w:val="006D15F4"/>
    <w:rPr>
      <w:rFonts w:ascii="Montserrat Light" w:hAnsi="Montserrat Light" w:cs="MinionPro-Regular"/>
      <w:color w:val="000000"/>
      <w:sz w:val="20"/>
      <w:lang w:val="en-US"/>
    </w:rPr>
  </w:style>
  <w:style w:type="paragraph" w:styleId="EndnoteText">
    <w:name w:val="endnote text"/>
    <w:basedOn w:val="Normal"/>
    <w:link w:val="EndnoteTextChar"/>
    <w:uiPriority w:val="99"/>
    <w:semiHidden/>
    <w:unhideWhenUsed/>
    <w:rsid w:val="00D0252B"/>
    <w:rPr>
      <w:sz w:val="20"/>
      <w:szCs w:val="20"/>
    </w:rPr>
  </w:style>
  <w:style w:type="character" w:customStyle="1" w:styleId="EndnoteTextChar">
    <w:name w:val="Endnote Text Char"/>
    <w:basedOn w:val="DefaultParagraphFont"/>
    <w:link w:val="EndnoteText"/>
    <w:uiPriority w:val="99"/>
    <w:semiHidden/>
    <w:rsid w:val="00D0252B"/>
    <w:rPr>
      <w:sz w:val="20"/>
      <w:szCs w:val="20"/>
    </w:rPr>
  </w:style>
  <w:style w:type="character" w:styleId="EndnoteReference">
    <w:name w:val="endnote reference"/>
    <w:basedOn w:val="DefaultParagraphFont"/>
    <w:uiPriority w:val="99"/>
    <w:semiHidden/>
    <w:unhideWhenUsed/>
    <w:rsid w:val="00D0252B"/>
    <w:rPr>
      <w:vertAlign w:val="superscript"/>
    </w:rPr>
  </w:style>
  <w:style w:type="paragraph" w:styleId="Header">
    <w:name w:val="header"/>
    <w:basedOn w:val="Normal"/>
    <w:link w:val="HeaderChar"/>
    <w:uiPriority w:val="99"/>
    <w:unhideWhenUsed/>
    <w:rsid w:val="00D01F17"/>
    <w:pPr>
      <w:tabs>
        <w:tab w:val="center" w:pos="4513"/>
        <w:tab w:val="right" w:pos="9026"/>
      </w:tabs>
    </w:pPr>
  </w:style>
  <w:style w:type="character" w:customStyle="1" w:styleId="HeaderChar">
    <w:name w:val="Header Char"/>
    <w:basedOn w:val="DefaultParagraphFont"/>
    <w:link w:val="Header"/>
    <w:uiPriority w:val="99"/>
    <w:rsid w:val="00D01F17"/>
  </w:style>
  <w:style w:type="paragraph" w:styleId="Footer">
    <w:name w:val="footer"/>
    <w:basedOn w:val="Normal"/>
    <w:link w:val="FooterChar"/>
    <w:uiPriority w:val="99"/>
    <w:unhideWhenUsed/>
    <w:rsid w:val="00D01F17"/>
    <w:pPr>
      <w:tabs>
        <w:tab w:val="center" w:pos="4513"/>
        <w:tab w:val="right" w:pos="9026"/>
      </w:tabs>
    </w:pPr>
  </w:style>
  <w:style w:type="character" w:customStyle="1" w:styleId="FooterChar">
    <w:name w:val="Footer Char"/>
    <w:basedOn w:val="DefaultParagraphFont"/>
    <w:link w:val="Footer"/>
    <w:uiPriority w:val="99"/>
    <w:rsid w:val="00D01F17"/>
  </w:style>
  <w:style w:type="character" w:customStyle="1" w:styleId="Mention1">
    <w:name w:val="Mention1"/>
    <w:basedOn w:val="DefaultParagraphFont"/>
    <w:uiPriority w:val="99"/>
    <w:unhideWhenUsed/>
    <w:rsid w:val="00FB62C5"/>
    <w:rPr>
      <w:color w:val="2B579A"/>
      <w:shd w:val="clear" w:color="auto" w:fill="E1DFDD"/>
    </w:rPr>
  </w:style>
  <w:style w:type="character" w:styleId="FootnoteReference">
    <w:name w:val="footnote reference"/>
    <w:basedOn w:val="DefaultParagraphFont"/>
    <w:semiHidden/>
    <w:unhideWhenUsed/>
    <w:qFormat/>
    <w:rsid w:val="00B27D6D"/>
    <w:rPr>
      <w:vertAlign w:val="superscript"/>
    </w:rPr>
  </w:style>
  <w:style w:type="character" w:styleId="FollowedHyperlink">
    <w:name w:val="FollowedHyperlink"/>
    <w:basedOn w:val="DefaultParagraphFont"/>
    <w:uiPriority w:val="99"/>
    <w:semiHidden/>
    <w:unhideWhenUsed/>
    <w:rsid w:val="00B854CC"/>
    <w:rPr>
      <w:color w:val="954F72" w:themeColor="followedHyperlink"/>
      <w:u w:val="single"/>
    </w:rPr>
  </w:style>
  <w:style w:type="paragraph" w:styleId="ListBullet">
    <w:name w:val="List Bullet"/>
    <w:basedOn w:val="Normal"/>
    <w:uiPriority w:val="99"/>
    <w:unhideWhenUsed/>
    <w:rsid w:val="00841B8D"/>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CHILDREN'S COMMISSIONER 1">
      <a:dk1>
        <a:srgbClr val="202B51"/>
      </a:dk1>
      <a:lt1>
        <a:srgbClr val="FFFFFF"/>
      </a:lt1>
      <a:dk2>
        <a:srgbClr val="44546A"/>
      </a:dk2>
      <a:lt2>
        <a:srgbClr val="E7E6E6"/>
      </a:lt2>
      <a:accent1>
        <a:srgbClr val="19AC86"/>
      </a:accent1>
      <a:accent2>
        <a:srgbClr val="A1D3C3"/>
      </a:accent2>
      <a:accent3>
        <a:srgbClr val="D50F34"/>
      </a:accent3>
      <a:accent4>
        <a:srgbClr val="F1B334"/>
      </a:accent4>
      <a:accent5>
        <a:srgbClr val="753BBD"/>
      </a:accent5>
      <a:accent6>
        <a:srgbClr val="0085AD"/>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eekofpublication xmlns="ffb083f2-0ff9-4120-96db-5f921f02879e" xsi:nil="true"/>
    <TaxCatchAll xmlns="4a4a355b-4925-4e0a-9e42-f8250ef9552c" xsi:nil="true"/>
    <lcf76f155ced4ddcb4097134ff3c332f xmlns="ffb083f2-0ff9-4120-96db-5f921f02879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D908AB042DA14E98E83DD91EDFB348" ma:contentTypeVersion="21" ma:contentTypeDescription="Create a new document." ma:contentTypeScope="" ma:versionID="4bb711232754fea377596d1bf6bf502e">
  <xsd:schema xmlns:xsd="http://www.w3.org/2001/XMLSchema" xmlns:xs="http://www.w3.org/2001/XMLSchema" xmlns:p="http://schemas.microsoft.com/office/2006/metadata/properties" xmlns:ns1="http://schemas.microsoft.com/sharepoint/v3" xmlns:ns2="ffb083f2-0ff9-4120-96db-5f921f02879e" xmlns:ns3="4a4a355b-4925-4e0a-9e42-f8250ef9552c" targetNamespace="http://schemas.microsoft.com/office/2006/metadata/properties" ma:root="true" ma:fieldsID="40a06373eeb1bb4f3df2b9d83bbebca1" ns1:_="" ns2:_="" ns3:_="">
    <xsd:import namespace="http://schemas.microsoft.com/sharepoint/v3"/>
    <xsd:import namespace="ffb083f2-0ff9-4120-96db-5f921f02879e"/>
    <xsd:import namespace="4a4a355b-4925-4e0a-9e42-f8250ef955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Weekofpublication"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b083f2-0ff9-4120-96db-5f921f0287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Weekofpublication" ma:index="24" nillable="true" ma:displayName="Week of publication" ma:description="HaH Care week" ma:format="Dropdown" ma:internalName="Weekofpublicat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4a355b-4925-4e0a-9e42-f8250ef955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bd908e5-696d-40db-8d63-d33e7e6c36cf}" ma:internalName="TaxCatchAll" ma:showField="CatchAllData" ma:web="4a4a355b-4925-4e0a-9e42-f8250ef95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25E22-739F-4BE4-AB86-67599DB08806}">
  <ds:schemaRefs>
    <ds:schemaRef ds:uri="http://schemas.microsoft.com/sharepoint/v3/contenttype/forms"/>
  </ds:schemaRefs>
</ds:datastoreItem>
</file>

<file path=customXml/itemProps2.xml><?xml version="1.0" encoding="utf-8"?>
<ds:datastoreItem xmlns:ds="http://schemas.openxmlformats.org/officeDocument/2006/customXml" ds:itemID="{3B5B0732-AED5-4114-A320-9E198DE65EAC}">
  <ds:schemaRefs>
    <ds:schemaRef ds:uri="http://schemas.microsoft.com/office/2006/metadata/properties"/>
    <ds:schemaRef ds:uri="http://schemas.microsoft.com/office/infopath/2007/PartnerControls"/>
    <ds:schemaRef ds:uri="ffb083f2-0ff9-4120-96db-5f921f02879e"/>
    <ds:schemaRef ds:uri="4a4a355b-4925-4e0a-9e42-f8250ef9552c"/>
    <ds:schemaRef ds:uri="http://schemas.microsoft.com/sharepoint/v3"/>
  </ds:schemaRefs>
</ds:datastoreItem>
</file>

<file path=customXml/itemProps3.xml><?xml version="1.0" encoding="utf-8"?>
<ds:datastoreItem xmlns:ds="http://schemas.openxmlformats.org/officeDocument/2006/customXml" ds:itemID="{EF8FCF4D-439F-4A05-A443-4FD0AAA05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b083f2-0ff9-4120-96db-5f921f02879e"/>
    <ds:schemaRef ds:uri="4a4a355b-4925-4e0a-9e42-f8250ef95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54A21C-B1DD-4B8D-87B2-8200219612E0}">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CSC0101</dc:title>
  <cp:revision>0</cp:revision>
</cp:coreProperties>
</file>