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F3E4D" w:rsidRPr="00161A14" w:rsidP="00FF3E4D">
      <w:pPr>
        <w:spacing w:after="0" w:line="240" w:lineRule="auto"/>
        <w:rPr>
          <w:rFonts w:ascii="Verdana" w:eastAsia="Calibri" w:hAnsi="Verdana" w:cs="Times New Roman"/>
          <w:b/>
          <w:sz w:val="28"/>
          <w:szCs w:val="28"/>
        </w:rPr>
      </w:pPr>
      <w:r w:rsidRPr="00161A14">
        <w:rPr>
          <w:rFonts w:ascii="Verdana" w:eastAsia="Calibri" w:hAnsi="Verdana" w:cs="Times New Roman"/>
          <w:b/>
          <w:sz w:val="28"/>
          <w:szCs w:val="28"/>
        </w:rPr>
        <w:t xml:space="preserve">Professor Aoife O’Donoghue, Queen’s University Belfast and Dr Aislinn Fanning Newcastle Law School – Written </w:t>
      </w:r>
      <w:r w:rsidR="009D257C">
        <w:rPr>
          <w:rFonts w:ascii="Verdana" w:eastAsia="Calibri" w:hAnsi="Verdana" w:cs="Times New Roman"/>
          <w:b/>
          <w:sz w:val="28"/>
          <w:szCs w:val="28"/>
        </w:rPr>
        <w:t>evidence</w:t>
      </w:r>
      <w:r w:rsidRPr="00161A14">
        <w:rPr>
          <w:rFonts w:ascii="Verdana" w:eastAsia="Calibri" w:hAnsi="Verdana" w:cs="Times New Roman"/>
          <w:b/>
          <w:sz w:val="28"/>
          <w:szCs w:val="28"/>
        </w:rPr>
        <w:t xml:space="preserve"> (ART0006)</w:t>
      </w:r>
    </w:p>
    <w:p w:rsidR="00FF3E4D" w:rsidP="00FF3E4D">
      <w:pPr>
        <w:spacing w:after="0" w:line="240" w:lineRule="auto"/>
        <w:rPr>
          <w:rFonts w:ascii="Verdana" w:eastAsia="Calibri" w:hAnsi="Verdana" w:cs="Times New Roman"/>
          <w:b/>
        </w:rPr>
      </w:pPr>
    </w:p>
    <w:p w:rsidR="004B25CF" w:rsidRPr="00FF3E4D" w:rsidP="00FF3E4D">
      <w:pPr>
        <w:spacing w:after="0" w:line="240" w:lineRule="auto"/>
        <w:rPr>
          <w:rFonts w:ascii="Verdana" w:eastAsia="Calibri" w:hAnsi="Verdana" w:cs="Times New Roman"/>
          <w:b/>
          <w:bCs/>
        </w:rPr>
      </w:pPr>
      <w:r w:rsidRPr="00FF3E4D">
        <w:rPr>
          <w:rFonts w:ascii="Verdana" w:eastAsia="Calibri" w:hAnsi="Verdana" w:cs="Times New Roman"/>
          <w:b/>
        </w:rPr>
        <w:t xml:space="preserve">Response to </w:t>
      </w:r>
      <w:r w:rsidRPr="00FF3E4D">
        <w:rPr>
          <w:rFonts w:ascii="Verdana" w:eastAsia="Calibri" w:hAnsi="Verdana" w:cs="Times New Roman"/>
          <w:b/>
          <w:bCs/>
        </w:rPr>
        <w:t>Northern Ireland Scrutiny Committee Inquiry on Article 2 of the Protocol/Windsor Framework</w:t>
      </w:r>
    </w:p>
    <w:p w:rsidR="004B25CF" w:rsidRPr="00FF3E4D" w:rsidP="00FF3E4D">
      <w:pPr>
        <w:spacing w:after="0" w:line="240" w:lineRule="auto"/>
        <w:rPr>
          <w:rFonts w:ascii="Verdana" w:eastAsia="Calibri" w:hAnsi="Verdana" w:cs="Times New Roman"/>
        </w:rPr>
      </w:pPr>
    </w:p>
    <w:p w:rsidR="004B25CF" w:rsidRPr="00FF3E4D" w:rsidP="00FF3E4D">
      <w:pPr>
        <w:spacing w:before="120" w:after="120" w:line="240" w:lineRule="auto"/>
        <w:rPr>
          <w:rFonts w:ascii="Verdana" w:eastAsia="Calibri" w:hAnsi="Verdana" w:cs="Times New Roman"/>
          <w:i/>
        </w:rPr>
      </w:pPr>
      <w:r w:rsidRPr="00FF3E4D">
        <w:rPr>
          <w:rFonts w:ascii="Verdana" w:eastAsia="Calibri" w:hAnsi="Verdana" w:cs="Times New Roman"/>
          <w:i/>
        </w:rPr>
        <w:t>Author Biographies:</w:t>
      </w:r>
    </w:p>
    <w:p w:rsidR="004B25CF" w:rsidRPr="00FF3E4D" w:rsidP="00FF3E4D">
      <w:pPr>
        <w:spacing w:before="120" w:after="120" w:line="240" w:lineRule="auto"/>
        <w:rPr>
          <w:rFonts w:ascii="Verdana" w:eastAsia="Calibri" w:hAnsi="Verdana" w:cs="Times New Roman"/>
        </w:rPr>
      </w:pPr>
      <w:r w:rsidRPr="00FF3E4D">
        <w:rPr>
          <w:rFonts w:ascii="Verdana" w:eastAsia="Calibri" w:hAnsi="Verdana" w:cs="Times New Roman"/>
          <w:b/>
        </w:rPr>
        <w:t>Prof Aoife O’Donoghue</w:t>
      </w:r>
      <w:r w:rsidRPr="00FF3E4D">
        <w:rPr>
          <w:rFonts w:ascii="Verdana" w:eastAsia="Calibri" w:hAnsi="Verdana" w:cs="Times New Roman"/>
        </w:rPr>
        <w:t xml:space="preserve"> is a Professor of Law at Queen’s University Belfast. Prof O’Donoghue has extensive experience researching on Brexit and Northern Ireland, including academic publications and reports for both the Northern Ireland Human Rights Commission, the Equality Commission for Northern Ireland and the Joint Committee of the Irish Human Rights and Equality Commission and the Northern Ireland Human Rights Commission. Her research interests centre on international law and constitutionalism with a particular focus on the impact of law on women.</w:t>
      </w:r>
    </w:p>
    <w:p w:rsidR="004B25CF" w:rsidRPr="00FF3E4D" w:rsidP="00FF3E4D">
      <w:pPr>
        <w:spacing w:before="120" w:after="120" w:line="240" w:lineRule="auto"/>
        <w:rPr>
          <w:rFonts w:ascii="Verdana" w:eastAsia="Calibri" w:hAnsi="Verdana" w:cs="Times New Roman"/>
        </w:rPr>
      </w:pPr>
      <w:r w:rsidRPr="00FF3E4D">
        <w:rPr>
          <w:rFonts w:ascii="Verdana" w:eastAsia="Calibri" w:hAnsi="Verdana" w:cs="Times New Roman"/>
        </w:rPr>
        <w:t xml:space="preserve">Website: </w:t>
      </w:r>
      <w:r>
        <w:fldChar w:fldCharType="begin"/>
      </w:r>
      <w:r>
        <w:instrText xml:space="preserve"> HYPERLINK "https://pure.qub.ac.uk/en/persons/aoife-odonoghue/" </w:instrText>
      </w:r>
      <w:r>
        <w:fldChar w:fldCharType="separate"/>
      </w:r>
      <w:r w:rsidRPr="00FF3E4D">
        <w:rPr>
          <w:rStyle w:val="Hyperlink"/>
          <w:rFonts w:ascii="Verdana" w:eastAsia="Calibri" w:hAnsi="Verdana" w:cs="Times New Roman"/>
        </w:rPr>
        <w:t>https://pure.qub.ac.uk/en/persons/aoife-odonoghue/</w:t>
      </w:r>
      <w:r>
        <w:fldChar w:fldCharType="end"/>
      </w:r>
      <w:r w:rsidRPr="00FF3E4D">
        <w:rPr>
          <w:rFonts w:ascii="Verdana" w:eastAsia="Calibri" w:hAnsi="Verdana" w:cs="Times New Roman"/>
        </w:rPr>
        <w:t xml:space="preserve"> </w:t>
      </w:r>
    </w:p>
    <w:p w:rsidR="004B25CF" w:rsidRPr="00FF3E4D" w:rsidP="00FF3E4D">
      <w:pPr>
        <w:spacing w:before="120" w:after="120" w:line="240" w:lineRule="auto"/>
        <w:rPr>
          <w:rFonts w:ascii="Verdana" w:eastAsia="Calibri" w:hAnsi="Verdana" w:cs="Times New Roman"/>
          <w:b/>
        </w:rPr>
      </w:pPr>
    </w:p>
    <w:p w:rsidR="004B25CF" w:rsidRPr="00FF3E4D" w:rsidP="00FF3E4D">
      <w:pPr>
        <w:spacing w:before="120" w:after="120" w:line="240" w:lineRule="auto"/>
        <w:rPr>
          <w:rFonts w:ascii="Verdana" w:eastAsia="Calibri" w:hAnsi="Verdana" w:cs="Times New Roman"/>
          <w:bCs/>
        </w:rPr>
      </w:pPr>
      <w:r w:rsidRPr="00FF3E4D">
        <w:rPr>
          <w:rFonts w:ascii="Verdana" w:eastAsia="Calibri" w:hAnsi="Verdana" w:cs="Times New Roman"/>
          <w:b/>
        </w:rPr>
        <w:t xml:space="preserve">Dr Aislinn Fanning </w:t>
      </w:r>
      <w:r w:rsidRPr="00FF3E4D">
        <w:rPr>
          <w:rFonts w:ascii="Verdana" w:eastAsia="Calibri" w:hAnsi="Verdana" w:cs="Times New Roman"/>
          <w:bCs/>
        </w:rPr>
        <w:t xml:space="preserve">is a Leverhulme Early Career Fellow at Newcastle Law School. Dr Fanning has extensive expertise in equality and anti-discrimination law in Northern Ireland and has a particular interest in the impacts of this area of law on women and LGBTQ+ people. She has written on the implications of Brexit for this area of law in NI and the rest of the UK, and on the impacts of Brexit on EU anti-discrimination law. She works closely with civil society organisations in NI and is the Chair of Women’s Platform NI (previously Northern Ireland Women’s European Platform). </w:t>
      </w:r>
    </w:p>
    <w:p w:rsidR="004B25CF" w:rsidRPr="00FF3E4D" w:rsidP="00FF3E4D">
      <w:pPr>
        <w:spacing w:before="120" w:after="120" w:line="240" w:lineRule="auto"/>
        <w:rPr>
          <w:rFonts w:ascii="Verdana" w:eastAsia="Calibri" w:hAnsi="Verdana" w:cs="Times New Roman"/>
          <w:b/>
          <w:i/>
        </w:rPr>
      </w:pPr>
      <w:r w:rsidRPr="00FF3E4D">
        <w:rPr>
          <w:rFonts w:ascii="Verdana" w:eastAsia="Calibri" w:hAnsi="Verdana" w:cs="Times New Roman"/>
          <w:b/>
          <w:i/>
        </w:rPr>
        <w:t>Relevant Outputs:</w:t>
      </w:r>
    </w:p>
    <w:p w:rsidR="004B25CF" w:rsidRPr="00FF3E4D" w:rsidP="00FF3E4D">
      <w:pPr>
        <w:pStyle w:val="ListParagraph"/>
        <w:numPr>
          <w:ilvl w:val="0"/>
          <w:numId w:val="4"/>
        </w:numPr>
        <w:spacing w:before="120" w:after="120" w:line="240" w:lineRule="auto"/>
        <w:rPr>
          <w:rFonts w:ascii="Verdana" w:eastAsia="Calibri" w:hAnsi="Verdana" w:cs="Times New Roman"/>
        </w:rPr>
      </w:pPr>
      <w:r w:rsidRPr="00FF3E4D">
        <w:rPr>
          <w:rFonts w:ascii="Verdana" w:eastAsia="Calibri" w:hAnsi="Verdana" w:cs="Times New Roman"/>
        </w:rPr>
        <w:t xml:space="preserve">Anurag Deb, Eleni Frantziou, Sylvia de Mars, Colin Murray and Aoife O’Donoghue Windsor Framework Article 2: Enforcement and Remedies Dec 2025 Northern Ireland Human Rights Commission </w:t>
      </w:r>
      <w:r>
        <w:fldChar w:fldCharType="begin"/>
      </w:r>
      <w:r>
        <w:instrText xml:space="preserve"> HYPERLINK "https://nihrc.org/publication/detail/research-windsor-framework-article-2-enforcement-and-remedies" </w:instrText>
      </w:r>
      <w:r>
        <w:fldChar w:fldCharType="separate"/>
      </w:r>
      <w:r w:rsidRPr="00FF3E4D">
        <w:rPr>
          <w:rStyle w:val="Hyperlink"/>
          <w:rFonts w:ascii="Verdana" w:eastAsia="Calibri" w:hAnsi="Verdana" w:cs="Times New Roman"/>
        </w:rPr>
        <w:t>https://nihrc.org/publication/detail/research-windsor-framework-article-2-enforcement-and-remedies</w:t>
      </w:r>
      <w:r>
        <w:fldChar w:fldCharType="end"/>
      </w:r>
      <w:r w:rsidRPr="00FF3E4D">
        <w:rPr>
          <w:rFonts w:ascii="Verdana" w:eastAsia="Calibri" w:hAnsi="Verdana" w:cs="Times New Roman"/>
        </w:rPr>
        <w:t xml:space="preserve"> </w:t>
      </w:r>
    </w:p>
    <w:p w:rsidR="004B25CF" w:rsidRPr="00FF3E4D" w:rsidP="00FF3E4D">
      <w:pPr>
        <w:pStyle w:val="ListParagraph"/>
        <w:numPr>
          <w:ilvl w:val="0"/>
          <w:numId w:val="4"/>
        </w:numPr>
        <w:spacing w:before="120" w:after="120" w:line="240" w:lineRule="auto"/>
        <w:rPr>
          <w:rFonts w:ascii="Verdana" w:eastAsia="Calibri" w:hAnsi="Verdana" w:cs="Times New Roman"/>
        </w:rPr>
      </w:pPr>
      <w:r w:rsidRPr="00FF3E4D">
        <w:rPr>
          <w:rFonts w:ascii="Verdana" w:eastAsia="Calibri" w:hAnsi="Verdana" w:cs="Times New Roman"/>
        </w:rPr>
        <w:t>Sylvia de Mars &amp; Aoife O’Donoghue ‘Law and Scale: Lessons from Northern Ireland and Brexit’ (2024) Legal Studies 1-32</w:t>
      </w:r>
    </w:p>
    <w:p w:rsidR="004B25CF" w:rsidRPr="00FF3E4D" w:rsidP="00FF3E4D">
      <w:pPr>
        <w:pStyle w:val="ListParagraph"/>
        <w:numPr>
          <w:ilvl w:val="0"/>
          <w:numId w:val="4"/>
        </w:numPr>
        <w:spacing w:before="120" w:after="120" w:line="240" w:lineRule="auto"/>
        <w:rPr>
          <w:rFonts w:ascii="Verdana" w:eastAsia="Calibri" w:hAnsi="Verdana" w:cs="Times New Roman"/>
        </w:rPr>
      </w:pPr>
      <w:r w:rsidRPr="00FF3E4D">
        <w:rPr>
          <w:rFonts w:ascii="Verdana" w:eastAsia="Calibri" w:hAnsi="Verdana" w:cs="Times New Roman"/>
        </w:rPr>
        <w:t>Kathryn McNeilly &amp; Aoife O’Donoghue ‘Mapping the Tapestry: National and International Human Rights Frameworks in Northern Ireland and Ireland (2023) 34 (2) Irish Studies in International Affairs 1-29</w:t>
      </w:r>
    </w:p>
    <w:p w:rsidR="004B25CF" w:rsidRPr="00FF3E4D" w:rsidP="00FF3E4D">
      <w:pPr>
        <w:pStyle w:val="ListParagraph"/>
        <w:numPr>
          <w:ilvl w:val="0"/>
          <w:numId w:val="4"/>
        </w:numPr>
        <w:spacing w:before="120" w:after="120" w:line="240" w:lineRule="auto"/>
        <w:rPr>
          <w:rFonts w:ascii="Verdana" w:eastAsia="Calibri" w:hAnsi="Verdana" w:cs="Times New Roman"/>
        </w:rPr>
      </w:pPr>
      <w:r w:rsidRPr="00FF3E4D">
        <w:rPr>
          <w:rFonts w:ascii="Verdana" w:eastAsia="Calibri" w:hAnsi="Verdana" w:cs="Times New Roman"/>
        </w:rPr>
        <w:t>Aoife O’Donoghue ‘Non-Discrimination: Article 2 in Context’ in Federico Fabbrini (ed) The Law &amp; Politics of Brexit Part IV (OUP, 2022) 89-106</w:t>
      </w:r>
    </w:p>
    <w:p w:rsidR="004B25CF" w:rsidRPr="00FF3E4D" w:rsidP="00FF3E4D">
      <w:pPr>
        <w:pStyle w:val="ListParagraph"/>
        <w:numPr>
          <w:ilvl w:val="0"/>
          <w:numId w:val="4"/>
        </w:numPr>
        <w:spacing w:before="120" w:after="120" w:line="240" w:lineRule="auto"/>
        <w:rPr>
          <w:rFonts w:ascii="Verdana" w:eastAsia="Calibri" w:hAnsi="Verdana" w:cs="Times New Roman"/>
        </w:rPr>
      </w:pPr>
      <w:r w:rsidRPr="00FF3E4D">
        <w:rPr>
          <w:rFonts w:ascii="Verdana" w:eastAsia="Calibri" w:hAnsi="Verdana" w:cs="Times New Roman"/>
        </w:rPr>
        <w:t>Dagmar Schiek &amp; Aislinn Fanning ‘Equality Law after Brexit: Stunted or Reverse Repatriation?’ in Adam Lazowski &amp; Adam Cygan (eds) Research Handbook on the Legal Aspects of Brexit (Edward Elgar 2022) 346-366</w:t>
      </w:r>
    </w:p>
    <w:p w:rsidR="004B25CF" w:rsidRPr="00FF3E4D" w:rsidP="00FF3E4D">
      <w:pPr>
        <w:pStyle w:val="ListParagraph"/>
        <w:numPr>
          <w:ilvl w:val="0"/>
          <w:numId w:val="4"/>
        </w:numPr>
        <w:spacing w:before="120" w:after="120" w:line="240" w:lineRule="auto"/>
        <w:rPr>
          <w:rFonts w:ascii="Verdana" w:eastAsia="Calibri" w:hAnsi="Verdana" w:cs="Times New Roman"/>
        </w:rPr>
      </w:pPr>
      <w:r w:rsidRPr="00FF3E4D">
        <w:rPr>
          <w:rFonts w:ascii="Verdana" w:eastAsia="Calibri" w:hAnsi="Verdana" w:cs="Times New Roman"/>
        </w:rPr>
        <w:t>Colin Murray &amp; Aoife O’Donoghue ‘Life after Brexit: Operationalising the Belfast/Good Friday Agreement’s Principle of Consent’ (2019) 42 Dublin University Law Journal 147 – 189 (with C Murray)</w:t>
      </w:r>
    </w:p>
    <w:p w:rsidR="004B25CF" w:rsidRPr="00FF3E4D" w:rsidP="00FF3E4D">
      <w:pPr>
        <w:pStyle w:val="ListParagraph"/>
        <w:numPr>
          <w:ilvl w:val="0"/>
          <w:numId w:val="4"/>
        </w:numPr>
        <w:spacing w:before="120" w:after="120" w:line="240" w:lineRule="auto"/>
        <w:rPr>
          <w:rFonts w:ascii="Verdana" w:eastAsia="Calibri" w:hAnsi="Verdana" w:cs="Times New Roman"/>
        </w:rPr>
      </w:pPr>
      <w:r w:rsidRPr="00FF3E4D">
        <w:rPr>
          <w:rFonts w:ascii="Verdana" w:eastAsia="Calibri" w:hAnsi="Verdana" w:cs="Times New Roman"/>
        </w:rPr>
        <w:t xml:space="preserve">Sylvia de Mars, Colin Murray, Aoife O’Donoghue &amp; Ben Warwick ‘EU Citizenship in Northern Ireland Post Brexit’ Mar 2020 Joint Committee of the Irish Human Right and Equality Commission and the Northern Ireland Human </w:t>
      </w:r>
      <w:r w:rsidRPr="00FF3E4D">
        <w:rPr>
          <w:rFonts w:ascii="Verdana" w:eastAsia="Calibri" w:hAnsi="Verdana" w:cs="Times New Roman"/>
        </w:rPr>
        <w:t xml:space="preserve">Rights Commission </w:t>
      </w:r>
      <w:r>
        <w:fldChar w:fldCharType="begin"/>
      </w:r>
      <w:r>
        <w:instrText xml:space="preserve"> HYPERLINK "https://www.ihrec.ie/downloads/EU-Citizenship-Rights-Opportunities-and-Benefits-in-NIR-after-Brexit.pdf" </w:instrText>
      </w:r>
      <w:r>
        <w:fldChar w:fldCharType="separate"/>
      </w:r>
      <w:r w:rsidRPr="00FF3E4D">
        <w:rPr>
          <w:rStyle w:val="Hyperlink"/>
          <w:rFonts w:ascii="Verdana" w:eastAsia="Calibri" w:hAnsi="Verdana" w:cs="Times New Roman"/>
        </w:rPr>
        <w:t>https://www.ihrec.ie/downloads/EU-Citizenship-Rights-Opportunities-and-Benefits-in-NIR-after-Brexit.pdf</w:t>
      </w:r>
      <w:r>
        <w:fldChar w:fldCharType="end"/>
      </w:r>
      <w:r w:rsidRPr="00FF3E4D">
        <w:rPr>
          <w:rFonts w:ascii="Verdana" w:eastAsia="Calibri" w:hAnsi="Verdana" w:cs="Times New Roman"/>
        </w:rPr>
        <w:t xml:space="preserve"> </w:t>
      </w:r>
    </w:p>
    <w:p w:rsidR="004B25CF" w:rsidRPr="00FF3E4D" w:rsidP="00FF3E4D">
      <w:pPr>
        <w:pStyle w:val="ListParagraph"/>
        <w:numPr>
          <w:ilvl w:val="0"/>
          <w:numId w:val="4"/>
        </w:numPr>
        <w:spacing w:before="120" w:after="120" w:line="240" w:lineRule="auto"/>
        <w:rPr>
          <w:rFonts w:ascii="Verdana" w:eastAsia="Calibri" w:hAnsi="Verdana" w:cs="Times New Roman"/>
        </w:rPr>
      </w:pPr>
      <w:r w:rsidRPr="00FF3E4D">
        <w:rPr>
          <w:rFonts w:ascii="Verdana" w:eastAsia="Calibri" w:hAnsi="Verdana" w:cs="Times New Roman"/>
        </w:rPr>
        <w:t>Aoife O’Donoghue and Ben TC Warwick, ‘Constitutionally Questioned: UK Debates, International Law, and Northern Ireland’ (2015) 66(1) Northern Ireland Legal Quarterly 93.</w:t>
      </w:r>
    </w:p>
    <w:p w:rsidR="004B25CF" w:rsidRPr="00FF3E4D" w:rsidP="00FF3E4D">
      <w:pPr>
        <w:spacing w:before="120" w:after="120" w:line="240" w:lineRule="auto"/>
        <w:rPr>
          <w:rFonts w:ascii="Verdana" w:eastAsia="Calibri" w:hAnsi="Verdana" w:cs="Times New Roman"/>
          <w:b/>
        </w:rPr>
      </w:pPr>
      <w:r w:rsidRPr="00FF3E4D">
        <w:rPr>
          <w:rFonts w:ascii="Verdana" w:eastAsia="Calibri" w:hAnsi="Verdana" w:cs="Times New Roman"/>
          <w:b/>
        </w:rPr>
        <w:t>Summary</w:t>
      </w:r>
    </w:p>
    <w:p w:rsidR="004B25CF" w:rsidRPr="00FF3E4D" w:rsidP="00FF3E4D">
      <w:pPr>
        <w:spacing w:before="120" w:after="120" w:line="240" w:lineRule="auto"/>
        <w:rPr>
          <w:rFonts w:ascii="Verdana" w:eastAsia="Times New Roman" w:hAnsi="Verdana" w:cs="Calibri"/>
          <w:lang w:eastAsia="en-GB"/>
        </w:rPr>
      </w:pPr>
      <w:r w:rsidRPr="00FF3E4D">
        <w:rPr>
          <w:rFonts w:ascii="Verdana" w:eastAsia="Times New Roman" w:hAnsi="Verdana" w:cs="Calibri"/>
          <w:lang w:eastAsia="en-GB"/>
        </w:rPr>
        <w:t>1. The Northern Ireland Scrutiny Committee’s call for evidence covers a range of issues connected to Article 2 of the Protocol/Windsor Framework (WF). The following submission addresses several of the questions posed by the Committee and, in answering those questions, incorporates a specific focus on women. Article 2 of the WF does not directly address women’s rights and equalities. Nonetheless, two aspects of Article 2 mean that a focus on women is required. First, the content of Annex 1 EU Directives directly addresses women’s equality and anti-discrimination requirements, with four out of six specifically centred on the equal treatment of men and women in access to goods, services and employment. Second, the Rights, Safeguards and Equality of Opportunity (RSEO) chapter of the 1998 Agreement acknowledges the importance of ‘the advancement of women in public life’, it includes women as members of the communities living in Northern Ireland alongside specific commitments to ‘the right of women to full and equal political participation.’ The answers also incorporate the recent decision of the Supreme Court in Re Dillon [2026] UKSC 15 and its implications for Article 2 WF.</w:t>
      </w:r>
    </w:p>
    <w:p w:rsidR="004B25CF" w:rsidRPr="00FF3E4D" w:rsidP="00FF3E4D">
      <w:pPr>
        <w:spacing w:after="160" w:line="240" w:lineRule="auto"/>
        <w:rPr>
          <w:rFonts w:ascii="Verdana" w:hAnsi="Verdana"/>
          <w:b/>
          <w:bCs/>
        </w:rPr>
      </w:pPr>
      <w:r w:rsidRPr="00FF3E4D">
        <w:rPr>
          <w:rFonts w:ascii="Verdana" w:hAnsi="Verdana"/>
          <w:b/>
          <w:bCs/>
        </w:rPr>
        <w:t>1. Why did the UK and EU negotiate and include Article 2 WF in the Protocol/ Windsor Framework? How does Article 2 WF relate to the Belfast/ Good Friday Agreement?</w:t>
      </w:r>
    </w:p>
    <w:p w:rsidR="004B25CF" w:rsidRPr="00FF3E4D" w:rsidP="00FF3E4D">
      <w:pPr>
        <w:spacing w:after="160" w:line="240" w:lineRule="auto"/>
        <w:rPr>
          <w:rFonts w:ascii="Verdana" w:hAnsi="Verdana"/>
        </w:rPr>
      </w:pPr>
      <w:r w:rsidRPr="00FF3E4D">
        <w:rPr>
          <w:rFonts w:ascii="Verdana" w:hAnsi="Verdana"/>
        </w:rPr>
        <w:t>2. Article 2 WF was settled very early in the negotiations and was largely uncontested. The aim of including Article 2 was to ensure that the UK’s exit from the EU would not lead to any diminution of rights and equality protections in Northern Ireland.</w:t>
      </w:r>
    </w:p>
    <w:p w:rsidR="004B25CF" w:rsidRPr="00FF3E4D" w:rsidP="00FF3E4D">
      <w:pPr>
        <w:spacing w:after="160" w:line="240" w:lineRule="auto"/>
        <w:rPr>
          <w:rFonts w:ascii="Verdana" w:hAnsi="Verdana"/>
        </w:rPr>
      </w:pPr>
      <w:r w:rsidRPr="00FF3E4D">
        <w:rPr>
          <w:rFonts w:ascii="Verdana" w:hAnsi="Verdana"/>
        </w:rPr>
        <w:t xml:space="preserve">3. Non-diminution is a specific term that means that there are no circumstances in which rights can regress. This contrasts with non-retrogression, where there are circumstances where that might be possible. Non-diminution is operational from the date of exiting the EU, that is January 31, 2020. This date is significant because it captures the status of rights in Northern Ireland on that date, and not the coming into operation of the 1998 Agreement or the Northern Ireland Act 1998. </w:t>
      </w:r>
    </w:p>
    <w:p w:rsidR="004B25CF" w:rsidRPr="00FF3E4D" w:rsidP="00FF3E4D">
      <w:pPr>
        <w:spacing w:after="160" w:line="240" w:lineRule="auto"/>
        <w:rPr>
          <w:rFonts w:ascii="Verdana" w:hAnsi="Verdana"/>
        </w:rPr>
      </w:pPr>
      <w:r w:rsidRPr="00FF3E4D">
        <w:rPr>
          <w:rFonts w:ascii="Verdana" w:hAnsi="Verdana"/>
        </w:rPr>
        <w:t>4. Article 2 enabled the UK to maintain its commitments under the 1998 Agreement as a treaty which requires that an equivalent level of rights in the two jurisdictions on the island is maintained. These commitments are maintained via substantive rights and equalities, but also through institutional support through statutory human rights bodies and the courts. Article 2 achieves this objective in two ways. First, the pegging of the status of RSEO rights to date of exit from the EU, which is then reinforced by both Ireland and the UK’s continued status as signatories of the European Convention on Human Rights and incorporating those obligations into domestic law by both states. Second, Article 2 requires that Northern Ireland’s law keeps pace with EU reform of the six Directives in Annex 1 of the WF.</w:t>
      </w:r>
    </w:p>
    <w:p w:rsidR="004B25CF" w:rsidRPr="00FF3E4D" w:rsidP="00FF3E4D">
      <w:pPr>
        <w:spacing w:after="160" w:line="240" w:lineRule="auto"/>
        <w:rPr>
          <w:rFonts w:ascii="Verdana" w:hAnsi="Verdana"/>
        </w:rPr>
      </w:pPr>
      <w:r w:rsidRPr="00FF3E4D">
        <w:rPr>
          <w:rFonts w:ascii="Verdana" w:hAnsi="Verdana"/>
        </w:rPr>
        <w:t>5. From the perspective of women’s rights, non-diminution being judged as of Brexit day is important, as this sets the minimum bar for women’s rights both as specifically mentioned under the RSEO chapter but also more broadly as members of Northern Ireland’s communities. Women’s rights, while there remains significant work to be done, have advanced significantly since 1998. Further, the requirement to keep pace with the six Directives ensures that women in Northern Ireland do not fall behind women living on the island of Ireland or the EU regarding equality and anti-discrimination.</w:t>
      </w:r>
    </w:p>
    <w:p w:rsidR="004B25CF" w:rsidRPr="00FF3E4D" w:rsidP="00FF3E4D">
      <w:pPr>
        <w:spacing w:after="160" w:line="240" w:lineRule="auto"/>
        <w:rPr>
          <w:rFonts w:ascii="Verdana" w:hAnsi="Verdana"/>
          <w:b/>
          <w:bCs/>
        </w:rPr>
      </w:pPr>
      <w:r w:rsidRPr="00FF3E4D">
        <w:rPr>
          <w:rFonts w:ascii="Verdana" w:hAnsi="Verdana"/>
          <w:b/>
          <w:bCs/>
        </w:rPr>
        <w:t>2. Prior to Brexit, how were the rights, safeguards, and equality of opportunity (RSEO) provisions of the Belfast/ Good Friday Agreement protected?</w:t>
      </w:r>
    </w:p>
    <w:p w:rsidR="004B25CF" w:rsidRPr="00FF3E4D" w:rsidP="00FF3E4D">
      <w:pPr>
        <w:spacing w:line="240" w:lineRule="auto"/>
        <w:rPr>
          <w:rFonts w:ascii="Verdana" w:hAnsi="Verdana"/>
        </w:rPr>
      </w:pPr>
      <w:r w:rsidRPr="00FF3E4D">
        <w:rPr>
          <w:rFonts w:ascii="Verdana" w:hAnsi="Verdana"/>
        </w:rPr>
        <w:t>6. Prior to Brexit, membership of the EU was a key pillar of rights in Northern Ireland. While not mentioned in the 1998 Agreement, the EU is mentioned in previous Declarations on the peace process and was a central plank in maintaining equivalence of rights on the island. The EU’s Charter of Fundamental Rights and its extensive body of treaty provisions, regulations, directives and case law on equalities and non-discrimination was also a central part of that system. Indeed, in the absence of any substantive equality or anti-discrimination legislation being passed by the NI Assembly since equality was devolved to NI in 1999, any progress on anti-discrimination legislation has been made via incorporation of EU requirements into domestic law by the UK government at Westminster. Many of these developments afforded specific non-discrimination protections for women (e.g., the inclusion of gender reassignment within the scope of the Sex Discrimination (NI) Order 1976, or prohibitions on pregnancy and maternity discrimination). The importance of the EU in ensuring RSEO provisions is illustrated in the work of both the Northern Ireland Human Rights Commission (NIHRC) and the Equality Commission of Northern Ireland (ECNI).</w:t>
      </w:r>
    </w:p>
    <w:p w:rsidR="004B25CF" w:rsidRPr="00FF3E4D" w:rsidP="00FF3E4D">
      <w:pPr>
        <w:spacing w:line="240" w:lineRule="auto"/>
        <w:rPr>
          <w:rFonts w:ascii="Verdana" w:hAnsi="Verdana"/>
          <w:b/>
          <w:bCs/>
        </w:rPr>
      </w:pPr>
      <w:r w:rsidRPr="00FF3E4D">
        <w:rPr>
          <w:rFonts w:ascii="Verdana" w:hAnsi="Verdana"/>
          <w:b/>
          <w:bCs/>
        </w:rPr>
        <w:t>3. What is your view as to the inclusion of Article 2 WF in the Protocol/ Windsor Framework?</w:t>
      </w:r>
    </w:p>
    <w:p w:rsidR="004B25CF" w:rsidRPr="00FF3E4D" w:rsidP="00FF3E4D">
      <w:pPr>
        <w:spacing w:line="240" w:lineRule="auto"/>
        <w:rPr>
          <w:rFonts w:ascii="Verdana" w:hAnsi="Verdana"/>
        </w:rPr>
      </w:pPr>
      <w:r w:rsidRPr="00FF3E4D">
        <w:rPr>
          <w:rFonts w:ascii="Verdana" w:hAnsi="Verdana"/>
        </w:rPr>
        <w:t>7. The inclusion of Article 2 WF is essential for maintaining the progress of rights and equalities made in Northern Ireland since 1998. This is important for several reasons. First, the ongoing failure to introduce either a Bill of Rights for Northern Ireland or a Charter of Rights for the whole island, or both, means that a whole part of the intended human rights and equalities infrastructure is still not in place. There has also been little progress made by the NI Assembly to strengthen, harmonise or consolidate anti-discrimination and equality law as has been done in the rest of the UK via the Equality Act 2010. Removing the EU from the overall tapestry of rights and equalities risked removing a system that had somewhat compensated for that lack of implementation. Second, Article 2 acknowledges that Northern Ireland now has a completely different human rights and equalities landscape than it had in 1998. While there is plenty of space for reform and improvement, acknowledging that progress and not allowing a regression to the status quo of 1998 was essential. This is particularly the case for women’s rights and equalities protections, as well as for other minority groups that do not come within the traditional ‘two community’ paradigm. Third, Article 2 allows the commitments within the 1998 Agreement regarding rights equivalence on the island to remain in place.</w:t>
      </w:r>
    </w:p>
    <w:p w:rsidR="004B25CF" w:rsidRPr="00FF3E4D" w:rsidP="00FF3E4D">
      <w:pPr>
        <w:spacing w:line="240" w:lineRule="auto"/>
        <w:rPr>
          <w:rFonts w:ascii="Verdana" w:hAnsi="Verdana"/>
          <w:b/>
          <w:bCs/>
        </w:rPr>
      </w:pPr>
      <w:r w:rsidRPr="00FF3E4D">
        <w:rPr>
          <w:rFonts w:ascii="Verdana" w:hAnsi="Verdana"/>
          <w:b/>
          <w:bCs/>
        </w:rPr>
        <w:t>4. What obligation is imposed on the UK Government by Article 2 WF? What is the significance of this obligation for Northern Ireland, and for the UK Government?</w:t>
      </w:r>
    </w:p>
    <w:p w:rsidR="004B25CF" w:rsidRPr="00FF3E4D" w:rsidP="00FF3E4D">
      <w:pPr>
        <w:spacing w:before="120" w:after="120" w:line="240" w:lineRule="auto"/>
        <w:rPr>
          <w:rFonts w:ascii="Verdana" w:hAnsi="Verdana"/>
        </w:rPr>
      </w:pPr>
      <w:r w:rsidRPr="00FF3E4D">
        <w:rPr>
          <w:rFonts w:ascii="Verdana" w:hAnsi="Verdana"/>
        </w:rPr>
        <w:t>8. The entirety of the obligations under Article 2 lies with the UK Government. These are also positive obligations that require the UK Government to be pro-active. It is the UK Government’s responsibility to ensure implementation, enforcement and facilitation of the implementation, including by the Dedicated Mechanism. This requires that the UK Government takes all necessary steps to ensure that the rights and equalities protection in both parts of Article 2 – those connected to the RSEO and to Annex 1 - are accessible by individuals and enforceable in courts. It also requires that the UK Government fully support and sufficiently resource the Dedicated Mechanism – the Northern Ireland Human Rights Commission and the Equality Commission for Northern Ireland – to carry out their work of monitoring for compliance with Article 2. Article 2 obliges the UK government to ensure there is non-diminution of rights from the date of Brexit. Further, it obliges the UK government to monitor changes at the EU level to the six Directives listed in Annex 1 to the Windsor Framework and to ensure that anti-discrimination laws in NI are amended accordingly to keep pace with any progress.</w:t>
      </w:r>
    </w:p>
    <w:p w:rsidR="004B25CF" w:rsidRPr="00FF3E4D" w:rsidP="00FF3E4D">
      <w:pPr>
        <w:spacing w:before="120" w:after="120" w:line="240" w:lineRule="auto"/>
        <w:rPr>
          <w:rFonts w:ascii="Verdana" w:eastAsia="Calibri" w:hAnsi="Verdana" w:cs="Times New Roman"/>
          <w:bCs/>
        </w:rPr>
      </w:pPr>
    </w:p>
    <w:p w:rsidR="004B25CF" w:rsidRPr="00FF3E4D" w:rsidP="00FF3E4D">
      <w:pPr>
        <w:spacing w:line="240" w:lineRule="auto"/>
        <w:rPr>
          <w:rFonts w:ascii="Verdana" w:hAnsi="Verdana"/>
          <w:b/>
          <w:bCs/>
        </w:rPr>
      </w:pPr>
      <w:r w:rsidRPr="00FF3E4D">
        <w:rPr>
          <w:rFonts w:ascii="Verdana" w:hAnsi="Verdana"/>
          <w:b/>
          <w:bCs/>
        </w:rPr>
        <w:t>5. The UK Supreme Court said in Dillon that Article 2(1) WF was directly effective in certain circumstances. What are those circumstances? And what rights are covered in these circumstances?</w:t>
      </w:r>
    </w:p>
    <w:p w:rsidR="004B25CF" w:rsidRPr="00FF3E4D" w:rsidP="00FF3E4D">
      <w:pPr>
        <w:spacing w:line="240" w:lineRule="auto"/>
        <w:rPr>
          <w:rFonts w:ascii="Verdana" w:hAnsi="Verdana"/>
        </w:rPr>
      </w:pPr>
      <w:r w:rsidRPr="00FF3E4D">
        <w:rPr>
          <w:rFonts w:ascii="Verdana" w:hAnsi="Verdana"/>
        </w:rPr>
        <w:t>9. Directly effective is an EU law term of art that is applied to EU law only. In the Dillon judgment, the UK Supreme Court appeared to use direct effect to interpret the RSEO chapter of the 1998 Agreement. This is wrong. Direct effect is only used to interpret EU law. Nonetheless, even if it was correctly employed in the Dillon judgment to interpret a piece of non-EU law, once something is designated as having direct effect, it always has direct effect. Circumstances do not alter when a right is or is not directly effective. As such, either the rights in the 1998 Agreement RSEO chapter have direct effect, or they do not. But it is important to reiterate that the Supreme Court erred in using direct effect to interpret a piece of non-EU law.</w:t>
      </w:r>
    </w:p>
    <w:p w:rsidR="004B25CF" w:rsidRPr="00FF3E4D" w:rsidP="00FF3E4D">
      <w:pPr>
        <w:spacing w:line="240" w:lineRule="auto"/>
        <w:rPr>
          <w:rFonts w:ascii="Verdana" w:hAnsi="Verdana"/>
        </w:rPr>
      </w:pPr>
      <w:r w:rsidRPr="00FF3E4D">
        <w:rPr>
          <w:rFonts w:ascii="Verdana" w:hAnsi="Verdana"/>
        </w:rPr>
        <w:t>10. The correct basis for interpreting an international treaty, as the 1998 Agreement is, is the Vienna Convention on the Law of Treaties (which also reflects customary international law). Those interpretive rules require the text to have its ordinary meaning and be interpreted in good faith in line with the object and purpose of the treaty. Article 2 of the WF should be interpreted in the same manner, its ordinary meaning, and its intent was to make those rights subject to non-diminution and to be enforceable and accessible.</w:t>
      </w:r>
    </w:p>
    <w:p w:rsidR="004B25CF" w:rsidRPr="00FF3E4D" w:rsidP="00FF3E4D">
      <w:pPr>
        <w:spacing w:line="240" w:lineRule="auto"/>
        <w:rPr>
          <w:rFonts w:ascii="Verdana" w:hAnsi="Verdana"/>
          <w:b/>
          <w:bCs/>
        </w:rPr>
      </w:pPr>
      <w:r w:rsidRPr="00FF3E4D">
        <w:rPr>
          <w:rFonts w:ascii="Verdana" w:hAnsi="Verdana"/>
          <w:b/>
          <w:bCs/>
        </w:rPr>
        <w:t>6. Who can rely on Article 2 WF and when?</w:t>
      </w:r>
    </w:p>
    <w:p w:rsidR="004B25CF" w:rsidRPr="00FF3E4D" w:rsidP="00FF3E4D">
      <w:pPr>
        <w:spacing w:line="240" w:lineRule="auto"/>
        <w:rPr>
          <w:rFonts w:ascii="Verdana" w:hAnsi="Verdana"/>
        </w:rPr>
      </w:pPr>
      <w:r w:rsidRPr="00FF3E4D">
        <w:rPr>
          <w:rFonts w:ascii="Verdana" w:hAnsi="Verdana"/>
        </w:rPr>
        <w:t xml:space="preserve">11. Article 2 can be relied upon within Northern Ireland by, as per the RSEO chapter, ‘everyone in the community’. The Dillon judgment appears to interpret ‘everyone in the community’ as only meaning the Nationalist and Unionist communities, given the Supreme Court’s characterisation of the ‘bullet point rights’ in the RSEO chapter as relating only to the ‘sectarian conflict’. However, as Article 2 dates from the date of Brexit and not 1998, it would be incorrect to </w:t>
      </w:r>
      <w:r w:rsidRPr="00FF3E4D">
        <w:rPr>
          <w:rFonts w:ascii="Verdana" w:hAnsi="Verdana"/>
        </w:rPr>
        <w:t>interpret ‘everyone in the community’ in this manner. As Humphreys J decided In NIHRC and JR295’s Applications for Judicial Review, [2024] NIKB 35, [68] ‘everyone’ means all those in Northern Ireland. This designation of ‘everyone’ is significant as previous narrower interpretations, for example In the Matter of an Application by Evelyn White for Judicial Review [2000] NI 432, [2004] NICA 1, meant that women’s participation in public bodies was unnecessary as only the Nationalist/Unionist differentiation mattered as regards to representation in Northern Ireland.</w:t>
      </w:r>
    </w:p>
    <w:p w:rsidR="004B25CF" w:rsidRPr="00FF3E4D" w:rsidP="00FF3E4D">
      <w:pPr>
        <w:spacing w:line="240" w:lineRule="auto"/>
        <w:rPr>
          <w:rFonts w:ascii="Verdana" w:hAnsi="Verdana"/>
        </w:rPr>
      </w:pPr>
      <w:r w:rsidRPr="00FF3E4D">
        <w:rPr>
          <w:rFonts w:ascii="Verdana" w:hAnsi="Verdana"/>
        </w:rPr>
        <w:t>12. Article 2 was not drafted in a manner intended to exclude women or the over 20% of the Northern Ireland population who do not identify as Nationalist or Unionist from being able to rely on the RSEO sections of Article 2 (or the Annex 1 Directives). If that were the intention, that would have been part of the text and/or the negotiations and clearly stated. Such an interpretation does not come within the object and purpose or the ordinary meaning of Article 2.</w:t>
      </w:r>
    </w:p>
    <w:p w:rsidR="004B25CF" w:rsidRPr="00FF3E4D" w:rsidP="00FF3E4D">
      <w:pPr>
        <w:spacing w:line="240" w:lineRule="auto"/>
        <w:rPr>
          <w:rFonts w:ascii="Verdana" w:hAnsi="Verdana"/>
          <w:b/>
          <w:bCs/>
        </w:rPr>
      </w:pPr>
      <w:r w:rsidRPr="00FF3E4D">
        <w:rPr>
          <w:rFonts w:ascii="Verdana" w:hAnsi="Verdana"/>
          <w:b/>
          <w:bCs/>
        </w:rPr>
        <w:t>7. What is classified as a ‘diminution’ of rights under Article 2 WF and how is a breach determined?</w:t>
      </w:r>
    </w:p>
    <w:p w:rsidR="004B25CF" w:rsidRPr="00FF3E4D" w:rsidP="00FF3E4D">
      <w:pPr>
        <w:spacing w:line="240" w:lineRule="auto"/>
        <w:rPr>
          <w:rFonts w:ascii="Verdana" w:hAnsi="Verdana"/>
        </w:rPr>
      </w:pPr>
      <w:r w:rsidRPr="00FF3E4D">
        <w:rPr>
          <w:rFonts w:ascii="Verdana" w:hAnsi="Verdana"/>
        </w:rPr>
        <w:t>13. Non-diminution was accepted very early in the Brexit negotiations as central to protecting the human rights and equalities advancements made in Northern Ireland up to the date of Brexit. Sometimes incorrectly substituted with the phrases non-retrogression or non-regression, non-diminution has a specific and different meaning. Non-diminution grants no circumstances where there may be a backward movement or dilution of rights or equalities protections – there can be no circumstances where rights are subject to ‘diminution’ or reduction in definition, implementation or enforcement. The snapshot of the law at the date – in this situation the date of Brexit – is absolute. Non-diminution creates a snapshot of time to be a measure of future change, which, while it can be positive, cannot be negative in any way. A negative change to rights definition, implementation, or enforcement of rights would be a diminution. A breach would occur if at any time after Brexit day, a right was in interpretation, implementation or enforcement, less substantive than it was. It is the responsibility of the UK Government to ensure that diminution does not take place.</w:t>
      </w:r>
    </w:p>
    <w:p w:rsidR="004B25CF" w:rsidRPr="00FF3E4D" w:rsidP="00FF3E4D">
      <w:pPr>
        <w:spacing w:line="240" w:lineRule="auto"/>
        <w:rPr>
          <w:rFonts w:ascii="Verdana" w:hAnsi="Verdana"/>
          <w:b/>
          <w:bCs/>
        </w:rPr>
      </w:pPr>
      <w:r w:rsidRPr="00FF3E4D">
        <w:rPr>
          <w:rFonts w:ascii="Verdana" w:hAnsi="Verdana"/>
          <w:b/>
          <w:bCs/>
        </w:rPr>
        <w:t>8. How should a breach of Article 2 WF be remedied. What, if any, are the constitutional implications of disapplying primary legislation for a breach of Article 2 WF?</w:t>
      </w:r>
    </w:p>
    <w:p w:rsidR="004B25CF" w:rsidRPr="00FF3E4D" w:rsidP="00FF3E4D">
      <w:pPr>
        <w:spacing w:line="240" w:lineRule="auto"/>
        <w:rPr>
          <w:rFonts w:ascii="Verdana" w:hAnsi="Verdana"/>
        </w:rPr>
      </w:pPr>
      <w:r w:rsidRPr="00FF3E4D">
        <w:rPr>
          <w:rFonts w:ascii="Verdana" w:hAnsi="Verdana"/>
        </w:rPr>
        <w:t xml:space="preserve">14. Remedies cover a range of areas in this context depending on the breach and who is impacted. The UK owes its obligations to the EU, and there is a remedial pathway via Article 165(1)(c) of the Withdrawal Agreement and via Article 14 WF which establishes the Specialised Committee on Northern Ireland that covers Article 2. Through Article 14 of the WF the Dedicated Mechanisms can use the Specialised Committee on Northern Ireland to raise concerns about the operation of Article 2. Following this, the Specialised Committee can make recommendations to the Joint Committee on the matter. This is an option currently available to the Dedicated Mechanisms after the Dillon judgment. The Joint Committee will then, through negotiations, attempt to find a resolution to the issue. The Joint Committee has already made several decisions on the WF following negotiations. If a resolution is not possible, there is potential for the matter to go to Arbitration though the Withdrawal Agreement Articles 168-170 </w:t>
      </w:r>
      <w:r w:rsidRPr="00FF3E4D">
        <w:rPr>
          <w:rFonts w:ascii="Verdana" w:hAnsi="Verdana"/>
        </w:rPr>
        <w:t>for a resolution. During the arbitration process, it would be open to the Arbitration panel under Article 174 of the Withdrawal Agreement to request that the Court of Justice of the European Union interpret EU concepts in question under Article 2 to aid in coming to a decision.</w:t>
      </w:r>
    </w:p>
    <w:p w:rsidR="004B25CF" w:rsidRPr="00FF3E4D" w:rsidP="00FF3E4D">
      <w:pPr>
        <w:spacing w:line="240" w:lineRule="auto"/>
        <w:rPr>
          <w:rFonts w:ascii="Verdana" w:hAnsi="Verdana"/>
        </w:rPr>
      </w:pPr>
      <w:r w:rsidRPr="00FF3E4D">
        <w:rPr>
          <w:rFonts w:ascii="Verdana" w:hAnsi="Verdana"/>
        </w:rPr>
        <w:t>15. This entire procedure is a standard process within international law and across EU external agreements. It creates multiple sites for a negotiated settlement. Arbitration panels consist of subject specialists and lawyers, including retired judges. Under the Withdrawal Agreement, it is the long-established Permanent Court of Arbitration, with a panel of individuals who professional standards require that they would otherwise qualify for high judicial office, that would resolve the dispute.</w:t>
      </w:r>
    </w:p>
    <w:p w:rsidR="004B25CF" w:rsidRPr="00FF3E4D" w:rsidP="00FF3E4D">
      <w:pPr>
        <w:spacing w:line="240" w:lineRule="auto"/>
        <w:rPr>
          <w:rFonts w:ascii="Verdana" w:hAnsi="Verdana"/>
          <w:b/>
          <w:bCs/>
        </w:rPr>
      </w:pPr>
      <w:r w:rsidRPr="00FF3E4D">
        <w:rPr>
          <w:rFonts w:ascii="Verdana" w:hAnsi="Verdana"/>
          <w:b/>
          <w:bCs/>
        </w:rPr>
        <w:t>9. What is your overall assessment as to the success of Article 2 WF in ensuring the protection of rights following the UK’s exit from the European Union?</w:t>
      </w:r>
    </w:p>
    <w:p w:rsidR="004B25CF" w:rsidRPr="00FF3E4D" w:rsidP="00FF3E4D">
      <w:pPr>
        <w:spacing w:line="240" w:lineRule="auto"/>
        <w:rPr>
          <w:rFonts w:ascii="Verdana" w:hAnsi="Verdana"/>
        </w:rPr>
      </w:pPr>
      <w:r w:rsidRPr="00FF3E4D">
        <w:rPr>
          <w:rFonts w:ascii="Verdana" w:hAnsi="Verdana"/>
        </w:rPr>
        <w:t>16. Up until the Dillon judgment, Article 2 was working effectively. While both the Dedicated Mechanisms Northern Ireland Human Rights Commission and the Equality Commission of Northern Ireland require more resourcing, the system was being embedded and was largely working.</w:t>
      </w:r>
    </w:p>
    <w:p w:rsidR="004B25CF" w:rsidRPr="00FF3E4D" w:rsidP="00FF3E4D">
      <w:pPr>
        <w:spacing w:line="240" w:lineRule="auto"/>
        <w:rPr>
          <w:rFonts w:ascii="Verdana" w:hAnsi="Verdana"/>
        </w:rPr>
      </w:pPr>
      <w:r w:rsidRPr="00FF3E4D">
        <w:rPr>
          <w:rFonts w:ascii="Verdana" w:hAnsi="Verdana"/>
        </w:rPr>
        <w:t>17. The Dillon judgment in introducing multiple tests, with none of the three tests given priority and in incorporating direct effect into a non-EU area of law, alongside its reintroduction of the sectarian idea of community between Nationalist/Unionist has largely emptied the RSEO section of Article 2 of its ability to undertake its object and purpose. It is very possible that in giving effect to the judgment the UK government would find itself in violation of Article 2 of the WF and potentially subject to the arbitration procedures whose purpose is to ensure correct interpretation and compliance. Under the new elements introduced by the Supreme Court, it is difficult to imagine a successful case being undertaken that was not directly connected to sectarian conflict prior to 1998. This is made even more difficult as the facts before the Court related to the Legacy Act and hence the very era that the Supreme Court interpretation of Article 2 is confined to, and yet it still did not succeed.</w:t>
      </w:r>
    </w:p>
    <w:p w:rsidR="004B25CF" w:rsidRPr="00FF3E4D" w:rsidP="00FF3E4D">
      <w:pPr>
        <w:spacing w:line="240" w:lineRule="auto"/>
        <w:rPr>
          <w:rFonts w:ascii="Verdana" w:hAnsi="Verdana"/>
        </w:rPr>
      </w:pPr>
      <w:r w:rsidRPr="00FF3E4D">
        <w:rPr>
          <w:rFonts w:ascii="Verdana" w:hAnsi="Verdana"/>
        </w:rPr>
        <w:t>18. If the Dillon judgment remains intact, it is very difficult to imagine a woman or anyone in Northern Ireland who was not directly connected to either the Nationalist or the Unionist communities succeeding in taking a case under the RSEO section of Article 2. In this scenario, it would be difficult to describe it as a ‘success’ as it would not be achieving its objectives of maintaining rights as they were, without diminution, on Brexit day.</w:t>
      </w:r>
    </w:p>
    <w:p w:rsidR="004B25CF" w:rsidRPr="00FF3E4D" w:rsidP="00FF3E4D">
      <w:pPr>
        <w:spacing w:line="240" w:lineRule="auto"/>
        <w:rPr>
          <w:rFonts w:ascii="Verdana" w:hAnsi="Verdana"/>
        </w:rPr>
      </w:pPr>
      <w:r w:rsidRPr="00FF3E4D">
        <w:rPr>
          <w:rFonts w:ascii="Verdana" w:hAnsi="Verdana"/>
        </w:rPr>
        <w:t xml:space="preserve">19. The second part of Article 2, the Annex 1 Directives, continues to function as it had done, as anything stated in Dillon regarding that part of Article 2 was obiter or outside the facts before the Court. It would be incoherent, however, to continue to have one aspect of Article 2 being non-operational in practice, while the second Annex 1-related elements continued to function as envisioned in the negotiations. Further, it is too early to tell how successful the commitment to dynamic alignment will be in relation to the six EU anti-discrimination Directives listed in Annex 1. It should be noted that any progress on the level of non-discrimination protection provided by these Directives at the EU level should be implemented in NI law. Similarly, however, any regression on those protections </w:t>
      </w:r>
      <w:r w:rsidRPr="00FF3E4D">
        <w:rPr>
          <w:rFonts w:ascii="Verdana" w:hAnsi="Verdana"/>
        </w:rPr>
        <w:t>at the EU level would continue to be subject to Article 2’s non-diminution requirement.</w:t>
      </w:r>
    </w:p>
    <w:p w:rsidR="004B25CF" w:rsidRPr="00FF3E4D" w:rsidP="00FF3E4D">
      <w:pPr>
        <w:spacing w:line="240" w:lineRule="auto"/>
        <w:rPr>
          <w:rFonts w:ascii="Verdana" w:hAnsi="Verdana"/>
          <w:b/>
          <w:bCs/>
        </w:rPr>
      </w:pPr>
      <w:r w:rsidRPr="00FF3E4D">
        <w:rPr>
          <w:rFonts w:ascii="Verdana" w:hAnsi="Verdana"/>
          <w:b/>
          <w:bCs/>
        </w:rPr>
        <w:t>10. What is the role of the Dedicated Mechanism framework in Article 2 WF?</w:t>
      </w:r>
    </w:p>
    <w:p w:rsidR="004B25CF" w:rsidRPr="00FF3E4D" w:rsidP="00FF3E4D">
      <w:pPr>
        <w:spacing w:line="240" w:lineRule="auto"/>
        <w:rPr>
          <w:rFonts w:ascii="Verdana" w:hAnsi="Verdana"/>
        </w:rPr>
      </w:pPr>
      <w:r w:rsidRPr="00FF3E4D">
        <w:rPr>
          <w:rFonts w:ascii="Verdana" w:hAnsi="Verdana"/>
        </w:rPr>
        <w:t>20. Under the Dedicated Mechanism framework, the Equality Commission for Northern Ireland and the Northern Ireland Human Rights Commission (the Commissions) have been given additional statutory powers and responsibilities to monitor, enforce, implement and report on the effectiveness of Article 2. Their responsibilities in this respect include monitoring the implementation of Article 2, advising the UK government and NI Executive, reporting on compliance, assisting individuals in bringing legal challenges, intervening in legal proceedings and in some circumstances, initiating legal proceedings themselves. The role of the Dedicated Mechanism is central to ensuring that Article 2 is operationalised, implemented and enforced in the way that it was intended. These functions are indispensable for the ‘success’ of Article 2 and thus (as below) the Commissions must be resourced and supported accordingly by the UK government.</w:t>
      </w:r>
    </w:p>
    <w:p w:rsidR="004B25CF" w:rsidRPr="00FF3E4D" w:rsidP="00FF3E4D">
      <w:pPr>
        <w:spacing w:line="240" w:lineRule="auto"/>
        <w:rPr>
          <w:rFonts w:ascii="Verdana" w:hAnsi="Verdana"/>
          <w:b/>
          <w:bCs/>
        </w:rPr>
      </w:pPr>
      <w:r w:rsidRPr="00FF3E4D">
        <w:rPr>
          <w:rFonts w:ascii="Verdana" w:hAnsi="Verdana"/>
          <w:b/>
          <w:bCs/>
        </w:rPr>
        <w:t>11. How are the Commissions resourced? Could this be improved?</w:t>
      </w:r>
    </w:p>
    <w:p w:rsidR="004B25CF" w:rsidRPr="00FF3E4D" w:rsidP="00FF3E4D">
      <w:pPr>
        <w:spacing w:line="240" w:lineRule="auto"/>
        <w:rPr>
          <w:rFonts w:ascii="Verdana" w:hAnsi="Verdana"/>
        </w:rPr>
      </w:pPr>
      <w:r w:rsidRPr="00FF3E4D">
        <w:rPr>
          <w:rFonts w:ascii="Verdana" w:hAnsi="Verdana"/>
        </w:rPr>
        <w:t xml:space="preserve">21. The Commissions are currently resourced as non-statutory public bodies, both with a broad range of powers and responsibilities relating to the monitoring of human rights and equalities protections in NI. The Commissions report on the effectiveness of those protections, alongside education, advice and legal assistance functions. In addition, they now forming the Dedicated Mechanism to monitor compliance with Article 2 WF. As the scope of the powers, duties and responsibilities of the Commissions has expanded in light of the Dedicated Mechanism, resourcing has become further stretched. The importance of the role of the Commissions in ensuring Article 2 functions as intended cannot be overstated and, therefore, it is imperative that the Commissions are better resourced to enable them to fulfil their ordinary functions as well as strategically perform their functions under the Dedicated Mechanism framework. </w:t>
      </w:r>
    </w:p>
    <w:p w:rsidR="004B25CF" w:rsidRPr="00FF3E4D" w:rsidP="00FF3E4D">
      <w:pPr>
        <w:spacing w:line="240" w:lineRule="auto"/>
        <w:rPr>
          <w:rFonts w:ascii="Verdana" w:hAnsi="Verdana"/>
          <w:b/>
          <w:bCs/>
        </w:rPr>
      </w:pPr>
      <w:r w:rsidRPr="00FF3E4D">
        <w:rPr>
          <w:rFonts w:ascii="Verdana" w:hAnsi="Verdana"/>
          <w:b/>
          <w:bCs/>
        </w:rPr>
        <w:t>14. In light of the devolution settlement for Northern Ireland, what impact does Article 2 WF have on the UK Government’s power to legislate on ‘excepted’ and ‘reserved’ matters as set out in the Northern Ireland Act 1998?</w:t>
      </w:r>
    </w:p>
    <w:p w:rsidR="004B25CF" w:rsidP="00FF3E4D">
      <w:pPr>
        <w:spacing w:line="240" w:lineRule="auto"/>
        <w:rPr>
          <w:rFonts w:ascii="Verdana" w:hAnsi="Verdana"/>
        </w:rPr>
      </w:pPr>
      <w:r w:rsidRPr="00FF3E4D">
        <w:rPr>
          <w:rFonts w:ascii="Verdana" w:hAnsi="Verdana"/>
        </w:rPr>
        <w:t>22. Article 2 does not change the formal arrangement of legislative competences under the Northern Ireland Act 1998. Equality is a devolved matter (and has been since 1999), although the UK government retains a residual commitment to ensure that commitments to rights and equality are met in NI (including where that involves maintaining the UK’s commitments and obligations under international law). In practice, Article 2 may constrain the UK government’s exercise of its power to legislate on some excepted and reserved matters if the exercise of that power results in a diminution of rights in NI, either in relation to the RSEO rights or the Annex 1 anti-discrimination Directives. Where legislation affecting NI results in a diminution of rights under any part of Article 2, that legislation may be incompatible with the UK’s international obligations (which form an important part of the UK’s constitutional order).</w:t>
      </w:r>
    </w:p>
    <w:p w:rsidR="00161A14" w:rsidP="00FF3E4D">
      <w:pPr>
        <w:spacing w:line="240" w:lineRule="auto"/>
        <w:rPr>
          <w:rFonts w:ascii="Verdana" w:hAnsi="Verdana"/>
        </w:rPr>
      </w:pPr>
    </w:p>
    <w:p w:rsidR="00161A14" w:rsidP="00FF3E4D">
      <w:pPr>
        <w:spacing w:line="240" w:lineRule="auto"/>
        <w:rPr>
          <w:rFonts w:ascii="Verdana" w:hAnsi="Verdana"/>
        </w:rPr>
      </w:pPr>
    </w:p>
    <w:p w:rsidR="00161A14" w:rsidRPr="00161A14" w:rsidP="00FF3E4D">
      <w:pPr>
        <w:spacing w:line="240" w:lineRule="auto"/>
        <w:rPr>
          <w:rFonts w:ascii="Verdana" w:hAnsi="Verdana"/>
          <w:b/>
          <w:bCs/>
          <w:i/>
          <w:iCs/>
        </w:rPr>
      </w:pPr>
      <w:r w:rsidRPr="00161A14">
        <w:rPr>
          <w:rFonts w:ascii="Verdana" w:hAnsi="Verdana"/>
          <w:b/>
          <w:bCs/>
          <w:i/>
          <w:iCs/>
        </w:rPr>
        <w:t>19 June 2026</w:t>
      </w:r>
    </w:p>
    <w:sectPr>
      <w:foot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5CF">
    <w:pPr>
      <w:pStyle w:val="Footer"/>
      <w:jc w:val="right"/>
    </w:pPr>
    <w:r>
      <w:tab/>
    </w:r>
  </w:p>
  <w:p w:rsidR="004B25CF">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1456F0"/>
    <w:multiLevelType w:val="hybridMultilevel"/>
    <w:tmpl w:val="0554DF84"/>
    <w:lvl w:ilvl="0">
      <w:start w:val="1"/>
      <w:numFmt w:val="lowerRoman"/>
      <w:lvlText w:val="%1."/>
      <w:lvlJc w:val="righ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D417F59"/>
    <w:multiLevelType w:val="hybridMultilevel"/>
    <w:tmpl w:val="7822539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3D8114C"/>
    <w:multiLevelType w:val="hybridMultilevel"/>
    <w:tmpl w:val="9D7E886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F0E0C43"/>
    <w:multiLevelType w:val="hybridMultilevel"/>
    <w:tmpl w:val="1EB0BB3A"/>
    <w:lvl w:ilvl="0">
      <w:start w:val="1"/>
      <w:numFmt w:val="bullet"/>
      <w:lvlText w:val=""/>
      <w:lvlJc w:val="left"/>
      <w:pPr>
        <w:ind w:left="0" w:hanging="360"/>
      </w:pPr>
      <w:rPr>
        <w:rFonts w:ascii="Symbol" w:hAnsi="Symbol" w:hint="default"/>
      </w:rPr>
    </w:lvl>
    <w:lvl w:ilvl="1" w:tentative="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1653"/>
    <w:pPr>
      <w:spacing w:after="200" w:line="276" w:lineRule="auto"/>
    </w:pPr>
    <w:rPr>
      <w:kern w:val="0"/>
    </w:rPr>
  </w:style>
  <w:style w:type="paragraph" w:styleId="Heading1">
    <w:name w:val="heading 1"/>
    <w:basedOn w:val="Normal"/>
    <w:next w:val="Normal"/>
    <w:link w:val="Heading1Char"/>
    <w:uiPriority w:val="9"/>
    <w:qFormat/>
    <w:rsid w:val="006E16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16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16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6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6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6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6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6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6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653"/>
    <w:rPr>
      <w:rFonts w:asciiTheme="majorHAnsi" w:eastAsiaTheme="majorEastAsia" w:hAnsiTheme="majorHAnsi" w:cstheme="majorBidi"/>
      <w:color w:val="0F4761" w:themeColor="accent1" w:themeShade="BF"/>
      <w:sz w:val="40"/>
      <w:szCs w:val="40"/>
      <w:lang w:val="en-IE"/>
    </w:rPr>
  </w:style>
  <w:style w:type="character" w:customStyle="1" w:styleId="Heading2Char">
    <w:name w:val="Heading 2 Char"/>
    <w:basedOn w:val="DefaultParagraphFont"/>
    <w:link w:val="Heading2"/>
    <w:uiPriority w:val="9"/>
    <w:semiHidden/>
    <w:rsid w:val="006E1653"/>
    <w:rPr>
      <w:rFonts w:asciiTheme="majorHAnsi" w:eastAsiaTheme="majorEastAsia" w:hAnsiTheme="majorHAnsi" w:cstheme="majorBidi"/>
      <w:color w:val="0F4761" w:themeColor="accent1" w:themeShade="BF"/>
      <w:sz w:val="32"/>
      <w:szCs w:val="32"/>
      <w:lang w:val="en-IE"/>
    </w:rPr>
  </w:style>
  <w:style w:type="character" w:customStyle="1" w:styleId="Heading3Char">
    <w:name w:val="Heading 3 Char"/>
    <w:basedOn w:val="DefaultParagraphFont"/>
    <w:link w:val="Heading3"/>
    <w:uiPriority w:val="9"/>
    <w:semiHidden/>
    <w:rsid w:val="006E1653"/>
    <w:rPr>
      <w:rFonts w:eastAsiaTheme="majorEastAsia" w:cstheme="majorBidi"/>
      <w:color w:val="0F4761" w:themeColor="accent1" w:themeShade="BF"/>
      <w:sz w:val="28"/>
      <w:szCs w:val="28"/>
      <w:lang w:val="en-IE"/>
    </w:rPr>
  </w:style>
  <w:style w:type="character" w:customStyle="1" w:styleId="Heading4Char">
    <w:name w:val="Heading 4 Char"/>
    <w:basedOn w:val="DefaultParagraphFont"/>
    <w:link w:val="Heading4"/>
    <w:uiPriority w:val="9"/>
    <w:semiHidden/>
    <w:rsid w:val="006E1653"/>
    <w:rPr>
      <w:rFonts w:eastAsiaTheme="majorEastAsia" w:cstheme="majorBidi"/>
      <w:i/>
      <w:iCs/>
      <w:color w:val="0F4761" w:themeColor="accent1" w:themeShade="BF"/>
      <w:lang w:val="en-IE"/>
    </w:rPr>
  </w:style>
  <w:style w:type="character" w:customStyle="1" w:styleId="Heading5Char">
    <w:name w:val="Heading 5 Char"/>
    <w:basedOn w:val="DefaultParagraphFont"/>
    <w:link w:val="Heading5"/>
    <w:uiPriority w:val="9"/>
    <w:semiHidden/>
    <w:rsid w:val="006E1653"/>
    <w:rPr>
      <w:rFonts w:eastAsiaTheme="majorEastAsia" w:cstheme="majorBidi"/>
      <w:color w:val="0F4761" w:themeColor="accent1" w:themeShade="BF"/>
      <w:lang w:val="en-IE"/>
    </w:rPr>
  </w:style>
  <w:style w:type="character" w:customStyle="1" w:styleId="Heading6Char">
    <w:name w:val="Heading 6 Char"/>
    <w:basedOn w:val="DefaultParagraphFont"/>
    <w:link w:val="Heading6"/>
    <w:uiPriority w:val="9"/>
    <w:semiHidden/>
    <w:rsid w:val="006E1653"/>
    <w:rPr>
      <w:rFonts w:eastAsiaTheme="majorEastAsia" w:cstheme="majorBidi"/>
      <w:i/>
      <w:iCs/>
      <w:color w:val="595959" w:themeColor="text1" w:themeTint="A6"/>
      <w:lang w:val="en-IE"/>
    </w:rPr>
  </w:style>
  <w:style w:type="character" w:customStyle="1" w:styleId="Heading7Char">
    <w:name w:val="Heading 7 Char"/>
    <w:basedOn w:val="DefaultParagraphFont"/>
    <w:link w:val="Heading7"/>
    <w:uiPriority w:val="9"/>
    <w:semiHidden/>
    <w:rsid w:val="006E1653"/>
    <w:rPr>
      <w:rFonts w:eastAsiaTheme="majorEastAsia" w:cstheme="majorBidi"/>
      <w:color w:val="595959" w:themeColor="text1" w:themeTint="A6"/>
      <w:lang w:val="en-IE"/>
    </w:rPr>
  </w:style>
  <w:style w:type="character" w:customStyle="1" w:styleId="Heading8Char">
    <w:name w:val="Heading 8 Char"/>
    <w:basedOn w:val="DefaultParagraphFont"/>
    <w:link w:val="Heading8"/>
    <w:uiPriority w:val="9"/>
    <w:semiHidden/>
    <w:rsid w:val="006E1653"/>
    <w:rPr>
      <w:rFonts w:eastAsiaTheme="majorEastAsia" w:cstheme="majorBidi"/>
      <w:i/>
      <w:iCs/>
      <w:color w:val="272727" w:themeColor="text1" w:themeTint="D8"/>
      <w:lang w:val="en-IE"/>
    </w:rPr>
  </w:style>
  <w:style w:type="character" w:customStyle="1" w:styleId="Heading9Char">
    <w:name w:val="Heading 9 Char"/>
    <w:basedOn w:val="DefaultParagraphFont"/>
    <w:link w:val="Heading9"/>
    <w:uiPriority w:val="9"/>
    <w:semiHidden/>
    <w:rsid w:val="006E1653"/>
    <w:rPr>
      <w:rFonts w:eastAsiaTheme="majorEastAsia" w:cstheme="majorBidi"/>
      <w:color w:val="272727" w:themeColor="text1" w:themeTint="D8"/>
      <w:lang w:val="en-IE"/>
    </w:rPr>
  </w:style>
  <w:style w:type="paragraph" w:styleId="Title">
    <w:name w:val="Title"/>
    <w:basedOn w:val="Normal"/>
    <w:next w:val="Normal"/>
    <w:link w:val="TitleChar"/>
    <w:uiPriority w:val="10"/>
    <w:qFormat/>
    <w:rsid w:val="006E1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653"/>
    <w:rPr>
      <w:rFonts w:asciiTheme="majorHAnsi" w:eastAsiaTheme="majorEastAsia" w:hAnsiTheme="majorHAnsi" w:cstheme="majorBidi"/>
      <w:spacing w:val="-10"/>
      <w:kern w:val="28"/>
      <w:sz w:val="56"/>
      <w:szCs w:val="56"/>
      <w:lang w:val="en-IE"/>
    </w:rPr>
  </w:style>
  <w:style w:type="paragraph" w:styleId="Subtitle">
    <w:name w:val="Subtitle"/>
    <w:basedOn w:val="Normal"/>
    <w:next w:val="Normal"/>
    <w:link w:val="SubtitleChar"/>
    <w:uiPriority w:val="11"/>
    <w:qFormat/>
    <w:rsid w:val="006E16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653"/>
    <w:rPr>
      <w:rFonts w:eastAsiaTheme="majorEastAsia" w:cstheme="majorBidi"/>
      <w:color w:val="595959" w:themeColor="text1" w:themeTint="A6"/>
      <w:spacing w:val="15"/>
      <w:sz w:val="28"/>
      <w:szCs w:val="28"/>
      <w:lang w:val="en-IE"/>
    </w:rPr>
  </w:style>
  <w:style w:type="paragraph" w:styleId="Quote">
    <w:name w:val="Quote"/>
    <w:basedOn w:val="Normal"/>
    <w:next w:val="Normal"/>
    <w:link w:val="QuoteChar"/>
    <w:uiPriority w:val="29"/>
    <w:qFormat/>
    <w:rsid w:val="006E1653"/>
    <w:pPr>
      <w:spacing w:before="160"/>
      <w:jc w:val="center"/>
    </w:pPr>
    <w:rPr>
      <w:i/>
      <w:iCs/>
      <w:color w:val="404040" w:themeColor="text1" w:themeTint="BF"/>
    </w:rPr>
  </w:style>
  <w:style w:type="character" w:customStyle="1" w:styleId="QuoteChar">
    <w:name w:val="Quote Char"/>
    <w:basedOn w:val="DefaultParagraphFont"/>
    <w:link w:val="Quote"/>
    <w:uiPriority w:val="29"/>
    <w:rsid w:val="006E1653"/>
    <w:rPr>
      <w:i/>
      <w:iCs/>
      <w:color w:val="404040" w:themeColor="text1" w:themeTint="BF"/>
      <w:lang w:val="en-IE"/>
    </w:rPr>
  </w:style>
  <w:style w:type="paragraph" w:styleId="ListParagraph">
    <w:name w:val="List Paragraph"/>
    <w:basedOn w:val="Normal"/>
    <w:uiPriority w:val="34"/>
    <w:qFormat/>
    <w:rsid w:val="006E1653"/>
    <w:pPr>
      <w:ind w:left="720"/>
      <w:contextualSpacing/>
    </w:pPr>
  </w:style>
  <w:style w:type="character" w:styleId="IntenseEmphasis">
    <w:name w:val="Intense Emphasis"/>
    <w:basedOn w:val="DefaultParagraphFont"/>
    <w:uiPriority w:val="21"/>
    <w:qFormat/>
    <w:rsid w:val="006E1653"/>
    <w:rPr>
      <w:i/>
      <w:iCs/>
      <w:color w:val="0F4761" w:themeColor="accent1" w:themeShade="BF"/>
    </w:rPr>
  </w:style>
  <w:style w:type="paragraph" w:styleId="IntenseQuote">
    <w:name w:val="Intense Quote"/>
    <w:basedOn w:val="Normal"/>
    <w:next w:val="Normal"/>
    <w:link w:val="IntenseQuoteChar"/>
    <w:uiPriority w:val="30"/>
    <w:qFormat/>
    <w:rsid w:val="006E1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653"/>
    <w:rPr>
      <w:i/>
      <w:iCs/>
      <w:color w:val="0F4761" w:themeColor="accent1" w:themeShade="BF"/>
      <w:lang w:val="en-IE"/>
    </w:rPr>
  </w:style>
  <w:style w:type="character" w:styleId="IntenseReference">
    <w:name w:val="Intense Reference"/>
    <w:basedOn w:val="DefaultParagraphFont"/>
    <w:uiPriority w:val="32"/>
    <w:qFormat/>
    <w:rsid w:val="006E1653"/>
    <w:rPr>
      <w:b/>
      <w:bCs/>
      <w:smallCaps/>
      <w:color w:val="0F4761" w:themeColor="accent1" w:themeShade="BF"/>
      <w:spacing w:val="5"/>
    </w:rPr>
  </w:style>
  <w:style w:type="character" w:styleId="Hyperlink">
    <w:name w:val="Hyperlink"/>
    <w:uiPriority w:val="99"/>
    <w:rsid w:val="006E1653"/>
    <w:rPr>
      <w:color w:val="0000FF"/>
      <w:u w:val="single"/>
    </w:rPr>
  </w:style>
  <w:style w:type="character" w:customStyle="1" w:styleId="UnresolvedMention1">
    <w:name w:val="Unresolved Mention1"/>
    <w:basedOn w:val="DefaultParagraphFont"/>
    <w:uiPriority w:val="99"/>
    <w:semiHidden/>
    <w:unhideWhenUsed/>
    <w:rsid w:val="0044209F"/>
    <w:rPr>
      <w:color w:val="605E5C"/>
      <w:shd w:val="clear" w:color="auto" w:fill="E1DFDD"/>
    </w:rPr>
  </w:style>
  <w:style w:type="paragraph" w:styleId="Header">
    <w:name w:val="header"/>
    <w:basedOn w:val="Normal"/>
    <w:link w:val="HeaderChar"/>
    <w:uiPriority w:val="99"/>
    <w:unhideWhenUsed/>
    <w:rsid w:val="002E4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9B4"/>
    <w:rPr>
      <w:kern w:val="0"/>
    </w:rPr>
  </w:style>
  <w:style w:type="paragraph" w:styleId="Footer">
    <w:name w:val="footer"/>
    <w:basedOn w:val="Normal"/>
    <w:link w:val="FooterChar"/>
    <w:uiPriority w:val="99"/>
    <w:unhideWhenUsed/>
    <w:rsid w:val="002E49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9B4"/>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ART0006</dc:title>
  <cp:revision>0</cp:revision>
</cp:coreProperties>
</file>