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D5E9F" w:rsidRPr="002071AE" w:rsidP="002071AE">
      <w:pPr>
        <w:jc w:val="center"/>
        <w:rPr>
          <w:rFonts w:ascii="Aptos" w:hAnsi="Aptos" w:cstheme="majorHAnsi"/>
          <w:b/>
        </w:rPr>
      </w:pPr>
      <w:r w:rsidRPr="00A73086">
        <w:rPr>
          <w:rFonts w:ascii="Aptos" w:hAnsi="Aptos" w:cstheme="majorHAnsi"/>
          <w:b/>
        </w:rPr>
        <w:t xml:space="preserve">WRITTEN EVIDENCE SUBMITTED BY </w:t>
      </w:r>
      <w:r w:rsidRPr="002071AE">
        <w:rPr>
          <w:rFonts w:ascii="Aptos" w:hAnsi="Aptos" w:cstheme="majorHAnsi"/>
          <w:b/>
        </w:rPr>
        <w:t>ACTION FOR CHILDREN</w:t>
      </w:r>
    </w:p>
    <w:p w:rsidR="002071AE" w:rsidRPr="002071AE" w:rsidP="002071AE">
      <w:pPr>
        <w:jc w:val="center"/>
        <w:rPr>
          <w:rFonts w:ascii="Aptos" w:hAnsi="Aptos" w:cstheme="majorHAnsi"/>
          <w:b/>
        </w:rPr>
      </w:pPr>
      <w:r w:rsidRPr="002071AE">
        <w:rPr>
          <w:rFonts w:ascii="Aptos" w:hAnsi="Aptos" w:cstheme="majorHAnsi"/>
          <w:b/>
        </w:rPr>
        <w:t>(CSC0099)</w:t>
      </w:r>
    </w:p>
    <w:p w:rsidR="00AD5E9F" w:rsidRPr="001D4ECF" w:rsidP="001368D9">
      <w:pPr>
        <w:rPr>
          <w:sz w:val="28"/>
          <w:szCs w:val="28"/>
        </w:rPr>
      </w:pPr>
    </w:p>
    <w:p w:rsidR="00AD5E9F" w:rsidRPr="001D4ECF" w:rsidP="00493AD0">
      <w:pPr>
        <w:rPr>
          <w:sz w:val="28"/>
          <w:szCs w:val="28"/>
        </w:rPr>
      </w:pPr>
      <w:r w:rsidRPr="001D4ECF">
        <w:rPr>
          <w:b/>
          <w:bCs/>
          <w:sz w:val="28"/>
          <w:szCs w:val="28"/>
        </w:rPr>
        <w:t>About Action for Children</w:t>
      </w:r>
      <w:r w:rsidRPr="001D4ECF">
        <w:rPr>
          <w:sz w:val="28"/>
          <w:szCs w:val="28"/>
        </w:rPr>
        <w:t> </w:t>
      </w:r>
    </w:p>
    <w:p w:rsidR="00AD5E9F" w:rsidRPr="001D4ECF" w:rsidP="00493AD0">
      <w:r w:rsidRPr="001D4ECF">
        <w:t>Action for Children protects and supports children, young people and families. Our vision is that every child and young person has a safe and happy childhood, and the foundations they need to thrive.</w:t>
      </w:r>
      <w:r w:rsidRPr="001D4ECF">
        <w:rPr>
          <w:rFonts w:ascii="Arial" w:hAnsi="Arial" w:cs="Arial"/>
        </w:rPr>
        <w:t>  </w:t>
      </w:r>
      <w:r w:rsidRPr="001D4ECF">
        <w:t> </w:t>
      </w:r>
    </w:p>
    <w:p w:rsidR="00AD5E9F" w:rsidRPr="001D4ECF" w:rsidP="00493AD0">
      <w:r w:rsidRPr="001D4ECF">
        <w:t>In 2023/24 we helped 687,755 children, young people and their families across the UK. We provide practical and emotional support through 426 services in local communities across the UK, in schools and online, including fostering and adoption services, and are one of the largest voluntary sector providers of residential care in England.</w:t>
      </w:r>
      <w:r w:rsidRPr="001D4ECF">
        <w:rPr>
          <w:rFonts w:ascii="Arial" w:hAnsi="Arial" w:cs="Arial"/>
        </w:rPr>
        <w:t> </w:t>
      </w:r>
      <w:r w:rsidRPr="001D4ECF">
        <w:t> </w:t>
      </w:r>
    </w:p>
    <w:p w:rsidR="00AD5E9F" w:rsidRPr="001D4ECF" w:rsidP="00493AD0">
      <w:r w:rsidRPr="001D4ECF">
        <w:t>We also campaign passionately and work closely with policy makers to make sure the voices of young people are heard, to influence policy decisions and bring lasting improvements to the lives of children and their families. </w:t>
      </w:r>
    </w:p>
    <w:p w:rsidR="00AD5E9F" w:rsidRPr="001D4ECF" w:rsidP="00493AD0">
      <w:r w:rsidRPr="001D4ECF">
        <w:t> </w:t>
      </w:r>
    </w:p>
    <w:p w:rsidR="00AD5E9F" w:rsidRPr="001D4ECF" w:rsidP="00E55EC4">
      <w:pPr>
        <w:rPr>
          <w:b/>
          <w:sz w:val="28"/>
          <w:szCs w:val="28"/>
        </w:rPr>
      </w:pPr>
      <w:r w:rsidRPr="001D4ECF">
        <w:rPr>
          <w:b/>
          <w:sz w:val="28"/>
          <w:szCs w:val="28"/>
        </w:rPr>
        <w:t xml:space="preserve">Summary </w:t>
      </w:r>
    </w:p>
    <w:p w:rsidR="00AD5E9F" w:rsidRPr="003942D1" w:rsidP="00E55EC4">
      <w:pPr>
        <w:rPr>
          <w:b/>
          <w:bCs/>
          <w:color w:val="EE0000"/>
        </w:rPr>
      </w:pPr>
      <w:r w:rsidRPr="42C9C2A7">
        <w:rPr>
          <w:rFonts w:eastAsiaTheme="minorEastAsia"/>
        </w:rPr>
        <w:t>Every child in care deserves a safe, stable and loving home</w:t>
      </w:r>
      <w:r>
        <w:t xml:space="preserve">, but too often the care system in England is failing to deliver good experiences and outcomes for children in care. Currently there aren’t enough of the right types of </w:t>
      </w:r>
      <w:bookmarkStart w:id="0" w:name="_Int_ribRJZFO"/>
      <w:r>
        <w:t>placement</w:t>
      </w:r>
      <w:bookmarkEnd w:id="0"/>
      <w:r>
        <w:t>, in the right parts of the country, to meet children’s needs. Too often, the voices of children in care are not being heard.</w:t>
      </w:r>
      <w:r w:rsidRPr="42C9C2A7">
        <w:rPr>
          <w:rFonts w:eastAsiaTheme="minorEastAsia"/>
        </w:rPr>
        <w:t xml:space="preserve"> </w:t>
      </w:r>
      <w:r>
        <w:t>This is having a detrimental effect on children’s experience of care and the extent to which their human rights are being protected in our social care system.</w:t>
      </w:r>
    </w:p>
    <w:p w:rsidR="00AD5E9F" w:rsidP="15F60F10">
      <w:pPr>
        <w:rPr>
          <w:rFonts w:eastAsiaTheme="minorEastAsia"/>
          <w:color w:val="000000" w:themeColor="text1"/>
        </w:rPr>
      </w:pPr>
      <w:r w:rsidRPr="15F60F10">
        <w:rPr>
          <w:rFonts w:eastAsiaTheme="minorEastAsia"/>
          <w:color w:val="000000" w:themeColor="text1"/>
        </w:rPr>
        <w:t xml:space="preserve">This submission focuses on questions posed by the Inquiry where Action for Children’s policy, research and front-line expertise </w:t>
      </w:r>
      <w:bookmarkStart w:id="1" w:name="_Int_bQkm2BzM"/>
      <w:r w:rsidRPr="15F60F10">
        <w:rPr>
          <w:rFonts w:eastAsiaTheme="minorEastAsia"/>
          <w:color w:val="000000" w:themeColor="text1"/>
        </w:rPr>
        <w:t>provides</w:t>
      </w:r>
      <w:bookmarkEnd w:id="1"/>
      <w:r w:rsidRPr="15F60F10">
        <w:rPr>
          <w:rFonts w:eastAsiaTheme="minorEastAsia"/>
          <w:color w:val="000000" w:themeColor="text1"/>
        </w:rPr>
        <w:t xml:space="preserve"> insight into the ways in which children’s rights are being undermined in the children’s social care system. It highlights that:</w:t>
      </w:r>
    </w:p>
    <w:p w:rsidR="00AD5E9F" w:rsidP="000F1C8A">
      <w:pPr>
        <w:pStyle w:val="ListParagraph"/>
        <w:numPr>
          <w:ilvl w:val="0"/>
          <w:numId w:val="5"/>
        </w:numPr>
        <w:rPr>
          <w:rFonts w:eastAsiaTheme="minorEastAsia"/>
          <w:color w:val="000000" w:themeColor="text1"/>
        </w:rPr>
      </w:pPr>
      <w:r>
        <w:rPr>
          <w:rFonts w:eastAsiaTheme="minorEastAsia"/>
          <w:color w:val="000000" w:themeColor="text1"/>
        </w:rPr>
        <w:t>Too many children are being placed in accommodation far from their family and community, or are being separated from their siblings, undermining the right to respect for family life under Article 8 of the ECHR.</w:t>
      </w:r>
    </w:p>
    <w:p w:rsidR="00AD5E9F" w:rsidP="000F1C8A">
      <w:pPr>
        <w:pStyle w:val="ListParagraph"/>
        <w:numPr>
          <w:ilvl w:val="0"/>
          <w:numId w:val="5"/>
        </w:numPr>
        <w:rPr>
          <w:rFonts w:eastAsiaTheme="minorEastAsia"/>
          <w:color w:val="000000" w:themeColor="text1"/>
        </w:rPr>
      </w:pPr>
      <w:r>
        <w:rPr>
          <w:rFonts w:eastAsiaTheme="minorEastAsia"/>
          <w:color w:val="000000" w:themeColor="text1"/>
        </w:rPr>
        <w:t>Children in care often have disrupted schooling, undermining the right to an effective education under Article 2, Protocol 1 of the ECHR.</w:t>
      </w:r>
    </w:p>
    <w:p w:rsidR="00AD5E9F" w:rsidP="000F1C8A">
      <w:pPr>
        <w:pStyle w:val="ListParagraph"/>
        <w:numPr>
          <w:ilvl w:val="0"/>
          <w:numId w:val="5"/>
        </w:numPr>
        <w:rPr>
          <w:rFonts w:eastAsiaTheme="minorEastAsia"/>
          <w:color w:val="000000" w:themeColor="text1"/>
        </w:rPr>
      </w:pPr>
      <w:r>
        <w:rPr>
          <w:rFonts w:eastAsiaTheme="minorEastAsia"/>
          <w:color w:val="000000" w:themeColor="text1"/>
        </w:rPr>
        <w:t>The views of children in care are often not adequately considered when making decisions on their care, undermining the right to freedom of expression under Article 10 of the ECHR.</w:t>
      </w:r>
    </w:p>
    <w:p w:rsidR="00AD5E9F" w:rsidP="000F1C8A">
      <w:pPr>
        <w:pStyle w:val="ListParagraph"/>
        <w:numPr>
          <w:ilvl w:val="0"/>
          <w:numId w:val="5"/>
        </w:numPr>
        <w:rPr>
          <w:rFonts w:eastAsiaTheme="minorEastAsia"/>
          <w:color w:val="000000" w:themeColor="text1"/>
        </w:rPr>
      </w:pPr>
      <w:r>
        <w:rPr>
          <w:rFonts w:eastAsiaTheme="minorEastAsia"/>
          <w:color w:val="000000" w:themeColor="text1"/>
        </w:rPr>
        <w:t xml:space="preserve">The rise in unregistered placements for children in the care system is putting their safety, security and wellbeing at risk. </w:t>
      </w:r>
    </w:p>
    <w:p w:rsidR="00AD5E9F" w:rsidRPr="00534519" w:rsidP="00534519">
      <w:pPr>
        <w:pStyle w:val="ListParagraph"/>
        <w:numPr>
          <w:ilvl w:val="0"/>
          <w:numId w:val="5"/>
        </w:numPr>
        <w:rPr>
          <w:rFonts w:eastAsiaTheme="minorEastAsia"/>
          <w:color w:val="000000" w:themeColor="text1"/>
        </w:rPr>
      </w:pPr>
      <w:r>
        <w:rPr>
          <w:rFonts w:eastAsiaTheme="minorEastAsia"/>
          <w:color w:val="000000" w:themeColor="text1"/>
        </w:rPr>
        <w:t>Children in care are at greater risk of criminal exploitation, thus increasing their risk of harm and contact with the criminal justice system.</w:t>
      </w:r>
      <w:r w:rsidRPr="00534519">
        <w:rPr>
          <w:rFonts w:eastAsiaTheme="minorEastAsia"/>
          <w:color w:val="000000" w:themeColor="text1"/>
        </w:rPr>
        <w:t xml:space="preserve"> </w:t>
      </w:r>
    </w:p>
    <w:p w:rsidR="00AD5E9F" w:rsidRPr="001D4ECF" w:rsidP="00E55EC4">
      <w:r>
        <w:t xml:space="preserve">Action for Children supports the incorporation of the UN Convention on the Rights of </w:t>
      </w:r>
      <w:r w:rsidRPr="001D4ECF">
        <w:t xml:space="preserve">the Children into domestic law in England to better protect the human rights of children supported by or in the social care system. </w:t>
      </w:r>
    </w:p>
    <w:p w:rsidR="00AD5E9F" w:rsidRPr="001D4ECF" w:rsidP="00E55EC4"/>
    <w:p w:rsidR="00AD5E9F" w:rsidRPr="001D4ECF" w:rsidP="00493AD0">
      <w:pPr>
        <w:rPr>
          <w:b/>
          <w:bCs/>
          <w:sz w:val="28"/>
          <w:szCs w:val="28"/>
        </w:rPr>
      </w:pPr>
      <w:r w:rsidRPr="001D4ECF">
        <w:rPr>
          <w:b/>
          <w:bCs/>
          <w:sz w:val="28"/>
          <w:szCs w:val="28"/>
        </w:rPr>
        <w:t>Question 1: To what extent are Convention rights protected in the children’s social care system?</w:t>
      </w:r>
      <w:r w:rsidRPr="001D4ECF">
        <w:rPr>
          <w:sz w:val="28"/>
          <w:szCs w:val="28"/>
        </w:rPr>
        <w:t> </w:t>
      </w:r>
    </w:p>
    <w:p w:rsidR="00AD5E9F" w:rsidP="003E446F">
      <w:pPr>
        <w:rPr>
          <w:b/>
          <w:bCs/>
          <w:sz w:val="28"/>
          <w:szCs w:val="28"/>
        </w:rPr>
      </w:pPr>
    </w:p>
    <w:p w:rsidR="00AD5E9F" w:rsidRPr="003E446F" w:rsidP="003E446F">
      <w:pPr>
        <w:rPr>
          <w:sz w:val="28"/>
          <w:szCs w:val="28"/>
        </w:rPr>
      </w:pPr>
      <w:r w:rsidRPr="003E446F">
        <w:rPr>
          <w:b/>
          <w:bCs/>
          <w:sz w:val="28"/>
          <w:szCs w:val="28"/>
        </w:rPr>
        <w:t>The right to respect for private and family life, Article 8 ECHR: </w:t>
      </w:r>
      <w:r w:rsidRPr="003E446F">
        <w:rPr>
          <w:sz w:val="28"/>
          <w:szCs w:val="28"/>
        </w:rPr>
        <w:t> </w:t>
      </w:r>
    </w:p>
    <w:p w:rsidR="00AD5E9F" w:rsidRPr="00A152B0" w:rsidP="00493AD0">
      <w:pPr>
        <w:rPr>
          <w:b/>
          <w:bCs/>
        </w:rPr>
      </w:pPr>
      <w:r w:rsidRPr="00A152B0">
        <w:rPr>
          <w:b/>
          <w:bCs/>
        </w:rPr>
        <w:t xml:space="preserve">Placement matching - </w:t>
      </w:r>
    </w:p>
    <w:p w:rsidR="00AD5E9F" w:rsidRPr="00493AD0" w:rsidP="00493AD0">
      <w:r>
        <w:t xml:space="preserve">Children’s </w:t>
      </w:r>
      <w:r w:rsidRPr="00493AD0">
        <w:t xml:space="preserve">right to respect for family life is being undermined by the </w:t>
      </w:r>
      <w:r>
        <w:t>shortage of placements in the children’s social care system, which is leading to high numbers of children being placed out-of-area. Whilst s</w:t>
      </w:r>
      <w:r w:rsidRPr="00257C2C">
        <w:t>ome children are placed at a distance from their home for their safety and wellbeing</w:t>
      </w:r>
      <w:r>
        <w:t xml:space="preserve">, </w:t>
      </w:r>
      <w:r w:rsidRPr="00257C2C">
        <w:t>in many cases, out-of-area placements are used in the absence of available options closer to home</w:t>
      </w:r>
      <w:r>
        <w:t xml:space="preserve">, resulting in </w:t>
      </w:r>
      <w:r w:rsidRPr="00493AD0">
        <w:t xml:space="preserve">children </w:t>
      </w:r>
      <w:r>
        <w:t xml:space="preserve">being </w:t>
      </w:r>
      <w:r w:rsidRPr="00493AD0">
        <w:t>separated from their siblings</w:t>
      </w:r>
      <w:r>
        <w:t xml:space="preserve"> and placed significant distances from their family and community. </w:t>
      </w:r>
    </w:p>
    <w:p w:rsidR="00AD5E9F" w:rsidP="00493AD0">
      <w:r>
        <w:t xml:space="preserve">The charity </w:t>
      </w:r>
      <w:r w:rsidRPr="00493AD0">
        <w:t>Become found that 1 in 5 children in care are living more tha</w:t>
      </w:r>
      <w:r>
        <w:t>n</w:t>
      </w:r>
      <w:r w:rsidRPr="00493AD0">
        <w:t xml:space="preserve"> 20 miles from home, </w:t>
      </w:r>
      <w:r>
        <w:t xml:space="preserve">rising to </w:t>
      </w:r>
      <w:r w:rsidRPr="00493AD0">
        <w:t>4 in 5 children in a secure setting</w:t>
      </w:r>
      <w:r>
        <w:rPr>
          <w:rStyle w:val="FootnoteReference"/>
        </w:rPr>
        <w:footnoteReference w:id="2"/>
      </w:r>
      <w:r w:rsidRPr="00493AD0">
        <w:t>. The Children’s Commissioner estimate</w:t>
      </w:r>
      <w:r>
        <w:t>s</w:t>
      </w:r>
      <w:r w:rsidRPr="00493AD0">
        <w:t xml:space="preserve"> that 37% of children with a sibling are separated from a sibling when placed into care</w:t>
      </w:r>
      <w:r>
        <w:rPr>
          <w:rStyle w:val="FootnoteReference"/>
        </w:rPr>
        <w:footnoteReference w:id="3"/>
      </w:r>
      <w:r w:rsidRPr="00493AD0">
        <w:t>.</w:t>
      </w:r>
      <w:r>
        <w:t xml:space="preserve"> Recent government statistics highlight the</w:t>
      </w:r>
      <w:r w:rsidRPr="00BB7747">
        <w:t xml:space="preserve"> </w:t>
      </w:r>
      <w:r w:rsidRPr="00493AD0">
        <w:t xml:space="preserve">disparity between where children’s </w:t>
      </w:r>
      <w:r>
        <w:t xml:space="preserve">residential placements </w:t>
      </w:r>
      <w:r w:rsidRPr="00493AD0">
        <w:t xml:space="preserve">are located and </w:t>
      </w:r>
      <w:r>
        <w:t xml:space="preserve">the local care population, with the </w:t>
      </w:r>
      <w:r w:rsidRPr="00493AD0">
        <w:t xml:space="preserve">North West of England </w:t>
      </w:r>
      <w:r>
        <w:t>seeing the greatest annual increase in the number of children’s home places (+160), giving it the highest overall number of places (3,210), whilst London has seen a respective increase of just 30 places with only 1,110 places overall</w:t>
      </w:r>
      <w:r>
        <w:rPr>
          <w:rStyle w:val="FootnoteReference"/>
        </w:rPr>
        <w:footnoteReference w:id="4"/>
      </w:r>
      <w:r>
        <w:t>, despite having the highest number of looked after children.</w:t>
      </w:r>
    </w:p>
    <w:p w:rsidR="00AD5E9F" w:rsidP="00493AD0">
      <w:r>
        <w:t xml:space="preserve">Action for Children’s </w:t>
      </w:r>
      <w:r w:rsidRPr="00FB1984">
        <w:t>A Place to Call Home</w:t>
      </w:r>
      <w:r w:rsidRPr="009C1753">
        <w:rPr>
          <w:i/>
        </w:rPr>
        <w:t xml:space="preserve"> </w:t>
      </w:r>
      <w:r w:rsidRPr="00493AD0">
        <w:t>re</w:t>
      </w:r>
      <w:r>
        <w:t xml:space="preserve">port (2024) surveyed 1050 care-experienced people aged 18-44 to understand what makes a good quality placement. The findings highlight the importance to children in care of maintaining connections with family and community. Only 6 in 10 respondents (61%) agreed that they felt </w:t>
      </w:r>
      <w:r w:rsidRPr="002B3368">
        <w:t xml:space="preserve">supported to nurture relationships outside of </w:t>
      </w:r>
      <w:r>
        <w:t>their</w:t>
      </w:r>
      <w:r w:rsidRPr="002B3368">
        <w:t xml:space="preserve"> care setting(s) with family, friends, and community</w:t>
      </w:r>
      <w:r>
        <w:rPr>
          <w:rStyle w:val="FootnoteReference"/>
        </w:rPr>
        <w:footnoteReference w:id="5"/>
      </w:r>
      <w:r>
        <w:t>.</w:t>
      </w:r>
    </w:p>
    <w:p w:rsidR="00AD5E9F" w:rsidP="006129C8">
      <w:pPr>
        <w:ind w:left="720"/>
      </w:pPr>
      <w:r w:rsidRPr="20DA4727">
        <w:rPr>
          <w:i/>
          <w:iCs/>
        </w:rPr>
        <w:t>“A good home, a home that truly meets your needs, doesn’t materialise. A placement may not have room for your siblings, be far from your home community, be in an unwelcoming area, or be badly organised”. </w:t>
      </w:r>
      <w:r>
        <w:t> Alex*, age 24 - care-experienced young person, and research participant.</w:t>
      </w:r>
    </w:p>
    <w:p w:rsidR="00AD5E9F" w:rsidP="20DA4727">
      <w:pPr>
        <w:rPr>
          <w:b/>
          <w:bCs/>
        </w:rPr>
      </w:pPr>
    </w:p>
    <w:p w:rsidR="00AD5E9F" w:rsidRPr="002A6D6D" w:rsidP="00493AD0">
      <w:pPr>
        <w:rPr>
          <w:b/>
          <w:bCs/>
        </w:rPr>
      </w:pPr>
      <w:r w:rsidRPr="002A6D6D">
        <w:rPr>
          <w:b/>
          <w:bCs/>
        </w:rPr>
        <w:t xml:space="preserve">Reunification - </w:t>
      </w:r>
    </w:p>
    <w:p w:rsidR="00AD5E9F" w:rsidP="00493AD0">
      <w:r w:rsidRPr="00167396">
        <w:t>It’s widely accepted – and a fundamental principle of international and domestic law on children’s rights – that children should live with their families wherever possible and that, if a need for care arises, the separation should only last for as long as strictly necessary. In many cases, the underlying causes of care entry, such as parental mental ill-health or substance misuse, can be tackled with the right support. A return home may be possible for those children, and good reunification practice can significantly increase the likelihood of them remaining at home and not re-entering care.</w:t>
      </w:r>
    </w:p>
    <w:p w:rsidR="00AD5E9F" w:rsidP="00493AD0">
      <w:r>
        <w:t>S</w:t>
      </w:r>
      <w:r w:rsidRPr="00493AD0">
        <w:t>uccessful</w:t>
      </w:r>
      <w:r>
        <w:t xml:space="preserve"> reunification with families is therefore </w:t>
      </w:r>
      <w:r w:rsidRPr="00493AD0">
        <w:t xml:space="preserve">an important element in supporting children’s right to </w:t>
      </w:r>
      <w:r>
        <w:t xml:space="preserve">respect for family life within the social care </w:t>
      </w:r>
      <w:r w:rsidRPr="00493AD0">
        <w:t>system and</w:t>
      </w:r>
      <w:r>
        <w:rPr>
          <w:rStyle w:val="FootnoteReference"/>
        </w:rPr>
        <w:footnoteReference w:id="6"/>
      </w:r>
      <w:r w:rsidRPr="502A6785">
        <w:t>most common route out of care</w:t>
      </w:r>
      <w:r>
        <w:t>￼</w:t>
      </w:r>
      <w:r w:rsidRPr="502A6785">
        <w:rPr>
          <w:rStyle w:val="FootnoteReference"/>
        </w:rPr>
        <w:t>.</w:t>
      </w:r>
      <w:r>
        <w:t xml:space="preserve"> However, one in five (20%) children who return home through reunification re-enter the social care system after </w:t>
      </w:r>
      <w:r>
        <w:rPr>
          <w:rStyle w:val="FootnoteReference"/>
        </w:rPr>
        <w:footnoteReference w:id="7"/>
      </w:r>
      <w:r>
        <w:t xml:space="preserve"> ￼. These failed reunifications mean more disrupted attachments for children and their families. </w:t>
      </w:r>
      <w:r w:rsidRPr="00694E8D">
        <w:t>Matt Clayton</w:t>
      </w:r>
      <w:r>
        <w:t>, Strategic Lead for Children in Care, Children with Disabilities and Care Leavers at Coventry City Council, who took part in the research for our A Place to Call Home report, said:</w:t>
      </w:r>
    </w:p>
    <w:p w:rsidR="00AD5E9F" w:rsidRPr="006C652B" w:rsidP="00561D77">
      <w:pPr>
        <w:ind w:left="720"/>
        <w:rPr>
          <w:i/>
        </w:rPr>
      </w:pPr>
      <w:r w:rsidRPr="006C652B">
        <w:rPr>
          <w:i/>
        </w:rPr>
        <w:t>“In my years in social work, too often I have seen a system that breaks relationships rather than restores and develops them. A system where children move homes so regularly, they begin to reject people and break arrangements down before they are rejected again. We need to practice social work in a way that strengthens and builds relationships, empowering families and supporting them to find their own solutions wherever possible.”</w:t>
      </w:r>
    </w:p>
    <w:p w:rsidR="00AD5E9F" w:rsidP="00167009">
      <w:r>
        <w:t xml:space="preserve">Action for Children’s Home Again report (2024) showed that over half (56%) of local authorities in England did not have a reunification policy. Alongside this, only 19% of local authorities have a standalone team to support reunifying families, and the </w:t>
      </w:r>
      <w:r>
        <w:t xml:space="preserve">majority of local authorities who responded to our survey told us that they were not providing enough support either pre- or post-reunification (78% and 63%, respectively). Respondents cited a lack of capacity to deliver these services as a key issue for them in the interviews. </w:t>
      </w:r>
    </w:p>
    <w:p w:rsidR="00AD5E9F" w:rsidP="00167009">
      <w:r>
        <w:t>It is vital that</w:t>
      </w:r>
      <w:r w:rsidRPr="15F60F10">
        <w:rPr>
          <w:b/>
          <w:bCs/>
        </w:rPr>
        <w:t xml:space="preserve"> </w:t>
      </w:r>
      <w:r>
        <w:t xml:space="preserve">local authorities have the resources they need to provide good quality long term support for families going through the reunification process and protect the child’s right to respect for private and family life. </w:t>
      </w:r>
      <w:r w:rsidRPr="00493AD0">
        <w:t>We therefore welcome the</w:t>
      </w:r>
      <w:r w:rsidRPr="006350D1">
        <w:t xml:space="preserve"> publication</w:t>
      </w:r>
      <w:r>
        <w:t xml:space="preserve"> earlier this year</w:t>
      </w:r>
      <w:r w:rsidRPr="006350D1">
        <w:t xml:space="preserve"> of the F</w:t>
      </w:r>
      <w:r>
        <w:t>amilies F</w:t>
      </w:r>
      <w:r w:rsidRPr="006350D1">
        <w:t xml:space="preserve">irst Partnership </w:t>
      </w:r>
      <w:r>
        <w:t>P</w:t>
      </w:r>
      <w:r w:rsidRPr="006350D1">
        <w:t xml:space="preserve">rogramme guidance </w:t>
      </w:r>
      <w:r w:rsidRPr="006651F7">
        <w:t>on implementing</w:t>
      </w:r>
      <w:r>
        <w:t xml:space="preserve"> the government’s</w:t>
      </w:r>
      <w:r w:rsidRPr="006651F7">
        <w:t xml:space="preserve"> family help, multi-agency child protection and family group decision-making reforms</w:t>
      </w:r>
      <w:r>
        <w:t>, which promotes the use of Family Group Decision Making (FGDM) in reunification practice as a means to improve rates of successful reunification.</w:t>
      </w:r>
      <w:r>
        <w:rPr>
          <w:rStyle w:val="FootnoteReference"/>
        </w:rPr>
        <w:footnoteReference w:id="8"/>
      </w:r>
      <w:r>
        <w:t xml:space="preserve"> </w:t>
      </w:r>
    </w:p>
    <w:p w:rsidR="00AD5E9F" w:rsidP="00167009">
      <w:r>
        <w:t xml:space="preserve">Family Group Decision Making </w:t>
      </w:r>
      <w:r w:rsidRPr="00167009">
        <w:t>brings families together to identify solutions, develop a plan, and build a network of support around the child</w:t>
      </w:r>
      <w:r>
        <w:t xml:space="preserve">. It </w:t>
      </w:r>
      <w:r w:rsidRPr="00167009">
        <w:t>empowers families to take ownership of the challenges they face and work collaboratively to promote the safety and wellbeing of the child.</w:t>
      </w:r>
      <w:r>
        <w:t xml:space="preserve"> Crucially, it ensures that children themselves have a voice in the decisions and plans that are made about them. More consistent use of FGDM across local authorities will support children’s right to respect for family life by supporting successful reunification. </w:t>
      </w:r>
    </w:p>
    <w:p w:rsidR="00AD5E9F" w:rsidP="00167009">
      <w:r>
        <w:t xml:space="preserve">Finally, there needs to be better collection of data on reunification. Only the minority of our survey respondents were monitoring any key data - for example, only 39% were using and analysing data on reunification stability to determine whether reunification was a success. To ensure the rights of the child in or leaving care are being protected, we need to understand what is happening to them during and after the reunification process. </w:t>
      </w:r>
    </w:p>
    <w:p w:rsidR="00AD5E9F" w:rsidP="15F60F10"/>
    <w:p w:rsidR="00AD5E9F" w:rsidRPr="00493AD0" w:rsidP="009F4F40">
      <w:r w:rsidRPr="009F4F40">
        <w:rPr>
          <w:b/>
          <w:bCs/>
          <w:sz w:val="28"/>
          <w:szCs w:val="28"/>
        </w:rPr>
        <w:t>The right to an effective education, Article 2, Protocol 1 ECHR:</w:t>
      </w:r>
      <w:r w:rsidRPr="009F4F40">
        <w:rPr>
          <w:sz w:val="28"/>
          <w:szCs w:val="28"/>
        </w:rPr>
        <w:t> </w:t>
      </w:r>
    </w:p>
    <w:p w:rsidR="00AD5E9F" w:rsidRPr="00493AD0" w:rsidP="00493AD0">
      <w:r>
        <w:t>L</w:t>
      </w:r>
      <w:r w:rsidRPr="00493AD0">
        <w:t>ocal authorities have a duty to support children in care to access continuous, high-quality education, along with Special Educational Needs and Disabilities (SEND) provision where required.</w:t>
      </w:r>
      <w:r>
        <w:t xml:space="preserve"> </w:t>
      </w:r>
      <w:r w:rsidRPr="00493AD0">
        <w:t xml:space="preserve">However, </w:t>
      </w:r>
      <w:r>
        <w:t xml:space="preserve">despite this right, </w:t>
      </w:r>
      <w:r w:rsidRPr="00493AD0">
        <w:t>children in care often have more disrupted schooling and lower educational outcomes than their peers who are not in care. In 2023, Action for Children commissioned an analysis of Children in Need Census data, cross-matched to GCSE results, to investigate the educational attainment of children that are referred to children’s social care in England at any point during their childhood. We found that</w:t>
      </w:r>
      <w:r>
        <w:rPr>
          <w:rStyle w:val="FootnoteReference"/>
        </w:rPr>
        <w:footnoteReference w:id="9"/>
      </w:r>
      <w:r w:rsidRPr="00493AD0">
        <w:t>: </w:t>
      </w:r>
    </w:p>
    <w:p w:rsidR="00AD5E9F" w:rsidRPr="00493AD0" w:rsidP="00493AD0">
      <w:pPr>
        <w:numPr>
          <w:ilvl w:val="0"/>
          <w:numId w:val="1"/>
        </w:numPr>
      </w:pPr>
      <w:r w:rsidRPr="00493AD0">
        <w:t>58% of children with a social care referral were persistently absent at some point in their school career, meaning they missed 10% or more of their classes in a school year.  </w:t>
      </w:r>
    </w:p>
    <w:p w:rsidR="00AD5E9F" w:rsidRPr="00493AD0" w:rsidP="00493AD0">
      <w:pPr>
        <w:numPr>
          <w:ilvl w:val="0"/>
          <w:numId w:val="2"/>
        </w:numPr>
      </w:pPr>
      <w:r w:rsidRPr="00493AD0">
        <w:t>31% of children with a referral were suspended from school at some point, and 3% were permanently excluded. </w:t>
      </w:r>
    </w:p>
    <w:p w:rsidR="00AD5E9F" w:rsidRPr="00493AD0" w:rsidP="00493AD0">
      <w:pPr>
        <w:numPr>
          <w:ilvl w:val="0"/>
          <w:numId w:val="3"/>
        </w:numPr>
      </w:pPr>
      <w:r w:rsidRPr="00493AD0">
        <w:t>Children referred to social care at any point in their childhood are twice as likely to fail an English or maths GCSE than their peers. </w:t>
      </w:r>
    </w:p>
    <w:p w:rsidR="00AD5E9F" w:rsidP="00493AD0">
      <w:r w:rsidRPr="00493AD0">
        <w:t>Poorer educational outcomes have long lasting ramifications for these children’s future employment and education prospects. In England</w:t>
      </w:r>
      <w:r>
        <w:t>,</w:t>
      </w:r>
      <w:r w:rsidRPr="00493AD0">
        <w:t xml:space="preserve"> 39% of care leavers</w:t>
      </w:r>
      <w:r>
        <w:t xml:space="preserve"> </w:t>
      </w:r>
      <w:r w:rsidRPr="00493AD0">
        <w:t>aged 19 – 21 are not in education, employment or training, compared to 13% of all young people</w:t>
      </w:r>
      <w:r>
        <w:rPr>
          <w:rStyle w:val="FootnoteReference"/>
        </w:rPr>
        <w:footnoteReference w:id="10"/>
      </w:r>
      <w:r w:rsidRPr="00493AD0">
        <w:t xml:space="preserve">. This means that almost 4 in 10 care leavers are struggling to find employment or engage in higher education. </w:t>
      </w:r>
      <w:r>
        <w:t xml:space="preserve">It is vital that the government acts to improve educational outcomes for children in care to protect their right to an effective education. </w:t>
      </w:r>
    </w:p>
    <w:p w:rsidR="00AD5E9F" w:rsidP="15F60F10">
      <w:pPr>
        <w:rPr>
          <w:b/>
          <w:bCs/>
          <w:color w:val="000000" w:themeColor="text1"/>
          <w:sz w:val="28"/>
          <w:szCs w:val="28"/>
        </w:rPr>
      </w:pPr>
    </w:p>
    <w:p w:rsidR="00AD5E9F" w:rsidRPr="007970A5" w:rsidP="007970A5">
      <w:pPr>
        <w:rPr>
          <w:b/>
          <w:bCs/>
          <w:color w:val="EE0000"/>
        </w:rPr>
      </w:pPr>
      <w:r w:rsidRPr="15F60F10">
        <w:rPr>
          <w:b/>
          <w:bCs/>
          <w:color w:val="000000" w:themeColor="text1"/>
          <w:sz w:val="28"/>
          <w:szCs w:val="28"/>
        </w:rPr>
        <w:t>The right to freedom of expression, Article 10 ECHR:</w:t>
      </w:r>
    </w:p>
    <w:p w:rsidR="00AD5E9F" w:rsidRPr="00D54181" w:rsidP="00703176">
      <w:pPr>
        <w:rPr>
          <w:b/>
          <w:bCs/>
        </w:rPr>
      </w:pPr>
      <w:r w:rsidRPr="00D54181">
        <w:rPr>
          <w:b/>
          <w:bCs/>
        </w:rPr>
        <w:t xml:space="preserve">Placement matching – </w:t>
      </w:r>
    </w:p>
    <w:p w:rsidR="00AD5E9F" w:rsidP="00703176">
      <w:r>
        <w:t xml:space="preserve">Placement matching can also have an impact or infringe on other human rights, including the right to freedom of expression and freedom of belief. In the interviews undertaken as part of Action for Children’s A Place to Call Home report (2024), many care-experienced young people talked about the importance of those who take care of them having a curiosity about and understanding of their cultural and religious background. They felt it was vital to ensure they could express their true selves and feel safe and cared for. </w:t>
      </w:r>
    </w:p>
    <w:p w:rsidR="00AD5E9F" w:rsidP="005C70BC">
      <w:pPr>
        <w:ind w:left="720"/>
      </w:pPr>
      <w:r w:rsidRPr="00E6663A">
        <w:rPr>
          <w:i/>
        </w:rPr>
        <w:t>“…I was lucky to be with foster carers who were from the same background as my own…[them] being from my heritage…really benefited me. I was previously in foster placements where I was with a family who didn’t quite understand how to [for example] do my hair, how to support me with my skin…[The subsequent carers] helped me to reconnect with who I am as…a black person… And it just made me more comfortable…I felt a sense of relief…I think [children in care] all need that – especially young people of colour…Or if [such close matching isn’t] possible, there should be training for carers who don’t have that experience – like taking care of black skin and hair, or making [culturally] familiar food”</w:t>
      </w:r>
      <w:r>
        <w:t xml:space="preserve"> - </w:t>
      </w:r>
      <w:r w:rsidRPr="006129C8">
        <w:t>care-experienced young person, and research participant</w:t>
      </w:r>
      <w:r>
        <w:t xml:space="preserve"> </w:t>
      </w:r>
    </w:p>
    <w:p w:rsidR="00AD5E9F" w:rsidRPr="005C70BC" w:rsidP="00493AD0">
      <w:pPr>
        <w:rPr>
          <w:b/>
          <w:bCs/>
          <w:color w:val="000000" w:themeColor="text1"/>
        </w:rPr>
      </w:pPr>
      <w:r w:rsidRPr="005C70BC">
        <w:rPr>
          <w:b/>
          <w:bCs/>
          <w:color w:val="000000" w:themeColor="text1"/>
        </w:rPr>
        <w:t xml:space="preserve">Children’s voices - </w:t>
      </w:r>
    </w:p>
    <w:p w:rsidR="00AD5E9F" w:rsidP="00493AD0">
      <w:pPr>
        <w:rPr>
          <w:color w:val="000000" w:themeColor="text1"/>
        </w:rPr>
      </w:pPr>
      <w:r>
        <w:rPr>
          <w:color w:val="000000" w:themeColor="text1"/>
        </w:rPr>
        <w:t>The UK government recognises the importance of understanding children’s views when making decisions that affect them. Local authorities and other public bodies are already under limited duties to seek and give due weight to children’s views in certain circumstances, including in children in need assessments and decisions relating to children in care</w:t>
      </w:r>
      <w:r>
        <w:rPr>
          <w:rStyle w:val="FootnoteReference"/>
          <w:color w:val="000000" w:themeColor="text1"/>
        </w:rPr>
        <w:footnoteReference w:id="11"/>
      </w:r>
      <w:r>
        <w:rPr>
          <w:color w:val="000000" w:themeColor="text1"/>
        </w:rPr>
        <w:t xml:space="preserve">. </w:t>
      </w:r>
    </w:p>
    <w:p w:rsidR="00AD5E9F" w:rsidP="00493AD0">
      <w:pPr>
        <w:rPr>
          <w:color w:val="000000" w:themeColor="text1"/>
        </w:rPr>
      </w:pPr>
      <w:r>
        <w:rPr>
          <w:color w:val="000000" w:themeColor="text1"/>
        </w:rPr>
        <w:t xml:space="preserve">However, </w:t>
      </w:r>
      <w:r w:rsidRPr="00CA6165">
        <w:rPr>
          <w:color w:val="000000" w:themeColor="text1"/>
        </w:rPr>
        <w:t>in concluding its examination of the UK’s implementation of the C</w:t>
      </w:r>
      <w:r>
        <w:rPr>
          <w:color w:val="000000" w:themeColor="text1"/>
        </w:rPr>
        <w:t xml:space="preserve">onvention of the </w:t>
      </w:r>
      <w:r w:rsidRPr="00CA6165">
        <w:rPr>
          <w:color w:val="000000" w:themeColor="text1"/>
        </w:rPr>
        <w:t>R</w:t>
      </w:r>
      <w:r>
        <w:rPr>
          <w:color w:val="000000" w:themeColor="text1"/>
        </w:rPr>
        <w:t xml:space="preserve">ights of the </w:t>
      </w:r>
      <w:r w:rsidRPr="00CA6165">
        <w:rPr>
          <w:color w:val="000000" w:themeColor="text1"/>
        </w:rPr>
        <w:t>C</w:t>
      </w:r>
      <w:r>
        <w:rPr>
          <w:color w:val="000000" w:themeColor="text1"/>
        </w:rPr>
        <w:t>hild</w:t>
      </w:r>
      <w:r w:rsidRPr="00CA6165">
        <w:rPr>
          <w:color w:val="000000" w:themeColor="text1"/>
        </w:rPr>
        <w:t xml:space="preserve"> in 2023, the UN Committee on the Rights of the Child raised concerns about continuing significant barriers to the meaningful engagement of children in decision-making, particularly in relation to seldom heard and marginalised groups of children.</w:t>
      </w:r>
      <w:r>
        <w:rPr>
          <w:color w:val="000000" w:themeColor="text1"/>
        </w:rPr>
        <w:t xml:space="preserve"> </w:t>
      </w:r>
      <w:r w:rsidRPr="006F57CA">
        <w:rPr>
          <w:color w:val="000000" w:themeColor="text1"/>
        </w:rPr>
        <w:t xml:space="preserve">The UN Committee recommended that the </w:t>
      </w:r>
      <w:r>
        <w:rPr>
          <w:color w:val="000000" w:themeColor="text1"/>
        </w:rPr>
        <w:t>g</w:t>
      </w:r>
      <w:r w:rsidRPr="006F57CA">
        <w:rPr>
          <w:color w:val="000000" w:themeColor="text1"/>
        </w:rPr>
        <w:t xml:space="preserve">overnment take further steps to ensure the right of all children, including children in care, to express their views and to have them </w:t>
      </w:r>
      <w:bookmarkStart w:id="2" w:name="_Int_eAKW8tnw"/>
      <w:r w:rsidRPr="006F57CA">
        <w:rPr>
          <w:color w:val="000000" w:themeColor="text1"/>
        </w:rPr>
        <w:t>taken into account</w:t>
      </w:r>
      <w:bookmarkEnd w:id="2"/>
      <w:r w:rsidRPr="006F57CA">
        <w:rPr>
          <w:color w:val="000000" w:themeColor="text1"/>
        </w:rPr>
        <w:t xml:space="preserve"> in all decisions affecting them</w:t>
      </w:r>
      <w:r>
        <w:rPr>
          <w:rStyle w:val="FootnoteReference"/>
          <w:color w:val="000000" w:themeColor="text1"/>
        </w:rPr>
        <w:footnoteReference w:id="12"/>
      </w:r>
      <w:r>
        <w:rPr>
          <w:color w:val="000000" w:themeColor="text1"/>
        </w:rPr>
        <w:t xml:space="preserve">. </w:t>
      </w:r>
    </w:p>
    <w:p w:rsidR="00AD5E9F" w:rsidP="00493AD0">
      <w:pPr>
        <w:rPr>
          <w:color w:val="000000" w:themeColor="text1"/>
        </w:rPr>
      </w:pPr>
      <w:r w:rsidRPr="15F60F10">
        <w:rPr>
          <w:color w:val="000000" w:themeColor="text1"/>
        </w:rPr>
        <w:t>This indicates that more needs to be done to protect the right of children in the care system to freedom of expression and to be able to meaningfully participate in decisions on their care. One way which this could be done is by embedding children’s voices in the Family Group Decision Making process, with local authorities being required to ensure children’s views are appropriately and accurately represented. Action for Children’s A Place to Call Home report (2024) also recommended that local authorities involve children who are, or have been in, care in the planning and commissioning of placements, to ensure that decision-making is informed by lived experience.</w:t>
      </w:r>
    </w:p>
    <w:p w:rsidR="00AD5E9F" w:rsidP="15F60F10">
      <w:pPr>
        <w:rPr>
          <w:color w:val="000000" w:themeColor="text1"/>
        </w:rPr>
      </w:pPr>
    </w:p>
    <w:p w:rsidR="00AD5E9F" w:rsidRPr="00712FE8" w:rsidP="00493AD0">
      <w:pPr>
        <w:rPr>
          <w:b/>
          <w:bCs/>
          <w:color w:val="000000" w:themeColor="text1"/>
          <w:sz w:val="28"/>
          <w:szCs w:val="28"/>
        </w:rPr>
      </w:pPr>
      <w:r w:rsidRPr="00712FE8">
        <w:rPr>
          <w:b/>
          <w:bCs/>
          <w:color w:val="000000" w:themeColor="text1"/>
          <w:sz w:val="28"/>
          <w:szCs w:val="28"/>
        </w:rPr>
        <w:t>Child Right Impact Assessments</w:t>
      </w:r>
    </w:p>
    <w:p w:rsidR="00AD5E9F" w:rsidP="000F0215">
      <w:pPr>
        <w:rPr>
          <w:color w:val="000000" w:themeColor="text1"/>
        </w:rPr>
      </w:pPr>
      <w:r w:rsidRPr="1605349E">
        <w:rPr>
          <w:color w:val="000000" w:themeColor="text1"/>
        </w:rPr>
        <w:t xml:space="preserve">Consideration of the impact of government policy on children - and children in care in particular - as part of the policy-making process is vital to ensuring that children’s rights are protected. </w:t>
      </w:r>
      <w:r>
        <w:rPr>
          <w:color w:val="000000" w:themeColor="text1"/>
        </w:rPr>
        <w:t xml:space="preserve"> </w:t>
      </w:r>
    </w:p>
    <w:p w:rsidR="00AD5E9F" w:rsidP="502A6785">
      <w:pPr>
        <w:rPr>
          <w:color w:val="000000" w:themeColor="text1"/>
        </w:rPr>
      </w:pPr>
      <w:r>
        <w:t xml:space="preserve">Children’s Rights Impact Assessments (CRIAs) enable systematic consideration of how children may be affected – whether positively or negatively – so that any adverse impacts can be identified, avoided or mitigated. They also enable policymakers to identify and consider proactive measures that may lead to better implementation and realisation of children’s rights. These assessments are even more important when it comes to developing policies and laws that directly or indirectly affect children in care, who often have additional vulnerabilities which must be </w:t>
      </w:r>
      <w:bookmarkStart w:id="3" w:name="_Int_V0n7FpiN"/>
      <w:r>
        <w:t>taken into account</w:t>
      </w:r>
      <w:bookmarkEnd w:id="3"/>
      <w:r>
        <w:t xml:space="preserve"> if their rights are to be upheld. High-quality CRIAs informed by meaningful engagement with children also help to ensure that children’s views are heard on issues that affect them. This </w:t>
      </w:r>
      <w:r>
        <w:t>aligns with children’s right to be heard under Article 12</w:t>
      </w:r>
      <w:r>
        <w:rPr>
          <w:rStyle w:val="FootnoteReference"/>
        </w:rPr>
        <w:footnoteReference w:id="13"/>
      </w:r>
      <w:r>
        <w:t xml:space="preserve"> of the UN Convention on the Rights of the Child and supports the UK government’s ambitions to improve the participation of children and young people in policymaking. </w:t>
      </w:r>
      <w:r w:rsidRPr="007D7C64">
        <w:t xml:space="preserve">The UN Committee on the Rights of the Child has indicated that it expects this process to be built into all levels of government and </w:t>
      </w:r>
      <w:r>
        <w:t xml:space="preserve">to </w:t>
      </w:r>
      <w:r w:rsidRPr="007D7C64">
        <w:t xml:space="preserve">take place as early as possible </w:t>
      </w:r>
      <w:r>
        <w:t>during the development</w:t>
      </w:r>
      <w:r w:rsidRPr="007D7C64">
        <w:t xml:space="preserve"> </w:t>
      </w:r>
      <w:r>
        <w:t>of</w:t>
      </w:r>
      <w:r w:rsidRPr="007D7C64">
        <w:t xml:space="preserve"> new policies and legislation. </w:t>
      </w:r>
    </w:p>
    <w:p w:rsidR="00AD5E9F" w:rsidP="502A6785">
      <w:pPr>
        <w:rPr>
          <w:color w:val="000000" w:themeColor="text1"/>
        </w:rPr>
      </w:pPr>
      <w:r w:rsidRPr="00EC1120">
        <w:t>The devolved nations of Wales</w:t>
      </w:r>
      <w:r>
        <w:rPr>
          <w:rStyle w:val="FootnoteReference"/>
        </w:rPr>
        <w:footnoteReference w:id="14"/>
      </w:r>
      <w:r w:rsidRPr="00EC1120">
        <w:t xml:space="preserve"> and Scotland</w:t>
      </w:r>
      <w:r>
        <w:rPr>
          <w:rStyle w:val="FootnoteReference"/>
        </w:rPr>
        <w:footnoteReference w:id="15"/>
      </w:r>
      <w:r w:rsidRPr="00EC1120">
        <w:t>, as well as the Crown Dependency of Jersey</w:t>
      </w:r>
      <w:r>
        <w:rPr>
          <w:rStyle w:val="FootnoteReference"/>
        </w:rPr>
        <w:footnoteReference w:id="16"/>
      </w:r>
      <w:r w:rsidRPr="00EC1120">
        <w:t xml:space="preserve">, all have legal measures or statutory arrangements in place that require CRIAs to be conducted by certain duty-bearers. In contrast, while the Department for Education has - with support from civil society organisations - adopted a CRIA template and UNCRC training pack, this is not a statutory requirement and use of the CRIA template across </w:t>
      </w:r>
      <w:r>
        <w:t>g</w:t>
      </w:r>
      <w:r w:rsidRPr="00EC1120">
        <w:t xml:space="preserve">overnment is patchy. </w:t>
      </w:r>
    </w:p>
    <w:p w:rsidR="00AD5E9F" w:rsidP="000F0215">
      <w:r w:rsidRPr="00EC1120">
        <w:t xml:space="preserve">Responses to three recent Parliamentary Questions confirmed that there is no central oversight of ‘the number or quality’ of CRIAs being carried out across UK </w:t>
      </w:r>
      <w:r>
        <w:t>g</w:t>
      </w:r>
      <w:r w:rsidRPr="00EC1120">
        <w:t>overnment departments, or the extent to which any CRIAs conducted are informed by the views and experiences of children.</w:t>
      </w:r>
      <w:r>
        <w:rPr>
          <w:rStyle w:val="FootnoteReference"/>
        </w:rPr>
        <w:footnoteReference w:id="17"/>
      </w:r>
      <w:r w:rsidRPr="00EC1120">
        <w:t xml:space="preserve"> </w:t>
      </w:r>
    </w:p>
    <w:p w:rsidR="00AD5E9F" w:rsidP="62CBEB84">
      <w:pPr>
        <w:rPr>
          <w:color w:val="000000" w:themeColor="text1"/>
        </w:rPr>
      </w:pPr>
      <w:r>
        <w:rPr>
          <w:rStyle w:val="FootnoteReference"/>
          <w:bCs/>
          <w:color w:val="000000" w:themeColor="text1"/>
        </w:rPr>
        <w:footnoteReference w:id="18"/>
      </w:r>
      <w:r w:rsidRPr="62CBEB84">
        <w:t>￼</w:t>
      </w:r>
      <w:r w:rsidRPr="62CBEB84">
        <w:rPr>
          <w:color w:val="000000" w:themeColor="text1"/>
        </w:rPr>
        <w:t>, including Action for Children, have called on the government to include a duty on departments to undertake Child Rights Impact Assessments (CRIAs), using the UNCRC as a framework, on all laws and policies being developed that directly and indirectly affect children.</w:t>
      </w:r>
    </w:p>
    <w:p w:rsidR="00AD5E9F" w:rsidRPr="004D323D" w:rsidP="00493AD0"/>
    <w:p w:rsidR="00AD5E9F" w:rsidP="00493AD0">
      <w:pPr>
        <w:rPr>
          <w:b/>
          <w:bCs/>
          <w:color w:val="EE0000"/>
          <w:sz w:val="28"/>
          <w:szCs w:val="28"/>
        </w:rPr>
      </w:pPr>
    </w:p>
    <w:p w:rsidR="00AD5E9F" w:rsidRPr="001D4ECF" w:rsidP="00493AD0">
      <w:pPr>
        <w:rPr>
          <w:sz w:val="28"/>
          <w:szCs w:val="28"/>
        </w:rPr>
      </w:pPr>
      <w:r w:rsidRPr="001D4ECF">
        <w:rPr>
          <w:b/>
          <w:bCs/>
          <w:sz w:val="28"/>
          <w:szCs w:val="28"/>
        </w:rPr>
        <w:t xml:space="preserve">Question 2. If the UN Convention on the Rights of the Child were to be incorporated into domestic law in England, to what extent would that </w:t>
      </w:r>
      <w:r w:rsidRPr="001D4ECF">
        <w:rPr>
          <w:b/>
          <w:bCs/>
          <w:sz w:val="28"/>
          <w:szCs w:val="28"/>
        </w:rPr>
        <w:t>affect the protection of the human rights of children supported by or in the social care system? </w:t>
      </w:r>
      <w:r w:rsidRPr="001D4ECF">
        <w:rPr>
          <w:sz w:val="28"/>
          <w:szCs w:val="28"/>
        </w:rPr>
        <w:t> </w:t>
      </w:r>
    </w:p>
    <w:p w:rsidR="00AD5E9F" w:rsidP="004B5A9A">
      <w:r>
        <w:t>I</w:t>
      </w:r>
      <w:r w:rsidRPr="00493AD0">
        <w:t>ncorporating the United Nations Convention on the Rights of the Child (UNCRC) into domestic law in England would significantly strengthen the rights of children in care by ensuring public bodies are legally bound to respect, protect, and fulfil their rights</w:t>
      </w:r>
      <w:r>
        <w:t xml:space="preserve">. This would lead </w:t>
      </w:r>
      <w:r w:rsidRPr="00493AD0">
        <w:t>to a greater focus on child</w:t>
      </w:r>
      <w:r w:rsidRPr="00493AD0">
        <w:rPr>
          <w:rFonts w:ascii="Aptos" w:hAnsi="Aptos" w:cs="Aptos"/>
        </w:rPr>
        <w:t>’</w:t>
      </w:r>
      <w:r w:rsidRPr="00493AD0">
        <w:t xml:space="preserve">s needs when designing services, policies and practices. </w:t>
      </w:r>
      <w:r>
        <w:t xml:space="preserve">Crucially, incorporation would also mean that </w:t>
      </w:r>
      <w:r w:rsidRPr="00493AD0">
        <w:t>children in care would be able to directly challenge decisions or actions that violate their rights in court.  </w:t>
      </w:r>
    </w:p>
    <w:p w:rsidR="00AD5E9F" w:rsidP="004B5A9A">
      <w:r>
        <w:t>Incorporation of the UNCRC would enshrine</w:t>
      </w:r>
      <w:r w:rsidRPr="00DC086B">
        <w:t xml:space="preserve"> the right of every child to express their views freely on any matters affecting them, and have those views taken seriously and given due weight in accordance with their age and maturity</w:t>
      </w:r>
      <w:r>
        <w:rPr>
          <w:rStyle w:val="FootnoteReference"/>
        </w:rPr>
        <w:footnoteReference w:id="19"/>
      </w:r>
      <w:r>
        <w:t xml:space="preserve">. Action for Children, and the wider </w:t>
      </w:r>
      <w:r>
        <w:rPr>
          <w:rStyle w:val="FootnoteReference"/>
        </w:rPr>
        <w:footnoteReference w:id="20"/>
      </w:r>
      <w:r>
        <w:t>￼, have long argued that children’s views and opinions should be taken into consideration when making decisions about their care. Real positive change to the lives of children in care cannot be achieved without understanding their wishes, and incorporation of the UNCRC into domestic law in England would ensure that the voices of these children are at the centre of the decision-making process.</w:t>
      </w:r>
    </w:p>
    <w:p w:rsidR="00AD5E9F" w:rsidP="004B5A9A">
      <w:pPr>
        <w:rPr>
          <w:rFonts w:ascii="Aptos" w:eastAsia="Aptos" w:hAnsi="Aptos" w:cs="Arial"/>
        </w:rPr>
      </w:pPr>
      <w:r w:rsidRPr="502A6785">
        <w:rPr>
          <w:rFonts w:ascii="Aptos" w:eastAsia="Aptos" w:hAnsi="Aptos" w:cs="Arial"/>
        </w:rPr>
        <w:t>However, as with all legislation, it is imperative that the incorporation of the UNCRC is backed up by adequate resources. Public bodies must be provided with enough funding to properly uphold those rights afforded by the UNCRC.</w:t>
      </w:r>
    </w:p>
    <w:p w:rsidR="00AD5E9F" w:rsidP="004B5A9A">
      <w:pPr>
        <w:rPr>
          <w:rFonts w:ascii="Aptos" w:eastAsia="Aptos" w:hAnsi="Aptos" w:cs="Arial"/>
          <w:b/>
          <w:bCs/>
        </w:rPr>
      </w:pPr>
    </w:p>
    <w:p w:rsidR="00AD5E9F" w:rsidRPr="00015AC9" w:rsidP="004B5A9A">
      <w:pPr>
        <w:rPr>
          <w:rFonts w:ascii="Aptos" w:eastAsia="Aptos" w:hAnsi="Aptos" w:cs="Arial"/>
          <w:b/>
          <w:bCs/>
        </w:rPr>
      </w:pPr>
      <w:r w:rsidRPr="00015AC9">
        <w:rPr>
          <w:rFonts w:ascii="Aptos" w:eastAsia="Aptos" w:hAnsi="Aptos" w:cs="Arial"/>
          <w:b/>
          <w:bCs/>
        </w:rPr>
        <w:t>Learnings from Scotland -</w:t>
      </w:r>
    </w:p>
    <w:p w:rsidR="00AD5E9F" w:rsidP="004B5A9A">
      <w:r>
        <w:t>Scotland in</w:t>
      </w:r>
      <w:r w:rsidRPr="00493AD0">
        <w:t xml:space="preserve">corporated the UNCRC </w:t>
      </w:r>
      <w:r>
        <w:t xml:space="preserve">in 2024 via the </w:t>
      </w:r>
      <w:r w:rsidRPr="00367396">
        <w:t>UNCRC (Incorporation) (Scotland) Act</w:t>
      </w:r>
      <w:r>
        <w:t xml:space="preserve">. One positive impact of this has been a new requirement to </w:t>
      </w:r>
      <w:r w:rsidRPr="00493AD0">
        <w:rPr>
          <w:lang w:val="en-US"/>
        </w:rPr>
        <w:t>prepare and publish Child Rights and Wellbeing Impact Assessment</w:t>
      </w:r>
      <w:r>
        <w:rPr>
          <w:lang w:val="en-US"/>
        </w:rPr>
        <w:t>s</w:t>
      </w:r>
      <w:r w:rsidRPr="00493AD0">
        <w:rPr>
          <w:lang w:val="en-US"/>
        </w:rPr>
        <w:t xml:space="preserve"> (CRWIA) in respect to all new Bills, most Scottish Statutory Instruments, and all decisions of a strategic nature that relate to the rights and wellbeing of children. Many other bodies and organizations </w:t>
      </w:r>
      <w:r>
        <w:rPr>
          <w:lang w:val="en-US"/>
        </w:rPr>
        <w:t xml:space="preserve">in Scotland </w:t>
      </w:r>
      <w:r w:rsidRPr="00493AD0">
        <w:rPr>
          <w:lang w:val="en-US"/>
        </w:rPr>
        <w:t>also now provide and publish a CRWIA</w:t>
      </w:r>
      <w:r w:rsidRPr="00493AD0">
        <w:t>.</w:t>
      </w:r>
    </w:p>
    <w:p w:rsidR="00AD5E9F" w:rsidP="00491F88">
      <w:pPr>
        <w:rPr>
          <w:rFonts w:ascii="Aptos" w:eastAsia="Aptos" w:hAnsi="Aptos" w:cs="Arial"/>
          <w:lang w:val="en-US"/>
        </w:rPr>
      </w:pPr>
      <w:r>
        <w:t xml:space="preserve">As mentioned above, these impact assessments are a </w:t>
      </w:r>
      <w:r w:rsidRPr="00AD6005">
        <w:t>key tool for consider</w:t>
      </w:r>
      <w:r>
        <w:t>ing</w:t>
      </w:r>
      <w:r w:rsidRPr="00AD6005">
        <w:t xml:space="preserve"> children’s rights in law and policy</w:t>
      </w:r>
      <w:r>
        <w:t>-</w:t>
      </w:r>
      <w:r w:rsidRPr="00AD6005">
        <w:t>making</w:t>
      </w:r>
      <w:r>
        <w:t xml:space="preserve"> and allow </w:t>
      </w:r>
      <w:r w:rsidRPr="00AD6005">
        <w:t>policymaker</w:t>
      </w:r>
      <w:r>
        <w:t>s</w:t>
      </w:r>
      <w:r w:rsidRPr="00AD6005">
        <w:t xml:space="preserve"> to identify and consider proactive measures that may lead to better implementation and realisation of children’s rights.</w:t>
      </w:r>
      <w:r>
        <w:t xml:space="preserve"> </w:t>
      </w:r>
      <w:r>
        <w:rPr>
          <w:rFonts w:ascii="Aptos" w:eastAsia="Aptos" w:hAnsi="Aptos" w:cs="Arial"/>
          <w:lang w:val="en-US"/>
        </w:rPr>
        <w:t>I</w:t>
      </w:r>
      <w:r w:rsidRPr="00364BCE">
        <w:rPr>
          <w:rFonts w:ascii="Aptos" w:eastAsia="Aptos" w:hAnsi="Aptos" w:cs="Arial"/>
          <w:lang w:val="en-US"/>
        </w:rPr>
        <w:t>ncorporation of the UNCRC into English domestic law would ensure that</w:t>
      </w:r>
      <w:r>
        <w:rPr>
          <w:rFonts w:ascii="Aptos" w:eastAsia="Aptos" w:hAnsi="Aptos" w:cs="Arial"/>
          <w:lang w:val="en-US"/>
        </w:rPr>
        <w:t xml:space="preserve"> impact assessments</w:t>
      </w:r>
      <w:r w:rsidRPr="00364BCE">
        <w:rPr>
          <w:rFonts w:ascii="Aptos" w:eastAsia="Aptos" w:hAnsi="Aptos" w:cs="Arial"/>
          <w:lang w:val="en-US"/>
        </w:rPr>
        <w:t xml:space="preserve"> are carried out on proposed laws, policies or decisions as they relate to children’s wellbeing, social care or education</w:t>
      </w:r>
      <w:r w:rsidRPr="1605349E">
        <w:rPr>
          <w:rFonts w:ascii="Aptos" w:eastAsia="Aptos" w:hAnsi="Aptos" w:cs="Arial"/>
          <w:lang w:val="en-US"/>
        </w:rPr>
        <w:t xml:space="preserve">, supporting </w:t>
      </w:r>
      <w:r w:rsidRPr="00364BCE">
        <w:rPr>
          <w:rFonts w:ascii="Aptos" w:eastAsia="Aptos" w:hAnsi="Aptos" w:cs="Arial"/>
          <w:lang w:val="en-US"/>
        </w:rPr>
        <w:t xml:space="preserve">the UK </w:t>
      </w:r>
      <w:r>
        <w:rPr>
          <w:rFonts w:ascii="Aptos" w:eastAsia="Aptos" w:hAnsi="Aptos" w:cs="Arial"/>
          <w:lang w:val="en-US"/>
        </w:rPr>
        <w:t>g</w:t>
      </w:r>
      <w:r w:rsidRPr="00364BCE">
        <w:rPr>
          <w:rFonts w:ascii="Aptos" w:eastAsia="Aptos" w:hAnsi="Aptos" w:cs="Arial"/>
          <w:lang w:val="en-US"/>
        </w:rPr>
        <w:t>overnment’s ambitions to improve the participation of children and young people in policymaking and strengthen the rights of children in the care system in England.</w:t>
      </w:r>
    </w:p>
    <w:p w:rsidR="00AD5E9F" w:rsidRPr="00493AD0" w:rsidP="004B5A9A">
      <w:r>
        <w:t xml:space="preserve">It is worth noting that a key limitation of the </w:t>
      </w:r>
      <w:r w:rsidRPr="00367396">
        <w:t>UNCRC (Incorporation) (Scotland) Act</w:t>
      </w:r>
      <w:r>
        <w:t xml:space="preserve"> is that it</w:t>
      </w:r>
      <w:r w:rsidRPr="00493AD0">
        <w:rPr>
          <w:lang w:val="en-US"/>
        </w:rPr>
        <w:t xml:space="preserve"> can only be applied to acts of the Scottish Parliament, </w:t>
      </w:r>
      <w:r>
        <w:rPr>
          <w:lang w:val="en-US"/>
        </w:rPr>
        <w:t>meaning that any</w:t>
      </w:r>
      <w:r w:rsidRPr="00493AD0">
        <w:rPr>
          <w:lang w:val="en-US"/>
        </w:rPr>
        <w:t xml:space="preserve"> legislation pr</w:t>
      </w:r>
      <w:r>
        <w:rPr>
          <w:lang w:val="en-US"/>
        </w:rPr>
        <w:t xml:space="preserve">ior to </w:t>
      </w:r>
      <w:r w:rsidRPr="00493AD0">
        <w:rPr>
          <w:lang w:val="en-US"/>
        </w:rPr>
        <w:t xml:space="preserve">1999 is not in scope of the Act. This means that large swathes of public functions affecting children in Scotland are excluded from the duty to comply with the UNCRC. </w:t>
      </w:r>
      <w:r>
        <w:rPr>
          <w:lang w:val="en-US"/>
        </w:rPr>
        <w:t>I</w:t>
      </w:r>
      <w:r w:rsidRPr="00493AD0">
        <w:rPr>
          <w:lang w:val="en-US"/>
        </w:rPr>
        <w:t>ncorporating the UNCRC into</w:t>
      </w:r>
      <w:r>
        <w:rPr>
          <w:lang w:val="en-US"/>
        </w:rPr>
        <w:t xml:space="preserve"> domestic law in England would therefore </w:t>
      </w:r>
      <w:r w:rsidRPr="00493AD0">
        <w:rPr>
          <w:lang w:val="en-US"/>
        </w:rPr>
        <w:t>strengthen the rights of children in care across the UK, not only England</w:t>
      </w:r>
      <w:r>
        <w:rPr>
          <w:lang w:val="en-US"/>
        </w:rPr>
        <w:t>.</w:t>
      </w:r>
      <w:r w:rsidRPr="00493AD0">
        <w:t> </w:t>
      </w:r>
    </w:p>
    <w:p w:rsidR="00AD5E9F" w:rsidP="00493AD0">
      <w:r w:rsidRPr="00493AD0">
        <w:t> </w:t>
      </w:r>
    </w:p>
    <w:p w:rsidR="00AD5E9F" w:rsidRPr="00493AD0" w:rsidP="00493AD0"/>
    <w:p w:rsidR="00AD5E9F" w:rsidRPr="001D4ECF" w:rsidP="00493AD0">
      <w:pPr>
        <w:rPr>
          <w:sz w:val="28"/>
          <w:szCs w:val="28"/>
        </w:rPr>
      </w:pPr>
      <w:r w:rsidRPr="001D4ECF">
        <w:rPr>
          <w:b/>
          <w:bCs/>
          <w:sz w:val="28"/>
          <w:szCs w:val="28"/>
        </w:rPr>
        <w:t>Question 5. To what extent are there human rights concerns about the accommodation available to children in care?</w:t>
      </w:r>
      <w:r w:rsidRPr="001D4ECF">
        <w:rPr>
          <w:sz w:val="28"/>
          <w:szCs w:val="28"/>
        </w:rPr>
        <w:t> </w:t>
      </w:r>
    </w:p>
    <w:p w:rsidR="00AD5E9F" w:rsidRPr="00493AD0" w:rsidP="00E72FA4">
      <w:r w:rsidRPr="00493AD0">
        <w:t>There has been a significant increase over the last few years in the numbers of unregistered placements</w:t>
      </w:r>
      <w:r>
        <w:t xml:space="preserve"> in the children’s social care system</w:t>
      </w:r>
      <w:r w:rsidRPr="00493AD0">
        <w:t xml:space="preserve">. Ofsted </w:t>
      </w:r>
      <w:r>
        <w:t>data for</w:t>
      </w:r>
      <w:r w:rsidRPr="00493AD0">
        <w:t xml:space="preserve"> 2023/24 </w:t>
      </w:r>
      <w:r>
        <w:t xml:space="preserve">shows </w:t>
      </w:r>
      <w:r w:rsidRPr="00493AD0">
        <w:t>931 unregistered placement providers in England</w:t>
      </w:r>
      <w:r>
        <w:t xml:space="preserve">, an </w:t>
      </w:r>
      <w:r w:rsidRPr="00493AD0">
        <w:t>increase of 35% (244) compared to the year before</w:t>
      </w:r>
      <w:r>
        <w:rPr>
          <w:rStyle w:val="FootnoteReference"/>
        </w:rPr>
        <w:footnoteReference w:id="21"/>
      </w:r>
      <w:r w:rsidRPr="00493AD0">
        <w:t>. Any children’s placement</w:t>
      </w:r>
      <w:r>
        <w:t>s</w:t>
      </w:r>
      <w:r w:rsidRPr="00493AD0">
        <w:t xml:space="preserve"> that are not registered with Ofsted are illegal and pose significant risks to children’s safety</w:t>
      </w:r>
      <w:r>
        <w:t xml:space="preserve"> and security.</w:t>
      </w:r>
    </w:p>
    <w:p w:rsidR="00AD5E9F" w:rsidRPr="00493AD0" w:rsidP="00493AD0">
      <w:r w:rsidRPr="00493AD0">
        <w:t xml:space="preserve">It is often the most vulnerable children in care who are placed in these types of placements - those with the highest needs, the most traumatic histories and with the most dysregulated behaviours. </w:t>
      </w:r>
      <w:r>
        <w:t>T</w:t>
      </w:r>
      <w:r w:rsidRPr="00493AD0">
        <w:t>he Children’s Commissioner reported in 2024 that nearly one third (31%) of children in unregistered placements are subject to a deprivation of liberty order</w:t>
      </w:r>
      <w:r>
        <w:rPr>
          <w:rStyle w:val="FootnoteReference"/>
        </w:rPr>
        <w:footnoteReference w:id="22"/>
      </w:r>
      <w:r w:rsidRPr="00493AD0">
        <w:t>.  </w:t>
      </w:r>
    </w:p>
    <w:p w:rsidR="00AD5E9F" w:rsidRPr="00972498" w:rsidP="00972498">
      <w:pPr>
        <w:rPr>
          <w:rFonts w:ascii="Aptos" w:eastAsia="Aptos" w:hAnsi="Aptos" w:cs="Arial"/>
        </w:rPr>
      </w:pPr>
      <w:r w:rsidRPr="502A6785">
        <w:rPr>
          <w:rFonts w:ascii="Aptos" w:eastAsia="Aptos" w:hAnsi="Aptos" w:cs="Arial"/>
        </w:rPr>
        <w:t>These types of placements are often used as short term or crisis placements when there is no alternative available to the local authority. The increase in their use is a result of the shortage of appropriate placements available for this cohort of children (children with complex needs, particularly relating to their social, emotional and mental health (SEMH).</w:t>
      </w:r>
    </w:p>
    <w:p w:rsidR="00AD5E9F" w:rsidRPr="00972498" w:rsidP="00493AD0">
      <w:pPr>
        <w:rPr>
          <w:rFonts w:ascii="Aptos" w:eastAsia="Aptos" w:hAnsi="Aptos" w:cs="Arial"/>
        </w:rPr>
      </w:pPr>
      <w:r w:rsidRPr="00972498">
        <w:rPr>
          <w:rFonts w:ascii="Aptos" w:eastAsia="Aptos" w:hAnsi="Aptos" w:cs="Arial"/>
        </w:rPr>
        <w:t xml:space="preserve">The children in unregistered placements need multi-agency input and integrated models of care to ensure that </w:t>
      </w:r>
      <w:r>
        <w:rPr>
          <w:rFonts w:ascii="Aptos" w:eastAsia="Aptos" w:hAnsi="Aptos" w:cs="Arial"/>
        </w:rPr>
        <w:t xml:space="preserve">their </w:t>
      </w:r>
      <w:r w:rsidRPr="00972498">
        <w:rPr>
          <w:rFonts w:ascii="Aptos" w:eastAsia="Aptos" w:hAnsi="Aptos" w:cs="Arial"/>
        </w:rPr>
        <w:t>needs are fully met, and they don’t fall into gaps between services. The increased use of unregistered placements is a significant human rights concern as there is a lack of independent oversight. The quality and safety of the care being provided in these types of placements are not regulated and so put children at risk of harm – for example</w:t>
      </w:r>
      <w:r>
        <w:rPr>
          <w:rFonts w:ascii="Aptos" w:eastAsia="Aptos" w:hAnsi="Aptos" w:cs="Arial"/>
        </w:rPr>
        <w:t xml:space="preserve"> they have</w:t>
      </w:r>
      <w:r w:rsidRPr="00972498">
        <w:rPr>
          <w:rFonts w:ascii="Aptos" w:eastAsia="Aptos" w:hAnsi="Aptos" w:cs="Arial"/>
        </w:rPr>
        <w:t xml:space="preserve"> increased vulnerability to exploitation, abuse and neglect.</w:t>
      </w:r>
    </w:p>
    <w:p w:rsidR="00AD5E9F" w:rsidRPr="0080331D" w:rsidP="00493AD0">
      <w:pPr>
        <w:rPr>
          <w:b/>
          <w:bCs/>
          <w:color w:val="EE0000"/>
          <w:sz w:val="28"/>
          <w:szCs w:val="28"/>
        </w:rPr>
      </w:pPr>
    </w:p>
    <w:p w:rsidR="00AD5E9F" w:rsidRPr="001D4ECF" w:rsidP="00493AD0">
      <w:pPr>
        <w:rPr>
          <w:sz w:val="28"/>
          <w:szCs w:val="28"/>
        </w:rPr>
      </w:pPr>
      <w:r w:rsidRPr="001D4ECF">
        <w:rPr>
          <w:b/>
          <w:bCs/>
          <w:sz w:val="28"/>
          <w:szCs w:val="28"/>
        </w:rPr>
        <w:t>Question 7. To what extent are children with care experience overrepresented within the criminal justice system? If they are overrepresented, what are some of the driving factors for this?</w:t>
      </w:r>
      <w:r w:rsidRPr="001D4ECF">
        <w:rPr>
          <w:sz w:val="28"/>
          <w:szCs w:val="28"/>
        </w:rPr>
        <w:t> </w:t>
      </w:r>
    </w:p>
    <w:p w:rsidR="00AD5E9F" w:rsidRPr="00493AD0" w:rsidP="00492974">
      <w:r w:rsidRPr="00411F90">
        <w:t>Action for Children’s Criminal Exploitation Intervention Service supports vulnerable children and young people aged 11-18 at risk of, or coerced into, criminal activity through exploitation. The service has been operating in Scotland since 2013 and has now been successfully expanded across the UK. We identify children and young people involved in, or on the cusp of, serious organised crime at the earliest opportunity</w:t>
      </w:r>
      <w:r>
        <w:t xml:space="preserve"> and </w:t>
      </w:r>
      <w:r w:rsidRPr="00411F90">
        <w:t>divert them away from exploitation or criminal pathways that could lead to career criminalit</w:t>
      </w:r>
      <w:r>
        <w:t xml:space="preserve">y. </w:t>
      </w:r>
    </w:p>
    <w:p w:rsidR="00AD5E9F" w:rsidRPr="00493AD0" w:rsidP="00493AD0">
      <w:r w:rsidRPr="00493AD0">
        <w:t>Whilst there are no official national statistics available on the numbers of children in the criminal justice system who are care</w:t>
      </w:r>
      <w:r>
        <w:t>-</w:t>
      </w:r>
      <w:r w:rsidRPr="00493AD0">
        <w:t>experienced</w:t>
      </w:r>
      <w:r>
        <w:t xml:space="preserve">, we know from our Criminal Exploitation Intervention Service that </w:t>
      </w:r>
      <w:r w:rsidRPr="00493AD0">
        <w:t xml:space="preserve">there is a significant overlap between children in care and </w:t>
      </w:r>
      <w:r>
        <w:t xml:space="preserve">children who are </w:t>
      </w:r>
      <w:r w:rsidRPr="00493AD0">
        <w:t>criminal</w:t>
      </w:r>
      <w:r>
        <w:t xml:space="preserve">ly exploited. This link was also highlighted in evidence given to the Jay Review of Criminally Exploited Children, chaired by Professor Alexis Jay </w:t>
      </w:r>
      <w:r>
        <w:rPr>
          <w:rStyle w:val="FootnoteReference"/>
        </w:rPr>
        <w:footnoteReference w:id="23"/>
      </w:r>
      <w:r>
        <w:t xml:space="preserve"> and published by Action for Children in 2024￼. The Review received evidence from over 70 organisations and people with lived experience of exploitation. </w:t>
      </w:r>
    </w:p>
    <w:p w:rsidR="00AD5E9F" w:rsidRPr="00493AD0" w:rsidP="00493AD0">
      <w:r w:rsidRPr="00493AD0">
        <w:t>One of the driving factors for the prevalence of children in care who have been criminally exploited is the growing recognition</w:t>
      </w:r>
      <w:r>
        <w:t xml:space="preserve"> of</w:t>
      </w:r>
      <w:r w:rsidRPr="00493AD0">
        <w:t xml:space="preserve"> ‘extra-familial harm’, or risk outside the home, as </w:t>
      </w:r>
      <w:r>
        <w:t>a</w:t>
      </w:r>
      <w:r w:rsidRPr="00493AD0">
        <w:t xml:space="preserve"> key child protection risk for adolescents. Therefore, there are rising numbers of teenagers entering the care system </w:t>
      </w:r>
      <w:r>
        <w:t xml:space="preserve">where the </w:t>
      </w:r>
      <w:r w:rsidRPr="00493AD0">
        <w:t xml:space="preserve">risk of </w:t>
      </w:r>
      <w:r>
        <w:t xml:space="preserve">criminal exploitation is deemed so high </w:t>
      </w:r>
      <w:r w:rsidRPr="00493AD0">
        <w:t>that they are unable to stay with their parents or care givers. </w:t>
      </w:r>
    </w:p>
    <w:p w:rsidR="00AD5E9F" w:rsidRPr="00493AD0" w:rsidP="00493AD0">
      <w:r w:rsidRPr="00493AD0">
        <w:t>Once in the child</w:t>
      </w:r>
      <w:r>
        <w:t xml:space="preserve">ren’s social </w:t>
      </w:r>
      <w:r w:rsidRPr="00493AD0">
        <w:t xml:space="preserve">care system, children can also be vulnerable to </w:t>
      </w:r>
      <w:r>
        <w:t>criminal exploitation, and exploiters may target children’s homes specifically.</w:t>
      </w:r>
      <w:r w:rsidRPr="00493AD0">
        <w:t xml:space="preserve"> The rise in adolescents with complex needs in care in a system designed for younger children has contributed to a crisis of suitable placements and accommodation. The scarcity of placements means that children may be placed far from home and support networks</w:t>
      </w:r>
      <w:r>
        <w:t xml:space="preserve">, making them </w:t>
      </w:r>
      <w:r w:rsidRPr="00493AD0">
        <w:t xml:space="preserve">more vulnerable to forming relationships with people who might exploit them; this </w:t>
      </w:r>
      <w:r>
        <w:t xml:space="preserve">is </w:t>
      </w:r>
      <w:r w:rsidRPr="00493AD0">
        <w:t>especially true for children who were moved due to their risk of exploitation.   </w:t>
      </w:r>
    </w:p>
    <w:p w:rsidR="00AD5E9F" w:rsidRPr="00493AD0" w:rsidP="00AB23FF">
      <w:pPr>
        <w:ind w:left="720"/>
      </w:pPr>
      <w:r w:rsidRPr="00493AD0">
        <w:rPr>
          <w:i/>
          <w:iCs/>
        </w:rPr>
        <w:t xml:space="preserve">“Even when local authorities can plan, there is often a lack of available accommodation and care for children with more complex needs. ... When children do not have their familiar networks of support and easy access to </w:t>
      </w:r>
      <w:r w:rsidRPr="00493AD0">
        <w:rPr>
          <w:i/>
          <w:iCs/>
        </w:rPr>
        <w:t>families, this can result in them being more vulnerable to exploiters.” </w:t>
      </w:r>
      <w:r w:rsidRPr="00493AD0">
        <w:t> </w:t>
      </w:r>
      <w:r>
        <w:t xml:space="preserve">Evidence from Ofsted to the Jay Review of Criminally Exploited Children.  </w:t>
      </w:r>
    </w:p>
    <w:p w:rsidR="00AD5E9F" w:rsidRPr="00493AD0" w:rsidP="00493AD0">
      <w:r>
        <w:t>T</w:t>
      </w:r>
      <w:r w:rsidRPr="00493AD0">
        <w:t>he</w:t>
      </w:r>
      <w:r>
        <w:t xml:space="preserve"> Review also found that the</w:t>
      </w:r>
      <w:r w:rsidRPr="00493AD0">
        <w:t xml:space="preserve"> criminal justice system is not fit for purpose in preventing exploitation, protecting children from harm or punishing perpetrators. Much of the current legal and policy framework was never designed to be applied in cases of child exploitation, resulting in children being treated as perpetrators of crime rather than victims of abuse</w:t>
      </w:r>
      <w:r>
        <w:t xml:space="preserve">, and being </w:t>
      </w:r>
      <w:r w:rsidRPr="00493AD0">
        <w:t>criminalised as a result. </w:t>
      </w:r>
    </w:p>
    <w:p w:rsidR="00AD5E9F" w:rsidRPr="00561D77" w:rsidP="502A6785">
      <w:pPr>
        <w:rPr>
          <w:b/>
          <w:bCs/>
        </w:rPr>
      </w:pPr>
      <w:r w:rsidRPr="502A6785">
        <w:rPr>
          <w:b/>
          <w:bCs/>
        </w:rPr>
        <w:t>A lack of data   </w:t>
      </w:r>
    </w:p>
    <w:p w:rsidR="00AD5E9F" w:rsidP="00493AD0">
      <w:r w:rsidRPr="009E5B30">
        <w:t xml:space="preserve">Not enough is currently known about children’s experiences of care, or their outcomes in childhood and later life. Experiences aren’t captured systematically, and where outcomes data does exist, it leaves gaps. High-quality evidence on experiences and outcomes is vital for improving the care system in England. </w:t>
      </w:r>
      <w:r>
        <w:t xml:space="preserve">To gain a full understanding of how the children’s social care system affects the human rights of children, investing in the collection of good quality outcomes data and of the experiences of children and their carers is vital. </w:t>
      </w:r>
    </w:p>
    <w:p w:rsidR="00AD5E9F" w:rsidP="00F21511">
      <w:pPr>
        <w:spacing w:after="120" w:line="276" w:lineRule="auto"/>
        <w:rPr>
          <w:rFonts w:eastAsiaTheme="minorEastAsia"/>
          <w:lang w:eastAsia="en-GB"/>
        </w:rPr>
      </w:pPr>
    </w:p>
    <w:p w:rsidR="002071AE" w:rsidRPr="002071AE" w:rsidP="002071AE">
      <w:pPr>
        <w:rPr>
          <w:i/>
          <w:iCs/>
        </w:rPr>
      </w:pPr>
      <w:r>
        <w:rPr>
          <w:b/>
          <w:bCs/>
          <w:i/>
          <w:iCs/>
        </w:rPr>
        <w:t>(</w:t>
      </w:r>
      <w:r w:rsidRPr="002071AE">
        <w:rPr>
          <w:b/>
          <w:bCs/>
          <w:i/>
          <w:iCs/>
        </w:rPr>
        <w:t>Aug 2025</w:t>
      </w:r>
      <w:r>
        <w:rPr>
          <w:b/>
          <w:bCs/>
          <w:i/>
          <w:iCs/>
        </w:rPr>
        <w:t>)</w:t>
      </w:r>
    </w:p>
    <w:p w:rsidR="00AD5E9F" w:rsidP="00F21511">
      <w:pPr>
        <w:spacing w:after="120" w:line="276" w:lineRule="auto"/>
        <w:rPr>
          <w:rFonts w:eastAsiaTheme="minorEastAsia"/>
          <w:lang w:eastAsia="en-GB"/>
        </w:rPr>
      </w:pPr>
    </w:p>
    <w:p w:rsidR="00AD5E9F" w:rsidRPr="00493AD0" w:rsidP="00493AD0"/>
    <w:p w:rsidR="00AD5E9F" w:rsidRPr="00493AD0" w:rsidP="00493AD0">
      <w:r w:rsidRPr="00493AD0">
        <w:t> </w:t>
      </w:r>
    </w:p>
    <w:p w:rsidR="00AD5E9F" w:rsidRPr="00493AD0" w:rsidP="00493AD0">
      <w:r w:rsidRPr="00493AD0">
        <w:t> </w:t>
      </w:r>
    </w:p>
    <w:p w:rsidR="00AD5E9F"/>
    <w:sectPr>
      <w:headerReference w:type="even" r:id="rId9"/>
      <w:headerReference w:type="default" r:id="rId10"/>
      <w:footerReference w:type="default" r:id="rId11"/>
      <w:headerReference w:type="first" r:id="rId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5E9F">
    <w:pPr>
      <w:pStyle w:val="Footer"/>
      <w:jc w:val="right"/>
    </w:pPr>
  </w:p>
  <w:p w:rsidR="00AD5E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C536C" w:rsidP="00493AD0">
      <w:pPr>
        <w:spacing w:after="0" w:line="240" w:lineRule="auto"/>
      </w:pPr>
      <w:r>
        <w:separator/>
      </w:r>
    </w:p>
  </w:footnote>
  <w:footnote w:type="continuationSeparator" w:id="1">
    <w:p w:rsidR="00FC536C" w:rsidP="00493AD0">
      <w:pPr>
        <w:spacing w:after="0" w:line="240" w:lineRule="auto"/>
      </w:pPr>
      <w:r>
        <w:continuationSeparator/>
      </w:r>
    </w:p>
  </w:footnote>
  <w:footnote w:id="2">
    <w:p w:rsidR="00AD5E9F">
      <w:pPr>
        <w:pStyle w:val="FootnoteText"/>
      </w:pPr>
      <w:r>
        <w:rPr>
          <w:rStyle w:val="FootnoteReference"/>
        </w:rPr>
        <w:footnoteRef/>
      </w:r>
      <w:r>
        <w:t xml:space="preserve"> </w:t>
      </w:r>
      <w:r>
        <w:fldChar w:fldCharType="begin"/>
      </w:r>
      <w:r>
        <w:instrText xml:space="preserve"> HYPERLINK "https://becomecharity.org.uk/get-involved/our-campaigns/gone-too-far/" \l ":~:text=Gone%20Too%20Far,-Keep%20children%20in&amp;text=%E2%80%9CWhen%20young%20people%20are%20suddenly,%2C%20it%20is%20extremely%20difficult.%E2%80%9D" \t "_blank" </w:instrText>
      </w:r>
      <w:r>
        <w:fldChar w:fldCharType="separate"/>
      </w:r>
      <w:r w:rsidRPr="000E289C">
        <w:rPr>
          <w:rStyle w:val="Hyperlink"/>
        </w:rPr>
        <w:t>Our #GoneTooFar campaign - Become</w:t>
      </w:r>
      <w:r>
        <w:fldChar w:fldCharType="end"/>
      </w:r>
    </w:p>
  </w:footnote>
  <w:footnote w:id="3">
    <w:p w:rsidR="00AD5E9F">
      <w:pPr>
        <w:pStyle w:val="FootnoteText"/>
      </w:pPr>
      <w:r>
        <w:rPr>
          <w:rStyle w:val="FootnoteReference"/>
        </w:rPr>
        <w:footnoteRef/>
      </w:r>
      <w:r>
        <w:t xml:space="preserve"> </w:t>
      </w:r>
      <w:r w:rsidRPr="004334D4">
        <w:rPr>
          <w:rFonts w:ascii="Aptos" w:eastAsia="Aptos" w:hAnsi="Aptos" w:cs="Arial"/>
        </w:rPr>
        <w:t xml:space="preserve">Children’s Commissioner (2023) </w:t>
      </w:r>
      <w:r>
        <w:fldChar w:fldCharType="begin"/>
      </w:r>
      <w:r>
        <w:instrText xml:space="preserve"> HYPERLINK "https://www.childrenscommissioner.gov.uk/resource/siblings-in-care/" </w:instrText>
      </w:r>
      <w:r>
        <w:fldChar w:fldCharType="separate"/>
      </w:r>
      <w:r w:rsidRPr="004334D4">
        <w:rPr>
          <w:rFonts w:ascii="Aptos" w:eastAsia="Aptos" w:hAnsi="Aptos" w:cs="Arial"/>
          <w:color w:val="467886"/>
          <w:u w:val="single"/>
        </w:rPr>
        <w:t>Siblings in Care</w:t>
      </w:r>
      <w:r>
        <w:fldChar w:fldCharType="end"/>
      </w:r>
    </w:p>
  </w:footnote>
  <w:footnote w:id="4">
    <w:p w:rsidR="00AD5E9F">
      <w:pPr>
        <w:pStyle w:val="FootnoteText"/>
      </w:pPr>
      <w:r>
        <w:rPr>
          <w:rStyle w:val="FootnoteReference"/>
        </w:rPr>
        <w:footnoteRef/>
      </w:r>
      <w:r>
        <w:t xml:space="preserve"> </w:t>
      </w:r>
      <w:r w:rsidRPr="00944E2D">
        <w:t xml:space="preserve">UK Government (2025) </w:t>
      </w:r>
      <w:r>
        <w:fldChar w:fldCharType="begin"/>
      </w:r>
      <w:r>
        <w:instrText xml:space="preserve"> HYPERLINK "https://www.gov.uk/government/statistics/childrens-social-care-in-england-2025/main-findings-childrens-social-care-in-england-2025" </w:instrText>
      </w:r>
      <w:r>
        <w:fldChar w:fldCharType="separate"/>
      </w:r>
      <w:r w:rsidRPr="00944E2D">
        <w:rPr>
          <w:rStyle w:val="Hyperlink"/>
        </w:rPr>
        <w:t>Main findings: children’s social care in England 2025</w:t>
      </w:r>
      <w:r>
        <w:fldChar w:fldCharType="end"/>
      </w:r>
    </w:p>
  </w:footnote>
  <w:footnote w:id="5">
    <w:p w:rsidR="00AD5E9F">
      <w:pPr>
        <w:pStyle w:val="FootnoteText"/>
      </w:pPr>
      <w:r>
        <w:rPr>
          <w:rStyle w:val="FootnoteReference"/>
        </w:rPr>
        <w:footnoteRef/>
      </w:r>
      <w:r>
        <w:t xml:space="preserve"> </w:t>
      </w:r>
      <w:r w:rsidRPr="008F22C9">
        <w:t xml:space="preserve">Action for Children (2024) </w:t>
      </w:r>
      <w:r>
        <w:fldChar w:fldCharType="begin"/>
      </w:r>
      <w:r>
        <w:instrText xml:space="preserve"> HYPERLINK "https://www.actionforchildren.org.uk/our-work-and-impact/policy-work-campaigns-and-research/policy-reports/a-place-to-call-home/" \l "read-the-reports" </w:instrText>
      </w:r>
      <w:r>
        <w:fldChar w:fldCharType="separate"/>
      </w:r>
      <w:r w:rsidRPr="008F22C9">
        <w:rPr>
          <w:rStyle w:val="Hyperlink"/>
        </w:rPr>
        <w:t>A Place to Call Home: Understanding what makes a good home for children in care across the UK</w:t>
      </w:r>
      <w:r>
        <w:fldChar w:fldCharType="end"/>
      </w:r>
    </w:p>
  </w:footnote>
  <w:footnote w:id="6">
    <w:p w:rsidR="00AD5E9F" w:rsidRPr="007472D6">
      <w:pPr>
        <w:pStyle w:val="FootnoteText"/>
        <w:rPr>
          <w:rFonts w:ascii="Aptos" w:eastAsia="Aptos" w:hAnsi="Aptos" w:cs="Arial"/>
        </w:rPr>
      </w:pPr>
      <w:r>
        <w:rPr>
          <w:rStyle w:val="FootnoteReference"/>
        </w:rPr>
        <w:footnoteRef/>
      </w:r>
      <w:r>
        <w:t xml:space="preserve"> </w:t>
      </w:r>
      <w:r w:rsidRPr="007472D6">
        <w:rPr>
          <w:rFonts w:ascii="Aptos" w:eastAsia="Aptos" w:hAnsi="Aptos" w:cs="Arial"/>
        </w:rPr>
        <w:t xml:space="preserve">Action for Children and NSPCC (2024) </w:t>
      </w:r>
      <w:r>
        <w:t xml:space="preserve"> </w:t>
      </w:r>
      <w:r>
        <w:fldChar w:fldCharType="begin"/>
      </w:r>
      <w:r>
        <w:instrText xml:space="preserve"> HYPERLINK "https://media.actionforchildren.org.uk/documents/ACT0037_Home_again_Report_Final_digital.pdf" </w:instrText>
      </w:r>
      <w:r>
        <w:fldChar w:fldCharType="separate"/>
      </w:r>
      <w:r w:rsidRPr="00010037">
        <w:rPr>
          <w:rStyle w:val="Hyperlink"/>
          <w:rFonts w:ascii="Aptos" w:eastAsia="Aptos" w:hAnsi="Aptos" w:cs="Arial"/>
        </w:rPr>
        <w:t>Home Again: understanding reunification practice in the children’s social care system in England</w:t>
      </w:r>
      <w:r>
        <w:fldChar w:fldCharType="end"/>
      </w:r>
      <w:r w:rsidRPr="00561D77">
        <w:t xml:space="preserve"> </w:t>
      </w:r>
    </w:p>
  </w:footnote>
  <w:footnote w:id="7">
    <w:p w:rsidR="00AD5E9F">
      <w:pPr>
        <w:pStyle w:val="FootnoteText"/>
      </w:pPr>
      <w:r>
        <w:rPr>
          <w:rStyle w:val="FootnoteReference"/>
        </w:rPr>
        <w:footnoteRef/>
      </w:r>
      <w:r>
        <w:t xml:space="preserve"> </w:t>
      </w:r>
      <w:r w:rsidRPr="007B548D">
        <w:t>Goldacre et al.  (2022), ‘Reunification and re-entry to care: an analysis of the national datasets for children looked after in England’, The British Journal of Social Work</w:t>
      </w:r>
    </w:p>
  </w:footnote>
  <w:footnote w:id="8">
    <w:p w:rsidR="00AD5E9F">
      <w:pPr>
        <w:pStyle w:val="FootnoteText"/>
      </w:pPr>
      <w:r>
        <w:rPr>
          <w:rStyle w:val="FootnoteReference"/>
        </w:rPr>
        <w:footnoteRef/>
      </w:r>
      <w:r>
        <w:t xml:space="preserve"> </w:t>
      </w:r>
      <w:r w:rsidRPr="00745F1B">
        <w:t xml:space="preserve">Department for Education (2025) </w:t>
      </w:r>
      <w:r>
        <w:fldChar w:fldCharType="begin"/>
      </w:r>
      <w:r>
        <w:instrText xml:space="preserve"> HYPERLINK "https://assets.publishing.service.gov.uk/media/6825b992a60aeba5ab34e006/The_families_first_partnership_programme_guide.pdf" </w:instrText>
      </w:r>
      <w:r>
        <w:fldChar w:fldCharType="separate"/>
      </w:r>
      <w:r w:rsidRPr="00745F1B">
        <w:rPr>
          <w:rStyle w:val="Hyperlink"/>
        </w:rPr>
        <w:t>The Families First Partnership (FFP) Programme Guide</w:t>
      </w:r>
      <w:r>
        <w:fldChar w:fldCharType="end"/>
      </w:r>
    </w:p>
  </w:footnote>
  <w:footnote w:id="9">
    <w:p w:rsidR="00AD5E9F">
      <w:pPr>
        <w:pStyle w:val="FootnoteText"/>
      </w:pPr>
      <w:r>
        <w:rPr>
          <w:rStyle w:val="FootnoteReference"/>
        </w:rPr>
        <w:footnoteRef/>
      </w:r>
      <w:r>
        <w:t xml:space="preserve"> </w:t>
      </w:r>
      <w:r w:rsidRPr="005B127A">
        <w:rPr>
          <w:rFonts w:ascii="Aptos" w:eastAsia="Aptos" w:hAnsi="Aptos" w:cs="Arial"/>
        </w:rPr>
        <w:t xml:space="preserve">Action for Children (2023) </w:t>
      </w:r>
      <w:r>
        <w:fldChar w:fldCharType="begin"/>
      </w:r>
      <w:r>
        <w:instrText xml:space="preserve"> HYPERLINK "https://www.actionforchildren.org.uk/our-work-and-impact/policy-work-campaigns-and-research/policy-reports/the-educational-outcomes-of-children-referred-to-childrens-social-care/" </w:instrText>
      </w:r>
      <w:r>
        <w:fldChar w:fldCharType="separate"/>
      </w:r>
      <w:r w:rsidRPr="005B127A">
        <w:rPr>
          <w:rFonts w:ascii="Aptos" w:eastAsia="Aptos" w:hAnsi="Aptos" w:cs="Arial"/>
          <w:color w:val="467886"/>
          <w:u w:val="single"/>
        </w:rPr>
        <w:t>The Educational Outcomes of Children Referred to Children's Social Care</w:t>
      </w:r>
      <w:r>
        <w:fldChar w:fldCharType="end"/>
      </w:r>
    </w:p>
  </w:footnote>
  <w:footnote w:id="10">
    <w:p w:rsidR="00AD5E9F">
      <w:pPr>
        <w:pStyle w:val="FootnoteText"/>
      </w:pPr>
      <w:r>
        <w:rPr>
          <w:rStyle w:val="FootnoteReference"/>
        </w:rPr>
        <w:footnoteRef/>
      </w:r>
      <w:r>
        <w:t xml:space="preserve"> </w:t>
      </w:r>
      <w:r w:rsidRPr="006D4959">
        <w:t xml:space="preserve">Department for Education (2024) </w:t>
      </w:r>
      <w:r>
        <w:fldChar w:fldCharType="begin"/>
      </w:r>
      <w:r>
        <w:instrText xml:space="preserve"> HYPERLINK "https://explore-education-statistics.service.gov.uk/find-statistics/children-looked-after-in-england-including-adoptions/2024" </w:instrText>
      </w:r>
      <w:r>
        <w:fldChar w:fldCharType="separate"/>
      </w:r>
      <w:r>
        <w:rPr>
          <w:rStyle w:val="Hyperlink"/>
        </w:rPr>
        <w:t>Children looked after in England including adoptions</w:t>
      </w:r>
      <w:r>
        <w:fldChar w:fldCharType="end"/>
      </w:r>
    </w:p>
  </w:footnote>
  <w:footnote w:id="11">
    <w:p w:rsidR="00AD5E9F">
      <w:pPr>
        <w:pStyle w:val="FootnoteText"/>
      </w:pPr>
      <w:r>
        <w:rPr>
          <w:rStyle w:val="FootnoteReference"/>
        </w:rPr>
        <w:footnoteRef/>
      </w:r>
      <w:r>
        <w:t xml:space="preserve"> Children Act 1989, Children and Families Act 2014</w:t>
      </w:r>
    </w:p>
  </w:footnote>
  <w:footnote w:id="12">
    <w:p w:rsidR="00AD5E9F">
      <w:pPr>
        <w:pStyle w:val="FootnoteText"/>
      </w:pPr>
      <w:r>
        <w:rPr>
          <w:rStyle w:val="FootnoteReference"/>
        </w:rPr>
        <w:footnoteRef/>
      </w:r>
      <w:r>
        <w:t xml:space="preserve"> </w:t>
      </w:r>
      <w:r w:rsidRPr="008B402A">
        <w:t>UN Committee on the Rights of the Child (2023), Concluding observations: Examination of the United Kingdom of Great Britain and Northern Ireland</w:t>
      </w:r>
    </w:p>
  </w:footnote>
  <w:footnote w:id="13">
    <w:p w:rsidR="00AD5E9F" w:rsidP="502A6785">
      <w:pPr>
        <w:pStyle w:val="FootnoteText"/>
      </w:pPr>
      <w:r w:rsidRPr="502A6785">
        <w:rPr>
          <w:rStyle w:val="FootnoteReference"/>
        </w:rPr>
        <w:footnoteRef/>
      </w:r>
      <w:r>
        <w:t xml:space="preserve"> Article 12 of the UNCRC states that ’States Parties shall assure to the child who is capable of forming his or her own views the right to express those views freely in all matters affecting the child, the views of the child being given due weight in accordance with the age and maturity of the child.</w:t>
      </w:r>
    </w:p>
  </w:footnote>
  <w:footnote w:id="14">
    <w:p w:rsidR="00AD5E9F">
      <w:pPr>
        <w:pStyle w:val="FootnoteText"/>
      </w:pPr>
      <w:r>
        <w:rPr>
          <w:rStyle w:val="FootnoteReference"/>
        </w:rPr>
        <w:footnoteRef/>
      </w:r>
      <w:r>
        <w:t xml:space="preserve"> </w:t>
      </w:r>
      <w:r w:rsidRPr="00824DC0">
        <w:t>The Rights of Children and Young Persons (Wales) Measure 2011 requires Ministers to publish a ‘Children’s Scheme’ (setting out arrangements for securing compliance with the due regard duty) which in turn requires a CRIA of policy proposals.</w:t>
      </w:r>
    </w:p>
  </w:footnote>
  <w:footnote w:id="15">
    <w:p w:rsidR="00AD5E9F">
      <w:pPr>
        <w:pStyle w:val="FootnoteText"/>
      </w:pPr>
      <w:r>
        <w:rPr>
          <w:rStyle w:val="FootnoteReference"/>
        </w:rPr>
        <w:footnoteRef/>
      </w:r>
      <w:r>
        <w:t xml:space="preserve"> </w:t>
      </w:r>
      <w:r w:rsidRPr="00761B1F">
        <w:t>Under the United Nations Convention on the Rights of the Child (Incorporation) (Scotland) Act 2024, Scottish Ministers also have a duty to ‘prepare and publish’ child rights and wellbeing impact assessments (CRWIA) for any Bill introduced in the Scottish Parliament, Scottish statutory instruments, and for certain strategic decisions that may affect children’s rights and wellbeing.</w:t>
      </w:r>
    </w:p>
  </w:footnote>
  <w:footnote w:id="16">
    <w:p w:rsidR="00AD5E9F">
      <w:pPr>
        <w:pStyle w:val="FootnoteText"/>
      </w:pPr>
      <w:r>
        <w:rPr>
          <w:rStyle w:val="FootnoteReference"/>
        </w:rPr>
        <w:footnoteRef/>
      </w:r>
      <w:r>
        <w:t xml:space="preserve"> </w:t>
      </w:r>
      <w:r w:rsidRPr="00061CC6">
        <w:t>The Children (Convention Rights) (Jersey) Law 2022 includes requirements for specified duty-bearers to complete a CRIA.</w:t>
      </w:r>
    </w:p>
  </w:footnote>
  <w:footnote w:id="17">
    <w:p w:rsidR="00AD5E9F">
      <w:pPr>
        <w:pStyle w:val="FootnoteText"/>
      </w:pPr>
      <w:r>
        <w:rPr>
          <w:rStyle w:val="FootnoteReference"/>
        </w:rPr>
        <w:footnoteRef/>
      </w:r>
      <w:r>
        <w:t xml:space="preserve"> </w:t>
      </w:r>
      <w:r>
        <w:fldChar w:fldCharType="begin"/>
      </w:r>
      <w:r>
        <w:instrText xml:space="preserve"> HYPERLINK "https://www.theyworkforyou.com/wrans/?id=2025-03-25.41072.h&amp;s=%28%22children%27s+rights+impact+assessment%22+OR+%22child%27s+rights+impact+assessment%22+OR+%22child+rights+impact+assessment%22%29" \l "g41072.r0" </w:instrText>
      </w:r>
      <w:r>
        <w:fldChar w:fldCharType="separate"/>
      </w:r>
      <w:r w:rsidRPr="008C072C">
        <w:rPr>
          <w:rStyle w:val="Hyperlink"/>
        </w:rPr>
        <w:t>Written answer to Parliamentary Question, 7 April 2025, written answer to PQ, 14 April 2025 and written answer to PQ, 24 April 2025</w:t>
      </w:r>
      <w:r>
        <w:fldChar w:fldCharType="end"/>
      </w:r>
      <w:r w:rsidRPr="00B2346C">
        <w:t xml:space="preserve"> [accessed: 20/05/2025].</w:t>
      </w:r>
    </w:p>
  </w:footnote>
  <w:footnote w:id="18">
    <w:p w:rsidR="00AD5E9F" w:rsidP="004D323D">
      <w:pPr>
        <w:pStyle w:val="FootnoteText"/>
      </w:pPr>
      <w:r>
        <w:rPr>
          <w:rStyle w:val="FootnoteReference"/>
        </w:rPr>
        <w:footnoteRef/>
      </w:r>
      <w:r>
        <w:t xml:space="preserve"> Children’s Rights Alliance for England (2025) </w:t>
      </w:r>
      <w:r>
        <w:fldChar w:fldCharType="begin"/>
      </w:r>
      <w:r>
        <w:instrText xml:space="preserve"> HYPERLINK "https://crae.org.uk/news/over-110-organisations-back-joint-call-embed-childrens-rights-policymaking" </w:instrText>
      </w:r>
      <w:r>
        <w:fldChar w:fldCharType="separate"/>
      </w:r>
      <w:r>
        <w:rPr>
          <w:rStyle w:val="Hyperlink"/>
        </w:rPr>
        <w:t xml:space="preserve">Over 110 organisations back joint call to embed children’s rights in policymaking </w:t>
      </w:r>
      <w:r>
        <w:fldChar w:fldCharType="end"/>
      </w:r>
    </w:p>
  </w:footnote>
  <w:footnote w:id="19">
    <w:p w:rsidR="00AD5E9F">
      <w:pPr>
        <w:pStyle w:val="FootnoteText"/>
      </w:pPr>
      <w:r>
        <w:rPr>
          <w:rStyle w:val="FootnoteReference"/>
        </w:rPr>
        <w:footnoteRef/>
      </w:r>
      <w:r>
        <w:t xml:space="preserve"> </w:t>
      </w:r>
      <w:r w:rsidRPr="00F0084A">
        <w:t xml:space="preserve">Article 12 of the UNCRC states that </w:t>
      </w:r>
      <w:r w:rsidRPr="00EB24A8">
        <w:t>“</w:t>
      </w:r>
      <w:r w:rsidRPr="00EB24A8">
        <w:rPr>
          <w:i/>
          <w:iCs/>
        </w:rPr>
        <w:t>every child has the right to express their views, feelings and wishes in all matters affecting them, and to have their views considered and taken seriously</w:t>
      </w:r>
      <w:r w:rsidRPr="00EB24A8">
        <w:t>.</w:t>
      </w:r>
      <w:r>
        <w:t>”</w:t>
      </w:r>
    </w:p>
  </w:footnote>
  <w:footnote w:id="20">
    <w:p w:rsidR="00AD5E9F">
      <w:pPr>
        <w:pStyle w:val="FootnoteText"/>
      </w:pPr>
      <w:r>
        <w:rPr>
          <w:rStyle w:val="FootnoteReference"/>
        </w:rPr>
        <w:footnoteRef/>
      </w:r>
      <w:r>
        <w:t xml:space="preserve"> </w:t>
      </w:r>
      <w:r>
        <w:fldChar w:fldCharType="begin"/>
      </w:r>
      <w:r>
        <w:instrText xml:space="preserve"> HYPERLINK "https://www.actionforchildren.org.uk/support-us/campaign-with-us/the-childrens-charities-coalition/" </w:instrText>
      </w:r>
      <w:r>
        <w:fldChar w:fldCharType="separate"/>
      </w:r>
      <w:r w:rsidRPr="000F3C38">
        <w:rPr>
          <w:rStyle w:val="Hyperlink"/>
        </w:rPr>
        <w:t>The Children's Charities Coalition | Action For Children</w:t>
      </w:r>
      <w:r>
        <w:fldChar w:fldCharType="end"/>
      </w:r>
    </w:p>
  </w:footnote>
  <w:footnote w:id="21">
    <w:p w:rsidR="00AD5E9F">
      <w:pPr>
        <w:pStyle w:val="FootnoteText"/>
      </w:pPr>
      <w:r>
        <w:rPr>
          <w:rStyle w:val="FootnoteReference"/>
        </w:rPr>
        <w:footnoteRef/>
      </w:r>
      <w:r>
        <w:t xml:space="preserve"> Ofsted (2024) </w:t>
      </w:r>
      <w:r>
        <w:fldChar w:fldCharType="begin"/>
      </w:r>
      <w:r>
        <w:instrText xml:space="preserve"> HYPERLINK "https://www.gov.uk/government/publications/unregistered-childrens-homes/unregistered-childrens-homes" </w:instrText>
      </w:r>
      <w:r>
        <w:fldChar w:fldCharType="separate"/>
      </w:r>
      <w:r>
        <w:rPr>
          <w:rStyle w:val="Hyperlink"/>
        </w:rPr>
        <w:t>Unregistered children's homes</w:t>
      </w:r>
      <w:r>
        <w:fldChar w:fldCharType="end"/>
      </w:r>
    </w:p>
  </w:footnote>
  <w:footnote w:id="22">
    <w:p w:rsidR="00AD5E9F">
      <w:pPr>
        <w:pStyle w:val="FootnoteText"/>
      </w:pPr>
      <w:r>
        <w:rPr>
          <w:rStyle w:val="FootnoteReference"/>
        </w:rPr>
        <w:footnoteRef/>
      </w:r>
      <w:r>
        <w:t xml:space="preserve"> Children’s Commissioner (2024) </w:t>
      </w:r>
      <w:r>
        <w:fldChar w:fldCharType="begin"/>
      </w:r>
      <w:r>
        <w:instrText xml:space="preserve"> HYPERLINK "https://www.childrenscommissioner.gov.uk/resource/illegal-childrens-homes/" </w:instrText>
      </w:r>
      <w:r>
        <w:fldChar w:fldCharType="separate"/>
      </w:r>
      <w:r>
        <w:rPr>
          <w:rStyle w:val="Hyperlink"/>
        </w:rPr>
        <w:t>Illegal Children’s Homes</w:t>
      </w:r>
      <w:r>
        <w:fldChar w:fldCharType="end"/>
      </w:r>
    </w:p>
  </w:footnote>
  <w:footnote w:id="23">
    <w:p w:rsidR="00AD5E9F">
      <w:pPr>
        <w:pStyle w:val="FootnoteText"/>
      </w:pPr>
      <w:r>
        <w:rPr>
          <w:rStyle w:val="FootnoteReference"/>
        </w:rPr>
        <w:footnoteRef/>
      </w:r>
      <w:r>
        <w:t xml:space="preserve"> </w:t>
      </w:r>
      <w:r w:rsidRPr="009941F0">
        <w:t xml:space="preserve">Action for Children (2024) </w:t>
      </w:r>
      <w:r>
        <w:fldChar w:fldCharType="begin"/>
      </w:r>
      <w:r>
        <w:instrText xml:space="preserve"> HYPERLINK "https://media.actionforchildren.org.uk/documents/Shattered_Lives_Stolen_Futures_Report_-_Full_Report.pdf" </w:instrText>
      </w:r>
      <w:r>
        <w:fldChar w:fldCharType="separate"/>
      </w:r>
      <w:r w:rsidRPr="009941F0">
        <w:rPr>
          <w:rStyle w:val="Hyperlink"/>
        </w:rPr>
        <w:t>Shattered Lives Stolen Futures Report</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5E9F">
    <w:pPr>
      <w:pStyle w:val="Header"/>
    </w:pPr>
    <w:r>
      <w:rPr>
        <w:noProof/>
      </w:rPr>
      <w:pict>
        <v:shapetype id="_x0000_t202" coordsize="21600,21600" o:spt="202" path="m,l,21600r21600,l21600,xe">
          <v:stroke joinstyle="miter"/>
          <v:path gradientshapeok="t" o:connecttype="rect"/>
        </v:shapetype>
        <v:shape id="Text Box 1" o:spid="_x0000_s2049" type="#_x0000_t202" alt="Internal" style="height:29.15pt;margin-left:0;margin-top:0;mso-height-percent:0;mso-height-relative:page;mso-position-horizontal:center;mso-position-horizontal-relative:page;mso-position-vertical:top;mso-position-vertical-relative:page;mso-width-percent:0;mso-width-relative:page;mso-wrap-distance-bottom:0;mso-wrap-distance-left:0;mso-wrap-distance-right:0;mso-wrap-distance-top:0;mso-wrap-style:none;position:absolute;v-text-anchor:top;visibility:visible;width:31.75pt;z-index:251659264" filled="f" stroked="f">
          <v:textbox style="mso-fit-shape-to-text:t" inset="0,15pt,0,0">
            <w:txbxContent>
              <w:p w:rsidR="00AD5E9F" w:rsidRPr="00493AD0" w:rsidP="00493AD0">
                <w:pPr>
                  <w:spacing w:after="0"/>
                  <w:rPr>
                    <w:rFonts w:ascii="Calibri" w:eastAsia="Calibri" w:hAnsi="Calibri" w:cs="Calibri"/>
                    <w:noProof/>
                    <w:color w:val="000000"/>
                    <w:sz w:val="20"/>
                    <w:szCs w:val="20"/>
                  </w:rPr>
                </w:pPr>
                <w:r w:rsidRPr="00493AD0">
                  <w:rPr>
                    <w:rFonts w:ascii="Calibri" w:eastAsia="Calibri" w:hAnsi="Calibri" w:cs="Calibri"/>
                    <w:noProof/>
                    <w:color w:val="000000"/>
                    <w:sz w:val="20"/>
                    <w:szCs w:val="20"/>
                  </w:rPr>
                  <w:t>Internal</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5E9F">
    <w:pPr>
      <w:pStyle w:val="Header"/>
    </w:pPr>
    <w:r>
      <w:rPr>
        <w:noProof/>
      </w:rPr>
      <w:pict>
        <v:shapetype id="_x0000_t202" coordsize="21600,21600" o:spt="202" path="m,l,21600r21600,l21600,xe">
          <v:stroke joinstyle="miter"/>
          <v:path gradientshapeok="t" o:connecttype="rect"/>
        </v:shapetype>
        <v:shape id="Text Box 2" o:spid="_x0000_s2050" type="#_x0000_t202" alt="Internal" style="height:29.15pt;margin-left:0;margin-top:0;mso-height-percent:0;mso-height-relative:page;mso-position-horizontal:center;mso-position-horizontal-relative:page;mso-position-vertical:top;mso-position-vertical-relative:page;mso-width-percent:0;mso-width-relative:page;mso-wrap-distance-bottom:0;mso-wrap-distance-left:0;mso-wrap-distance-right:0;mso-wrap-distance-top:0;mso-wrap-style:none;position:absolute;v-text-anchor:top;visibility:visible;width:31.75pt;z-index:251660288" filled="f" stroked="f">
          <v:textbox style="mso-fit-shape-to-text:t" inset="0,15pt,0,0">
            <w:txbxContent>
              <w:p w:rsidR="00AD5E9F" w:rsidRPr="00493AD0" w:rsidP="00493AD0">
                <w:pPr>
                  <w:spacing w:after="0"/>
                  <w:rPr>
                    <w:rFonts w:ascii="Calibri" w:eastAsia="Calibri" w:hAnsi="Calibri" w:cs="Calibri"/>
                    <w:noProof/>
                    <w:color w:val="000000"/>
                    <w:sz w:val="20"/>
                    <w:szCs w:val="20"/>
                  </w:rPr>
                </w:pPr>
                <w:r w:rsidRPr="00493AD0">
                  <w:rPr>
                    <w:rFonts w:ascii="Calibri" w:eastAsia="Calibri" w:hAnsi="Calibri" w:cs="Calibri"/>
                    <w:noProof/>
                    <w:color w:val="000000"/>
                    <w:sz w:val="20"/>
                    <w:szCs w:val="20"/>
                  </w:rPr>
                  <w:t>Internal</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5E9F">
    <w:pPr>
      <w:pStyle w:val="Header"/>
    </w:pPr>
    <w:r>
      <w:rPr>
        <w:noProof/>
      </w:rPr>
      <w:pict>
        <v:shapetype id="_x0000_t202" coordsize="21600,21600" o:spt="202" path="m,l,21600r21600,l21600,xe">
          <v:stroke joinstyle="miter"/>
          <v:path gradientshapeok="t" o:connecttype="rect"/>
        </v:shapetype>
        <v:shape id="Text Box 3" o:spid="_x0000_s2051" type="#_x0000_t202" alt="Internal" style="height:29.15pt;margin-left:0;margin-top:0;mso-height-percent:0;mso-height-relative:page;mso-position-horizontal:center;mso-position-horizontal-relative:page;mso-position-vertical:top;mso-position-vertical-relative:page;mso-width-percent:0;mso-width-relative:page;mso-wrap-distance-bottom:0;mso-wrap-distance-left:0;mso-wrap-distance-right:0;mso-wrap-distance-top:0;mso-wrap-style:none;position:absolute;v-text-anchor:top;visibility:visible;width:31.75pt;z-index:251658240" filled="f" stroked="f">
          <v:textbox style="mso-fit-shape-to-text:t" inset="0,15pt,0,0">
            <w:txbxContent>
              <w:p w:rsidR="00AD5E9F" w:rsidRPr="00493AD0" w:rsidP="00493AD0">
                <w:pPr>
                  <w:spacing w:after="0"/>
                  <w:rPr>
                    <w:rFonts w:ascii="Calibri" w:eastAsia="Calibri" w:hAnsi="Calibri" w:cs="Calibri"/>
                    <w:noProof/>
                    <w:color w:val="000000"/>
                    <w:sz w:val="20"/>
                    <w:szCs w:val="20"/>
                  </w:rPr>
                </w:pPr>
                <w:r w:rsidRPr="00493AD0">
                  <w:rPr>
                    <w:rFonts w:ascii="Calibri" w:eastAsia="Calibri" w:hAnsi="Calibri" w:cs="Calibri"/>
                    <w:noProof/>
                    <w:color w:val="000000"/>
                    <w:sz w:val="20"/>
                    <w:szCs w:val="20"/>
                  </w:rPr>
                  <w:t>Internal</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D544AF3"/>
    <w:multiLevelType w:val="multilevel"/>
    <w:tmpl w:val="28AEE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1933442"/>
    <w:multiLevelType w:val="multilevel"/>
    <w:tmpl w:val="242C0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0536393"/>
    <w:multiLevelType w:val="hybridMultilevel"/>
    <w:tmpl w:val="880464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0D80DAE"/>
    <w:multiLevelType w:val="hybridMultilevel"/>
    <w:tmpl w:val="DE46BE3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4">
    <w:nsid w:val="42754565"/>
    <w:multiLevelType w:val="multilevel"/>
    <w:tmpl w:val="F4F61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92974"/>
  </w:style>
  <w:style w:type="paragraph" w:styleId="Heading1">
    <w:name w:val="heading 1"/>
    <w:basedOn w:val="Normal"/>
    <w:next w:val="Normal"/>
    <w:link w:val="Heading1Char"/>
    <w:uiPriority w:val="9"/>
    <w:qFormat/>
    <w:rsid w:val="00493A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3A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3A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3A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3A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3A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3A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3A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3A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3A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3A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3A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3A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3A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3A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3A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3A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3AD0"/>
    <w:rPr>
      <w:rFonts w:eastAsiaTheme="majorEastAsia" w:cstheme="majorBidi"/>
      <w:color w:val="272727" w:themeColor="text1" w:themeTint="D8"/>
    </w:rPr>
  </w:style>
  <w:style w:type="paragraph" w:styleId="Title">
    <w:name w:val="Title"/>
    <w:basedOn w:val="Normal"/>
    <w:next w:val="Normal"/>
    <w:link w:val="TitleChar"/>
    <w:uiPriority w:val="10"/>
    <w:qFormat/>
    <w:rsid w:val="00493A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3A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3A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3A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3AD0"/>
    <w:pPr>
      <w:spacing w:before="160"/>
      <w:jc w:val="center"/>
    </w:pPr>
    <w:rPr>
      <w:i/>
      <w:iCs/>
      <w:color w:val="404040" w:themeColor="text1" w:themeTint="BF"/>
    </w:rPr>
  </w:style>
  <w:style w:type="character" w:customStyle="1" w:styleId="QuoteChar">
    <w:name w:val="Quote Char"/>
    <w:basedOn w:val="DefaultParagraphFont"/>
    <w:link w:val="Quote"/>
    <w:uiPriority w:val="29"/>
    <w:rsid w:val="00493AD0"/>
    <w:rPr>
      <w:i/>
      <w:iCs/>
      <w:color w:val="404040" w:themeColor="text1" w:themeTint="BF"/>
    </w:rPr>
  </w:style>
  <w:style w:type="paragraph" w:styleId="ListParagraph">
    <w:name w:val="List Paragraph"/>
    <w:basedOn w:val="Normal"/>
    <w:uiPriority w:val="34"/>
    <w:qFormat/>
    <w:rsid w:val="00493AD0"/>
    <w:pPr>
      <w:ind w:left="720"/>
      <w:contextualSpacing/>
    </w:pPr>
  </w:style>
  <w:style w:type="character" w:styleId="IntenseEmphasis">
    <w:name w:val="Intense Emphasis"/>
    <w:basedOn w:val="DefaultParagraphFont"/>
    <w:uiPriority w:val="21"/>
    <w:qFormat/>
    <w:rsid w:val="00493AD0"/>
    <w:rPr>
      <w:i/>
      <w:iCs/>
      <w:color w:val="0F4761" w:themeColor="accent1" w:themeShade="BF"/>
    </w:rPr>
  </w:style>
  <w:style w:type="paragraph" w:styleId="IntenseQuote">
    <w:name w:val="Intense Quote"/>
    <w:basedOn w:val="Normal"/>
    <w:next w:val="Normal"/>
    <w:link w:val="IntenseQuoteChar"/>
    <w:uiPriority w:val="30"/>
    <w:qFormat/>
    <w:rsid w:val="00493A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3AD0"/>
    <w:rPr>
      <w:i/>
      <w:iCs/>
      <w:color w:val="0F4761" w:themeColor="accent1" w:themeShade="BF"/>
    </w:rPr>
  </w:style>
  <w:style w:type="character" w:styleId="IntenseReference">
    <w:name w:val="Intense Reference"/>
    <w:basedOn w:val="DefaultParagraphFont"/>
    <w:uiPriority w:val="32"/>
    <w:qFormat/>
    <w:rsid w:val="00493AD0"/>
    <w:rPr>
      <w:b/>
      <w:bCs/>
      <w:smallCaps/>
      <w:color w:val="0F4761" w:themeColor="accent1" w:themeShade="BF"/>
      <w:spacing w:val="5"/>
    </w:rPr>
  </w:style>
  <w:style w:type="paragraph" w:styleId="Header">
    <w:name w:val="header"/>
    <w:basedOn w:val="Normal"/>
    <w:link w:val="HeaderChar"/>
    <w:uiPriority w:val="99"/>
    <w:unhideWhenUsed/>
    <w:rsid w:val="00493A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3AD0"/>
  </w:style>
  <w:style w:type="paragraph" w:styleId="Footer">
    <w:name w:val="footer"/>
    <w:basedOn w:val="Normal"/>
    <w:link w:val="FooterChar"/>
    <w:uiPriority w:val="99"/>
    <w:unhideWhenUsed/>
    <w:rsid w:val="002550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50AA"/>
  </w:style>
  <w:style w:type="paragraph" w:styleId="FootnoteText">
    <w:name w:val="footnote text"/>
    <w:basedOn w:val="Normal"/>
    <w:link w:val="FootnoteTextChar"/>
    <w:uiPriority w:val="99"/>
    <w:semiHidden/>
    <w:unhideWhenUsed/>
    <w:rsid w:val="009F7DE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7DEF"/>
    <w:rPr>
      <w:sz w:val="20"/>
      <w:szCs w:val="20"/>
    </w:rPr>
  </w:style>
  <w:style w:type="character" w:styleId="FootnoteReference">
    <w:name w:val="footnote reference"/>
    <w:basedOn w:val="DefaultParagraphFont"/>
    <w:uiPriority w:val="99"/>
    <w:semiHidden/>
    <w:unhideWhenUsed/>
    <w:rsid w:val="009F7DEF"/>
    <w:rPr>
      <w:vertAlign w:val="superscript"/>
    </w:rPr>
  </w:style>
  <w:style w:type="character" w:styleId="Hyperlink">
    <w:name w:val="Hyperlink"/>
    <w:basedOn w:val="DefaultParagraphFont"/>
    <w:uiPriority w:val="99"/>
    <w:unhideWhenUsed/>
    <w:rsid w:val="009F7DEF"/>
    <w:rPr>
      <w:color w:val="467886" w:themeColor="hyperlink"/>
      <w:u w:val="single"/>
    </w:rPr>
  </w:style>
  <w:style w:type="character" w:customStyle="1" w:styleId="UnresolvedMention1">
    <w:name w:val="Unresolved Mention1"/>
    <w:basedOn w:val="DefaultParagraphFont"/>
    <w:uiPriority w:val="99"/>
    <w:semiHidden/>
    <w:unhideWhenUsed/>
    <w:rsid w:val="009F7DEF"/>
    <w:rPr>
      <w:color w:val="605E5C"/>
      <w:shd w:val="clear" w:color="auto" w:fill="E1DFDD"/>
    </w:rPr>
  </w:style>
  <w:style w:type="character" w:styleId="CommentReference">
    <w:name w:val="annotation reference"/>
    <w:basedOn w:val="DefaultParagraphFont"/>
    <w:uiPriority w:val="99"/>
    <w:semiHidden/>
    <w:unhideWhenUsed/>
    <w:rsid w:val="00102BA5"/>
    <w:rPr>
      <w:sz w:val="16"/>
      <w:szCs w:val="16"/>
    </w:rPr>
  </w:style>
  <w:style w:type="paragraph" w:styleId="CommentText">
    <w:name w:val="annotation text"/>
    <w:basedOn w:val="Normal"/>
    <w:link w:val="CommentTextChar"/>
    <w:uiPriority w:val="99"/>
    <w:unhideWhenUsed/>
    <w:rsid w:val="00102BA5"/>
    <w:pPr>
      <w:spacing w:line="240" w:lineRule="auto"/>
    </w:pPr>
    <w:rPr>
      <w:sz w:val="20"/>
      <w:szCs w:val="20"/>
    </w:rPr>
  </w:style>
  <w:style w:type="character" w:customStyle="1" w:styleId="CommentTextChar">
    <w:name w:val="Comment Text Char"/>
    <w:basedOn w:val="DefaultParagraphFont"/>
    <w:link w:val="CommentText"/>
    <w:uiPriority w:val="99"/>
    <w:rsid w:val="00102BA5"/>
    <w:rPr>
      <w:sz w:val="20"/>
      <w:szCs w:val="20"/>
    </w:rPr>
  </w:style>
  <w:style w:type="paragraph" w:styleId="CommentSubject">
    <w:name w:val="annotation subject"/>
    <w:basedOn w:val="CommentText"/>
    <w:next w:val="CommentText"/>
    <w:link w:val="CommentSubjectChar"/>
    <w:uiPriority w:val="99"/>
    <w:semiHidden/>
    <w:unhideWhenUsed/>
    <w:rsid w:val="00102BA5"/>
    <w:rPr>
      <w:b/>
      <w:bCs/>
    </w:rPr>
  </w:style>
  <w:style w:type="character" w:customStyle="1" w:styleId="CommentSubjectChar">
    <w:name w:val="Comment Subject Char"/>
    <w:basedOn w:val="CommentTextChar"/>
    <w:link w:val="CommentSubject"/>
    <w:uiPriority w:val="99"/>
    <w:semiHidden/>
    <w:rsid w:val="00102BA5"/>
    <w:rPr>
      <w:b/>
      <w:bCs/>
      <w:sz w:val="20"/>
      <w:szCs w:val="20"/>
    </w:rPr>
  </w:style>
  <w:style w:type="paragraph" w:styleId="Revision">
    <w:name w:val="Revision"/>
    <w:hidden/>
    <w:uiPriority w:val="99"/>
    <w:semiHidden/>
    <w:rsid w:val="00D2395E"/>
    <w:pPr>
      <w:spacing w:after="0" w:line="240" w:lineRule="auto"/>
    </w:pPr>
  </w:style>
  <w:style w:type="character" w:customStyle="1" w:styleId="Mention1">
    <w:name w:val="Mention1"/>
    <w:basedOn w:val="DefaultParagraphFont"/>
    <w:uiPriority w:val="99"/>
    <w:unhideWhenUsed/>
    <w:rsid w:val="002E6CE7"/>
    <w:rPr>
      <w:color w:val="2B579A"/>
      <w:shd w:val="clear" w:color="auto" w:fill="E1DFDD"/>
    </w:rPr>
  </w:style>
  <w:style w:type="character" w:styleId="FollowedHyperlink">
    <w:name w:val="FollowedHyperlink"/>
    <w:basedOn w:val="DefaultParagraphFont"/>
    <w:uiPriority w:val="99"/>
    <w:semiHidden/>
    <w:unhideWhenUsed/>
    <w:rsid w:val="0080331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B60B0CFDBD4249956BAFCC984D8936" ma:contentTypeVersion="19" ma:contentTypeDescription="Create a new document." ma:contentTypeScope="" ma:versionID="b01f5d5012ca5c6d3ebd334d728d67b7">
  <xsd:schema xmlns:xsd="http://www.w3.org/2001/XMLSchema" xmlns:xs="http://www.w3.org/2001/XMLSchema" xmlns:p="http://schemas.microsoft.com/office/2006/metadata/properties" xmlns:ns2="683a6368-b477-4cfd-89b0-a83333a20adb" xmlns:ns3="d1acf752-15c5-4fea-97d6-7d1f35c4ffee" xmlns:ns4="da12ce7f-923a-4bed-ad1e-c6405f0157d6" targetNamespace="http://schemas.microsoft.com/office/2006/metadata/properties" ma:root="true" ma:fieldsID="2b58b5c445a0c63a385484f61fcb13cb" ns2:_="" ns3:_="" ns4:_="">
    <xsd:import namespace="683a6368-b477-4cfd-89b0-a83333a20adb"/>
    <xsd:import namespace="d1acf752-15c5-4fea-97d6-7d1f35c4ffee"/>
    <xsd:import namespace="da12ce7f-923a-4bed-ad1e-c6405f0157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3a6368-b477-4cfd-89b0-a83333a20a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23003d-a8cc-49a5-ae1f-72ce8bda9ea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acf752-15c5-4fea-97d6-7d1f35c4ffe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12ce7f-923a-4bed-ad1e-c6405f0157d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0d3c620-24a7-4444-ab57-5695be70012a}" ma:internalName="TaxCatchAll" ma:showField="CatchAllData" ma:web="da12ce7f-923a-4bed-ad1e-c6405f0157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83a6368-b477-4cfd-89b0-a83333a20adb">
      <Terms xmlns="http://schemas.microsoft.com/office/infopath/2007/PartnerControls"/>
    </lcf76f155ced4ddcb4097134ff3c332f>
    <TaxCatchAll xmlns="da12ce7f-923a-4bed-ad1e-c6405f0157d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B95860-3E19-4060-9070-24D0723021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3a6368-b477-4cfd-89b0-a83333a20adb"/>
    <ds:schemaRef ds:uri="d1acf752-15c5-4fea-97d6-7d1f35c4ffee"/>
    <ds:schemaRef ds:uri="da12ce7f-923a-4bed-ad1e-c6405f0157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39C831-B8E3-4F90-9ACC-35D3F362703A}">
  <ds:schemaRefs>
    <ds:schemaRef ds:uri="http://schemas.microsoft.com/office/2006/metadata/properties"/>
    <ds:schemaRef ds:uri="http://schemas.microsoft.com/office/infopath/2007/PartnerControls"/>
    <ds:schemaRef ds:uri="683a6368-b477-4cfd-89b0-a83333a20adb"/>
    <ds:schemaRef ds:uri="da12ce7f-923a-4bed-ad1e-c6405f0157d6"/>
  </ds:schemaRefs>
</ds:datastoreItem>
</file>

<file path=customXml/itemProps3.xml><?xml version="1.0" encoding="utf-8"?>
<ds:datastoreItem xmlns:ds="http://schemas.openxmlformats.org/officeDocument/2006/customXml" ds:itemID="{B83A4806-35D0-48C6-A90A-BC386C6099CA}">
  <ds:schemaRefs>
    <ds:schemaRef ds:uri="http://schemas.openxmlformats.org/officeDocument/2006/bibliography"/>
  </ds:schemaRefs>
</ds:datastoreItem>
</file>

<file path=customXml/itemProps4.xml><?xml version="1.0" encoding="utf-8"?>
<ds:datastoreItem xmlns:ds="http://schemas.openxmlformats.org/officeDocument/2006/customXml" ds:itemID="{8197657E-CD65-4D25-A48E-3FA7C23BDC9F}">
  <ds:schemaRefs>
    <ds:schemaRef ds:uri="http://schemas.microsoft.com/sharepoint/v3/contenttype/forms"/>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 id="{e159a725-fe65-4bc8-83b5-7e083f9933ff}" enabled="1" method="Privileged" siteId="{472f2d21-00a9-4fe2-8b14-51e21d7e6f9f}"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CSC0099</dc:title>
  <cp:revision>0</cp:revision>
</cp:coreProperties>
</file>