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76387" w:rsidRPr="00376387" w:rsidP="00376387">
      <w:pPr>
        <w:pStyle w:val="Header"/>
        <w:tabs>
          <w:tab w:val="left" w:pos="2266"/>
          <w:tab w:val="clear" w:pos="4513"/>
          <w:tab w:val="clear" w:pos="9026"/>
        </w:tabs>
        <w:jc w:val="center"/>
        <w:rPr>
          <w:b/>
          <w:bCs/>
          <w:sz w:val="26"/>
          <w:szCs w:val="26"/>
        </w:rPr>
      </w:pPr>
      <w:r w:rsidRPr="00376387">
        <w:rPr>
          <w:b/>
          <w:bCs/>
          <w:sz w:val="26"/>
          <w:szCs w:val="26"/>
        </w:rPr>
        <w:t>Written evidence submitted by United Utilities Water Ltd (LUN0011)</w:t>
      </w:r>
    </w:p>
    <w:p w:rsidR="00376387" w:rsidP="006C0565">
      <w:pPr>
        <w:pStyle w:val="Header"/>
        <w:tabs>
          <w:tab w:val="left" w:pos="2266"/>
          <w:tab w:val="clear" w:pos="4513"/>
          <w:tab w:val="clear" w:pos="9026"/>
        </w:tabs>
      </w:pPr>
    </w:p>
    <w:p w:rsidR="00376387" w:rsidP="006C0565">
      <w:pPr>
        <w:pStyle w:val="Header"/>
        <w:tabs>
          <w:tab w:val="left" w:pos="2266"/>
          <w:tab w:val="clear" w:pos="4513"/>
          <w:tab w:val="clear" w:pos="9026"/>
        </w:tabs>
      </w:pPr>
    </w:p>
    <w:p w:rsidR="000B39BA" w:rsidRPr="002C556D" w:rsidP="006C0565">
      <w:pPr>
        <w:pStyle w:val="Header"/>
        <w:tabs>
          <w:tab w:val="left" w:pos="2266"/>
          <w:tab w:val="clear" w:pos="4513"/>
          <w:tab w:val="clear" w:pos="9026"/>
        </w:tabs>
      </w:pPr>
      <w:r>
        <w:t>16 June 2026</w:t>
      </w:r>
    </w:p>
    <w:p w:rsidR="000B39BA" w:rsidRPr="005C6434" w:rsidP="005C6434">
      <w:pPr>
        <w:pStyle w:val="Header"/>
        <w:tabs>
          <w:tab w:val="left" w:pos="2266"/>
        </w:tabs>
      </w:pPr>
    </w:p>
    <w:p w:rsidR="000B39BA" w:rsidRPr="005C6434" w:rsidP="005C6434">
      <w:pPr>
        <w:pStyle w:val="Header"/>
        <w:tabs>
          <w:tab w:val="left" w:pos="2266"/>
        </w:tabs>
      </w:pPr>
      <w:r w:rsidRPr="005C6434">
        <w:rPr>
          <w:b/>
          <w:bCs/>
        </w:rPr>
        <w:t xml:space="preserve">Rt Hon Mr Alistair Carmichael MP </w:t>
      </w:r>
    </w:p>
    <w:p w:rsidR="000B39BA" w:rsidRPr="005C6434" w:rsidP="005C6434">
      <w:pPr>
        <w:pStyle w:val="Header"/>
        <w:tabs>
          <w:tab w:val="left" w:pos="2266"/>
        </w:tabs>
      </w:pPr>
      <w:r w:rsidRPr="005C6434">
        <w:rPr>
          <w:b/>
          <w:bCs/>
        </w:rPr>
        <w:t xml:space="preserve">Chair, Environment, Food and Rural Affairs Committee </w:t>
      </w:r>
    </w:p>
    <w:p w:rsidR="000B39BA" w:rsidP="005C6434">
      <w:pPr>
        <w:pStyle w:val="Header"/>
        <w:tabs>
          <w:tab w:val="left" w:pos="2266"/>
        </w:tabs>
        <w:rPr>
          <w:i/>
          <w:iCs/>
        </w:rPr>
      </w:pPr>
    </w:p>
    <w:p w:rsidR="000B39BA" w:rsidRPr="005C6434" w:rsidP="005C6434">
      <w:pPr>
        <w:pStyle w:val="Header"/>
        <w:tabs>
          <w:tab w:val="left" w:pos="2266"/>
        </w:tabs>
      </w:pPr>
      <w:r w:rsidRPr="005C6434">
        <w:rPr>
          <w:i/>
          <w:iCs/>
        </w:rPr>
        <w:t xml:space="preserve">By </w:t>
      </w:r>
      <w:r>
        <w:rPr>
          <w:i/>
          <w:iCs/>
        </w:rPr>
        <w:t xml:space="preserve">online submission </w:t>
      </w:r>
      <w:r w:rsidRPr="005C6434">
        <w:rPr>
          <w:i/>
          <w:iCs/>
        </w:rPr>
        <w:t xml:space="preserve"> </w:t>
      </w:r>
    </w:p>
    <w:p w:rsidR="000B39BA" w:rsidP="005C6434">
      <w:pPr>
        <w:pStyle w:val="Header"/>
        <w:tabs>
          <w:tab w:val="left" w:pos="2266"/>
          <w:tab w:val="clear" w:pos="4513"/>
          <w:tab w:val="clear" w:pos="9026"/>
        </w:tabs>
      </w:pPr>
    </w:p>
    <w:p w:rsidR="000B39BA" w:rsidRPr="002C556D" w:rsidP="005C6434">
      <w:pPr>
        <w:pStyle w:val="Header"/>
        <w:tabs>
          <w:tab w:val="left" w:pos="2266"/>
          <w:tab w:val="clear" w:pos="4513"/>
          <w:tab w:val="clear" w:pos="9026"/>
        </w:tabs>
      </w:pPr>
      <w:r w:rsidRPr="005C6434">
        <w:t xml:space="preserve">Dear Mr Carmichael, </w:t>
      </w:r>
    </w:p>
    <w:p w:rsidR="000B39BA" w:rsidRPr="002C556D" w:rsidP="006C0565">
      <w:pPr>
        <w:pStyle w:val="Header"/>
        <w:tabs>
          <w:tab w:val="left" w:pos="2266"/>
          <w:tab w:val="clear" w:pos="4513"/>
          <w:tab w:val="clear" w:pos="9026"/>
        </w:tabs>
      </w:pPr>
    </w:p>
    <w:p w:rsidR="000B39BA" w:rsidP="682E2309">
      <w:pPr>
        <w:rPr>
          <w:b/>
          <w:bCs/>
        </w:rPr>
      </w:pPr>
      <w:r w:rsidRPr="003465EE">
        <w:rPr>
          <w:b/>
          <w:bCs/>
        </w:rPr>
        <w:t>EFRA Committee</w:t>
      </w:r>
      <w:r>
        <w:rPr>
          <w:b/>
          <w:bCs/>
        </w:rPr>
        <w:t>'s</w:t>
      </w:r>
      <w:r w:rsidRPr="003465EE">
        <w:rPr>
          <w:b/>
          <w:bCs/>
        </w:rPr>
        <w:t xml:space="preserve"> call for evidence: </w:t>
      </w:r>
      <w:r w:rsidRPr="009F39A7">
        <w:rPr>
          <w:b/>
          <w:bCs/>
        </w:rPr>
        <w:t>The future of England's uplands</w:t>
      </w:r>
    </w:p>
    <w:p w:rsidR="000B39BA" w:rsidP="682E2309">
      <w:r>
        <w:t xml:space="preserve">United Utilities Water (UUW) </w:t>
      </w:r>
      <w:r>
        <w:t xml:space="preserve">is pleased to contribute to the </w:t>
      </w:r>
      <w:r>
        <w:t xml:space="preserve">EFRA Committee’s </w:t>
      </w:r>
      <w:r>
        <w:t xml:space="preserve">call for evidence </w:t>
      </w:r>
      <w:r>
        <w:t xml:space="preserve">on </w:t>
      </w:r>
      <w:r>
        <w:t xml:space="preserve">the future of upland farms and landscapes. As </w:t>
      </w:r>
      <w:r>
        <w:t>the largest corporate landowner in England</w:t>
      </w:r>
      <w:r>
        <w:t>,</w:t>
      </w:r>
      <w:r>
        <w:t xml:space="preserve"> UUW </w:t>
      </w:r>
      <w:r>
        <w:t>is the custodian of</w:t>
      </w:r>
      <w:r>
        <w:t xml:space="preserve"> </w:t>
      </w:r>
      <w:r>
        <w:t>around</w:t>
      </w:r>
      <w:r>
        <w:t xml:space="preserve"> 56,000 hectares of land</w:t>
      </w:r>
      <w:r>
        <w:t xml:space="preserve"> in the North West</w:t>
      </w:r>
      <w:r>
        <w:t>. W</w:t>
      </w:r>
      <w:r>
        <w:t xml:space="preserve">e recognise that uplands are nationally significant, supporting </w:t>
      </w:r>
      <w:r>
        <w:t xml:space="preserve">both </w:t>
      </w:r>
      <w:r>
        <w:t>rural</w:t>
      </w:r>
      <w:r>
        <w:t xml:space="preserve"> and urban</w:t>
      </w:r>
      <w:r>
        <w:t xml:space="preserve"> communities, biodiversity, carbon storage, public access, recreation and flood risk management</w:t>
      </w:r>
      <w:r>
        <w:t>, as well as</w:t>
      </w:r>
      <w:r>
        <w:t xml:space="preserve"> being</w:t>
      </w:r>
      <w:r>
        <w:t xml:space="preserve"> the </w:t>
      </w:r>
      <w:r>
        <w:t>catchment</w:t>
      </w:r>
      <w:r>
        <w:t xml:space="preserve"> for much of the region’s water supplies</w:t>
      </w:r>
      <w:r>
        <w:t xml:space="preserve">. </w:t>
      </w:r>
    </w:p>
    <w:p w:rsidR="000B39BA" w:rsidRPr="009E068E" w:rsidP="009E068E">
      <w:r w:rsidRPr="009E068E">
        <w:t xml:space="preserve">We take our responsibilities very seriously and support upland farming through </w:t>
      </w:r>
      <w:r>
        <w:t>351</w:t>
      </w:r>
      <w:r w:rsidRPr="009E068E">
        <w:t xml:space="preserve"> tenancies as part of an integrated approach to land management, combining food production with nature recovery, climate resilience, water quality protection and flood mitigation. Our approach recognises these landscapes as </w:t>
      </w:r>
      <w:r w:rsidRPr="00096B7B">
        <w:t>multifunctional</w:t>
      </w:r>
      <w:r w:rsidRPr="00BE737E">
        <w:t xml:space="preserve">, </w:t>
      </w:r>
      <w:r>
        <w:t xml:space="preserve">where we </w:t>
      </w:r>
      <w:r>
        <w:t xml:space="preserve">plan and </w:t>
      </w:r>
      <w:r w:rsidRPr="00BE737E">
        <w:t>deliver</w:t>
      </w:r>
      <w:r>
        <w:t xml:space="preserve"> for</w:t>
      </w:r>
      <w:r w:rsidRPr="009E068E">
        <w:t xml:space="preserve"> both immediate and longer</w:t>
      </w:r>
      <w:r w:rsidRPr="009E068E">
        <w:noBreakHyphen/>
        <w:t xml:space="preserve">term outcomes </w:t>
      </w:r>
      <w:r>
        <w:t>through</w:t>
      </w:r>
      <w:r w:rsidRPr="009E068E">
        <w:t xml:space="preserve"> adaptation to changing environmental, social and economic priorities. However, in some locations, existing land management models are becoming increasingly difficult to sustain commercially </w:t>
      </w:r>
      <w:r>
        <w:t>and</w:t>
      </w:r>
      <w:r>
        <w:t xml:space="preserve"> </w:t>
      </w:r>
      <w:r w:rsidRPr="009E068E">
        <w:t xml:space="preserve">without </w:t>
      </w:r>
      <w:r>
        <w:t>broader</w:t>
      </w:r>
      <w:r>
        <w:t xml:space="preserve"> </w:t>
      </w:r>
      <w:r>
        <w:t xml:space="preserve">funding </w:t>
      </w:r>
      <w:r w:rsidRPr="009E068E">
        <w:t xml:space="preserve">support, </w:t>
      </w:r>
      <w:r>
        <w:t>the</w:t>
      </w:r>
      <w:r w:rsidRPr="009E068E">
        <w:t xml:space="preserve"> wider catchment </w:t>
      </w:r>
      <w:r>
        <w:t xml:space="preserve">societal and environmental </w:t>
      </w:r>
      <w:r w:rsidRPr="009E068E">
        <w:t>benefits</w:t>
      </w:r>
      <w:r>
        <w:t xml:space="preserve"> will not be realised</w:t>
      </w:r>
      <w:r w:rsidRPr="009E068E">
        <w:t>.</w:t>
      </w:r>
    </w:p>
    <w:p w:rsidR="000B39BA" w:rsidP="00E06853">
      <w:r>
        <w:t>We were</w:t>
      </w:r>
      <w:r>
        <w:t xml:space="preserve"> pleased to see the</w:t>
      </w:r>
      <w:r>
        <w:t xml:space="preserve"> Government's first</w:t>
      </w:r>
      <w:r>
        <w:t xml:space="preserve"> Land Use Framework and welcomes it as a positive step </w:t>
      </w:r>
      <w:r>
        <w:t xml:space="preserve">towards </w:t>
      </w:r>
      <w:r>
        <w:t>establish</w:t>
      </w:r>
      <w:r>
        <w:t>ing</w:t>
      </w:r>
      <w:r>
        <w:t xml:space="preserve"> a</w:t>
      </w:r>
      <w:r>
        <w:t xml:space="preserve"> more</w:t>
      </w:r>
      <w:r>
        <w:t xml:space="preserve"> strategic approach </w:t>
      </w:r>
      <w:r>
        <w:t>to land use management</w:t>
      </w:r>
      <w:r>
        <w:t>,</w:t>
      </w:r>
      <w:r>
        <w:t xml:space="preserve"> </w:t>
      </w:r>
      <w:r>
        <w:t xml:space="preserve">supporting </w:t>
      </w:r>
      <w:r>
        <w:t xml:space="preserve">practices that </w:t>
      </w:r>
      <w:r>
        <w:t>balanc</w:t>
      </w:r>
      <w:r>
        <w:t>e</w:t>
      </w:r>
      <w:r>
        <w:t xml:space="preserve"> </w:t>
      </w:r>
      <w:r>
        <w:t>mult</w:t>
      </w:r>
      <w:r>
        <w:t xml:space="preserve">iple </w:t>
      </w:r>
      <w:r>
        <w:t>bene</w:t>
      </w:r>
      <w:r>
        <w:t>fit</w:t>
      </w:r>
      <w:r>
        <w:t>s</w:t>
      </w:r>
      <w:r>
        <w:t xml:space="preserve">. </w:t>
      </w:r>
      <w:r>
        <w:t>I</w:t>
      </w:r>
      <w:r>
        <w:t xml:space="preserve">ts </w:t>
      </w:r>
      <w:r>
        <w:t xml:space="preserve">primary </w:t>
      </w:r>
      <w:r>
        <w:t xml:space="preserve">value </w:t>
      </w:r>
      <w:r>
        <w:t>l</w:t>
      </w:r>
      <w:r>
        <w:t xml:space="preserve">ies </w:t>
      </w:r>
      <w:r>
        <w:t>in helping to inform better local, regional and national conversations about how land can deliver multiple benefits</w:t>
      </w:r>
      <w:r>
        <w:t xml:space="preserve">. </w:t>
      </w:r>
    </w:p>
    <w:p w:rsidR="000B39BA" w:rsidP="00E06853">
      <w:r>
        <w:t>However,</w:t>
      </w:r>
      <w:r>
        <w:t xml:space="preserve"> </w:t>
      </w:r>
      <w:r>
        <w:t xml:space="preserve">there is an opportunity for </w:t>
      </w:r>
      <w:r>
        <w:t xml:space="preserve">future iterations </w:t>
      </w:r>
      <w:r>
        <w:t>to</w:t>
      </w:r>
      <w:r>
        <w:t xml:space="preserve"> strengthen its practical impact</w:t>
      </w:r>
      <w:r>
        <w:t xml:space="preserve">. </w:t>
      </w:r>
      <w:r>
        <w:t>This</w:t>
      </w:r>
      <w:r>
        <w:t xml:space="preserve"> could in</w:t>
      </w:r>
      <w:r>
        <w:t>clude</w:t>
      </w:r>
      <w:r>
        <w:t xml:space="preserve"> </w:t>
      </w:r>
      <w:r>
        <w:t xml:space="preserve">clearer </w:t>
      </w:r>
      <w:r>
        <w:t>detail on</w:t>
      </w:r>
      <w:r>
        <w:t xml:space="preserve"> support</w:t>
      </w:r>
      <w:r>
        <w:t>ing</w:t>
      </w:r>
      <w:r>
        <w:t xml:space="preserve"> effective delivery</w:t>
      </w:r>
      <w:r>
        <w:t>,</w:t>
      </w:r>
      <w:r>
        <w:t xml:space="preserve"> </w:t>
      </w:r>
      <w:r w:rsidRPr="00377424">
        <w:t>more granular spatial guidance</w:t>
      </w:r>
      <w:r>
        <w:t>,</w:t>
      </w:r>
      <w:r>
        <w:t xml:space="preserve"> </w:t>
      </w:r>
      <w:r>
        <w:t xml:space="preserve">stronger </w:t>
      </w:r>
      <w:r>
        <w:t>prioritisation of outcomes</w:t>
      </w:r>
      <w:r>
        <w:t>,</w:t>
      </w:r>
      <w:r>
        <w:t xml:space="preserve"> </w:t>
      </w:r>
      <w:r>
        <w:t>closer alignment with</w:t>
      </w:r>
      <w:r>
        <w:t xml:space="preserve"> funding mechanisms</w:t>
      </w:r>
      <w:r>
        <w:t>,</w:t>
      </w:r>
      <w:r>
        <w:t xml:space="preserve"> and better </w:t>
      </w:r>
      <w:r>
        <w:t>in</w:t>
      </w:r>
      <w:r>
        <w:t>tegration wi</w:t>
      </w:r>
      <w:r>
        <w:t>th regulatory processes</w:t>
      </w:r>
      <w:r>
        <w:t xml:space="preserve">. </w:t>
      </w:r>
      <w:r w:rsidRPr="00377424">
        <w:t>These improvements would give landowners, tenants, regulators and delivery partners greater confidence to make long-term decisions.</w:t>
      </w:r>
    </w:p>
    <w:p w:rsidR="000B39BA" w:rsidRPr="00377424" w:rsidP="00377424">
      <w:r w:rsidRPr="00377424">
        <w:t>Without such development, there is a risk that the Framework remains a useful strategic document, rather than evolving into a practical tool that enables land use change and investment at the pace required.</w:t>
      </w:r>
    </w:p>
    <w:p w:rsidR="000B39BA" w:rsidP="00E06853"/>
    <w:p w:rsidR="000B39BA" w:rsidRPr="00E06853" w:rsidP="00E06853">
      <w:r>
        <w:t>Both the Independent Water Commission</w:t>
      </w:r>
      <w:r>
        <w:t>'s Final Report</w:t>
      </w:r>
      <w:r>
        <w:rPr>
          <w:vertAlign w:val="superscript"/>
        </w:rPr>
        <w:footnoteReference w:id="2"/>
      </w:r>
      <w:r w:rsidRPr="00F057D7">
        <w:rPr>
          <w:vertAlign w:val="superscript"/>
        </w:rPr>
        <w:t xml:space="preserve"> </w:t>
      </w:r>
      <w:r>
        <w:t xml:space="preserve">and </w:t>
      </w:r>
      <w:r>
        <w:t>Defra's White Paper</w:t>
      </w:r>
      <w:r>
        <w:t xml:space="preserve"> '</w:t>
      </w:r>
      <w:r>
        <w:t xml:space="preserve">A </w:t>
      </w:r>
      <w:r>
        <w:t>New Vision for Water</w:t>
      </w:r>
      <w:r>
        <w:rPr>
          <w:vertAlign w:val="superscript"/>
        </w:rPr>
        <w:footnoteReference w:id="3"/>
      </w:r>
      <w:r>
        <w:t xml:space="preserve">' </w:t>
      </w:r>
      <w:r>
        <w:t>recognise that the</w:t>
      </w:r>
      <w:r>
        <w:t xml:space="preserve"> water sector has lacked alignment between water companies, regulators, investors, agriculture, transport, local government, developers and customers</w:t>
      </w:r>
      <w:r>
        <w:t>, resulting in p</w:t>
      </w:r>
      <w:r>
        <w:t>lanning</w:t>
      </w:r>
      <w:r>
        <w:t xml:space="preserve"> that</w:t>
      </w:r>
      <w:r>
        <w:t xml:space="preserve"> is fragmented, short-term and lac</w:t>
      </w:r>
      <w:r>
        <w:t>k</w:t>
      </w:r>
      <w:r>
        <w:t>ing</w:t>
      </w:r>
      <w:r>
        <w:t xml:space="preserve"> strategic direction.</w:t>
      </w:r>
      <w:r>
        <w:t xml:space="preserve"> </w:t>
      </w:r>
      <w:r>
        <w:t>The G</w:t>
      </w:r>
      <w:r>
        <w:t xml:space="preserve">overnment has committed to </w:t>
      </w:r>
      <w:r>
        <w:t>end</w:t>
      </w:r>
      <w:r>
        <w:t>ing</w:t>
      </w:r>
      <w:r>
        <w:t xml:space="preserve"> this piecemeal approach</w:t>
      </w:r>
      <w:r>
        <w:t>. W</w:t>
      </w:r>
      <w:r>
        <w:t xml:space="preserve">e believe now is the time to </w:t>
      </w:r>
      <w:r>
        <w:t xml:space="preserve">establish </w:t>
      </w:r>
      <w:r>
        <w:t>a clear direction, stable funding and stronger alignment across policy areas</w:t>
      </w:r>
      <w:r>
        <w:t xml:space="preserve"> to realise the </w:t>
      </w:r>
      <w:r>
        <w:t>full value of upland landscapes</w:t>
      </w:r>
      <w:r>
        <w:t xml:space="preserve"> and support </w:t>
      </w:r>
      <w:r>
        <w:t xml:space="preserve">sustainable </w:t>
      </w:r>
      <w:r>
        <w:t>growth</w:t>
      </w:r>
      <w:r>
        <w:t xml:space="preserve"> in the North Wes</w:t>
      </w:r>
      <w:r>
        <w:t>t.</w:t>
      </w:r>
    </w:p>
    <w:p w:rsidR="000B39BA" w:rsidP="00CF1B23">
      <w:r w:rsidRPr="00F057D7">
        <w:t>We have</w:t>
      </w:r>
      <w:r w:rsidRPr="00F057D7">
        <w:t xml:space="preserve"> provide</w:t>
      </w:r>
      <w:r w:rsidRPr="00F057D7">
        <w:t>d</w:t>
      </w:r>
      <w:r w:rsidRPr="00F057D7">
        <w:t xml:space="preserve"> </w:t>
      </w:r>
      <w:r w:rsidRPr="00F057D7">
        <w:t xml:space="preserve">responses to the call for evidence </w:t>
      </w:r>
      <w:r w:rsidRPr="00F057D7">
        <w:t xml:space="preserve">in Annex </w:t>
      </w:r>
      <w:r>
        <w:t xml:space="preserve">A </w:t>
      </w:r>
      <w:r w:rsidRPr="00F057D7">
        <w:t xml:space="preserve">to this letter and </w:t>
      </w:r>
      <w:r w:rsidRPr="00F057D7">
        <w:t xml:space="preserve">do let me know if you would like any further information to be made available to you. </w:t>
      </w:r>
    </w:p>
    <w:p w:rsidR="000B39BA" w:rsidP="00CF1B23"/>
    <w:p w:rsidR="000B39BA" w:rsidP="00CF1B23">
      <w:r>
        <w:t xml:space="preserve">Yours sincerely, </w:t>
      </w:r>
    </w:p>
    <w:p w:rsidR="000B39BA" w:rsidP="00CF1B23">
      <w:r>
        <w:rPr>
          <w:noProof/>
          <w:lang w:eastAsia="en-GB"/>
        </w:rPr>
        <w:drawing>
          <wp:inline distT="0" distB="0" distL="0" distR="0">
            <wp:extent cx="1647825" cy="394301"/>
            <wp:effectExtent l="0" t="0" r="0" b="6350"/>
            <wp:docPr id="1" name="Picture 1" descr="cid:image001.png@01D91F65.60A27D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1.png@01D91F65.60A27DC0"/>
                    <pic:cNvPicPr>
                      <a:picLocks noChangeAspect="1" noChangeArrowheads="1"/>
                    </pic:cNvPicPr>
                  </pic:nvPicPr>
                  <pic:blipFill>
                    <a:blip xmlns:r="http://schemas.openxmlformats.org/officeDocument/2006/relationships" r:embed="rId9" r:link="rId10">
                      <a:extLst>
                        <a:ext uri="{28A0092B-C50C-407E-A947-70E740481C1C}">
                          <a14:useLocalDpi xmlns:a14="http://schemas.microsoft.com/office/drawing/2010/main" val="0"/>
                        </a:ext>
                      </a:extLst>
                    </a:blip>
                    <a:srcRect/>
                    <a:stretch>
                      <a:fillRect/>
                    </a:stretch>
                  </pic:blipFill>
                  <pic:spPr bwMode="auto">
                    <a:xfrm>
                      <a:off x="0" y="0"/>
                      <a:ext cx="1667208" cy="398939"/>
                    </a:xfrm>
                    <a:prstGeom prst="rect">
                      <a:avLst/>
                    </a:prstGeom>
                    <a:noFill/>
                    <a:ln>
                      <a:noFill/>
                    </a:ln>
                  </pic:spPr>
                </pic:pic>
              </a:graphicData>
            </a:graphic>
          </wp:inline>
        </w:drawing>
      </w:r>
    </w:p>
    <w:p w:rsidR="000B39BA" w:rsidP="001D47A5">
      <w:pPr>
        <w:spacing w:after="0"/>
      </w:pPr>
    </w:p>
    <w:p w:rsidR="000B39BA" w:rsidP="001D47A5">
      <w:pPr>
        <w:spacing w:after="0"/>
      </w:pPr>
      <w:r>
        <w:t>Louise Beardmore</w:t>
      </w:r>
    </w:p>
    <w:p w:rsidR="000B39BA" w:rsidP="001D47A5">
      <w:pPr>
        <w:spacing w:after="0"/>
      </w:pPr>
      <w:r>
        <w:t xml:space="preserve">CEO, United Utilities </w:t>
      </w:r>
    </w:p>
    <w:p w:rsidR="000B39BA">
      <w:r>
        <w:br w:type="page"/>
      </w:r>
    </w:p>
    <w:p w:rsidR="000B39BA" w:rsidP="00CF1B23">
      <w:pPr>
        <w:rPr>
          <w:b/>
          <w:bCs/>
        </w:rPr>
      </w:pPr>
      <w:r>
        <w:rPr>
          <w:b/>
          <w:bCs/>
        </w:rPr>
        <w:t xml:space="preserve">Annex A – </w:t>
      </w:r>
      <w:r>
        <w:rPr>
          <w:b/>
          <w:bCs/>
        </w:rPr>
        <w:t xml:space="preserve">United Utilities Response to the </w:t>
      </w:r>
      <w:r w:rsidRPr="003465EE">
        <w:rPr>
          <w:b/>
          <w:bCs/>
        </w:rPr>
        <w:t>EFRA Committee</w:t>
      </w:r>
      <w:r>
        <w:rPr>
          <w:b/>
          <w:bCs/>
        </w:rPr>
        <w:t>'s</w:t>
      </w:r>
      <w:r w:rsidRPr="003465EE">
        <w:rPr>
          <w:b/>
          <w:bCs/>
        </w:rPr>
        <w:t xml:space="preserve"> </w:t>
      </w:r>
      <w:r>
        <w:rPr>
          <w:b/>
          <w:bCs/>
        </w:rPr>
        <w:t xml:space="preserve">Call for Evidence </w:t>
      </w:r>
    </w:p>
    <w:p w:rsidR="000B39BA" w:rsidRPr="00412F30" w:rsidP="00412F30">
      <w:pPr>
        <w:rPr>
          <w:b/>
          <w:bCs/>
        </w:rPr>
      </w:pPr>
      <w:r>
        <w:rPr>
          <w:b/>
          <w:bCs/>
        </w:rPr>
        <w:t xml:space="preserve">Question </w:t>
      </w:r>
      <w:r>
        <w:rPr>
          <w:b/>
          <w:bCs/>
        </w:rPr>
        <w:t xml:space="preserve">1. </w:t>
      </w:r>
      <w:r w:rsidRPr="00412F30">
        <w:rPr>
          <w:b/>
          <w:bCs/>
        </w:rPr>
        <w:t>How effectively do current policies balance competing demands in the uplands, including food production, nature recovery, climate mitigation, water management, and public access, and where do the key tensions remain?</w:t>
      </w:r>
    </w:p>
    <w:p w:rsidR="000B39BA" w:rsidRPr="00ED3FE9" w:rsidP="004F1FB9">
      <w:pPr>
        <w:pStyle w:val="ListParagraph"/>
        <w:numPr>
          <w:ilvl w:val="0"/>
          <w:numId w:val="9"/>
        </w:numPr>
        <w:spacing w:before="120" w:after="120" w:line="252" w:lineRule="auto"/>
        <w:ind w:left="357" w:hanging="357"/>
        <w:contextualSpacing w:val="0"/>
      </w:pPr>
      <w:r w:rsidRPr="00ED3FE9">
        <w:t xml:space="preserve">Current </w:t>
      </w:r>
      <w:r>
        <w:t xml:space="preserve">government </w:t>
      </w:r>
      <w:r w:rsidRPr="00ED3FE9">
        <w:t xml:space="preserve">policy </w:t>
      </w:r>
      <w:r>
        <w:t xml:space="preserve">correctly recognises that </w:t>
      </w:r>
      <w:r>
        <w:t xml:space="preserve">upland landscapes deliver multiple public goods. The Land Use Framework is a </w:t>
      </w:r>
      <w:r>
        <w:t xml:space="preserve">further </w:t>
      </w:r>
      <w:r>
        <w:t>positive step</w:t>
      </w:r>
      <w:r>
        <w:t>,</w:t>
      </w:r>
      <w:r>
        <w:t xml:space="preserve"> </w:t>
      </w:r>
      <w:r>
        <w:t>however,</w:t>
      </w:r>
      <w:r>
        <w:t xml:space="preserve"> the system beneath it remains fragmented.</w:t>
      </w:r>
      <w:r>
        <w:t xml:space="preserve"> This is recognised in the Land Use Framework itself, which states that land use challenges have too often been addressed in isolation, leading to missed opportunities for land to deliver multiple benefits. The Cottam Review</w:t>
      </w:r>
      <w:r>
        <w:rPr>
          <w:rStyle w:val="FootnoteReference"/>
        </w:rPr>
        <w:footnoteReference w:id="4"/>
      </w:r>
      <w:r>
        <w:t xml:space="preserve"> makes a similar point in an upland context, concluding that a piecemeal approach to the challenges facing England’s uplands will not secure a flourishing future for these landscapes.</w:t>
      </w:r>
    </w:p>
    <w:p w:rsidR="000B39BA" w:rsidRPr="00ED3FE9" w:rsidP="004F1FB9">
      <w:pPr>
        <w:pStyle w:val="ListParagraph"/>
        <w:numPr>
          <w:ilvl w:val="0"/>
          <w:numId w:val="9"/>
        </w:numPr>
        <w:spacing w:before="120" w:after="120" w:line="252" w:lineRule="auto"/>
        <w:ind w:left="357" w:hanging="357"/>
        <w:contextualSpacing w:val="0"/>
      </w:pPr>
      <w:r w:rsidRPr="00ED3FE9">
        <w:t>Policies on farming, water, nature, climate, flood management and access are still developed and delivered separately. This makes it difficult for farmers, land managers and public bodies to plan around shared, long</w:t>
      </w:r>
      <w:r w:rsidRPr="00ED3FE9">
        <w:noBreakHyphen/>
        <w:t>term outcomes.</w:t>
      </w:r>
    </w:p>
    <w:p w:rsidR="000B39BA" w:rsidP="004F1FB9">
      <w:pPr>
        <w:pStyle w:val="ListParagraph"/>
        <w:numPr>
          <w:ilvl w:val="0"/>
          <w:numId w:val="9"/>
        </w:numPr>
        <w:spacing w:before="120" w:after="120" w:line="252" w:lineRule="auto"/>
        <w:ind w:left="357" w:hanging="357"/>
        <w:contextualSpacing w:val="0"/>
      </w:pPr>
      <w:r>
        <w:t>The issue is not a simple trade</w:t>
      </w:r>
      <w:r>
        <w:noBreakHyphen/>
        <w:t xml:space="preserve">off between farming and nature. The real challenge is enabling land to deliver multiple benefits at </w:t>
      </w:r>
      <w:r>
        <w:t>the same time</w:t>
      </w:r>
      <w:r>
        <w:t>. In upland catchments, this is achievable—but only if policy and funding support</w:t>
      </w:r>
      <w:r>
        <w:t>s</w:t>
      </w:r>
      <w:r>
        <w:t xml:space="preserve"> integrated, catchment</w:t>
      </w:r>
      <w:r>
        <w:noBreakHyphen/>
        <w:t>scale approaches.</w:t>
      </w:r>
      <w:r>
        <w:t xml:space="preserve"> </w:t>
      </w:r>
      <w:r>
        <w:t xml:space="preserve">For example, Wild Haweswater, a landscape restoration partnership between the RSPB and </w:t>
      </w:r>
      <w:r>
        <w:t>United Utilities Water (</w:t>
      </w:r>
      <w:r>
        <w:t>UUW</w:t>
      </w:r>
      <w:r>
        <w:t>)</w:t>
      </w:r>
      <w:r>
        <w:t>, has demonstrated that landscape scale restoration implemented alongside continued farming</w:t>
      </w:r>
      <w:r>
        <w:t xml:space="preserve"> can</w:t>
      </w:r>
      <w:r>
        <w:t xml:space="preserve"> increase employment (from a small traditional farm </w:t>
      </w:r>
      <w:r>
        <w:t xml:space="preserve">of 4 </w:t>
      </w:r>
      <w:r>
        <w:t>to 25 fu</w:t>
      </w:r>
      <w:r>
        <w:t>ll</w:t>
      </w:r>
      <w:r>
        <w:t>-</w:t>
      </w:r>
      <w:r>
        <w:t xml:space="preserve">time local staff) </w:t>
      </w:r>
      <w:r>
        <w:t xml:space="preserve">through </w:t>
      </w:r>
      <w:r>
        <w:t>creat</w:t>
      </w:r>
      <w:r>
        <w:t>ing</w:t>
      </w:r>
      <w:r>
        <w:t xml:space="preserve"> new roles, showing that environmental delivery can support, rather than diminish, rural economies, albeit with different skills and activities. </w:t>
      </w:r>
    </w:p>
    <w:p w:rsidR="000B39BA" w:rsidRPr="00ED3FE9" w:rsidP="004F1FB9">
      <w:pPr>
        <w:pStyle w:val="ListParagraph"/>
        <w:numPr>
          <w:ilvl w:val="0"/>
          <w:numId w:val="9"/>
        </w:numPr>
        <w:spacing w:before="120" w:after="120" w:line="252" w:lineRule="auto"/>
        <w:ind w:left="357" w:hanging="357"/>
        <w:contextualSpacing w:val="0"/>
      </w:pPr>
      <w:r>
        <w:t>This highlights the importance of supporting communities and land managers through transition, ensuring change creates new opportunities rather than displacing people. Payment for public goods should be recognised as a legitimate and long</w:t>
      </w:r>
      <w:r>
        <w:t>-</w:t>
      </w:r>
      <w:r>
        <w:t>term income stream, reflecting the full range of benefits land managers deliver, not only food production, but also nature recovery, water quality, carbon storage and public access.</w:t>
      </w:r>
    </w:p>
    <w:p w:rsidR="000B39BA" w:rsidP="004F1FB9">
      <w:pPr>
        <w:pStyle w:val="ListParagraph"/>
        <w:numPr>
          <w:ilvl w:val="0"/>
          <w:numId w:val="9"/>
        </w:numPr>
        <w:spacing w:before="120" w:after="120" w:line="252" w:lineRule="auto"/>
        <w:ind w:left="357" w:hanging="357"/>
        <w:contextualSpacing w:val="0"/>
      </w:pPr>
      <w:r w:rsidRPr="00ED3FE9">
        <w:t>Uplands also play a critical and often under</w:t>
      </w:r>
      <w:r w:rsidRPr="00ED3FE9">
        <w:noBreakHyphen/>
        <w:t xml:space="preserve">recognised role as </w:t>
      </w:r>
      <w:r w:rsidRPr="001C5E7D">
        <w:t>drinking water infrastructure</w:t>
      </w:r>
      <w:r w:rsidRPr="00ED3FE9">
        <w:t xml:space="preserve">. </w:t>
      </w:r>
      <w:r w:rsidRPr="003465EE">
        <w:t>Healthy peatlands, soils, vegetation, rivers and reservoir catchments help protect raw water quality before water reaches treatment works. Good catchment condition can reduce sediment, colour, dissolved organic carbon and pollutants entering reservoirs and watercourses</w:t>
      </w:r>
      <w:r>
        <w:t xml:space="preserve">, which in turn </w:t>
      </w:r>
      <w:r w:rsidRPr="00ED3FE9">
        <w:t>reduce</w:t>
      </w:r>
      <w:r>
        <w:t>s</w:t>
      </w:r>
      <w:r w:rsidRPr="00ED3FE9">
        <w:t xml:space="preserve"> treatment costs, carbon emissions and long</w:t>
      </w:r>
      <w:r w:rsidRPr="00ED3FE9">
        <w:noBreakHyphen/>
        <w:t>term pressure on bills.</w:t>
      </w:r>
      <w:r>
        <w:t xml:space="preserve"> </w:t>
      </w:r>
    </w:p>
    <w:p w:rsidR="000B39BA" w:rsidP="004F1FB9">
      <w:pPr>
        <w:pStyle w:val="ListParagraph"/>
        <w:numPr>
          <w:ilvl w:val="0"/>
          <w:numId w:val="9"/>
        </w:numPr>
        <w:spacing w:before="120" w:after="120" w:line="252" w:lineRule="auto"/>
        <w:ind w:left="357" w:hanging="357"/>
        <w:contextualSpacing w:val="0"/>
      </w:pPr>
      <w:r w:rsidRPr="00B13EB4">
        <w:t>This position is supported by DWI’s regulatory approach, which treats the water source and catchment as part of the risk assessment for treatment works and recognises catchment management as a mitigation for raw water quality deterioration. DWI’s Chief Inspector report</w:t>
      </w:r>
      <w:r>
        <w:rPr>
          <w:rStyle w:val="FootnoteReference"/>
        </w:rPr>
        <w:footnoteReference w:id="5"/>
      </w:r>
      <w:r w:rsidRPr="00B13EB4">
        <w:t xml:space="preserve"> also states that raw water data is used to guide catchment management and the design, operation and optimisation of treatment processes. </w:t>
      </w:r>
    </w:p>
    <w:p w:rsidR="000B39BA" w:rsidP="004F1FB9">
      <w:pPr>
        <w:pStyle w:val="ListParagraph"/>
        <w:numPr>
          <w:ilvl w:val="0"/>
          <w:numId w:val="9"/>
        </w:numPr>
        <w:spacing w:before="120" w:after="120" w:line="252" w:lineRule="auto"/>
        <w:ind w:left="357" w:hanging="357"/>
        <w:contextualSpacing w:val="0"/>
      </w:pPr>
      <w:r w:rsidRPr="00B13EB4">
        <w:t xml:space="preserve">Wider published evidence from ONS, the Environment Agency and the Committee on Climate Change further supports the role of upland peat catchments in </w:t>
      </w:r>
      <w:r>
        <w:t xml:space="preserve">flood mitigation, </w:t>
      </w:r>
      <w:r w:rsidRPr="00B13EB4">
        <w:t>regulating drinking water quality, including the links between degraded peat, dissolved organic carbon, colour, sediment, treatment costs and reservoir impacts</w:t>
      </w:r>
      <w:r>
        <w:rPr>
          <w:rStyle w:val="FootnoteReference"/>
        </w:rPr>
        <w:footnoteReference w:id="6"/>
      </w:r>
      <w:r w:rsidRPr="00B13EB4">
        <w:t>.</w:t>
      </w:r>
    </w:p>
    <w:p w:rsidR="000B39BA" w:rsidRPr="003465EE" w:rsidP="004F1FB9">
      <w:pPr>
        <w:pStyle w:val="ListParagraph"/>
        <w:numPr>
          <w:ilvl w:val="0"/>
          <w:numId w:val="9"/>
        </w:numPr>
        <w:spacing w:before="120" w:after="120" w:line="252" w:lineRule="auto"/>
        <w:ind w:left="357" w:hanging="357"/>
        <w:contextualSpacing w:val="0"/>
      </w:pPr>
      <w:r w:rsidRPr="003465EE">
        <w:t>Decisions about grazing, drainage, burning, peat condition, woodland, access and habitat restoration can affect water quality and water supply for communities many miles away.</w:t>
      </w:r>
      <w:r>
        <w:t xml:space="preserve"> </w:t>
      </w:r>
      <w:r w:rsidRPr="00ED3FE9">
        <w:t xml:space="preserve">This is especially important in the North West, </w:t>
      </w:r>
      <w:r>
        <w:t>a significantly large and varied geographical</w:t>
      </w:r>
      <w:r>
        <w:t xml:space="preserve"> and socio-economic</w:t>
      </w:r>
      <w:r>
        <w:t xml:space="preserve"> region, w</w:t>
      </w:r>
      <w:r w:rsidRPr="00ED3FE9">
        <w:t xml:space="preserve">here upland landscapes </w:t>
      </w:r>
      <w:r>
        <w:t>unde</w:t>
      </w:r>
      <w:r>
        <w:t>r</w:t>
      </w:r>
      <w:r>
        <w:t>pi</w:t>
      </w:r>
      <w:r w:rsidRPr="00ED3FE9">
        <w:t>n water supply for millions</w:t>
      </w:r>
      <w:r>
        <w:t xml:space="preserve"> of customers and businesses</w:t>
      </w:r>
      <w:r w:rsidRPr="00ED3FE9">
        <w:t>.</w:t>
      </w:r>
      <w:r>
        <w:t xml:space="preserve"> </w:t>
      </w:r>
    </w:p>
    <w:p w:rsidR="000B39BA" w:rsidRPr="00ED3FE9" w:rsidP="004F1FB9">
      <w:pPr>
        <w:pStyle w:val="ListParagraph"/>
        <w:numPr>
          <w:ilvl w:val="0"/>
          <w:numId w:val="9"/>
        </w:numPr>
        <w:spacing w:before="120" w:after="120" w:line="252" w:lineRule="auto"/>
        <w:ind w:left="357" w:hanging="357"/>
        <w:contextualSpacing w:val="0"/>
      </w:pPr>
      <w:r w:rsidRPr="00ED3FE9">
        <w:t>Government policy s</w:t>
      </w:r>
      <w:r w:rsidRPr="00D572E5">
        <w:t xml:space="preserve">hould explicitly recognise this role and support the </w:t>
      </w:r>
      <w:r w:rsidRPr="00B13EB4">
        <w:t>right land management in the right places</w:t>
      </w:r>
      <w:r w:rsidRPr="00D572E5">
        <w:t>, enabling farming, nature recovery and water resilience to be delivered together.</w:t>
      </w:r>
    </w:p>
    <w:p w:rsidR="000B39BA" w:rsidRPr="00ED3FE9" w:rsidP="00ED3FE9">
      <w:pPr>
        <w:rPr>
          <w:b/>
          <w:bCs/>
        </w:rPr>
      </w:pPr>
      <w:r w:rsidRPr="00ED3FE9">
        <w:rPr>
          <w:b/>
          <w:bCs/>
        </w:rPr>
        <w:t>Key tensions</w:t>
      </w:r>
      <w:r>
        <w:rPr>
          <w:b/>
          <w:bCs/>
        </w:rPr>
        <w:t xml:space="preserve"> include:</w:t>
      </w:r>
    </w:p>
    <w:p w:rsidR="000B39BA" w:rsidRPr="003465EE" w:rsidP="00243669">
      <w:pPr>
        <w:numPr>
          <w:ilvl w:val="0"/>
          <w:numId w:val="11"/>
        </w:numPr>
        <w:tabs>
          <w:tab w:val="clear" w:pos="360"/>
          <w:tab w:val="num" w:pos="1440"/>
        </w:tabs>
        <w:ind w:left="720"/>
      </w:pPr>
      <w:r w:rsidRPr="00357F6F">
        <w:rPr>
          <w:b/>
          <w:bCs/>
        </w:rPr>
        <w:t>Short</w:t>
      </w:r>
      <w:r w:rsidRPr="00357F6F">
        <w:rPr>
          <w:b/>
          <w:bCs/>
        </w:rPr>
        <w:noBreakHyphen/>
        <w:t>term farm viability vs long</w:t>
      </w:r>
      <w:r w:rsidRPr="00357F6F">
        <w:rPr>
          <w:b/>
          <w:bCs/>
        </w:rPr>
        <w:noBreakHyphen/>
        <w:t>term outcomes</w:t>
      </w:r>
      <w:r>
        <w:rPr>
          <w:b/>
          <w:bCs/>
        </w:rPr>
        <w:t xml:space="preserve">. </w:t>
      </w:r>
      <w:r w:rsidRPr="003465EE">
        <w:t>Short term farm business pressures compared with long term environmental and water outcomes.</w:t>
      </w:r>
    </w:p>
    <w:p w:rsidR="000B39BA" w:rsidRPr="003465EE" w:rsidP="00243669">
      <w:pPr>
        <w:numPr>
          <w:ilvl w:val="0"/>
          <w:numId w:val="11"/>
        </w:numPr>
        <w:tabs>
          <w:tab w:val="clear" w:pos="360"/>
          <w:tab w:val="num" w:pos="1080"/>
        </w:tabs>
        <w:ind w:left="720"/>
      </w:pPr>
      <w:r w:rsidRPr="00357F6F">
        <w:rPr>
          <w:b/>
          <w:bCs/>
        </w:rPr>
        <w:t>Complex and slow landscape</w:t>
      </w:r>
      <w:r>
        <w:noBreakHyphen/>
      </w:r>
      <w:r w:rsidRPr="00357F6F">
        <w:rPr>
          <w:b/>
          <w:bCs/>
        </w:rPr>
        <w:t>scale schemes</w:t>
      </w:r>
      <w:r w:rsidRPr="005C0ED3">
        <w:rPr>
          <w:b/>
          <w:bCs/>
        </w:rPr>
        <w:t xml:space="preserve"> (e.g. Landscape Recovery)</w:t>
      </w:r>
      <w:r>
        <w:rPr>
          <w:b/>
          <w:bCs/>
        </w:rPr>
        <w:t xml:space="preserve">. </w:t>
      </w:r>
      <w:r w:rsidRPr="00AE289B">
        <w:t xml:space="preserve">Landscape scale funding mechanisms are welcome and are intended to support catchment and landscape scale outcomes. However, they </w:t>
      </w:r>
      <w:r>
        <w:t xml:space="preserve">are considerably </w:t>
      </w:r>
      <w:r w:rsidRPr="00AE289B">
        <w:t>complex and difficult to establish, often requiring significant upfront planning, partnership development, governance arrangements and negotiation before delivery can begin. In many upland areas, the structures needed to coordinate landowners, tenants, commoners and delivery partners at landscape scale are not already in place. This additional administrative burde</w:t>
      </w:r>
      <w:r w:rsidRPr="00AE289B">
        <w:t>n can prevent coordinated funding bids and slow the delivery of joined up land management.</w:t>
      </w:r>
      <w:r>
        <w:t xml:space="preserve"> This process requires simplifying.</w:t>
      </w:r>
    </w:p>
    <w:p w:rsidR="000B39BA" w:rsidRPr="00023B5D" w:rsidP="00243669">
      <w:pPr>
        <w:numPr>
          <w:ilvl w:val="0"/>
          <w:numId w:val="11"/>
        </w:numPr>
        <w:tabs>
          <w:tab w:val="clear" w:pos="360"/>
          <w:tab w:val="num" w:pos="1080"/>
        </w:tabs>
        <w:ind w:left="720"/>
      </w:pPr>
      <w:r w:rsidRPr="00DA5BFC">
        <w:rPr>
          <w:b/>
          <w:bCs/>
        </w:rPr>
        <w:t xml:space="preserve">Public access costs borne locally, benefits shared widely. </w:t>
      </w:r>
      <w:r w:rsidRPr="00023B5D">
        <w:t>Public access delivers significant benefits for society, including health, wellbeing, education and connection with nature, but the costs of enabling and managing that access are often borne locally by farmers, landowners, land managers and rural communities. Current policy does not yet provide a sufficiently clear or consistent mechanism for paying for those wider public benefits.</w:t>
      </w:r>
    </w:p>
    <w:p w:rsidR="000B39BA" w:rsidP="00243669">
      <w:pPr>
        <w:numPr>
          <w:ilvl w:val="0"/>
          <w:numId w:val="11"/>
        </w:numPr>
        <w:tabs>
          <w:tab w:val="clear" w:pos="360"/>
          <w:tab w:val="num" w:pos="1080"/>
        </w:tabs>
        <w:ind w:left="720"/>
      </w:pPr>
      <w:r w:rsidRPr="008D1E4E">
        <w:rPr>
          <w:b/>
          <w:bCs/>
        </w:rPr>
        <w:t>Regulatory complexity delaying restoration</w:t>
      </w:r>
      <w:r>
        <w:t xml:space="preserve">. </w:t>
      </w:r>
      <w:r>
        <w:t>Complex regulation and consent processes can delay beneficial environmental restoration, particularly for peatland projects.</w:t>
      </w:r>
      <w:r>
        <w:t xml:space="preserve"> </w:t>
      </w:r>
      <w:r>
        <w:t>We have experienced challenges with peatland restoration, including differing views across regions on the best way to carry out activities such as bunding (small dams used to retain water in peat). Approval processes can become overly focused on the technical details of individual features, rather than the overall environmental benefit of large</w:t>
      </w:r>
      <w:r w:rsidRPr="008D1E4E">
        <w:rPr>
          <w:rFonts w:ascii="Cambria Math" w:hAnsi="Cambria Math" w:cs="Cambria Math"/>
        </w:rPr>
        <w:t>‑</w:t>
      </w:r>
      <w:r>
        <w:t>scale restoration programmes.</w:t>
      </w:r>
    </w:p>
    <w:p w:rsidR="000B39BA" w:rsidP="00243669">
      <w:pPr>
        <w:ind w:left="720"/>
      </w:pPr>
      <w:r>
        <w:t xml:space="preserve">There is also inconsistency in how regulations are applied across different areas. Techniques that are accepted in one location may not be approved elsewhere, which limits the ability to share learning and slows progress across sites. </w:t>
      </w:r>
    </w:p>
    <w:p w:rsidR="000B39BA" w:rsidRPr="003465EE" w:rsidP="00243669">
      <w:pPr>
        <w:ind w:left="720"/>
      </w:pPr>
      <w:r>
        <w:t xml:space="preserve">Regulatory complexity is </w:t>
      </w:r>
      <w:r>
        <w:t xml:space="preserve">also </w:t>
      </w:r>
      <w:r>
        <w:t>evident in tree planting and woodland creation</w:t>
      </w:r>
      <w:r>
        <w:t xml:space="preserve">. </w:t>
      </w:r>
      <w:r>
        <w:t>D</w:t>
      </w:r>
      <w:r>
        <w:t xml:space="preserve">elivery can be difficult due to </w:t>
      </w:r>
      <w:r>
        <w:t>s</w:t>
      </w:r>
      <w:r>
        <w:t>ignificant amounts of ecological assessment</w:t>
      </w:r>
      <w:r>
        <w:t xml:space="preserve">s </w:t>
      </w:r>
      <w:r>
        <w:t xml:space="preserve">required and a very risk averse </w:t>
      </w:r>
      <w:r>
        <w:t>approach</w:t>
      </w:r>
      <w:r>
        <w:t>,</w:t>
      </w:r>
      <w:r>
        <w:t xml:space="preserve"> where things such as single historic sightings of ground nesting birds can prevent woodland creation anywhere in the area. </w:t>
      </w:r>
      <w:r>
        <w:t xml:space="preserve">While it is important </w:t>
      </w:r>
      <w:r>
        <w:t>to protect sensitive habitats and species, there is a need for a more balanced and flexible approach, enabling restoration activity to proceed where it delivers clear overall environmental bene</w:t>
      </w:r>
      <w:r>
        <w:t>fits. A more proportionate system would help reduce delays and support delivery of wider land use and restoration objectives.</w:t>
      </w:r>
    </w:p>
    <w:p w:rsidR="000B39BA" w:rsidP="00243669">
      <w:pPr>
        <w:numPr>
          <w:ilvl w:val="0"/>
          <w:numId w:val="11"/>
        </w:numPr>
        <w:tabs>
          <w:tab w:val="clear" w:pos="360"/>
          <w:tab w:val="num" w:pos="1080"/>
        </w:tabs>
        <w:ind w:left="720"/>
      </w:pPr>
      <w:r w:rsidRPr="00D6793F">
        <w:rPr>
          <w:b/>
          <w:bCs/>
        </w:rPr>
        <w:t>Limited integrated data to target interventions.</w:t>
      </w:r>
      <w:r>
        <w:t xml:space="preserve"> </w:t>
      </w:r>
      <w:r w:rsidRPr="00D6793F">
        <w:t>There is a need for more integrated data to identify where land use change will deliver the greatest combined benefit.</w:t>
      </w:r>
      <w:r>
        <w:t xml:space="preserve"> </w:t>
      </w:r>
      <w:r>
        <w:t>For example</w:t>
      </w:r>
      <w:r>
        <w:t>,</w:t>
      </w:r>
      <w:r>
        <w:t xml:space="preserve"> i</w:t>
      </w:r>
      <w:r w:rsidRPr="00C74BCA">
        <w:t xml:space="preserve">n June 2025, </w:t>
      </w:r>
      <w:r>
        <w:t>as part of our catchment partnership programme</w:t>
      </w:r>
      <w:r>
        <w:t xml:space="preserve"> called the</w:t>
      </w:r>
      <w:r>
        <w:t xml:space="preserve"> </w:t>
      </w:r>
      <w:r w:rsidRPr="00DA5BFC">
        <w:t>Hindley Integrated Water Management Plan</w:t>
      </w:r>
      <w:r>
        <w:rPr>
          <w:rStyle w:val="FootnoteReference"/>
        </w:rPr>
        <w:footnoteReference w:id="7"/>
      </w:r>
      <w:r>
        <w:t>,</w:t>
      </w:r>
      <w:r>
        <w:t xml:space="preserve"> </w:t>
      </w:r>
      <w:r>
        <w:t xml:space="preserve">UUW funded </w:t>
      </w:r>
      <w:r w:rsidRPr="00C74BCA">
        <w:t xml:space="preserve">integrated modelling </w:t>
      </w:r>
      <w:r>
        <w:t xml:space="preserve">to improve </w:t>
      </w:r>
      <w:r>
        <w:t xml:space="preserve">the partnership's </w:t>
      </w:r>
      <w:r w:rsidRPr="00C74BCA">
        <w:t>understand</w:t>
      </w:r>
      <w:r>
        <w:t>ing of</w:t>
      </w:r>
      <w:r w:rsidRPr="00C74BCA">
        <w:t xml:space="preserve"> the integrated risks and solutions to the water quantity and quality issues in the Hindley area. This provided new insight into the interconnectedness of all the flood risk in the area and identified a blend of blue/green and grey solutions that will secure resilience and service improvements. </w:t>
      </w:r>
    </w:p>
    <w:p w:rsidR="000B39BA" w:rsidP="00243669">
      <w:pPr>
        <w:numPr>
          <w:ilvl w:val="0"/>
          <w:numId w:val="11"/>
        </w:numPr>
        <w:tabs>
          <w:tab w:val="clear" w:pos="360"/>
          <w:tab w:val="num" w:pos="720"/>
        </w:tabs>
        <w:ind w:left="720"/>
      </w:pPr>
      <w:r w:rsidRPr="00170990">
        <w:rPr>
          <w:b/>
          <w:bCs/>
        </w:rPr>
        <w:t>Balancing immediate value with future resilience.</w:t>
      </w:r>
      <w:r>
        <w:t xml:space="preserve"> </w:t>
      </w:r>
      <w:r>
        <w:t>Balancing</w:t>
      </w:r>
      <w:r>
        <w:t xml:space="preserve"> the need to </w:t>
      </w:r>
      <w:r>
        <w:t>deliver</w:t>
      </w:r>
      <w:r>
        <w:t xml:space="preserve"> value today with the need to </w:t>
      </w:r>
      <w:r>
        <w:t>invest in resilience for the future, particularly in the face of a changing climate</w:t>
      </w:r>
      <w:r>
        <w:t>, is especially important</w:t>
      </w:r>
      <w:r>
        <w:t xml:space="preserve">. </w:t>
      </w:r>
      <w:r>
        <w:t>In the</w:t>
      </w:r>
      <w:r>
        <w:t xml:space="preserve"> </w:t>
      </w:r>
      <w:r>
        <w:t>'A new vision for water'</w:t>
      </w:r>
      <w:r>
        <w:t xml:space="preserve"> White Paper</w:t>
      </w:r>
      <w:r>
        <w:t xml:space="preserve">, </w:t>
      </w:r>
      <w:r>
        <w:t xml:space="preserve">the </w:t>
      </w:r>
      <w:r>
        <w:t>G</w:t>
      </w:r>
      <w:r>
        <w:t xml:space="preserve">overnment set out </w:t>
      </w:r>
      <w:r>
        <w:t>its</w:t>
      </w:r>
      <w:r>
        <w:t xml:space="preserve"> intention </w:t>
      </w:r>
      <w:r>
        <w:t>for a</w:t>
      </w:r>
      <w:r w:rsidRPr="009973BF">
        <w:t>n ambitious</w:t>
      </w:r>
      <w:r>
        <w:t xml:space="preserve"> and</w:t>
      </w:r>
      <w:r w:rsidRPr="009973BF">
        <w:t xml:space="preserve"> coherent reset of the legislative framework</w:t>
      </w:r>
      <w:r>
        <w:t xml:space="preserve"> </w:t>
      </w:r>
      <w:r w:rsidRPr="009973BF">
        <w:t>for water</w:t>
      </w:r>
      <w:r>
        <w:t xml:space="preserve">, to ensure it </w:t>
      </w:r>
      <w:r w:rsidRPr="009973BF">
        <w:t xml:space="preserve">is coherent, </w:t>
      </w:r>
      <w:r>
        <w:t xml:space="preserve">and </w:t>
      </w:r>
      <w:r w:rsidRPr="009973BF">
        <w:t>future-proofed to adapt to changing pressures</w:t>
      </w:r>
      <w:r>
        <w:t xml:space="preserve">, </w:t>
      </w:r>
      <w:r w:rsidRPr="009973BF">
        <w:t>such as emerging chemical and biological pollutants, and climate change.</w:t>
      </w:r>
      <w:r>
        <w:t xml:space="preserve"> We look forward to seeing </w:t>
      </w:r>
      <w:r>
        <w:t>G</w:t>
      </w:r>
      <w:r>
        <w:t>overnme</w:t>
      </w:r>
      <w:r>
        <w:t>nt proposal</w:t>
      </w:r>
      <w:r>
        <w:t>s</w:t>
      </w:r>
      <w:r>
        <w:t xml:space="preserve"> on the legislative reset. </w:t>
      </w:r>
    </w:p>
    <w:p w:rsidR="000B39BA" w:rsidRPr="003465EE" w:rsidP="003465EE">
      <w:pPr>
        <w:rPr>
          <w:b/>
          <w:bCs/>
        </w:rPr>
      </w:pPr>
      <w:r>
        <w:rPr>
          <w:b/>
          <w:bCs/>
        </w:rPr>
        <w:t xml:space="preserve">Question 2. </w:t>
      </w:r>
      <w:r w:rsidRPr="003465EE">
        <w:rPr>
          <w:b/>
          <w:bCs/>
        </w:rPr>
        <w:t>What has been the impact of agricultural policy changes, including the transition away from direct payments, on upland farming businesses and farming profitability?</w:t>
      </w:r>
    </w:p>
    <w:p w:rsidR="000B39BA" w:rsidP="00170990">
      <w:pPr>
        <w:pStyle w:val="ListParagraph"/>
        <w:numPr>
          <w:ilvl w:val="0"/>
          <w:numId w:val="12"/>
        </w:numPr>
        <w:spacing w:before="120" w:after="120" w:line="252" w:lineRule="auto"/>
        <w:ind w:left="357" w:hanging="357"/>
        <w:contextualSpacing w:val="0"/>
      </w:pPr>
      <w:r w:rsidRPr="006E54CF">
        <w:t xml:space="preserve">The </w:t>
      </w:r>
      <w:r>
        <w:t xml:space="preserve">current </w:t>
      </w:r>
      <w:r w:rsidRPr="006E54CF">
        <w:t xml:space="preserve">transition </w:t>
      </w:r>
      <w:r w:rsidRPr="009D47A9">
        <w:t xml:space="preserve">away from direct agricultural payments is creating </w:t>
      </w:r>
      <w:r w:rsidRPr="000E0A95">
        <w:t>significant uncertainty for upland farmers</w:t>
      </w:r>
      <w:r w:rsidRPr="009D47A9">
        <w:t>, particularly</w:t>
      </w:r>
      <w:r w:rsidRPr="006E54CF">
        <w:t xml:space="preserve"> tenant farmers, commoners and livestock businesses operating on marginal land. Many of these businesses have historically depended on direct payments to remain viable</w:t>
      </w:r>
      <w:r>
        <w:t>.</w:t>
      </w:r>
    </w:p>
    <w:p w:rsidR="000B39BA" w:rsidP="00170990">
      <w:pPr>
        <w:pStyle w:val="ListParagraph"/>
        <w:numPr>
          <w:ilvl w:val="0"/>
          <w:numId w:val="12"/>
        </w:numPr>
        <w:spacing w:before="120" w:after="120" w:line="252" w:lineRule="auto"/>
        <w:ind w:left="357" w:hanging="357"/>
        <w:contextualSpacing w:val="0"/>
      </w:pPr>
      <w:r>
        <w:t>We recognise th</w:t>
      </w:r>
      <w:r>
        <w:t>e</w:t>
      </w:r>
      <w:r>
        <w:t xml:space="preserve"> </w:t>
      </w:r>
      <w:r>
        <w:t xml:space="preserve">current fiscal pressures facing </w:t>
      </w:r>
      <w:r>
        <w:t>G</w:t>
      </w:r>
      <w:r>
        <w:t>overnment</w:t>
      </w:r>
      <w:r>
        <w:t xml:space="preserve"> and </w:t>
      </w:r>
      <w:r>
        <w:t xml:space="preserve">that </w:t>
      </w:r>
      <w:r>
        <w:t>funding needs to be used wisely</w:t>
      </w:r>
      <w:r>
        <w:t>.</w:t>
      </w:r>
      <w:r>
        <w:t xml:space="preserve"> </w:t>
      </w:r>
      <w:r>
        <w:t>Therefore,</w:t>
      </w:r>
      <w:r>
        <w:t xml:space="preserve"> </w:t>
      </w:r>
      <w:r>
        <w:t xml:space="preserve">government policy should </w:t>
      </w:r>
      <w:r>
        <w:t xml:space="preserve">support a </w:t>
      </w:r>
      <w:r w:rsidRPr="000E0A95">
        <w:t>transition to more resilient, future</w:t>
      </w:r>
      <w:r w:rsidRPr="000E0A95">
        <w:noBreakHyphen/>
        <w:t>proof business models</w:t>
      </w:r>
      <w:r>
        <w:t>, that link public funding to public value</w:t>
      </w:r>
      <w:r w:rsidRPr="00180E5D">
        <w:t>.</w:t>
      </w:r>
      <w:r w:rsidRPr="006E54CF">
        <w:t xml:space="preserve"> This means supporting farming where it contributes to integrated, multifunctional land use, while helping businesses adapt where current practices are not economically </w:t>
      </w:r>
      <w:r>
        <w:t xml:space="preserve">viable </w:t>
      </w:r>
      <w:r w:rsidRPr="006E54CF">
        <w:t>or aligned with wider catchment outcomes.</w:t>
      </w:r>
    </w:p>
    <w:p w:rsidR="000B39BA" w:rsidP="00170990">
      <w:pPr>
        <w:pStyle w:val="ListParagraph"/>
        <w:numPr>
          <w:ilvl w:val="0"/>
          <w:numId w:val="12"/>
        </w:numPr>
        <w:spacing w:before="120" w:after="120" w:line="252" w:lineRule="auto"/>
        <w:ind w:left="357" w:hanging="357"/>
        <w:contextualSpacing w:val="0"/>
      </w:pPr>
      <w:r w:rsidRPr="003465EE">
        <w:t xml:space="preserve">In a water catchment context, future farm income could include payment for </w:t>
      </w:r>
      <w:r>
        <w:t>a</w:t>
      </w:r>
      <w:r w:rsidRPr="006E54CF">
        <w:t>gri</w:t>
      </w:r>
      <w:r w:rsidRPr="006E54CF">
        <w:noBreakHyphen/>
        <w:t>environment schemes</w:t>
      </w:r>
      <w:r>
        <w:t xml:space="preserve">, </w:t>
      </w:r>
      <w:r w:rsidRPr="003465EE">
        <w:t xml:space="preserve">actions that improve raw water quality, restore peat, reduce erosion, </w:t>
      </w:r>
      <w:r>
        <w:t xml:space="preserve">mitigate flooding risks, </w:t>
      </w:r>
      <w:r w:rsidRPr="003465EE">
        <w:t>protect river corridors, manage grazing pressure, reduce wildfire risk, enhance biodiversity and support responsible public access. These outcomes should be seen as part of the future upland farm business model, not as separate or secondary activity</w:t>
      </w:r>
      <w:r>
        <w:t xml:space="preserve">. </w:t>
      </w:r>
    </w:p>
    <w:p w:rsidR="000B39BA" w:rsidP="00170990">
      <w:pPr>
        <w:pStyle w:val="ListParagraph"/>
        <w:numPr>
          <w:ilvl w:val="0"/>
          <w:numId w:val="12"/>
        </w:numPr>
        <w:spacing w:before="120" w:after="120" w:line="252" w:lineRule="auto"/>
        <w:ind w:left="357" w:hanging="357"/>
        <w:contextualSpacing w:val="0"/>
      </w:pPr>
      <w:r>
        <w:t>C</w:t>
      </w:r>
      <w:r w:rsidRPr="006E54CF">
        <w:t>lear direction, stable funding and stronger alignment across policy areas</w:t>
      </w:r>
      <w:r>
        <w:t xml:space="preserve"> from government can enable t</w:t>
      </w:r>
      <w:r w:rsidRPr="00552168">
        <w:t xml:space="preserve">he </w:t>
      </w:r>
      <w:r w:rsidRPr="00884D97">
        <w:t xml:space="preserve">full value of upland landscapes </w:t>
      </w:r>
      <w:r>
        <w:t xml:space="preserve">to be </w:t>
      </w:r>
      <w:r w:rsidRPr="00884D97">
        <w:t>realised</w:t>
      </w:r>
      <w:r w:rsidRPr="00552168">
        <w:t>.</w:t>
      </w:r>
      <w:r>
        <w:t xml:space="preserve"> </w:t>
      </w:r>
      <w:r>
        <w:t>Immediate</w:t>
      </w:r>
      <w:r>
        <w:t xml:space="preserve"> policy changes such as the removal of </w:t>
      </w:r>
      <w:r w:rsidRPr="00997403">
        <w:t>Sustainable Farming Incentive</w:t>
      </w:r>
      <w:r>
        <w:t xml:space="preserve"> (SFI) </w:t>
      </w:r>
      <w:r>
        <w:t>are</w:t>
      </w:r>
      <w:r>
        <w:t xml:space="preserve"> discouraging land managers </w:t>
      </w:r>
      <w:r>
        <w:t xml:space="preserve">from </w:t>
      </w:r>
      <w:r>
        <w:t xml:space="preserve">long term </w:t>
      </w:r>
      <w:r>
        <w:t>planning</w:t>
      </w:r>
      <w:r>
        <w:t>.</w:t>
      </w:r>
      <w:r>
        <w:t xml:space="preserve"> </w:t>
      </w:r>
      <w:r>
        <w:t>L</w:t>
      </w:r>
      <w:r w:rsidRPr="006E54CF">
        <w:t xml:space="preserve">and use change </w:t>
      </w:r>
      <w:r w:rsidRPr="006E54CF">
        <w:t>often involves upfront costs</w:t>
      </w:r>
      <w:r>
        <w:t>, but as it</w:t>
      </w:r>
      <w:r w:rsidRPr="007A2A3E">
        <w:t xml:space="preserve"> </w:t>
      </w:r>
      <w:r w:rsidRPr="006E54CF">
        <w:t>takes time</w:t>
      </w:r>
      <w:r>
        <w:t xml:space="preserve"> </w:t>
      </w:r>
      <w:r>
        <w:t xml:space="preserve">for the benefits to be realised, </w:t>
      </w:r>
      <w:r>
        <w:t xml:space="preserve">there </w:t>
      </w:r>
      <w:r>
        <w:t xml:space="preserve">is a </w:t>
      </w:r>
      <w:r w:rsidRPr="007A2A3E">
        <w:t>short</w:t>
      </w:r>
      <w:r w:rsidRPr="007A2A3E">
        <w:noBreakHyphen/>
        <w:t>term income loss</w:t>
      </w:r>
      <w:r>
        <w:t>,</w:t>
      </w:r>
      <w:r w:rsidRPr="007A2A3E">
        <w:t xml:space="preserve"> and therefore policy certainty and long</w:t>
      </w:r>
      <w:r w:rsidRPr="000E0A95">
        <w:noBreakHyphen/>
        <w:t>term visibility of funding</w:t>
      </w:r>
      <w:r>
        <w:t xml:space="preserve"> is critical</w:t>
      </w:r>
      <w:r>
        <w:t xml:space="preserve"> to en</w:t>
      </w:r>
      <w:r>
        <w:t>courage better land use manage</w:t>
      </w:r>
      <w:r>
        <w:t>ment.</w:t>
      </w:r>
    </w:p>
    <w:p w:rsidR="000B39BA" w:rsidRPr="003465EE" w:rsidP="003465EE">
      <w:pPr>
        <w:rPr>
          <w:b/>
          <w:bCs/>
        </w:rPr>
      </w:pPr>
      <w:r>
        <w:rPr>
          <w:b/>
          <w:bCs/>
        </w:rPr>
        <w:t xml:space="preserve">Question </w:t>
      </w:r>
      <w:r w:rsidRPr="003465EE">
        <w:rPr>
          <w:b/>
          <w:bCs/>
        </w:rPr>
        <w:t xml:space="preserve">3. </w:t>
      </w:r>
      <w:r w:rsidRPr="0088258C">
        <w:rPr>
          <w:b/>
          <w:bCs/>
        </w:rPr>
        <w:t>To what extent do the current Environmental Land Management (ELM) schemes and other support like the Farming in Protected Landscapes (FiPL) schemes support financially and environmentally sustainable land management in the uplands?</w:t>
      </w:r>
    </w:p>
    <w:p w:rsidR="000B39BA" w:rsidP="0088258C">
      <w:pPr>
        <w:pStyle w:val="ListParagraph"/>
        <w:numPr>
          <w:ilvl w:val="0"/>
          <w:numId w:val="12"/>
        </w:numPr>
        <w:spacing w:before="120" w:after="120" w:line="252" w:lineRule="auto"/>
        <w:ind w:left="357" w:hanging="357"/>
        <w:contextualSpacing w:val="0"/>
      </w:pPr>
      <w:r>
        <w:t>Environmental Land Management schemes are central to the future of upland landscapes, but they need to work better for upland farmers, tenants, commoners</w:t>
      </w:r>
      <w:r>
        <w:t xml:space="preserve">, </w:t>
      </w:r>
      <w:r>
        <w:t>landowners</w:t>
      </w:r>
      <w:r>
        <w:t xml:space="preserve"> and collaborative catchment partnerships.</w:t>
      </w:r>
      <w:r>
        <w:t xml:space="preserve"> Th</w:t>
      </w:r>
      <w:r>
        <w:t xml:space="preserve">ey </w:t>
      </w:r>
      <w:r>
        <w:t xml:space="preserve">have resulted in silo </w:t>
      </w:r>
      <w:r>
        <w:t>policies</w:t>
      </w:r>
      <w:r>
        <w:t xml:space="preserve"> and are focused </w:t>
      </w:r>
      <w:r>
        <w:t>o</w:t>
      </w:r>
      <w:r>
        <w:t>n individual holdings</w:t>
      </w:r>
      <w:r>
        <w:t xml:space="preserve">, </w:t>
      </w:r>
      <w:r>
        <w:t xml:space="preserve">a concern </w:t>
      </w:r>
      <w:r>
        <w:t>which has been acknowledged b</w:t>
      </w:r>
      <w:r>
        <w:t>y the House of Lords</w:t>
      </w:r>
      <w:r>
        <w:t>’</w:t>
      </w:r>
      <w:r>
        <w:t xml:space="preserve"> </w:t>
      </w:r>
      <w:r>
        <w:t>Land Use in England Committee and Defra's</w:t>
      </w:r>
      <w:r>
        <w:t xml:space="preserve"> guidance on</w:t>
      </w:r>
      <w:r>
        <w:t xml:space="preserve"> </w:t>
      </w:r>
      <w:r w:rsidRPr="008630D9">
        <w:t>Environmental Land Management schemes</w:t>
      </w:r>
      <w:r>
        <w:t>.</w:t>
      </w:r>
      <w:r>
        <w:t xml:space="preserve"> </w:t>
      </w:r>
      <w:r>
        <w:t xml:space="preserve">Upland delivery requires </w:t>
      </w:r>
      <w:r>
        <w:t>an integrated</w:t>
      </w:r>
      <w:r>
        <w:t xml:space="preserve"> lo</w:t>
      </w:r>
      <w:r>
        <w:t>ng</w:t>
      </w:r>
      <w:r>
        <w:t>-</w:t>
      </w:r>
      <w:r>
        <w:t>term and multi</w:t>
      </w:r>
      <w:r>
        <w:t>-</w:t>
      </w:r>
      <w:r>
        <w:t>holding approach</w:t>
      </w:r>
      <w:r>
        <w:t xml:space="preserve"> </w:t>
      </w:r>
      <w:r>
        <w:t>to deliver larger catchment scale outcomes</w:t>
      </w:r>
      <w:r>
        <w:rPr>
          <w:rStyle w:val="FootnoteReference"/>
        </w:rPr>
        <w:footnoteReference w:id="8"/>
      </w:r>
      <w:r>
        <w:t>.</w:t>
      </w:r>
    </w:p>
    <w:p w:rsidR="000B39BA" w:rsidP="0088258C">
      <w:pPr>
        <w:pStyle w:val="ListParagraph"/>
        <w:numPr>
          <w:ilvl w:val="0"/>
          <w:numId w:val="12"/>
        </w:numPr>
        <w:spacing w:before="120" w:after="120" w:line="252" w:lineRule="auto"/>
        <w:ind w:left="357" w:hanging="357"/>
        <w:contextualSpacing w:val="0"/>
      </w:pPr>
      <w:r w:rsidRPr="000A336D">
        <w:t>Landscape Recovery is a positive step, enabling larger</w:t>
      </w:r>
      <w:r w:rsidRPr="000A336D">
        <w:noBreakHyphen/>
        <w:t>scale, outcome</w:t>
      </w:r>
      <w:r w:rsidRPr="000A336D">
        <w:noBreakHyphen/>
        <w:t>focused delivery.</w:t>
      </w:r>
      <w:r>
        <w:t xml:space="preserve"> It also </w:t>
      </w:r>
      <w:r w:rsidRPr="003465EE">
        <w:t>provides a helpful model for blended funding, where public funding can support the development of projects that attract wider investment from water companies, carbon markets, biodiversity markets, local authorities, environmental organisations and other partners. This is particularly relevant in the uplands, where projects often deliver multiple benefits at the same time and where long-term partnership working is essential.</w:t>
      </w:r>
      <w:r>
        <w:t xml:space="preserve"> </w:t>
      </w:r>
      <w:r w:rsidRPr="000A336D">
        <w:t xml:space="preserve">However, it is </w:t>
      </w:r>
      <w:r w:rsidRPr="00E16EEF">
        <w:t>complex to develop</w:t>
      </w:r>
      <w:r w:rsidRPr="00B73C0E">
        <w:t xml:space="preserve"> and requ</w:t>
      </w:r>
      <w:r w:rsidRPr="00B73C0E">
        <w:t>ires greater long</w:t>
      </w:r>
      <w:r w:rsidRPr="00B73C0E">
        <w:noBreakHyphen/>
        <w:t xml:space="preserve">term certainty to give land managers confidence to participate. </w:t>
      </w:r>
    </w:p>
    <w:p w:rsidR="000B39BA" w:rsidP="0088258C">
      <w:pPr>
        <w:pStyle w:val="ListParagraph"/>
        <w:numPr>
          <w:ilvl w:val="0"/>
          <w:numId w:val="12"/>
        </w:numPr>
        <w:spacing w:before="120" w:after="120" w:line="252" w:lineRule="auto"/>
        <w:ind w:left="357" w:hanging="357"/>
        <w:contextualSpacing w:val="0"/>
      </w:pPr>
      <w:r w:rsidRPr="00B73C0E">
        <w:t>More locally led models, such as Farming in Protected Landscapes,</w:t>
      </w:r>
      <w:r>
        <w:t xml:space="preserve"> </w:t>
      </w:r>
      <w:r w:rsidRPr="00B73C0E">
        <w:t xml:space="preserve">demonstrate the value of </w:t>
      </w:r>
      <w:r w:rsidRPr="00CC5A91">
        <w:t>place</w:t>
      </w:r>
      <w:r w:rsidRPr="00CC5A91">
        <w:noBreakHyphen/>
        <w:t>based approaches</w:t>
      </w:r>
      <w:r w:rsidRPr="000A336D">
        <w:t xml:space="preserve"> tailored to local conditions.</w:t>
      </w:r>
      <w:r>
        <w:t xml:space="preserve"> This is consistent with the direction of the Cottam Review</w:t>
      </w:r>
      <w:r>
        <w:rPr>
          <w:rStyle w:val="FootnoteReference"/>
        </w:rPr>
        <w:footnoteReference w:id="9"/>
      </w:r>
      <w:r>
        <w:t xml:space="preserve">, which highlights the importance of place-based decision making and recognising the unique circumstances, challenges and opportunities facing different upland communities. Local decision making, informed by local priorities and local knowledge, has significant potential to improve the effectiveness of agri-environment </w:t>
      </w:r>
      <w:r>
        <w:t xml:space="preserve">schemes, </w:t>
      </w:r>
      <w:r>
        <w:t>funding and build greater local ownership of outcomes.</w:t>
      </w:r>
    </w:p>
    <w:p w:rsidR="000B39BA" w:rsidRPr="003465EE" w:rsidP="0088258C">
      <w:pPr>
        <w:pStyle w:val="ListParagraph"/>
        <w:numPr>
          <w:ilvl w:val="0"/>
          <w:numId w:val="12"/>
        </w:numPr>
        <w:spacing w:before="120" w:after="120" w:line="252" w:lineRule="auto"/>
        <w:ind w:left="357" w:hanging="357"/>
        <w:contextualSpacing w:val="0"/>
      </w:pPr>
      <w:r>
        <w:t>T</w:t>
      </w:r>
      <w:r w:rsidRPr="00C152E6">
        <w:t>o unlock the full value of upland landscapes</w:t>
      </w:r>
      <w:r>
        <w:t xml:space="preserve"> and </w:t>
      </w:r>
      <w:r>
        <w:t xml:space="preserve">develop a </w:t>
      </w:r>
      <w:r w:rsidRPr="00C152E6">
        <w:t>more integrated, outcome</w:t>
      </w:r>
      <w:r w:rsidRPr="00C152E6">
        <w:noBreakHyphen/>
        <w:t>focused approach</w:t>
      </w:r>
      <w:r>
        <w:t xml:space="preserve">, </w:t>
      </w:r>
      <w:r>
        <w:t>we recommend that f</w:t>
      </w:r>
      <w:r w:rsidRPr="003465EE">
        <w:t xml:space="preserve">uture schemes be improved in </w:t>
      </w:r>
      <w:r>
        <w:t>six</w:t>
      </w:r>
      <w:r w:rsidRPr="003465EE">
        <w:t xml:space="preserve"> </w:t>
      </w:r>
      <w:r w:rsidRPr="003465EE">
        <w:t>ways</w:t>
      </w:r>
      <w:r>
        <w:t>:</w:t>
      </w:r>
    </w:p>
    <w:p w:rsidR="000B39BA" w:rsidP="00D166AD">
      <w:pPr>
        <w:pStyle w:val="ListParagraph"/>
        <w:numPr>
          <w:ilvl w:val="0"/>
          <w:numId w:val="15"/>
        </w:numPr>
        <w:contextualSpacing w:val="0"/>
      </w:pPr>
      <w:r>
        <w:rPr>
          <w:b/>
          <w:bCs/>
        </w:rPr>
        <w:t>P</w:t>
      </w:r>
      <w:r w:rsidRPr="00A74A3B">
        <w:rPr>
          <w:b/>
          <w:bCs/>
        </w:rPr>
        <w:t xml:space="preserve">rovide longer term certainty. </w:t>
      </w:r>
      <w:r w:rsidRPr="0006375D">
        <w:t>Peatland restoration</w:t>
      </w:r>
      <w:r w:rsidRPr="003465EE">
        <w:t>, woodland creation, soil recovery and water quality improvement are not short</w:t>
      </w:r>
      <w:r>
        <w:t>-</w:t>
      </w:r>
      <w:r w:rsidRPr="003465EE">
        <w:t>term interventions. Farmers and land managers need confidence that funding will last long enough to justify changes in land management</w:t>
      </w:r>
      <w:r>
        <w:t xml:space="preserve"> practices</w:t>
      </w:r>
      <w:r w:rsidRPr="003465EE">
        <w:t>.</w:t>
      </w:r>
    </w:p>
    <w:p w:rsidR="000B39BA" w:rsidP="00D166AD">
      <w:pPr>
        <w:pStyle w:val="ListParagraph"/>
        <w:numPr>
          <w:ilvl w:val="0"/>
          <w:numId w:val="15"/>
        </w:numPr>
        <w:contextualSpacing w:val="0"/>
      </w:pPr>
      <w:r w:rsidRPr="0017618F">
        <w:rPr>
          <w:b/>
          <w:bCs/>
        </w:rPr>
        <w:t>Reflect different ownership models.</w:t>
      </w:r>
      <w:r>
        <w:t xml:space="preserve"> T</w:t>
      </w:r>
      <w:r w:rsidRPr="003465EE">
        <w:t xml:space="preserve">hey should work better for tenant farmers and </w:t>
      </w:r>
      <w:r>
        <w:t xml:space="preserve">have a clear approach to how </w:t>
      </w:r>
      <w:r>
        <w:t>funding and activity should be delivered on</w:t>
      </w:r>
      <w:r w:rsidRPr="003465EE">
        <w:t xml:space="preserve"> common</w:t>
      </w:r>
      <w:r>
        <w:t xml:space="preserve"> </w:t>
      </w:r>
      <w:r>
        <w:t xml:space="preserve">land </w:t>
      </w:r>
      <w:r>
        <w:t xml:space="preserve">to avoid lengthy negotiation and the ability of one </w:t>
      </w:r>
      <w:r>
        <w:t>commoner to hold up the overall scheme</w:t>
      </w:r>
      <w:r w:rsidRPr="003465EE">
        <w:t>. Many upland landscapes involve complex ownership, tenancy and common land arrangements. Funding models that assume simple owner occupation will fail to reach some of the most important areas</w:t>
      </w:r>
      <w:r>
        <w:t>.</w:t>
      </w:r>
    </w:p>
    <w:p w:rsidR="000B39BA" w:rsidP="00D166AD">
      <w:pPr>
        <w:pStyle w:val="ListParagraph"/>
        <w:numPr>
          <w:ilvl w:val="0"/>
          <w:numId w:val="15"/>
        </w:numPr>
        <w:contextualSpacing w:val="0"/>
      </w:pPr>
      <w:r w:rsidRPr="008E08F5">
        <w:rPr>
          <w:b/>
          <w:bCs/>
        </w:rPr>
        <w:t xml:space="preserve">Reward </w:t>
      </w:r>
      <w:r>
        <w:rPr>
          <w:b/>
          <w:bCs/>
        </w:rPr>
        <w:t xml:space="preserve">measurable </w:t>
      </w:r>
      <w:r w:rsidRPr="008E08F5">
        <w:rPr>
          <w:b/>
          <w:bCs/>
        </w:rPr>
        <w:t>outcomes</w:t>
      </w:r>
      <w:r>
        <w:rPr>
          <w:b/>
          <w:bCs/>
        </w:rPr>
        <w:t xml:space="preserve">. </w:t>
      </w:r>
      <w:r>
        <w:t xml:space="preserve">These should </w:t>
      </w:r>
      <w:r w:rsidRPr="003465EE">
        <w:t xml:space="preserve">matter to society, including improved raw water quality, </w:t>
      </w:r>
      <w:r>
        <w:t xml:space="preserve">recreation, </w:t>
      </w:r>
      <w:r w:rsidRPr="003465EE">
        <w:t>reduced sediment risk, healthier peat, lower wildfire risk, better biodiversity and more resilient catchments.</w:t>
      </w:r>
      <w:r>
        <w:t xml:space="preserve"> </w:t>
      </w:r>
      <w:r w:rsidRPr="0054660A">
        <w:t>They should have a clear and consistent approach to additionality that supports multi-benefit land use and enables land managers to realise value from the full range of benefits they deliver. It should be clear which outcomes</w:t>
      </w:r>
      <w:r>
        <w:t xml:space="preserve"> </w:t>
      </w:r>
      <w:r>
        <w:t>the</w:t>
      </w:r>
      <w:r w:rsidRPr="0054660A">
        <w:t xml:space="preserve"> public funding is paying for, and which additional benefits could be</w:t>
      </w:r>
      <w:r w:rsidRPr="0054660A">
        <w:t xml:space="preserve"> supported through other funding or market mechanisms. This would help avoid double funding or double counting, while also ensuring that carbon, biodiversity, water quality, flood resilience and public access benefits are not forced to compete with one another unnecessarily.</w:t>
      </w:r>
    </w:p>
    <w:p w:rsidR="000B39BA" w:rsidP="00D166AD">
      <w:pPr>
        <w:pStyle w:val="ListParagraph"/>
        <w:numPr>
          <w:ilvl w:val="0"/>
          <w:numId w:val="15"/>
        </w:numPr>
        <w:spacing w:after="0" w:line="300" w:lineRule="atLeast"/>
        <w:contextualSpacing w:val="0"/>
      </w:pPr>
      <w:r w:rsidRPr="002C1250">
        <w:rPr>
          <w:rFonts w:ascii="Segoe UI" w:eastAsia="Times New Roman" w:hAnsi="Segoe UI" w:cs="Segoe UI"/>
          <w:b/>
          <w:bCs/>
          <w:kern w:val="0"/>
          <w:sz w:val="21"/>
          <w:szCs w:val="21"/>
          <w:lang w:eastAsia="en-GB"/>
        </w:rPr>
        <w:t xml:space="preserve">Enable </w:t>
      </w:r>
      <w:r w:rsidRPr="00031E7A">
        <w:rPr>
          <w:rFonts w:ascii="Segoe UI" w:eastAsia="Times New Roman" w:hAnsi="Segoe UI" w:cs="Segoe UI"/>
          <w:b/>
          <w:bCs/>
          <w:kern w:val="0"/>
          <w:sz w:val="21"/>
          <w:szCs w:val="21"/>
          <w:lang w:eastAsia="en-GB"/>
        </w:rPr>
        <w:t>collaboration</w:t>
      </w:r>
      <w:r w:rsidRPr="00DC1CEE">
        <w:rPr>
          <w:rFonts w:ascii="Segoe UI" w:eastAsia="Times New Roman" w:hAnsi="Segoe UI" w:cs="Segoe UI"/>
          <w:b/>
          <w:bCs/>
          <w:kern w:val="0"/>
          <w:sz w:val="21"/>
          <w:szCs w:val="21"/>
          <w:lang w:eastAsia="en-GB"/>
        </w:rPr>
        <w:t xml:space="preserve"> across catchments. </w:t>
      </w:r>
      <w:r>
        <w:t>T</w:t>
      </w:r>
      <w:r w:rsidRPr="003465EE">
        <w:t>hey should support collaboration across multiple holdings. Catchment scale outcomes require groups of farmers and land managers to work together.</w:t>
      </w:r>
    </w:p>
    <w:p w:rsidR="000B39BA" w:rsidRPr="003465EE" w:rsidP="00D166AD">
      <w:pPr>
        <w:pStyle w:val="ListParagraph"/>
        <w:numPr>
          <w:ilvl w:val="0"/>
          <w:numId w:val="15"/>
        </w:numPr>
        <w:spacing w:after="0" w:line="300" w:lineRule="atLeast"/>
        <w:contextualSpacing w:val="0"/>
      </w:pPr>
      <w:r w:rsidRPr="002C1250">
        <w:rPr>
          <w:b/>
          <w:bCs/>
        </w:rPr>
        <w:t>Schemes should be administratively proportionate.</w:t>
      </w:r>
      <w:r w:rsidRPr="003465EE">
        <w:t xml:space="preserve"> Farmers and land managers need clear rules, trusted advice and prompt payment. Complexity and uncertainty reduce participation.</w:t>
      </w:r>
    </w:p>
    <w:p w:rsidR="000B39BA" w:rsidP="00D166AD">
      <w:pPr>
        <w:pStyle w:val="ListParagraph"/>
        <w:numPr>
          <w:ilvl w:val="0"/>
          <w:numId w:val="15"/>
        </w:numPr>
        <w:contextualSpacing w:val="0"/>
      </w:pPr>
      <w:r w:rsidRPr="00F71A83">
        <w:rPr>
          <w:rFonts w:ascii="Segoe UI" w:eastAsia="Times New Roman" w:hAnsi="Segoe UI" w:cs="Segoe UI"/>
          <w:b/>
          <w:bCs/>
          <w:kern w:val="0"/>
          <w:sz w:val="21"/>
          <w:szCs w:val="21"/>
          <w:lang w:eastAsia="en-GB"/>
        </w:rPr>
        <w:t xml:space="preserve">Support </w:t>
      </w:r>
      <w:r w:rsidRPr="00134C36">
        <w:rPr>
          <w:rFonts w:ascii="Segoe UI" w:eastAsia="Times New Roman" w:hAnsi="Segoe UI" w:cs="Segoe UI"/>
          <w:b/>
          <w:bCs/>
          <w:kern w:val="0"/>
          <w:sz w:val="21"/>
          <w:szCs w:val="21"/>
          <w:lang w:eastAsia="en-GB"/>
        </w:rPr>
        <w:t>aligned and/or blended funding models</w:t>
      </w:r>
      <w:r w:rsidRPr="00134C36">
        <w:rPr>
          <w:rFonts w:ascii="Segoe UI" w:eastAsia="Times New Roman" w:hAnsi="Segoe UI" w:cs="Segoe UI"/>
          <w:kern w:val="0"/>
          <w:sz w:val="21"/>
          <w:szCs w:val="21"/>
          <w:lang w:eastAsia="en-GB"/>
        </w:rPr>
        <w:t xml:space="preserve">. </w:t>
      </w:r>
      <w:r w:rsidRPr="003465EE">
        <w:t>Government should encourage blended funding models, where public funding, private investment and water company investment can be combined around shared outcomes. For example, a peat restoration project may deliver biodiversity, carbon, water quality, wildfire risk and flood resilience benefits. Funding and regulation should make it easier to recognise and value these combined outcomes.</w:t>
      </w:r>
    </w:p>
    <w:p w:rsidR="000B39BA" w:rsidRPr="00B13BE5" w:rsidP="00B13BE5">
      <w:pPr>
        <w:rPr>
          <w:b/>
          <w:bCs/>
        </w:rPr>
      </w:pPr>
      <w:r>
        <w:rPr>
          <w:b/>
          <w:bCs/>
        </w:rPr>
        <w:t xml:space="preserve">Question </w:t>
      </w:r>
      <w:r w:rsidRPr="003465EE">
        <w:rPr>
          <w:b/>
          <w:bCs/>
        </w:rPr>
        <w:t xml:space="preserve">4. </w:t>
      </w:r>
      <w:r w:rsidRPr="00B13BE5">
        <w:rPr>
          <w:b/>
          <w:bCs/>
        </w:rPr>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0B39BA" w:rsidRPr="00B95479" w:rsidP="00B13BE5">
      <w:pPr>
        <w:pStyle w:val="ListParagraph"/>
        <w:numPr>
          <w:ilvl w:val="0"/>
          <w:numId w:val="12"/>
        </w:numPr>
        <w:spacing w:before="120" w:after="120" w:line="252" w:lineRule="auto"/>
        <w:ind w:left="357" w:hanging="357"/>
        <w:contextualSpacing w:val="0"/>
      </w:pPr>
      <w:r w:rsidRPr="00B95479">
        <w:t>Legal protections for upland landscapes are essential and should be maintained</w:t>
      </w:r>
      <w:r>
        <w:t xml:space="preserve"> because </w:t>
      </w:r>
      <w:r>
        <w:t xml:space="preserve">they </w:t>
      </w:r>
      <w:r w:rsidRPr="003465EE">
        <w:t>help protect some of the most valued habitats, landscapes and cultural assets in the country.</w:t>
      </w:r>
      <w:r>
        <w:t xml:space="preserve"> </w:t>
      </w:r>
      <w:r w:rsidRPr="00B95479">
        <w:t xml:space="preserve">However, the current consenting and regulatory framework is often </w:t>
      </w:r>
      <w:r w:rsidRPr="00700BFA">
        <w:t>complex, fragmented and slow</w:t>
      </w:r>
      <w:r w:rsidRPr="00B95479">
        <w:t>, particularly where multiple designations and interests overlap.</w:t>
      </w:r>
    </w:p>
    <w:p w:rsidR="000B39BA" w:rsidP="00B13BE5">
      <w:pPr>
        <w:pStyle w:val="ListParagraph"/>
        <w:numPr>
          <w:ilvl w:val="0"/>
          <w:numId w:val="12"/>
        </w:numPr>
        <w:spacing w:before="120" w:after="120" w:line="252" w:lineRule="auto"/>
        <w:ind w:left="357" w:hanging="357"/>
        <w:contextualSpacing w:val="0"/>
      </w:pPr>
      <w:r w:rsidRPr="00B95479">
        <w:t xml:space="preserve">Government should improve </w:t>
      </w:r>
      <w:r w:rsidRPr="00700BFA">
        <w:t>coordination between regulators and delivery bodies</w:t>
      </w:r>
      <w:r w:rsidRPr="00B95479">
        <w:t xml:space="preserve"> to ensure that projects with clear public benefits</w:t>
      </w:r>
      <w:r>
        <w:t xml:space="preserve"> c</w:t>
      </w:r>
      <w:r w:rsidRPr="00B95479">
        <w:t>an be progressed more efficiently.</w:t>
      </w:r>
      <w:r>
        <w:t xml:space="preserve"> </w:t>
      </w:r>
      <w:r w:rsidRPr="00B95479">
        <w:t>A more</w:t>
      </w:r>
      <w:r>
        <w:t xml:space="preserve"> integrated</w:t>
      </w:r>
      <w:r w:rsidRPr="00700BFA">
        <w:t>, proportionate and outcome</w:t>
      </w:r>
      <w:r w:rsidRPr="00700BFA">
        <w:noBreakHyphen/>
        <w:t>focused approach</w:t>
      </w:r>
      <w:r w:rsidRPr="00B95479">
        <w:t xml:space="preserve"> would reduce delays, avoid conflicting advice and enable projects delivering multiple benefits</w:t>
      </w:r>
      <w:r>
        <w:t>, s</w:t>
      </w:r>
      <w:r w:rsidRPr="00B95479">
        <w:t>uch as water quality, carbon and biodiversity</w:t>
      </w:r>
      <w:r>
        <w:t xml:space="preserve">, </w:t>
      </w:r>
      <w:r w:rsidRPr="00B95479">
        <w:t>to proceed</w:t>
      </w:r>
      <w:r>
        <w:t>,</w:t>
      </w:r>
      <w:r w:rsidRPr="00B95479">
        <w:t xml:space="preserve"> while maintaining high environmental standards.</w:t>
      </w:r>
    </w:p>
    <w:p w:rsidR="000B39BA" w:rsidRPr="003465EE" w:rsidP="003465EE">
      <w:pPr>
        <w:rPr>
          <w:b/>
          <w:bCs/>
        </w:rPr>
      </w:pPr>
      <w:r>
        <w:rPr>
          <w:b/>
          <w:bCs/>
        </w:rPr>
        <w:t xml:space="preserve">Question 5. </w:t>
      </w:r>
      <w:r w:rsidRPr="003465EE">
        <w:rPr>
          <w:b/>
          <w:bCs/>
        </w:rPr>
        <w:t>What improvements are needed in land use data, mapping and modelling to support effective decision making in the uplands? What training or other skill development options are needed to support this?</w:t>
      </w:r>
    </w:p>
    <w:p w:rsidR="000B39BA" w:rsidRPr="00B60778" w:rsidP="00B13BE5">
      <w:pPr>
        <w:pStyle w:val="ListParagraph"/>
        <w:numPr>
          <w:ilvl w:val="0"/>
          <w:numId w:val="12"/>
        </w:numPr>
        <w:spacing w:before="120" w:after="120" w:line="252" w:lineRule="auto"/>
        <w:ind w:left="357" w:hanging="357"/>
        <w:contextualSpacing w:val="0"/>
      </w:pPr>
      <w:r w:rsidRPr="00B60778">
        <w:t xml:space="preserve">Effective land use decisions depend on </w:t>
      </w:r>
      <w:r w:rsidRPr="002F32B9">
        <w:t>robust, locally relevant evidence</w:t>
      </w:r>
      <w:r w:rsidRPr="00B60778">
        <w:t xml:space="preserve">. While the Land Use Framework’s national mapping provides a useful starting point, it cannot substitute for detailed </w:t>
      </w:r>
      <w:r w:rsidRPr="002F32B9">
        <w:t>catchment</w:t>
      </w:r>
      <w:r w:rsidRPr="002F32B9">
        <w:noBreakHyphen/>
        <w:t>level understanding</w:t>
      </w:r>
      <w:r w:rsidRPr="00B60778">
        <w:t>. Upland landscapes are highly variable, and decisions must reflect local conditions, including hydrology, soils, peat, farming systems, biodiversity, access pressures and water supply functions.</w:t>
      </w:r>
    </w:p>
    <w:p w:rsidR="000B39BA" w:rsidRPr="00B60778" w:rsidP="00B13BE5">
      <w:pPr>
        <w:pStyle w:val="ListParagraph"/>
        <w:numPr>
          <w:ilvl w:val="0"/>
          <w:numId w:val="12"/>
        </w:numPr>
        <w:spacing w:before="120" w:after="120" w:line="252" w:lineRule="auto"/>
        <w:ind w:left="357" w:hanging="357"/>
        <w:contextualSpacing w:val="0"/>
      </w:pPr>
      <w:r w:rsidRPr="00B60778">
        <w:t xml:space="preserve">Government should support </w:t>
      </w:r>
      <w:r w:rsidRPr="002F32B9">
        <w:t>integrated natural capital mapping</w:t>
      </w:r>
      <w:r w:rsidRPr="00B60778">
        <w:t xml:space="preserve"> at catchment scale, bringing together key datasets such as peat and soil condition, water quality risk, flood pathways, habitat status, land tenure and public access. This would enable more informed and balanced decisions, avoiding simplistic trade</w:t>
      </w:r>
      <w:r w:rsidRPr="00B60778">
        <w:noBreakHyphen/>
        <w:t>offs</w:t>
      </w:r>
      <w:r>
        <w:t>. F</w:t>
      </w:r>
      <w:r w:rsidRPr="00B60778">
        <w:t>or example, areas suitable for peat restoration may not be appropriate for woodland creation or increased access.</w:t>
      </w:r>
      <w:r>
        <w:t xml:space="preserve"> </w:t>
      </w:r>
    </w:p>
    <w:p w:rsidR="000B39BA" w:rsidRPr="00591A70" w:rsidP="00B13BE5">
      <w:pPr>
        <w:pStyle w:val="ListParagraph"/>
        <w:numPr>
          <w:ilvl w:val="0"/>
          <w:numId w:val="12"/>
        </w:numPr>
        <w:spacing w:before="120" w:after="120" w:line="252" w:lineRule="auto"/>
        <w:ind w:left="357" w:hanging="357"/>
        <w:contextualSpacing w:val="0"/>
      </w:pPr>
      <w:r w:rsidRPr="00B60778">
        <w:t xml:space="preserve">There is also a need to better understand </w:t>
      </w:r>
      <w:r w:rsidRPr="002F32B9">
        <w:t>combined benefits</w:t>
      </w:r>
      <w:r>
        <w:t xml:space="preserve"> from land use</w:t>
      </w:r>
      <w:r w:rsidRPr="00B60778">
        <w:t xml:space="preserve">. Current approaches </w:t>
      </w:r>
      <w:r>
        <w:t>tend to</w:t>
      </w:r>
      <w:r w:rsidRPr="00B60778">
        <w:t xml:space="preserve"> assess outcomes such as carbon, biodiversity, water and flood risk in isolation. Policy would be strengthened by enabling land managers to assess the </w:t>
      </w:r>
      <w:r w:rsidRPr="002F32B9">
        <w:t>total value of different land use options</w:t>
      </w:r>
      <w:r>
        <w:t xml:space="preserve">, </w:t>
      </w:r>
      <w:r w:rsidRPr="00591A70">
        <w:t>reflecting their full range of benefits.</w:t>
      </w:r>
      <w:r>
        <w:t xml:space="preserve"> In its White Paper, the government has committed to </w:t>
      </w:r>
      <w:r w:rsidRPr="00522319">
        <w:t xml:space="preserve">an enhanced, better joined-up regional water planning function. </w:t>
      </w:r>
      <w:r>
        <w:t xml:space="preserve">We strongly support this approach to </w:t>
      </w:r>
      <w:r w:rsidRPr="00522319">
        <w:t xml:space="preserve">unlock better collaboration to create coherent, </w:t>
      </w:r>
      <w:r>
        <w:t xml:space="preserve">place-based </w:t>
      </w:r>
      <w:r w:rsidRPr="00522319">
        <w:t>plans across sectors including the water industry, agriculture, transport</w:t>
      </w:r>
      <w:r>
        <w:t xml:space="preserve">. </w:t>
      </w:r>
      <w:r w:rsidRPr="00591A70">
        <w:t xml:space="preserve">This is essential to achieving wider Government priorities, including </w:t>
      </w:r>
      <w:r w:rsidRPr="00C054C3">
        <w:t>economic growth, climate resilience and public health.</w:t>
      </w:r>
    </w:p>
    <w:p w:rsidR="000B39BA" w:rsidP="00B13BE5">
      <w:pPr>
        <w:pStyle w:val="ListParagraph"/>
        <w:numPr>
          <w:ilvl w:val="0"/>
          <w:numId w:val="12"/>
        </w:numPr>
        <w:spacing w:before="120" w:after="120" w:line="252" w:lineRule="auto"/>
        <w:ind w:left="357" w:hanging="357"/>
        <w:contextualSpacing w:val="0"/>
      </w:pPr>
      <w:r w:rsidRPr="00B60778">
        <w:t xml:space="preserve">Finally, delivery depends on the right skills. Upland management increasingly requires expertise across farming, ecology, hydrology and natural capital. Government should invest in </w:t>
      </w:r>
      <w:r w:rsidRPr="00345C9C">
        <w:t>trusted, locally based advisers</w:t>
      </w:r>
      <w:r w:rsidRPr="00B60778">
        <w:t xml:space="preserve"> who can provide consistent, practical support to farmers and land managers over time.</w:t>
      </w:r>
    </w:p>
    <w:p w:rsidR="000B39BA" w:rsidRPr="003465EE" w:rsidP="003465EE">
      <w:pPr>
        <w:rPr>
          <w:b/>
          <w:bCs/>
        </w:rPr>
      </w:pPr>
      <w:r>
        <w:rPr>
          <w:b/>
          <w:bCs/>
        </w:rPr>
        <w:t xml:space="preserve">Question </w:t>
      </w:r>
      <w:r w:rsidRPr="003465EE">
        <w:rPr>
          <w:b/>
          <w:bCs/>
        </w:rPr>
        <w:t>6. How might land use and business changes in the uplands impact rural communities?</w:t>
      </w:r>
    </w:p>
    <w:p w:rsidR="000B39BA" w:rsidRPr="00C32FE6" w:rsidP="00B13BE5">
      <w:pPr>
        <w:pStyle w:val="ListParagraph"/>
        <w:numPr>
          <w:ilvl w:val="0"/>
          <w:numId w:val="12"/>
        </w:numPr>
        <w:spacing w:before="120" w:after="120" w:line="252" w:lineRule="auto"/>
        <w:ind w:left="357" w:hanging="357"/>
        <w:contextualSpacing w:val="0"/>
      </w:pPr>
      <w:r w:rsidRPr="00C32FE6">
        <w:t xml:space="preserve">Land use change can have </w:t>
      </w:r>
      <w:r w:rsidRPr="00434BEE">
        <w:t>impacts on rural communities</w:t>
      </w:r>
      <w:r w:rsidRPr="00C32FE6">
        <w:t>, affecting farm incomes, employment, local businesses, cultural identity, access and local services. If poorly managed, change can feel imposed from outside, creating resistance</w:t>
      </w:r>
      <w:r>
        <w:t xml:space="preserve">, </w:t>
      </w:r>
      <w:r w:rsidRPr="00C32FE6">
        <w:t>particularly where farming and local livelihoods are seen as undervalued.</w:t>
      </w:r>
    </w:p>
    <w:p w:rsidR="000B39BA" w:rsidRPr="00C32FE6" w:rsidP="00B13BE5">
      <w:pPr>
        <w:pStyle w:val="ListParagraph"/>
        <w:numPr>
          <w:ilvl w:val="0"/>
          <w:numId w:val="12"/>
        </w:numPr>
        <w:spacing w:before="120" w:after="120" w:line="252" w:lineRule="auto"/>
        <w:ind w:left="357" w:hanging="357"/>
        <w:contextualSpacing w:val="0"/>
      </w:pPr>
      <w:r w:rsidRPr="00C32FE6">
        <w:t xml:space="preserve">However, when done well, land use change can create </w:t>
      </w:r>
      <w:r w:rsidRPr="0081335F">
        <w:t>new economic opportunities</w:t>
      </w:r>
      <w:r w:rsidRPr="00C32FE6">
        <w:t>, including environmental restoration, sustainable tourism, visitor management and farm diversification, supporting local jobs and enterprise</w:t>
      </w:r>
      <w:r>
        <w:t>, as our Haweswater partnership with the RSPB has shown</w:t>
      </w:r>
      <w:r w:rsidRPr="00C32FE6">
        <w:t>.</w:t>
      </w:r>
    </w:p>
    <w:p w:rsidR="000B39BA" w:rsidP="00B13BE5">
      <w:pPr>
        <w:pStyle w:val="ListParagraph"/>
        <w:numPr>
          <w:ilvl w:val="0"/>
          <w:numId w:val="12"/>
        </w:numPr>
        <w:spacing w:before="120" w:after="120" w:line="252" w:lineRule="auto"/>
        <w:ind w:left="357" w:hanging="357"/>
        <w:contextualSpacing w:val="0"/>
      </w:pPr>
      <w:r w:rsidRPr="00F45DA8">
        <w:t xml:space="preserve">A key principle for effective engagement and successful delivery is that rural communities should not be left bearing the costs of land use change while the benefits are felt more widely. </w:t>
      </w:r>
      <w:r>
        <w:t>As m</w:t>
      </w:r>
      <w:r w:rsidRPr="00F45DA8">
        <w:t>any of the benefits of upland land management</w:t>
      </w:r>
      <w:r>
        <w:t xml:space="preserve"> </w:t>
      </w:r>
      <w:r w:rsidRPr="00F45DA8">
        <w:t>are enjoyed well beyond the local area</w:t>
      </w:r>
      <w:r>
        <w:t>, p</w:t>
      </w:r>
      <w:r w:rsidRPr="00F45DA8">
        <w:t>olicy should</w:t>
      </w:r>
      <w:r>
        <w:t xml:space="preserve"> </w:t>
      </w:r>
      <w:r w:rsidRPr="00F45DA8">
        <w:t>ensure that local communities, farmers and land managers share fairly in the economic and social benefits of that change.</w:t>
      </w:r>
    </w:p>
    <w:p w:rsidR="000B39BA" w:rsidRPr="003465EE" w:rsidP="003465EE">
      <w:pPr>
        <w:rPr>
          <w:b/>
          <w:bCs/>
        </w:rPr>
      </w:pPr>
      <w:r>
        <w:rPr>
          <w:b/>
          <w:bCs/>
        </w:rPr>
        <w:t xml:space="preserve">Question </w:t>
      </w:r>
      <w:r w:rsidRPr="003465EE">
        <w:rPr>
          <w:b/>
          <w:bCs/>
        </w:rPr>
        <w:t>7. How can Government policy ensure that rural communities in upland areas benefit from changes?</w:t>
      </w:r>
    </w:p>
    <w:p w:rsidR="000B39BA" w:rsidRPr="007E36B8" w:rsidP="00213AE2">
      <w:pPr>
        <w:pStyle w:val="ListParagraph"/>
        <w:numPr>
          <w:ilvl w:val="0"/>
          <w:numId w:val="12"/>
        </w:numPr>
        <w:spacing w:before="120" w:after="120" w:line="252" w:lineRule="auto"/>
        <w:ind w:left="357" w:hanging="357"/>
        <w:contextualSpacing w:val="0"/>
      </w:pPr>
      <w:r>
        <w:t>G</w:t>
      </w:r>
      <w:r w:rsidRPr="003465EE">
        <w:t xml:space="preserve">overnment policy should ensure that rural communities benefit </w:t>
      </w:r>
      <w:r>
        <w:t xml:space="preserve">directly </w:t>
      </w:r>
      <w:r w:rsidRPr="003465EE">
        <w:t>from land use change</w:t>
      </w:r>
      <w:r>
        <w:t>,</w:t>
      </w:r>
      <w:r w:rsidRPr="003465EE">
        <w:t xml:space="preserve"> by making local economic and social value a </w:t>
      </w:r>
      <w:r>
        <w:t xml:space="preserve">central </w:t>
      </w:r>
      <w:r w:rsidRPr="003465EE">
        <w:t>part of scheme design.</w:t>
      </w:r>
      <w:r>
        <w:t xml:space="preserve"> </w:t>
      </w:r>
      <w:r w:rsidRPr="007E36B8">
        <w:t>This should include:</w:t>
      </w:r>
    </w:p>
    <w:p w:rsidR="000B39BA" w:rsidP="00E33210">
      <w:pPr>
        <w:pStyle w:val="ListParagraph"/>
        <w:numPr>
          <w:ilvl w:val="0"/>
          <w:numId w:val="17"/>
        </w:numPr>
        <w:spacing w:before="120" w:after="120" w:line="252" w:lineRule="auto"/>
        <w:contextualSpacing w:val="0"/>
      </w:pPr>
      <w:r w:rsidRPr="00F45DA8">
        <w:rPr>
          <w:b/>
          <w:bCs/>
        </w:rPr>
        <w:t xml:space="preserve">Funding should support local </w:t>
      </w:r>
      <w:r w:rsidRPr="00F45DA8">
        <w:rPr>
          <w:b/>
          <w:bCs/>
        </w:rPr>
        <w:t>long</w:t>
      </w:r>
      <w:r w:rsidRPr="4A2C26E8">
        <w:rPr>
          <w:b/>
          <w:bCs/>
        </w:rPr>
        <w:t>-</w:t>
      </w:r>
      <w:r w:rsidRPr="00F45DA8">
        <w:rPr>
          <w:b/>
          <w:bCs/>
        </w:rPr>
        <w:t xml:space="preserve">term </w:t>
      </w:r>
      <w:r w:rsidRPr="00F45DA8">
        <w:rPr>
          <w:b/>
          <w:bCs/>
        </w:rPr>
        <w:t>delivery</w:t>
      </w:r>
      <w:r w:rsidRPr="003465EE">
        <w:t>. Peatland restoration, woodland management, access management, habitat improvement and water quality work should create opportunities for local contractors, farmers, advisers and rural businesses.</w:t>
      </w:r>
    </w:p>
    <w:p w:rsidR="000B39BA" w:rsidP="00E33210">
      <w:pPr>
        <w:pStyle w:val="ListParagraph"/>
        <w:numPr>
          <w:ilvl w:val="0"/>
          <w:numId w:val="17"/>
        </w:numPr>
        <w:spacing w:before="120" w:after="120" w:line="252" w:lineRule="auto"/>
        <w:contextualSpacing w:val="0"/>
      </w:pPr>
      <w:r w:rsidRPr="00F45DA8">
        <w:rPr>
          <w:b/>
          <w:bCs/>
        </w:rPr>
        <w:t>Land managers &amp; tenants</w:t>
      </w:r>
      <w:r w:rsidRPr="00F45DA8">
        <w:rPr>
          <w:b/>
          <w:bCs/>
        </w:rPr>
        <w:t xml:space="preserve"> should be treated as delivery partners, not just consultees</w:t>
      </w:r>
      <w:r w:rsidRPr="003465EE">
        <w:t>. They should be involved early in scheme design and should have access to fair payment, practical advice and long</w:t>
      </w:r>
      <w:r>
        <w:t>-</w:t>
      </w:r>
      <w:r w:rsidRPr="003465EE">
        <w:t>term agreements.</w:t>
      </w:r>
    </w:p>
    <w:p w:rsidR="000B39BA" w:rsidP="00E33210">
      <w:pPr>
        <w:pStyle w:val="ListParagraph"/>
        <w:spacing w:before="120" w:after="120" w:line="252" w:lineRule="auto"/>
        <w:contextualSpacing w:val="0"/>
      </w:pPr>
    </w:p>
    <w:p w:rsidR="000B39BA" w:rsidP="00E33210">
      <w:pPr>
        <w:pStyle w:val="ListParagraph"/>
        <w:numPr>
          <w:ilvl w:val="0"/>
          <w:numId w:val="17"/>
        </w:numPr>
        <w:spacing w:before="120" w:after="120" w:line="252" w:lineRule="auto"/>
        <w:contextualSpacing w:val="0"/>
      </w:pPr>
      <w:r w:rsidRPr="00F45DA8">
        <w:rPr>
          <w:b/>
          <w:bCs/>
        </w:rPr>
        <w:t>S</w:t>
      </w:r>
      <w:r w:rsidRPr="00F45DA8">
        <w:rPr>
          <w:b/>
          <w:bCs/>
        </w:rPr>
        <w:t>upport farm diversification</w:t>
      </w:r>
      <w:r w:rsidRPr="003465EE">
        <w:t>. This could include environmental contracting, educational access, recreation, local food, nature</w:t>
      </w:r>
      <w:r>
        <w:t>-</w:t>
      </w:r>
      <w:r w:rsidRPr="003465EE">
        <w:t>based tourism and rural enterprise.</w:t>
      </w:r>
    </w:p>
    <w:p w:rsidR="000B39BA" w:rsidP="00E33210">
      <w:pPr>
        <w:pStyle w:val="ListParagraph"/>
        <w:numPr>
          <w:ilvl w:val="0"/>
          <w:numId w:val="17"/>
        </w:numPr>
        <w:spacing w:before="120" w:after="120" w:line="252" w:lineRule="auto"/>
        <w:contextualSpacing w:val="0"/>
      </w:pPr>
      <w:r w:rsidRPr="00F45DA8">
        <w:rPr>
          <w:b/>
          <w:bCs/>
        </w:rPr>
        <w:t>P</w:t>
      </w:r>
      <w:r w:rsidRPr="00F45DA8">
        <w:rPr>
          <w:b/>
          <w:bCs/>
        </w:rPr>
        <w:t>ublic access should be properly funded and managed</w:t>
      </w:r>
      <w:r w:rsidRPr="003465EE">
        <w:t>. Upland landscapes provide major health and wellbeing benefits, but access brings costs. Investment is needed in paths, signage, toilets, car parks, ranger presence, visitor education, litter management, habitat protection and responsible access campaigns.</w:t>
      </w:r>
      <w:r>
        <w:t xml:space="preserve"> The costs, liabilities and risks associated with owning land normally result in reduced access quality and restrictions.</w:t>
      </w:r>
    </w:p>
    <w:p w:rsidR="000B39BA" w:rsidP="00E33210">
      <w:pPr>
        <w:pStyle w:val="ListParagraph"/>
        <w:numPr>
          <w:ilvl w:val="0"/>
          <w:numId w:val="17"/>
        </w:numPr>
        <w:spacing w:before="120" w:after="120" w:line="252" w:lineRule="auto"/>
        <w:contextualSpacing w:val="0"/>
      </w:pPr>
      <w:r w:rsidRPr="00F45DA8">
        <w:rPr>
          <w:b/>
          <w:bCs/>
        </w:rPr>
        <w:t>S</w:t>
      </w:r>
      <w:r w:rsidRPr="00F45DA8">
        <w:rPr>
          <w:b/>
          <w:bCs/>
        </w:rPr>
        <w:t>upport local skills.</w:t>
      </w:r>
      <w:r w:rsidRPr="003465EE">
        <w:t xml:space="preserve"> Rural communities should be able to access training in land management, peatland restoration, woodland management, ecology, hydrology, visitor management, natural capital and rural business development.</w:t>
      </w:r>
    </w:p>
    <w:p w:rsidR="000B39BA" w:rsidRPr="003465EE" w:rsidP="00E33210">
      <w:pPr>
        <w:pStyle w:val="ListParagraph"/>
        <w:numPr>
          <w:ilvl w:val="0"/>
          <w:numId w:val="17"/>
        </w:numPr>
        <w:spacing w:before="120" w:after="120" w:line="252" w:lineRule="auto"/>
        <w:contextualSpacing w:val="0"/>
      </w:pPr>
      <w:r w:rsidRPr="00F45DA8">
        <w:rPr>
          <w:b/>
          <w:bCs/>
        </w:rPr>
        <w:t>Enable locally led transition.</w:t>
      </w:r>
      <w:r>
        <w:t xml:space="preserve"> </w:t>
      </w:r>
      <w:r w:rsidRPr="003465EE">
        <w:t xml:space="preserve"> This transition should be fair and practical. It should not be about removing people from the landscape. It should be about helping farmers, tenants and land managers remain part of the future of the uplands.</w:t>
      </w:r>
    </w:p>
    <w:p w:rsidR="000B39BA" w:rsidRPr="003465EE" w:rsidP="003465EE">
      <w:pPr>
        <w:rPr>
          <w:b/>
          <w:bCs/>
        </w:rPr>
      </w:pPr>
      <w:r>
        <w:rPr>
          <w:b/>
          <w:bCs/>
        </w:rPr>
        <w:t>To support more effective land use management, we r</w:t>
      </w:r>
      <w:r w:rsidRPr="003465EE">
        <w:rPr>
          <w:b/>
          <w:bCs/>
        </w:rPr>
        <w:t>ecommend</w:t>
      </w:r>
      <w:r>
        <w:rPr>
          <w:b/>
          <w:bCs/>
        </w:rPr>
        <w:t xml:space="preserve"> that:</w:t>
      </w:r>
    </w:p>
    <w:p w:rsidR="000B39BA" w:rsidRPr="003465EE" w:rsidP="00E33210">
      <w:pPr>
        <w:pStyle w:val="ListParagraph"/>
        <w:numPr>
          <w:ilvl w:val="0"/>
          <w:numId w:val="18"/>
        </w:numPr>
        <w:spacing w:before="120" w:after="120" w:line="252" w:lineRule="auto"/>
        <w:ind w:left="714" w:hanging="357"/>
        <w:contextualSpacing w:val="0"/>
      </w:pPr>
      <w:r w:rsidRPr="003465EE">
        <w:t>Government should recognise upland drinking water catchments as essential public service infrastructure.</w:t>
      </w:r>
    </w:p>
    <w:p w:rsidR="000B39BA" w:rsidRPr="003465EE" w:rsidP="00E33210">
      <w:pPr>
        <w:pStyle w:val="ListParagraph"/>
        <w:numPr>
          <w:ilvl w:val="0"/>
          <w:numId w:val="18"/>
        </w:numPr>
        <w:spacing w:before="120" w:after="120" w:line="252" w:lineRule="auto"/>
        <w:ind w:left="714" w:hanging="357"/>
        <w:contextualSpacing w:val="0"/>
      </w:pPr>
      <w:r w:rsidRPr="003465EE">
        <w:t>Water quality</w:t>
      </w:r>
      <w:r>
        <w:t xml:space="preserve"> and</w:t>
      </w:r>
      <w:r w:rsidRPr="003465EE">
        <w:t xml:space="preserve"> water supply should be properly reflected in land use policy</w:t>
      </w:r>
      <w:r>
        <w:t xml:space="preserve"> and funding</w:t>
      </w:r>
      <w:r w:rsidRPr="003465EE">
        <w:t>.</w:t>
      </w:r>
    </w:p>
    <w:p w:rsidR="000B39BA" w:rsidRPr="003465EE" w:rsidP="00E33210">
      <w:pPr>
        <w:pStyle w:val="ListParagraph"/>
        <w:numPr>
          <w:ilvl w:val="0"/>
          <w:numId w:val="18"/>
        </w:numPr>
        <w:spacing w:before="120" w:after="120" w:line="252" w:lineRule="auto"/>
        <w:ind w:left="714" w:hanging="357"/>
        <w:contextualSpacing w:val="0"/>
      </w:pPr>
      <w:r w:rsidRPr="003465EE">
        <w:t>Government should support upland farming where it contributes to multifunctional land management, including nature recovery, climate resilience, water quality protection, flood mitigation</w:t>
      </w:r>
      <w:r w:rsidRPr="003465EE">
        <w:t>,</w:t>
      </w:r>
      <w:r w:rsidRPr="003465EE">
        <w:t xml:space="preserve"> </w:t>
      </w:r>
      <w:r w:rsidRPr="003465EE">
        <w:t xml:space="preserve">food production </w:t>
      </w:r>
      <w:r w:rsidRPr="003465EE">
        <w:t>and responsible public access.</w:t>
      </w:r>
      <w:r>
        <w:t xml:space="preserve"> </w:t>
      </w:r>
    </w:p>
    <w:p w:rsidR="000B39BA" w:rsidRPr="003465EE" w:rsidP="00E33210">
      <w:pPr>
        <w:pStyle w:val="ListParagraph"/>
        <w:numPr>
          <w:ilvl w:val="0"/>
          <w:numId w:val="18"/>
        </w:numPr>
        <w:spacing w:before="120" w:after="120" w:line="252" w:lineRule="auto"/>
        <w:ind w:left="714" w:hanging="357"/>
        <w:contextualSpacing w:val="0"/>
      </w:pPr>
      <w:r w:rsidRPr="003465EE">
        <w:t>Agricultural and environmental schemes should reward land management that delivers clear public value and provide longer term funding agreements for peatland, woodland, soil, biodiversity and water outcomes.</w:t>
      </w:r>
    </w:p>
    <w:p w:rsidR="000B39BA" w:rsidRPr="003465EE" w:rsidP="00E33210">
      <w:pPr>
        <w:pStyle w:val="ListParagraph"/>
        <w:numPr>
          <w:ilvl w:val="0"/>
          <w:numId w:val="18"/>
        </w:numPr>
        <w:spacing w:before="120" w:after="120" w:line="252" w:lineRule="auto"/>
        <w:ind w:left="714" w:hanging="357"/>
        <w:contextualSpacing w:val="0"/>
      </w:pPr>
      <w:r w:rsidRPr="003465EE">
        <w:t xml:space="preserve">Landscape Recovery </w:t>
      </w:r>
      <w:r>
        <w:t xml:space="preserve">schemes </w:t>
      </w:r>
      <w:r w:rsidRPr="003465EE">
        <w:t xml:space="preserve">should continue to be supported and expanded where </w:t>
      </w:r>
      <w:r>
        <w:t xml:space="preserve">they </w:t>
      </w:r>
      <w:r w:rsidRPr="003465EE">
        <w:t>enable larger scale, longer term and outcome focused delivery across multiple holdings and land ownerships.</w:t>
      </w:r>
    </w:p>
    <w:p w:rsidR="000B39BA" w:rsidRPr="003465EE" w:rsidP="00E33210">
      <w:pPr>
        <w:pStyle w:val="ListParagraph"/>
        <w:numPr>
          <w:ilvl w:val="0"/>
          <w:numId w:val="18"/>
        </w:numPr>
        <w:spacing w:before="120" w:after="120" w:line="252" w:lineRule="auto"/>
        <w:ind w:left="714" w:hanging="357"/>
        <w:contextualSpacing w:val="0"/>
      </w:pPr>
      <w:r w:rsidRPr="003465EE">
        <w:t>Greater support should be provided for</w:t>
      </w:r>
      <w:r>
        <w:t xml:space="preserve"> </w:t>
      </w:r>
      <w:r w:rsidRPr="003465EE">
        <w:t>collaborative delivery across multiple holdings.</w:t>
      </w:r>
    </w:p>
    <w:p w:rsidR="000B39BA" w:rsidRPr="003465EE" w:rsidP="00E33210">
      <w:pPr>
        <w:pStyle w:val="ListParagraph"/>
        <w:numPr>
          <w:ilvl w:val="0"/>
          <w:numId w:val="18"/>
        </w:numPr>
        <w:spacing w:before="120" w:after="120" w:line="252" w:lineRule="auto"/>
        <w:ind w:left="714" w:hanging="357"/>
        <w:contextualSpacing w:val="0"/>
      </w:pPr>
      <w:r w:rsidRPr="003465EE">
        <w:t>Responsible public access and visitor management should be funded, not just access creation.</w:t>
      </w:r>
    </w:p>
    <w:p w:rsidR="000B39BA" w:rsidP="00E33210">
      <w:pPr>
        <w:pStyle w:val="ListParagraph"/>
        <w:numPr>
          <w:ilvl w:val="0"/>
          <w:numId w:val="18"/>
        </w:numPr>
        <w:spacing w:before="120" w:after="120" w:line="252" w:lineRule="auto"/>
        <w:ind w:left="714" w:hanging="357"/>
        <w:contextualSpacing w:val="0"/>
      </w:pPr>
      <w:r>
        <w:t>There should be greater clarity and consistency in agri</w:t>
      </w:r>
      <w:r>
        <w:t>-</w:t>
      </w:r>
      <w:r>
        <w:t>environment schemes to build the confidence in them as a long</w:t>
      </w:r>
      <w:r>
        <w:t>-</w:t>
      </w:r>
      <w:r>
        <w:t>term revenue option</w:t>
      </w:r>
      <w:r>
        <w:t>.</w:t>
      </w:r>
    </w:p>
    <w:p w:rsidR="000B39BA" w:rsidP="00E33210">
      <w:pPr>
        <w:pStyle w:val="ListParagraph"/>
        <w:numPr>
          <w:ilvl w:val="0"/>
          <w:numId w:val="18"/>
        </w:numPr>
        <w:spacing w:before="120" w:after="120" w:line="252" w:lineRule="auto"/>
        <w:ind w:left="714" w:hanging="357"/>
        <w:contextualSpacing w:val="0"/>
      </w:pPr>
      <w:r>
        <w:t>Additionality principle in funding through both public and private sources should be clear and promote multifunctional landscapes through the ability to receive payment for all benefits that land management delivers</w:t>
      </w:r>
      <w:r>
        <w:t>.</w:t>
      </w:r>
    </w:p>
    <w:p w:rsidR="000B39BA" w:rsidP="00E33210">
      <w:pPr>
        <w:pStyle w:val="ListParagraph"/>
        <w:numPr>
          <w:ilvl w:val="0"/>
          <w:numId w:val="18"/>
        </w:numPr>
        <w:spacing w:before="120" w:after="120" w:line="252" w:lineRule="auto"/>
        <w:ind w:left="714" w:hanging="357"/>
        <w:contextualSpacing w:val="0"/>
      </w:pPr>
      <w:r>
        <w:t xml:space="preserve">Government should continue to </w:t>
      </w:r>
      <w:r>
        <w:t xml:space="preserve">support groups of major landowners such as through the National Estate for Nature. </w:t>
      </w:r>
    </w:p>
    <w:p w:rsidR="00376387" w:rsidP="00376387">
      <w:pPr>
        <w:spacing w:before="120" w:after="120" w:line="252" w:lineRule="auto"/>
      </w:pPr>
    </w:p>
    <w:p w:rsidR="00376387" w:rsidP="00376387">
      <w:pPr>
        <w:spacing w:before="120" w:after="120" w:line="252" w:lineRule="auto"/>
      </w:pPr>
    </w:p>
    <w:p w:rsidR="00376387" w:rsidRPr="00376387" w:rsidP="00376387">
      <w:pPr>
        <w:spacing w:before="120" w:after="120" w:line="252" w:lineRule="auto"/>
        <w:rPr>
          <w:i/>
          <w:iCs/>
        </w:rPr>
      </w:pPr>
      <w:r w:rsidRPr="00376387">
        <w:rPr>
          <w:i/>
          <w:iCs/>
        </w:rPr>
        <w:t>June 2026</w:t>
      </w:r>
    </w:p>
    <w:sectPr>
      <w:footerReference w:type="default" r:id="rI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39BA">
    <w:pPr>
      <w:pStyle w:val="Footer"/>
      <w:jc w:val="right"/>
    </w:pPr>
  </w:p>
  <w:p w:rsidR="000B39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B39BA" w:rsidP="00450775">
      <w:pPr>
        <w:spacing w:after="0" w:line="240" w:lineRule="auto"/>
      </w:pPr>
      <w:r>
        <w:separator/>
      </w:r>
    </w:p>
  </w:footnote>
  <w:footnote w:type="continuationSeparator" w:id="1">
    <w:p w:rsidR="000B39BA" w:rsidP="00450775">
      <w:pPr>
        <w:spacing w:after="0" w:line="240" w:lineRule="auto"/>
      </w:pPr>
      <w:r>
        <w:continuationSeparator/>
      </w:r>
    </w:p>
  </w:footnote>
  <w:footnote w:id="2">
    <w:p w:rsidR="000B39BA" w:rsidRPr="002B389D" w:rsidP="00E87A8B">
      <w:pPr>
        <w:pStyle w:val="FootnoteText"/>
        <w:rPr>
          <w:sz w:val="16"/>
          <w:szCs w:val="16"/>
        </w:rPr>
      </w:pPr>
      <w:r w:rsidRPr="002B389D">
        <w:rPr>
          <w:rStyle w:val="FootnoteReference"/>
          <w:sz w:val="16"/>
          <w:szCs w:val="16"/>
        </w:rPr>
        <w:footnoteRef/>
      </w:r>
      <w:r w:rsidRPr="002B389D">
        <w:rPr>
          <w:sz w:val="16"/>
          <w:szCs w:val="16"/>
        </w:rPr>
        <w:t xml:space="preserve"> See</w:t>
      </w:r>
      <w:r w:rsidRPr="002B389D">
        <w:rPr>
          <w:sz w:val="16"/>
          <w:szCs w:val="16"/>
        </w:rPr>
        <w:t xml:space="preserve"> -</w:t>
      </w:r>
      <w:r>
        <w:fldChar w:fldCharType="begin"/>
      </w:r>
      <w:r>
        <w:instrText xml:space="preserve"> HYPERLINK "https://assets.publishing.service.gov.uk/media/687dfcc4312ee8a5f0806be6/Independent_Water_Commission_-_Final_Report_-_21_July.pdf" </w:instrText>
      </w:r>
      <w:r>
        <w:fldChar w:fldCharType="separate"/>
      </w:r>
      <w:r w:rsidRPr="002B389D">
        <w:rPr>
          <w:rStyle w:val="Hyperlink"/>
          <w:sz w:val="16"/>
          <w:szCs w:val="16"/>
        </w:rPr>
        <w:t>https://assets.publishing.service.gov.uk/media/687dfcc4312ee8a5f0806be6/Independent_Water_Commission_-_Final_Report_-_21_July.pdf</w:t>
      </w:r>
      <w:r>
        <w:fldChar w:fldCharType="end"/>
      </w:r>
    </w:p>
  </w:footnote>
  <w:footnote w:id="3">
    <w:p w:rsidR="000B39BA" w:rsidRPr="00521354" w:rsidP="0043730E">
      <w:pPr>
        <w:pStyle w:val="FootnoteText"/>
        <w:rPr>
          <w:sz w:val="16"/>
          <w:szCs w:val="16"/>
        </w:rPr>
      </w:pPr>
      <w:r w:rsidRPr="00521354">
        <w:rPr>
          <w:rStyle w:val="FootnoteReference"/>
          <w:sz w:val="16"/>
          <w:szCs w:val="16"/>
        </w:rPr>
        <w:footnoteRef/>
      </w:r>
      <w:r w:rsidRPr="00521354">
        <w:rPr>
          <w:sz w:val="16"/>
          <w:szCs w:val="16"/>
        </w:rPr>
        <w:t xml:space="preserve"> See </w:t>
      </w:r>
      <w:r>
        <w:rPr>
          <w:sz w:val="16"/>
          <w:szCs w:val="16"/>
        </w:rPr>
        <w:t xml:space="preserve">- </w:t>
      </w:r>
      <w:r>
        <w:fldChar w:fldCharType="begin"/>
      </w:r>
      <w:r>
        <w:instrText xml:space="preserve"> HYPERLINK "https://assets.publishing.service.gov.uk/media/698dd6c67149b335a315b348/Defra_Water_White_Paper_2026__with_correction_slip_.pdf" </w:instrText>
      </w:r>
      <w:r>
        <w:fldChar w:fldCharType="separate"/>
      </w:r>
      <w:r w:rsidRPr="001B675C">
        <w:rPr>
          <w:rStyle w:val="Hyperlink"/>
          <w:sz w:val="16"/>
          <w:szCs w:val="16"/>
        </w:rPr>
        <w:t>https://assets.publishing.service.gov.uk/media/698dd6c67149b335a315b348/Defra_Water_White_Paper_2026__with_correction_slip.pdf</w:t>
      </w:r>
      <w:r>
        <w:fldChar w:fldCharType="end"/>
      </w:r>
    </w:p>
  </w:footnote>
  <w:footnote w:id="4">
    <w:p w:rsidR="000B39BA" w:rsidRPr="002B389D">
      <w:pPr>
        <w:pStyle w:val="FootnoteText"/>
        <w:rPr>
          <w:sz w:val="16"/>
          <w:szCs w:val="16"/>
        </w:rPr>
      </w:pPr>
      <w:r w:rsidRPr="002B389D">
        <w:rPr>
          <w:rStyle w:val="FootnoteReference"/>
          <w:sz w:val="16"/>
          <w:szCs w:val="16"/>
        </w:rPr>
        <w:footnoteRef/>
      </w:r>
      <w:r w:rsidRPr="002B389D">
        <w:rPr>
          <w:sz w:val="16"/>
          <w:szCs w:val="16"/>
        </w:rPr>
        <w:t xml:space="preserve"> See - </w:t>
      </w:r>
      <w:r>
        <w:fldChar w:fldCharType="begin"/>
      </w:r>
      <w:r>
        <w:instrText xml:space="preserve"> HYPERLINK "https://www.gov.uk/government/publications/uplands-review-a-report-on-upland-communities-in-england" </w:instrText>
      </w:r>
      <w:r>
        <w:fldChar w:fldCharType="separate"/>
      </w:r>
      <w:r w:rsidRPr="002B389D">
        <w:rPr>
          <w:rStyle w:val="Hyperlink"/>
          <w:sz w:val="16"/>
          <w:szCs w:val="16"/>
        </w:rPr>
        <w:t>https://www.gov.uk/government/publications/uplands-review-a-report-on-upland-communities-in-england</w:t>
      </w:r>
      <w:r>
        <w:fldChar w:fldCharType="end"/>
      </w:r>
    </w:p>
  </w:footnote>
  <w:footnote w:id="5">
    <w:p w:rsidR="000B39BA">
      <w:pPr>
        <w:pStyle w:val="FootnoteText"/>
      </w:pPr>
      <w:r w:rsidRPr="002B389D">
        <w:rPr>
          <w:rStyle w:val="FootnoteReference"/>
          <w:sz w:val="16"/>
          <w:szCs w:val="16"/>
        </w:rPr>
        <w:footnoteRef/>
      </w:r>
      <w:r w:rsidRPr="002B389D">
        <w:rPr>
          <w:sz w:val="16"/>
          <w:szCs w:val="16"/>
        </w:rPr>
        <w:t xml:space="preserve"> See - </w:t>
      </w:r>
      <w:r>
        <w:fldChar w:fldCharType="begin"/>
      </w:r>
      <w:r>
        <w:instrText xml:space="preserve"> HYPERLINK "https://www.dwi.gov.uk/what-we-do/annual-report/drinking-water-2024/drinking-water-2024-summary-of-the-chief-inspectors-report-for-drinking-water-in-england/" </w:instrText>
      </w:r>
      <w:r>
        <w:fldChar w:fldCharType="separate"/>
      </w:r>
      <w:r w:rsidRPr="002B389D">
        <w:rPr>
          <w:rStyle w:val="Hyperlink"/>
          <w:sz w:val="16"/>
          <w:szCs w:val="16"/>
        </w:rPr>
        <w:t>https://www.dwi.gov.uk/what-we-do/annual-report/drinking-water-2024/drinking-water-2024-summary-of-the-chief-inspectors-report-for-drinking-water-in-england/</w:t>
      </w:r>
      <w:r>
        <w:fldChar w:fldCharType="end"/>
      </w:r>
    </w:p>
  </w:footnote>
  <w:footnote w:id="6">
    <w:p w:rsidR="000B39BA" w:rsidRPr="008E6F92" w:rsidP="00E26D5F">
      <w:pPr>
        <w:pStyle w:val="FootnoteText"/>
        <w:rPr>
          <w:sz w:val="16"/>
          <w:szCs w:val="16"/>
        </w:rPr>
      </w:pPr>
      <w:r w:rsidRPr="008E6F92">
        <w:rPr>
          <w:rStyle w:val="FootnoteReference"/>
          <w:sz w:val="16"/>
          <w:szCs w:val="16"/>
        </w:rPr>
        <w:footnoteRef/>
      </w:r>
      <w:r w:rsidRPr="008E6F92">
        <w:rPr>
          <w:sz w:val="16"/>
          <w:szCs w:val="16"/>
        </w:rPr>
        <w:t xml:space="preserve"> See - </w:t>
      </w:r>
      <w:r>
        <w:fldChar w:fldCharType="begin"/>
      </w:r>
      <w:r>
        <w:instrText xml:space="preserve"> HYPERLINK "https://www.ons.gov.uk/economy/environmentalaccounts/bulletins/uknaturalcapitalforpeatlands/naturalcapitalaccounts" </w:instrText>
      </w:r>
      <w:r>
        <w:fldChar w:fldCharType="separate"/>
      </w:r>
      <w:r w:rsidRPr="008E6F92">
        <w:rPr>
          <w:rStyle w:val="Hyperlink"/>
          <w:sz w:val="16"/>
          <w:szCs w:val="16"/>
        </w:rPr>
        <w:t>https://www.ons.gov.uk/economy/environmentalaccounts/bulletins/uknaturalcapitalforpeatlands/naturalcapitalaccounts</w:t>
      </w:r>
      <w:r>
        <w:fldChar w:fldCharType="end"/>
      </w:r>
    </w:p>
  </w:footnote>
  <w:footnote w:id="7">
    <w:p w:rsidR="000B39BA" w:rsidRPr="008E6F92">
      <w:pPr>
        <w:pStyle w:val="FootnoteText"/>
        <w:rPr>
          <w:sz w:val="16"/>
          <w:szCs w:val="16"/>
        </w:rPr>
      </w:pPr>
      <w:r w:rsidRPr="008E6F92">
        <w:rPr>
          <w:rStyle w:val="FootnoteReference"/>
          <w:sz w:val="16"/>
          <w:szCs w:val="16"/>
        </w:rPr>
        <w:footnoteRef/>
      </w:r>
      <w:r w:rsidRPr="008E6F92">
        <w:rPr>
          <w:sz w:val="16"/>
          <w:szCs w:val="16"/>
        </w:rPr>
        <w:t xml:space="preserve"> See - </w:t>
      </w:r>
      <w:r>
        <w:fldChar w:fldCharType="begin"/>
      </w:r>
      <w:r>
        <w:instrText xml:space="preserve"> HYPERLINK "https://www.wigan.gov.uk/Docs/PDF/Resident/Crime-Emergencies/Floods/Hindley-IWMP-Strategic-Report.pdf" </w:instrText>
      </w:r>
      <w:r>
        <w:fldChar w:fldCharType="separate"/>
      </w:r>
      <w:r w:rsidRPr="008E6F92">
        <w:rPr>
          <w:rStyle w:val="Hyperlink"/>
          <w:sz w:val="16"/>
          <w:szCs w:val="16"/>
        </w:rPr>
        <w:t>https://www.wigan.gov.uk/Docs/PDF/Resident/Crime-Emergencies/Floods/Hindley-IWMP-Strategic-Report.pdf</w:t>
      </w:r>
      <w:r>
        <w:fldChar w:fldCharType="end"/>
      </w:r>
    </w:p>
    <w:p w:rsidR="000B39BA">
      <w:pPr>
        <w:pStyle w:val="FootnoteText"/>
      </w:pPr>
    </w:p>
  </w:footnote>
  <w:footnote w:id="8">
    <w:p w:rsidR="000B39BA" w:rsidRPr="008E6F92" w:rsidP="00611E94">
      <w:pPr>
        <w:pStyle w:val="FootnoteText"/>
        <w:rPr>
          <w:sz w:val="16"/>
          <w:szCs w:val="16"/>
        </w:rPr>
      </w:pPr>
      <w:r w:rsidRPr="008E6F92">
        <w:rPr>
          <w:rStyle w:val="FootnoteReference"/>
          <w:sz w:val="16"/>
          <w:szCs w:val="16"/>
        </w:rPr>
        <w:footnoteRef/>
      </w:r>
      <w:r w:rsidRPr="008E6F92">
        <w:rPr>
          <w:sz w:val="16"/>
          <w:szCs w:val="16"/>
        </w:rPr>
        <w:t xml:space="preserve"> See - </w:t>
      </w:r>
      <w:r w:rsidRPr="008E6F92">
        <w:rPr>
          <w:sz w:val="16"/>
          <w:szCs w:val="16"/>
        </w:rPr>
        <w:t>House of Lords Land Use in England Committee, Making the most out of England’s land, 2022; Defra, Landscape Recovery: round one, 2023; Defra, Environmental Land Management update: how government will pay for land-based environment and climate goods and services, 2023.</w:t>
      </w:r>
    </w:p>
  </w:footnote>
  <w:footnote w:id="9">
    <w:p w:rsidR="000B39BA">
      <w:pPr>
        <w:pStyle w:val="FootnoteText"/>
      </w:pPr>
      <w:r w:rsidRPr="008E6F92">
        <w:rPr>
          <w:rStyle w:val="FootnoteReference"/>
          <w:sz w:val="16"/>
          <w:szCs w:val="16"/>
        </w:rPr>
        <w:footnoteRef/>
      </w:r>
      <w:r w:rsidRPr="008E6F92">
        <w:rPr>
          <w:sz w:val="16"/>
          <w:szCs w:val="16"/>
        </w:rPr>
        <w:t xml:space="preserve"> See - </w:t>
      </w:r>
      <w:r>
        <w:fldChar w:fldCharType="begin"/>
      </w:r>
      <w:r>
        <w:instrText xml:space="preserve"> HYPERLINK "https://www.gov.uk/government/publications/uplands-review-a-report-on-upland-communities-in-england" </w:instrText>
      </w:r>
      <w:r>
        <w:fldChar w:fldCharType="separate"/>
      </w:r>
      <w:r w:rsidRPr="008E6F92">
        <w:rPr>
          <w:rStyle w:val="Hyperlink"/>
          <w:sz w:val="16"/>
          <w:szCs w:val="16"/>
        </w:rPr>
        <w:t>https://www.gov.uk/government/publications/uplands-review-a-report-on-upland-communities-in-england</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DB2984"/>
    <w:multiLevelType w:val="multilevel"/>
    <w:tmpl w:val="6456D232"/>
    <w:lvl w:ilvl="0">
      <w:start w:val="10"/>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
    <w:nsid w:val="2212387F"/>
    <w:multiLevelType w:val="multilevel"/>
    <w:tmpl w:val="6456D232"/>
    <w:lvl w:ilvl="0">
      <w:start w:val="10"/>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
    <w:nsid w:val="27C905B7"/>
    <w:multiLevelType w:val="multilevel"/>
    <w:tmpl w:val="C10ECAF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2E135788"/>
    <w:multiLevelType w:val="hybridMultilevel"/>
    <w:tmpl w:val="FD5A06F4"/>
    <w:lvl w:ilvl="0">
      <w:start w:val="1"/>
      <w:numFmt w:val="lowerLetter"/>
      <w:lvlText w:val="%1."/>
      <w:lvlJc w:val="left"/>
      <w:pPr>
        <w:ind w:left="720" w:hanging="360"/>
      </w:pPr>
      <w:rPr>
        <w:rFonts w:hint="default"/>
        <w:b/>
        <w:bCs/>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4363E69"/>
    <w:multiLevelType w:val="hybridMultilevel"/>
    <w:tmpl w:val="783AE32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48707D8"/>
    <w:multiLevelType w:val="multilevel"/>
    <w:tmpl w:val="592A3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F00E87"/>
    <w:multiLevelType w:val="multilevel"/>
    <w:tmpl w:val="1CAC3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6F1271A"/>
    <w:multiLevelType w:val="multilevel"/>
    <w:tmpl w:val="6EB2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983AC2"/>
    <w:multiLevelType w:val="multilevel"/>
    <w:tmpl w:val="C804F0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nsid w:val="63EB0458"/>
    <w:multiLevelType w:val="hybridMultilevel"/>
    <w:tmpl w:val="DE46B748"/>
    <w:lvl w:ilvl="0">
      <w:start w:val="1"/>
      <w:numFmt w:val="lowerLetter"/>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6092AFF"/>
    <w:multiLevelType w:val="hybridMultilevel"/>
    <w:tmpl w:val="62362F2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62A15CD"/>
    <w:multiLevelType w:val="hybridMultilevel"/>
    <w:tmpl w:val="085029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E5E5EBE"/>
    <w:multiLevelType w:val="hybridMultilevel"/>
    <w:tmpl w:val="51F8F6D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64A3CF2"/>
    <w:multiLevelType w:val="multilevel"/>
    <w:tmpl w:val="38DEEDAE"/>
    <w:lvl w:ilvl="0">
      <w:start w:val="1"/>
      <w:numFmt w:val="lowerLetter"/>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nsid w:val="79266AD8"/>
    <w:multiLevelType w:val="hybridMultilevel"/>
    <w:tmpl w:val="94F05C26"/>
    <w:lvl w:ilvl="0">
      <w:start w:val="1"/>
      <w:numFmt w:val="lowerLetter"/>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A625E3E"/>
    <w:multiLevelType w:val="multilevel"/>
    <w:tmpl w:val="835E2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E000BEB"/>
    <w:multiLevelType w:val="multilevel"/>
    <w:tmpl w:val="F6A22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F320205"/>
    <w:multiLevelType w:val="hybridMultilevel"/>
    <w:tmpl w:val="03C27C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6"/>
  </w:num>
  <w:num w:numId="2">
    <w:abstractNumId w:val="12"/>
  </w:num>
  <w:num w:numId="3">
    <w:abstractNumId w:val="17"/>
  </w:num>
  <w:num w:numId="4">
    <w:abstractNumId w:val="11"/>
  </w:num>
  <w:num w:numId="5">
    <w:abstractNumId w:val="2"/>
  </w:num>
  <w:num w:numId="6">
    <w:abstractNumId w:val="8"/>
  </w:num>
  <w:num w:numId="7">
    <w:abstractNumId w:val="5"/>
  </w:num>
  <w:num w:numId="8">
    <w:abstractNumId w:val="7"/>
  </w:num>
  <w:num w:numId="9">
    <w:abstractNumId w:val="10"/>
  </w:num>
  <w:num w:numId="10">
    <w:abstractNumId w:val="15"/>
  </w:num>
  <w:num w:numId="11">
    <w:abstractNumId w:val="13"/>
  </w:num>
  <w:num w:numId="12">
    <w:abstractNumId w:val="1"/>
  </w:num>
  <w:num w:numId="13">
    <w:abstractNumId w:val="0"/>
  </w:num>
  <w:num w:numId="14">
    <w:abstractNumId w:val="4"/>
  </w:num>
  <w:num w:numId="15">
    <w:abstractNumId w:val="14"/>
  </w:num>
  <w:num w:numId="16">
    <w:abstractNumId w:val="6"/>
  </w:num>
  <w:num w:numId="17">
    <w:abstractNumId w:val="9"/>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3465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65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65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65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65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65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65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65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65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5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65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65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65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65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65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65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65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65EE"/>
    <w:rPr>
      <w:rFonts w:eastAsiaTheme="majorEastAsia" w:cstheme="majorBidi"/>
      <w:color w:val="272727" w:themeColor="text1" w:themeTint="D8"/>
    </w:rPr>
  </w:style>
  <w:style w:type="paragraph" w:styleId="Title">
    <w:name w:val="Title"/>
    <w:basedOn w:val="Normal"/>
    <w:next w:val="Normal"/>
    <w:link w:val="TitleChar"/>
    <w:uiPriority w:val="10"/>
    <w:qFormat/>
    <w:rsid w:val="003465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5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65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65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65EE"/>
    <w:pPr>
      <w:spacing w:before="160"/>
      <w:jc w:val="center"/>
    </w:pPr>
    <w:rPr>
      <w:i/>
      <w:iCs/>
      <w:color w:val="404040" w:themeColor="text1" w:themeTint="BF"/>
    </w:rPr>
  </w:style>
  <w:style w:type="character" w:customStyle="1" w:styleId="QuoteChar">
    <w:name w:val="Quote Char"/>
    <w:basedOn w:val="DefaultParagraphFont"/>
    <w:link w:val="Quote"/>
    <w:uiPriority w:val="29"/>
    <w:rsid w:val="003465EE"/>
    <w:rPr>
      <w:i/>
      <w:iCs/>
      <w:color w:val="404040" w:themeColor="text1" w:themeTint="BF"/>
    </w:rPr>
  </w:style>
  <w:style w:type="paragraph" w:styleId="ListParagraph">
    <w:name w:val="List Paragraph"/>
    <w:basedOn w:val="Normal"/>
    <w:uiPriority w:val="34"/>
    <w:qFormat/>
    <w:rsid w:val="003465EE"/>
    <w:pPr>
      <w:ind w:left="720"/>
      <w:contextualSpacing/>
    </w:pPr>
  </w:style>
  <w:style w:type="character" w:styleId="IntenseEmphasis">
    <w:name w:val="Intense Emphasis"/>
    <w:basedOn w:val="DefaultParagraphFont"/>
    <w:uiPriority w:val="21"/>
    <w:qFormat/>
    <w:rsid w:val="003465EE"/>
    <w:rPr>
      <w:i/>
      <w:iCs/>
      <w:color w:val="0F4761" w:themeColor="accent1" w:themeShade="BF"/>
    </w:rPr>
  </w:style>
  <w:style w:type="paragraph" w:styleId="IntenseQuote">
    <w:name w:val="Intense Quote"/>
    <w:basedOn w:val="Normal"/>
    <w:next w:val="Normal"/>
    <w:link w:val="IntenseQuoteChar"/>
    <w:uiPriority w:val="30"/>
    <w:qFormat/>
    <w:rsid w:val="003465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65EE"/>
    <w:rPr>
      <w:i/>
      <w:iCs/>
      <w:color w:val="0F4761" w:themeColor="accent1" w:themeShade="BF"/>
    </w:rPr>
  </w:style>
  <w:style w:type="character" w:styleId="IntenseReference">
    <w:name w:val="Intense Reference"/>
    <w:basedOn w:val="DefaultParagraphFont"/>
    <w:uiPriority w:val="32"/>
    <w:qFormat/>
    <w:rsid w:val="003465EE"/>
    <w:rPr>
      <w:b/>
      <w:bCs/>
      <w:smallCaps/>
      <w:color w:val="0F4761" w:themeColor="accent1" w:themeShade="BF"/>
      <w:spacing w:val="5"/>
    </w:rPr>
  </w:style>
  <w:style w:type="character" w:styleId="CommentReference">
    <w:name w:val="annotation reference"/>
    <w:basedOn w:val="DefaultParagraphFont"/>
    <w:uiPriority w:val="99"/>
    <w:semiHidden/>
    <w:unhideWhenUsed/>
    <w:rsid w:val="00337717"/>
    <w:rPr>
      <w:sz w:val="16"/>
      <w:szCs w:val="16"/>
    </w:rPr>
  </w:style>
  <w:style w:type="paragraph" w:styleId="CommentText">
    <w:name w:val="annotation text"/>
    <w:basedOn w:val="Normal"/>
    <w:link w:val="CommentTextChar"/>
    <w:uiPriority w:val="99"/>
    <w:unhideWhenUsed/>
    <w:rsid w:val="00337717"/>
    <w:pPr>
      <w:spacing w:line="240" w:lineRule="auto"/>
    </w:pPr>
    <w:rPr>
      <w:sz w:val="20"/>
      <w:szCs w:val="20"/>
    </w:rPr>
  </w:style>
  <w:style w:type="character" w:customStyle="1" w:styleId="CommentTextChar">
    <w:name w:val="Comment Text Char"/>
    <w:basedOn w:val="DefaultParagraphFont"/>
    <w:link w:val="CommentText"/>
    <w:uiPriority w:val="99"/>
    <w:rsid w:val="00337717"/>
    <w:rPr>
      <w:sz w:val="20"/>
      <w:szCs w:val="20"/>
    </w:rPr>
  </w:style>
  <w:style w:type="paragraph" w:styleId="CommentSubject">
    <w:name w:val="annotation subject"/>
    <w:basedOn w:val="CommentText"/>
    <w:next w:val="CommentText"/>
    <w:link w:val="CommentSubjectChar"/>
    <w:uiPriority w:val="99"/>
    <w:semiHidden/>
    <w:unhideWhenUsed/>
    <w:rsid w:val="00337717"/>
    <w:rPr>
      <w:b/>
      <w:bCs/>
    </w:rPr>
  </w:style>
  <w:style w:type="character" w:customStyle="1" w:styleId="CommentSubjectChar">
    <w:name w:val="Comment Subject Char"/>
    <w:basedOn w:val="CommentTextChar"/>
    <w:link w:val="CommentSubject"/>
    <w:uiPriority w:val="99"/>
    <w:semiHidden/>
    <w:rsid w:val="00337717"/>
    <w:rPr>
      <w:b/>
      <w:bCs/>
      <w:sz w:val="20"/>
      <w:szCs w:val="20"/>
    </w:rPr>
  </w:style>
  <w:style w:type="paragraph" w:styleId="Revision">
    <w:name w:val="Revision"/>
    <w:hidden/>
    <w:uiPriority w:val="99"/>
    <w:semiHidden/>
    <w:rsid w:val="001B3081"/>
    <w:pPr>
      <w:spacing w:after="0" w:line="240" w:lineRule="auto"/>
    </w:pPr>
  </w:style>
  <w:style w:type="paragraph" w:styleId="FootnoteText">
    <w:name w:val="footnote text"/>
    <w:basedOn w:val="Normal"/>
    <w:link w:val="FootnoteTextChar"/>
    <w:uiPriority w:val="99"/>
    <w:unhideWhenUsed/>
    <w:rsid w:val="00450775"/>
    <w:pPr>
      <w:spacing w:after="0" w:line="240" w:lineRule="auto"/>
    </w:pPr>
    <w:rPr>
      <w:sz w:val="20"/>
      <w:szCs w:val="20"/>
    </w:rPr>
  </w:style>
  <w:style w:type="character" w:customStyle="1" w:styleId="FootnoteTextChar">
    <w:name w:val="Footnote Text Char"/>
    <w:basedOn w:val="DefaultParagraphFont"/>
    <w:link w:val="FootnoteText"/>
    <w:uiPriority w:val="99"/>
    <w:rsid w:val="00450775"/>
    <w:rPr>
      <w:sz w:val="20"/>
      <w:szCs w:val="20"/>
    </w:rPr>
  </w:style>
  <w:style w:type="character" w:styleId="FootnoteReference">
    <w:name w:val="footnote reference"/>
    <w:basedOn w:val="DefaultParagraphFont"/>
    <w:uiPriority w:val="99"/>
    <w:semiHidden/>
    <w:unhideWhenUsed/>
    <w:rsid w:val="00450775"/>
    <w:rPr>
      <w:vertAlign w:val="superscript"/>
    </w:rPr>
  </w:style>
  <w:style w:type="character" w:styleId="Hyperlink">
    <w:name w:val="Hyperlink"/>
    <w:basedOn w:val="DefaultParagraphFont"/>
    <w:uiPriority w:val="99"/>
    <w:unhideWhenUsed/>
    <w:rsid w:val="00AA4EDC"/>
    <w:rPr>
      <w:color w:val="467886" w:themeColor="hyperlink"/>
      <w:u w:val="single"/>
    </w:rPr>
  </w:style>
  <w:style w:type="character" w:customStyle="1" w:styleId="UnresolvedMention1">
    <w:name w:val="Unresolved Mention1"/>
    <w:basedOn w:val="DefaultParagraphFont"/>
    <w:uiPriority w:val="99"/>
    <w:semiHidden/>
    <w:unhideWhenUsed/>
    <w:rsid w:val="00AA4EDC"/>
    <w:rPr>
      <w:color w:val="605E5C"/>
      <w:shd w:val="clear" w:color="auto" w:fill="E1DFDD"/>
    </w:rPr>
  </w:style>
  <w:style w:type="character" w:styleId="Strong">
    <w:name w:val="Strong"/>
    <w:basedOn w:val="DefaultParagraphFont"/>
    <w:uiPriority w:val="22"/>
    <w:qFormat/>
    <w:rsid w:val="00DC1CEE"/>
    <w:rPr>
      <w:b/>
      <w:bCs/>
    </w:rPr>
  </w:style>
  <w:style w:type="paragraph" w:styleId="Header">
    <w:name w:val="header"/>
    <w:basedOn w:val="Normal"/>
    <w:link w:val="HeaderChar"/>
    <w:uiPriority w:val="99"/>
    <w:unhideWhenUsed/>
    <w:rsid w:val="00B607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0778"/>
  </w:style>
  <w:style w:type="paragraph" w:styleId="Footer">
    <w:name w:val="footer"/>
    <w:basedOn w:val="Normal"/>
    <w:link w:val="FooterChar"/>
    <w:uiPriority w:val="99"/>
    <w:unhideWhenUsed/>
    <w:rsid w:val="00B607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0778"/>
  </w:style>
  <w:style w:type="paragraph" w:styleId="NormalWeb">
    <w:name w:val="Normal (Web)"/>
    <w:basedOn w:val="Normal"/>
    <w:uiPriority w:val="99"/>
    <w:semiHidden/>
    <w:unhideWhenUsed/>
    <w:rsid w:val="00D6793F"/>
    <w:pPr>
      <w:spacing w:before="100" w:beforeAutospacing="1" w:after="100" w:afterAutospacing="1" w:line="240" w:lineRule="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cid:image001.png@01D91F65.60A27DC0"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Classification xmlns="f8813a9b-9b23-4de2-bbce-932ca899ef5c">Internal Use</Classification>
    <Detail xmlns="c064cb84-61ae-40f9-a90b-eaa4421bc087">N/A</Detail>
    <lcf76f155ced4ddcb4097134ff3c332f xmlns="c064cb84-61ae-40f9-a90b-eaa4421bc087">
      <Terms xmlns="http://schemas.microsoft.com/office/infopath/2007/PartnerControls"/>
    </lcf76f155ced4ddcb4097134ff3c332f>
    <Classificationexpirationdate xmlns="f8813a9b-9b23-4de2-bbce-932ca899ef5c" xsi:nil="true"/>
    <TaxCatchAll xmlns="f8813a9b-9b23-4de2-bbce-932ca899ef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ACCCB93A04894BA688F7F0338260FE" ma:contentTypeVersion="30" ma:contentTypeDescription="Create a new document." ma:contentTypeScope="" ma:versionID="ea882cfc8f7a2ca8cc1e6a24041ea646">
  <xsd:schema xmlns:xsd="http://www.w3.org/2001/XMLSchema" xmlns:xs="http://www.w3.org/2001/XMLSchema" xmlns:p="http://schemas.microsoft.com/office/2006/metadata/properties" xmlns:ns2="f8813a9b-9b23-4de2-bbce-932ca899ef5c" xmlns:ns3="c064cb84-61ae-40f9-a90b-eaa4421bc087" targetNamespace="http://schemas.microsoft.com/office/2006/metadata/properties" ma:root="true" ma:fieldsID="806986c56593348d5d236f5385a3a74d" ns2:_="" ns3:_="">
    <xsd:import namespace="f8813a9b-9b23-4de2-bbce-932ca899ef5c"/>
    <xsd:import namespace="c064cb84-61ae-40f9-a90b-eaa4421bc087"/>
    <xsd:element name="properties">
      <xsd:complexType>
        <xsd:sequence>
          <xsd:element name="documentManagement">
            <xsd:complexType>
              <xsd:all>
                <xsd:element ref="ns2:Classification" minOccurs="0"/>
                <xsd:element ref="ns2:Classificationexpirationdate"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Det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813a9b-9b23-4de2-bbce-932ca899ef5c" elementFormDefault="qualified">
    <xsd:import namespace="http://schemas.microsoft.com/office/2006/documentManagement/types"/>
    <xsd:import namespace="http://schemas.microsoft.com/office/infopath/2007/PartnerControls"/>
    <xsd:element name="Classification" ma:index="8" nillable="true" ma:displayName="Classification" ma:default="Internal Use" ma:format="Dropdown" ma:internalName="Classification" ma:readOnly="false">
      <xsd:simpleType>
        <xsd:restriction base="dms:Choice">
          <xsd:enumeration value="Internal Use"/>
          <xsd:enumeration value="Public"/>
          <xsd:enumeration value="UU Confidential"/>
        </xsd:restriction>
      </xsd:simpleType>
    </xsd:element>
    <xsd:element name="Classificationexpirationdate" ma:index="9" nillable="true" ma:displayName="Classification expiration date" ma:format="DateTime" ma:internalName="Classificationexpirationdate" ma:readOnly="false">
      <xsd:simpleType>
        <xsd:restriction base="dms:DateTime"/>
      </xsd:simpleType>
    </xsd:element>
    <xsd:element name="TaxCatchAll" ma:index="21" nillable="true" ma:displayName="Taxonomy Catch All Column" ma:hidden="true" ma:list="{64f94970-b015-49b4-bdf5-c4658b13a308}" ma:internalName="TaxCatchAll" ma:showField="CatchAllData" ma:web="f8813a9b-9b23-4de2-bbce-932ca899ef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64cb84-61ae-40f9-a90b-eaa4421bc0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d0a10b4-0ebb-4d07-a5b7-b5632280277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Detail" ma:index="23" nillable="true" ma:displayName="Detail" ma:default="N/A" ma:format="Dropdown" ma:internalName="Detail">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1A2A6-4677-425D-927F-D9D210B2A2C3}">
  <ds:schemaRefs>
    <ds:schemaRef ds:uri="http://schemas.microsoft.com/sharepoint/v3/contenttype/forms"/>
  </ds:schemaRefs>
</ds:datastoreItem>
</file>

<file path=customXml/itemProps2.xml><?xml version="1.0" encoding="utf-8"?>
<ds:datastoreItem xmlns:ds="http://schemas.openxmlformats.org/officeDocument/2006/customXml" ds:itemID="{97BAB7A5-6C20-4ED0-A28D-75877CC4DA54}">
  <ds:schemaRefs>
    <ds:schemaRef ds:uri="http://schemas.microsoft.com/office/2006/metadata/properties"/>
    <ds:schemaRef ds:uri="http://schemas.microsoft.com/office/infopath/2007/PartnerControls"/>
    <ds:schemaRef ds:uri="f8813a9b-9b23-4de2-bbce-932ca899ef5c"/>
    <ds:schemaRef ds:uri="c064cb84-61ae-40f9-a90b-eaa4421bc087"/>
  </ds:schemaRefs>
</ds:datastoreItem>
</file>

<file path=customXml/itemProps3.xml><?xml version="1.0" encoding="utf-8"?>
<ds:datastoreItem xmlns:ds="http://schemas.openxmlformats.org/officeDocument/2006/customXml" ds:itemID="{8B87A03F-3097-48B2-AAEA-3F550C96E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813a9b-9b23-4de2-bbce-932ca899ef5c"/>
    <ds:schemaRef ds:uri="c064cb84-61ae-40f9-a90b-eaa4421bc0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63D928-E0ED-4E4C-B371-735E2153407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LUN0011</dc:title>
  <cp:revision>0</cp:revision>
</cp:coreProperties>
</file>