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73A7A" w:rsidRPr="00B73A7A" w:rsidP="00B73A7A">
      <w:pPr>
        <w:pStyle w:val="Heading2"/>
        <w:jc w:val="center"/>
        <w:rPr>
          <w:rFonts w:ascii="Calibri" w:hAnsi="Calibri" w:cs="Calibri"/>
          <w:color w:val="auto"/>
        </w:rPr>
      </w:pPr>
      <w:r>
        <w:rPr>
          <w:rFonts w:ascii="Calibri" w:hAnsi="Calibri" w:cs="Calibri"/>
          <w:color w:val="auto"/>
        </w:rPr>
        <w:t>Written evidence submitted by Social Sciences Team, University of Salford (FPW0003)</w:t>
      </w:r>
    </w:p>
    <w:p w:rsidR="00B73A7A" w:rsidP="009337F0">
      <w:pPr>
        <w:pStyle w:val="Heading2"/>
        <w:rPr>
          <w:rFonts w:ascii="Calibri" w:hAnsi="Calibri" w:cs="Calibri"/>
        </w:rPr>
      </w:pPr>
    </w:p>
    <w:p w:rsidR="00AF2CD4" w:rsidRPr="00B73A7A" w:rsidP="009337F0">
      <w:pPr>
        <w:pStyle w:val="Heading2"/>
        <w:rPr>
          <w:rFonts w:ascii="Calibri" w:hAnsi="Calibri" w:cs="Calibri"/>
        </w:rPr>
      </w:pPr>
      <w:r w:rsidRPr="00B73A7A">
        <w:rPr>
          <w:rFonts w:ascii="Calibri" w:hAnsi="Calibri" w:cs="Calibri"/>
        </w:rPr>
        <w:t>Summary</w:t>
      </w:r>
    </w:p>
    <w:p w:rsidR="00AF2CD4" w:rsidRPr="00B73A7A">
      <w:pPr>
        <w:spacing w:after="200"/>
        <w:rPr>
          <w:rFonts w:ascii="Calibri" w:hAnsi="Calibri" w:cs="Calibri"/>
        </w:rPr>
      </w:pPr>
      <w:r w:rsidRPr="00B73A7A">
        <w:rPr>
          <w:rFonts w:ascii="Calibri" w:hAnsi="Calibri" w:cs="Calibri"/>
        </w:rPr>
        <w:t>This submission draws on published academic research. Th</w:t>
      </w:r>
      <w:r w:rsidRPr="00B73A7A">
        <w:rPr>
          <w:rFonts w:ascii="Calibri" w:hAnsi="Calibri" w:cs="Calibri"/>
        </w:rPr>
        <w:t>is</w:t>
      </w:r>
      <w:r w:rsidRPr="00B73A7A">
        <w:rPr>
          <w:rFonts w:ascii="Calibri" w:hAnsi="Calibri" w:cs="Calibri"/>
        </w:rPr>
        <w:t xml:space="preserve"> submission raises concerns about political influence over operational policing, the unintended consequences of top-down reform, the growing demand from cybercrime and mental health, and the risks that structural reform may compound existing service pressures unless accompanied by meaningful investment in training and community policing.</w:t>
      </w:r>
    </w:p>
    <w:p w:rsidR="00AF2CD4" w:rsidRPr="00B73A7A" w:rsidP="009337F0">
      <w:pPr>
        <w:pStyle w:val="Heading2"/>
        <w:rPr>
          <w:rFonts w:ascii="Calibri" w:hAnsi="Calibri" w:cs="Calibri"/>
        </w:rPr>
      </w:pPr>
      <w:r w:rsidRPr="00B73A7A">
        <w:rPr>
          <w:rFonts w:ascii="Calibri" w:hAnsi="Calibri" w:cs="Calibri"/>
        </w:rPr>
        <w:t xml:space="preserve">How </w:t>
      </w:r>
      <w:r w:rsidRPr="00B73A7A">
        <w:rPr>
          <w:rFonts w:ascii="Calibri" w:hAnsi="Calibri" w:cs="Calibri"/>
        </w:rPr>
        <w:t>s</w:t>
      </w:r>
      <w:r w:rsidRPr="00B73A7A">
        <w:rPr>
          <w:rFonts w:ascii="Calibri" w:hAnsi="Calibri" w:cs="Calibri"/>
        </w:rPr>
        <w:t xml:space="preserve">hould Police Forces in Wales </w:t>
      </w:r>
      <w:r w:rsidRPr="00B73A7A">
        <w:rPr>
          <w:rFonts w:ascii="Calibri" w:hAnsi="Calibri" w:cs="Calibri"/>
        </w:rPr>
        <w:t>b</w:t>
      </w:r>
      <w:r w:rsidRPr="00B73A7A">
        <w:rPr>
          <w:rFonts w:ascii="Calibri" w:hAnsi="Calibri" w:cs="Calibri"/>
        </w:rPr>
        <w:t xml:space="preserve">e </w:t>
      </w:r>
      <w:r w:rsidRPr="00B73A7A">
        <w:rPr>
          <w:rFonts w:ascii="Calibri" w:hAnsi="Calibri" w:cs="Calibri"/>
        </w:rPr>
        <w:t>h</w:t>
      </w:r>
      <w:r w:rsidRPr="00B73A7A">
        <w:rPr>
          <w:rFonts w:ascii="Calibri" w:hAnsi="Calibri" w:cs="Calibri"/>
        </w:rPr>
        <w:t xml:space="preserve">eld to </w:t>
      </w:r>
      <w:r w:rsidRPr="00B73A7A">
        <w:rPr>
          <w:rFonts w:ascii="Calibri" w:hAnsi="Calibri" w:cs="Calibri"/>
        </w:rPr>
        <w:t>a</w:t>
      </w:r>
      <w:r w:rsidRPr="00B73A7A">
        <w:rPr>
          <w:rFonts w:ascii="Calibri" w:hAnsi="Calibri" w:cs="Calibri"/>
        </w:rPr>
        <w:t xml:space="preserve">ccount </w:t>
      </w:r>
      <w:r w:rsidRPr="00B73A7A">
        <w:rPr>
          <w:rFonts w:ascii="Calibri" w:hAnsi="Calibri" w:cs="Calibri"/>
        </w:rPr>
        <w:t>f</w:t>
      </w:r>
      <w:r w:rsidRPr="00B73A7A">
        <w:rPr>
          <w:rFonts w:ascii="Calibri" w:hAnsi="Calibri" w:cs="Calibri"/>
        </w:rPr>
        <w:t xml:space="preserve">ollowing the </w:t>
      </w:r>
      <w:r w:rsidRPr="00B73A7A">
        <w:rPr>
          <w:rFonts w:ascii="Calibri" w:hAnsi="Calibri" w:cs="Calibri"/>
        </w:rPr>
        <w:t>a</w:t>
      </w:r>
      <w:r w:rsidRPr="00B73A7A">
        <w:rPr>
          <w:rFonts w:ascii="Calibri" w:hAnsi="Calibri" w:cs="Calibri"/>
        </w:rPr>
        <w:t>bolition of PCCs?</w:t>
      </w:r>
    </w:p>
    <w:p w:rsidR="00AF2CD4" w:rsidRPr="00B73A7A">
      <w:pPr>
        <w:pStyle w:val="ListParagraph"/>
        <w:numPr>
          <w:ilvl w:val="0"/>
          <w:numId w:val="2"/>
        </w:numPr>
        <w:spacing w:after="160"/>
        <w:rPr>
          <w:rFonts w:ascii="Calibri" w:hAnsi="Calibri" w:cs="Calibri"/>
        </w:rPr>
      </w:pPr>
      <w:r w:rsidRPr="00B73A7A">
        <w:rPr>
          <w:rFonts w:ascii="Calibri" w:hAnsi="Calibri" w:cs="Calibri"/>
        </w:rPr>
        <w:t>The proposed abolition of Police and Crime Commissioners (PCCs) raises fundamental questions about democratic accountability in policing governance. The Peelian tradition upon which British policing is founded emphasises public accountability and transparent governance as cornerstones of policing legitimacy (McCarthy, Stokes and Jackson, 2024). Any replacement model for Wales must ensure these principles are maintained and not weakened through a governance vacuum.</w:t>
      </w:r>
    </w:p>
    <w:p w:rsidR="00AF2CD4" w:rsidRPr="00B73A7A">
      <w:pPr>
        <w:pStyle w:val="ListParagraph"/>
        <w:numPr>
          <w:ilvl w:val="0"/>
          <w:numId w:val="2"/>
        </w:numPr>
        <w:spacing w:after="160"/>
        <w:rPr>
          <w:rFonts w:ascii="Calibri" w:hAnsi="Calibri" w:cs="Calibri"/>
        </w:rPr>
      </w:pPr>
      <w:r w:rsidRPr="00B73A7A">
        <w:rPr>
          <w:rFonts w:ascii="Calibri" w:hAnsi="Calibri" w:cs="Calibri"/>
        </w:rPr>
        <w:t>Research documents that the current governance landscape is already characterised by multiple external accountability mechanisms. These include HMICFRS inspections, the monthly publication of crime and stop-and-search data, and</w:t>
      </w:r>
      <w:r w:rsidRPr="00B73A7A">
        <w:rPr>
          <w:rFonts w:ascii="Calibri" w:hAnsi="Calibri" w:cs="Calibri"/>
        </w:rPr>
        <w:t xml:space="preserve"> both nationally and</w:t>
      </w:r>
      <w:r w:rsidRPr="00B73A7A">
        <w:rPr>
          <w:rFonts w:ascii="Calibri" w:hAnsi="Calibri" w:cs="Calibri"/>
        </w:rPr>
        <w:t xml:space="preserve"> </w:t>
      </w:r>
      <w:r w:rsidRPr="00B73A7A">
        <w:rPr>
          <w:rFonts w:ascii="Calibri" w:hAnsi="Calibri" w:cs="Calibri"/>
        </w:rPr>
        <w:t>locally-determined</w:t>
      </w:r>
      <w:r w:rsidRPr="00B73A7A">
        <w:rPr>
          <w:rFonts w:ascii="Calibri" w:hAnsi="Calibri" w:cs="Calibri"/>
        </w:rPr>
        <w:t xml:space="preserve"> performance metrics</w:t>
      </w:r>
      <w:r w:rsidRPr="00B73A7A">
        <w:rPr>
          <w:rFonts w:ascii="Calibri" w:hAnsi="Calibri" w:cs="Calibri"/>
        </w:rPr>
        <w:t>.</w:t>
      </w:r>
      <w:r w:rsidRPr="00B73A7A">
        <w:rPr>
          <w:rFonts w:ascii="Calibri" w:hAnsi="Calibri" w:cs="Calibri"/>
        </w:rPr>
        <w:t xml:space="preserve"> </w:t>
      </w:r>
      <w:r w:rsidRPr="00B73A7A">
        <w:rPr>
          <w:rFonts w:ascii="Calibri" w:hAnsi="Calibri" w:cs="Calibri"/>
        </w:rPr>
        <w:t>In combination this situation</w:t>
      </w:r>
      <w:r w:rsidRPr="00B73A7A">
        <w:rPr>
          <w:rFonts w:ascii="Calibri" w:hAnsi="Calibri" w:cs="Calibri"/>
        </w:rPr>
        <w:t xml:space="preserve"> create</w:t>
      </w:r>
      <w:r w:rsidRPr="00B73A7A">
        <w:rPr>
          <w:rFonts w:ascii="Calibri" w:hAnsi="Calibri" w:cs="Calibri"/>
        </w:rPr>
        <w:t>s</w:t>
      </w:r>
      <w:r w:rsidRPr="00B73A7A">
        <w:rPr>
          <w:rFonts w:ascii="Calibri" w:hAnsi="Calibri" w:cs="Calibri"/>
        </w:rPr>
        <w:t xml:space="preserve"> complex, overlapping accountability pressures on forces (Grace, 2021). Any successor model for Wales must navigate this landscape carefully, ensuring accountability mechanisms are coherent rather than duplicat</w:t>
      </w:r>
      <w:r w:rsidRPr="00B73A7A">
        <w:rPr>
          <w:rFonts w:ascii="Calibri" w:hAnsi="Calibri" w:cs="Calibri"/>
        </w:rPr>
        <w:t>ed</w:t>
      </w:r>
      <w:r w:rsidRPr="00B73A7A">
        <w:rPr>
          <w:rFonts w:ascii="Calibri" w:hAnsi="Calibri" w:cs="Calibri"/>
        </w:rPr>
        <w:t xml:space="preserve"> or contradictory</w:t>
      </w:r>
      <w:r w:rsidRPr="00B73A7A">
        <w:rPr>
          <w:rFonts w:ascii="Calibri" w:hAnsi="Calibri" w:cs="Calibri"/>
        </w:rPr>
        <w:t xml:space="preserve"> requirements</w:t>
      </w:r>
      <w:r w:rsidRPr="00B73A7A">
        <w:rPr>
          <w:rFonts w:ascii="Calibri" w:hAnsi="Calibri" w:cs="Calibri"/>
        </w:rPr>
        <w:t>.</w:t>
      </w:r>
    </w:p>
    <w:p w:rsidR="00AF2CD4" w:rsidRPr="00B73A7A">
      <w:pPr>
        <w:pStyle w:val="ListParagraph"/>
        <w:numPr>
          <w:ilvl w:val="0"/>
          <w:numId w:val="2"/>
        </w:numPr>
        <w:spacing w:after="160"/>
        <w:rPr>
          <w:rFonts w:ascii="Calibri" w:hAnsi="Calibri" w:cs="Calibri"/>
        </w:rPr>
      </w:pPr>
      <w:r w:rsidRPr="00B73A7A">
        <w:rPr>
          <w:rFonts w:ascii="Calibri" w:hAnsi="Calibri" w:cs="Calibri"/>
        </w:rPr>
        <w:t>Evidence from research on policing governance in England and Wales demonstrates that the shift towards externalised accountability structures has been substantial, with government policy reshaping the governance of policing and reforming its leadership, knowledge base, and management (Bacon, Hebenton and McCann, 2023). Any replacement body in Wales should be designed to provide genuine democratic scrutiny of strategic priorities while preserving the operational independence of chief constables, a tension th</w:t>
      </w:r>
      <w:r w:rsidRPr="00B73A7A">
        <w:rPr>
          <w:rFonts w:ascii="Calibri" w:hAnsi="Calibri" w:cs="Calibri"/>
        </w:rPr>
        <w:t xml:space="preserve">at has proved </w:t>
      </w:r>
      <w:r w:rsidRPr="00B73A7A">
        <w:rPr>
          <w:rFonts w:ascii="Calibri" w:hAnsi="Calibri" w:cs="Calibri"/>
        </w:rPr>
        <w:t xml:space="preserve">to be </w:t>
      </w:r>
      <w:r w:rsidRPr="00B73A7A">
        <w:rPr>
          <w:rFonts w:ascii="Calibri" w:hAnsi="Calibri" w:cs="Calibri"/>
        </w:rPr>
        <w:t>challenging under the PCC model.</w:t>
      </w:r>
    </w:p>
    <w:p w:rsidR="00AF2CD4" w:rsidRPr="00B73A7A">
      <w:pPr>
        <w:pStyle w:val="ListParagraph"/>
        <w:numPr>
          <w:ilvl w:val="0"/>
          <w:numId w:val="2"/>
        </w:numPr>
        <w:spacing w:after="160"/>
        <w:rPr>
          <w:rFonts w:ascii="Calibri" w:hAnsi="Calibri" w:cs="Calibri"/>
        </w:rPr>
      </w:pPr>
      <w:r w:rsidRPr="00B73A7A">
        <w:rPr>
          <w:rFonts w:ascii="Calibri" w:hAnsi="Calibri" w:cs="Calibri"/>
        </w:rPr>
        <w:t>A critical concern raised in the literature is the risk of politically motivated influence over operational policing. The Chief Inspector of Constabulary formally raised concerns in January 2024 about senior politicians attempting to influence operational matters both directly and indirectly (McCarthy, Stokes and Jackson, 2024). Any Welsh accountability model should include explicit safeguards against such interference, with clear demarcation between strategic governance and operational command.</w:t>
      </w:r>
    </w:p>
    <w:p w:rsidR="00AF2CD4" w:rsidRPr="00B73A7A">
      <w:pPr>
        <w:pStyle w:val="ListParagraph"/>
        <w:numPr>
          <w:ilvl w:val="0"/>
          <w:numId w:val="2"/>
        </w:numPr>
        <w:spacing w:after="160"/>
        <w:rPr>
          <w:rFonts w:ascii="Calibri" w:hAnsi="Calibri" w:cs="Calibri"/>
        </w:rPr>
      </w:pPr>
      <w:r w:rsidRPr="00B73A7A">
        <w:rPr>
          <w:rFonts w:ascii="Calibri" w:hAnsi="Calibri" w:cs="Calibri"/>
        </w:rPr>
        <w:t>Research on public satisfaction with policing underlines that communities</w:t>
      </w:r>
      <w:r w:rsidRPr="00B73A7A">
        <w:rPr>
          <w:rFonts w:ascii="Calibri" w:hAnsi="Calibri" w:cs="Calibri"/>
        </w:rPr>
        <w:t>,</w:t>
      </w:r>
      <w:r w:rsidRPr="00B73A7A">
        <w:rPr>
          <w:rFonts w:ascii="Calibri" w:hAnsi="Calibri" w:cs="Calibri"/>
        </w:rPr>
        <w:t xml:space="preserve"> particularly those from Black and</w:t>
      </w:r>
      <w:r w:rsidRPr="00B73A7A">
        <w:rPr>
          <w:rFonts w:ascii="Calibri" w:hAnsi="Calibri" w:cs="Calibri"/>
        </w:rPr>
        <w:t xml:space="preserve">/or minoritised </w:t>
      </w:r>
      <w:r w:rsidRPr="00B73A7A">
        <w:rPr>
          <w:rFonts w:ascii="Calibri" w:hAnsi="Calibri" w:cs="Calibri"/>
        </w:rPr>
        <w:t>ethnic</w:t>
      </w:r>
      <w:r w:rsidRPr="00B73A7A">
        <w:rPr>
          <w:rFonts w:ascii="Calibri" w:hAnsi="Calibri" w:cs="Calibri"/>
        </w:rPr>
        <w:t xml:space="preserve">  (</w:t>
      </w:r>
      <w:r w:rsidRPr="00B73A7A">
        <w:rPr>
          <w:rFonts w:ascii="Calibri" w:hAnsi="Calibri" w:cs="Calibri"/>
        </w:rPr>
        <w:t>BME) backgrounds</w:t>
      </w:r>
      <w:r w:rsidRPr="00B73A7A">
        <w:rPr>
          <w:rFonts w:ascii="Calibri" w:hAnsi="Calibri" w:cs="Calibri"/>
        </w:rPr>
        <w:t>,</w:t>
      </w:r>
      <w:r w:rsidRPr="00B73A7A">
        <w:rPr>
          <w:rFonts w:ascii="Calibri" w:hAnsi="Calibri" w:cs="Calibri"/>
        </w:rPr>
        <w:t xml:space="preserve"> place </w:t>
      </w:r>
      <w:r w:rsidRPr="00B73A7A">
        <w:rPr>
          <w:rFonts w:ascii="Calibri" w:hAnsi="Calibri" w:cs="Calibri"/>
        </w:rPr>
        <w:t>significant value on local, accessible accountability channels, meaningful consultation, and transparency in police decision-making (Barrett, Fletcher and Patel, 2014). Any accountability body for Wales should incorporate robust mechanisms for community engagement, ensuring that diverse voices</w:t>
      </w:r>
      <w:r w:rsidRPr="00B73A7A">
        <w:rPr>
          <w:rFonts w:ascii="Calibri" w:hAnsi="Calibri" w:cs="Calibri"/>
        </w:rPr>
        <w:t>,</w:t>
      </w:r>
      <w:r w:rsidRPr="00B73A7A">
        <w:rPr>
          <w:rFonts w:ascii="Calibri" w:hAnsi="Calibri" w:cs="Calibri"/>
        </w:rPr>
        <w:t xml:space="preserve"> </w:t>
      </w:r>
      <w:r w:rsidRPr="00B73A7A">
        <w:rPr>
          <w:rFonts w:ascii="Calibri" w:hAnsi="Calibri" w:cs="Calibri"/>
        </w:rPr>
        <w:t>especially</w:t>
      </w:r>
      <w:r w:rsidRPr="00B73A7A">
        <w:rPr>
          <w:rFonts w:ascii="Calibri" w:hAnsi="Calibri" w:cs="Calibri"/>
        </w:rPr>
        <w:t xml:space="preserve"> those historically underrepresented</w:t>
      </w:r>
      <w:r w:rsidRPr="00B73A7A">
        <w:rPr>
          <w:rFonts w:ascii="Calibri" w:hAnsi="Calibri" w:cs="Calibri"/>
        </w:rPr>
        <w:t xml:space="preserve">, </w:t>
      </w:r>
      <w:r w:rsidRPr="00B73A7A">
        <w:rPr>
          <w:rFonts w:ascii="Calibri" w:hAnsi="Calibri" w:cs="Calibri"/>
        </w:rPr>
        <w:t>have meaningful input into local police governance.</w:t>
      </w:r>
    </w:p>
    <w:p w:rsidR="00AF2CD4" w:rsidRPr="00B73A7A">
      <w:pPr>
        <w:pStyle w:val="ListParagraph"/>
        <w:numPr>
          <w:ilvl w:val="0"/>
          <w:numId w:val="2"/>
        </w:numPr>
        <w:spacing w:after="160"/>
        <w:rPr>
          <w:rFonts w:ascii="Calibri" w:hAnsi="Calibri" w:cs="Calibri"/>
        </w:rPr>
      </w:pPr>
      <w:r w:rsidRPr="00B73A7A">
        <w:rPr>
          <w:rFonts w:ascii="Calibri" w:hAnsi="Calibri" w:cs="Calibri"/>
        </w:rPr>
        <w:t xml:space="preserve">Research </w:t>
      </w:r>
      <w:r w:rsidRPr="00B73A7A">
        <w:rPr>
          <w:rFonts w:ascii="Calibri" w:hAnsi="Calibri" w:cs="Calibri"/>
        </w:rPr>
        <w:t>(</w:t>
      </w:r>
      <w:r w:rsidRPr="00B73A7A">
        <w:rPr>
          <w:rFonts w:ascii="Calibri" w:hAnsi="Calibri" w:cs="Calibri"/>
        </w:rPr>
        <w:t>conducted in Greater Manchester</w:t>
      </w:r>
      <w:r w:rsidRPr="00B73A7A">
        <w:rPr>
          <w:rFonts w:ascii="Calibri" w:hAnsi="Calibri" w:cs="Calibri"/>
        </w:rPr>
        <w:t>)</w:t>
      </w:r>
      <w:r w:rsidRPr="00B73A7A">
        <w:rPr>
          <w:rFonts w:ascii="Calibri" w:hAnsi="Calibri" w:cs="Calibri"/>
        </w:rPr>
        <w:t xml:space="preserve"> demonstrates the value of consistent, localised relationships between police and community partners, and the damage caused to public trust when senior leadership changes </w:t>
      </w:r>
      <w:r w:rsidRPr="00B73A7A">
        <w:rPr>
          <w:rFonts w:ascii="Calibri" w:hAnsi="Calibri" w:cs="Calibri"/>
        </w:rPr>
        <w:t xml:space="preserve">produce </w:t>
      </w:r>
      <w:r w:rsidRPr="00B73A7A">
        <w:rPr>
          <w:rFonts w:ascii="Calibri" w:hAnsi="Calibri" w:cs="Calibri"/>
        </w:rPr>
        <w:t>disrupt</w:t>
      </w:r>
      <w:r w:rsidRPr="00B73A7A">
        <w:rPr>
          <w:rFonts w:ascii="Calibri" w:hAnsi="Calibri" w:cs="Calibri"/>
        </w:rPr>
        <w:t>ion in</w:t>
      </w:r>
      <w:r w:rsidRPr="00B73A7A">
        <w:rPr>
          <w:rFonts w:ascii="Calibri" w:hAnsi="Calibri" w:cs="Calibri"/>
        </w:rPr>
        <w:t xml:space="preserve"> long-term community policing strategies (Signori et al., 2023). A Welsh accountability model should prioritise long-term strategic stability, guarding against the disruption that frequent leadership changes or an accountability body with insufficient institutional memory can cause to c</w:t>
      </w:r>
      <w:r w:rsidRPr="00B73A7A">
        <w:rPr>
          <w:rFonts w:ascii="Calibri" w:hAnsi="Calibri" w:cs="Calibri"/>
        </w:rPr>
        <w:t>ommunity relationships.</w:t>
      </w:r>
    </w:p>
    <w:p w:rsidR="00AF2CD4" w:rsidRPr="00B73A7A" w:rsidP="009337F0">
      <w:pPr>
        <w:pStyle w:val="Heading2"/>
        <w:rPr>
          <w:rFonts w:ascii="Calibri" w:hAnsi="Calibri" w:cs="Calibri"/>
        </w:rPr>
      </w:pPr>
      <w:r w:rsidRPr="00B73A7A">
        <w:rPr>
          <w:rFonts w:ascii="Calibri" w:hAnsi="Calibri" w:cs="Calibri"/>
        </w:rPr>
        <w:t xml:space="preserve">What </w:t>
      </w:r>
      <w:r w:rsidRPr="00B73A7A">
        <w:rPr>
          <w:rFonts w:ascii="Calibri" w:hAnsi="Calibri" w:cs="Calibri"/>
        </w:rPr>
        <w:t>l</w:t>
      </w:r>
      <w:r w:rsidRPr="00B73A7A">
        <w:rPr>
          <w:rFonts w:ascii="Calibri" w:hAnsi="Calibri" w:cs="Calibri"/>
        </w:rPr>
        <w:t xml:space="preserve">essons </w:t>
      </w:r>
      <w:r w:rsidRPr="00B73A7A">
        <w:rPr>
          <w:rFonts w:ascii="Calibri" w:hAnsi="Calibri" w:cs="Calibri"/>
        </w:rPr>
        <w:t>s</w:t>
      </w:r>
      <w:r w:rsidRPr="00B73A7A">
        <w:rPr>
          <w:rFonts w:ascii="Calibri" w:hAnsi="Calibri" w:cs="Calibri"/>
        </w:rPr>
        <w:t xml:space="preserve">hould </w:t>
      </w:r>
      <w:r w:rsidRPr="00B73A7A">
        <w:rPr>
          <w:rFonts w:ascii="Calibri" w:hAnsi="Calibri" w:cs="Calibri"/>
        </w:rPr>
        <w:t>b</w:t>
      </w:r>
      <w:r w:rsidRPr="00B73A7A">
        <w:rPr>
          <w:rFonts w:ascii="Calibri" w:hAnsi="Calibri" w:cs="Calibri"/>
        </w:rPr>
        <w:t xml:space="preserve">e </w:t>
      </w:r>
      <w:r w:rsidRPr="00B73A7A">
        <w:rPr>
          <w:rFonts w:ascii="Calibri" w:hAnsi="Calibri" w:cs="Calibri"/>
        </w:rPr>
        <w:t>l</w:t>
      </w:r>
      <w:r w:rsidRPr="00B73A7A">
        <w:rPr>
          <w:rFonts w:ascii="Calibri" w:hAnsi="Calibri" w:cs="Calibri"/>
        </w:rPr>
        <w:t>earned from the PCC Model?</w:t>
      </w:r>
    </w:p>
    <w:p w:rsidR="00AF2CD4" w:rsidRPr="00B73A7A">
      <w:pPr>
        <w:pStyle w:val="ListParagraph"/>
        <w:numPr>
          <w:ilvl w:val="0"/>
          <w:numId w:val="2"/>
        </w:numPr>
        <w:spacing w:after="160"/>
        <w:rPr>
          <w:rFonts w:ascii="Calibri" w:hAnsi="Calibri" w:cs="Calibri"/>
        </w:rPr>
      </w:pPr>
      <w:r w:rsidRPr="00B73A7A">
        <w:rPr>
          <w:rFonts w:ascii="Calibri" w:hAnsi="Calibri" w:cs="Calibri"/>
        </w:rPr>
        <w:t xml:space="preserve">The PCC model has generated important lessons about the relationship between democratic governance and operational policing. Evidence shows that where PCCs with political affiliations have championed </w:t>
      </w:r>
      <w:r w:rsidRPr="00B73A7A">
        <w:rPr>
          <w:rFonts w:ascii="Calibri" w:hAnsi="Calibri" w:cs="Calibri"/>
        </w:rPr>
        <w:t>certain approaches</w:t>
      </w:r>
      <w:r w:rsidRPr="00B73A7A">
        <w:rPr>
          <w:rFonts w:ascii="Calibri" w:hAnsi="Calibri" w:cs="Calibri"/>
        </w:rPr>
        <w:t xml:space="preserve"> to recruitment</w:t>
      </w:r>
      <w:r w:rsidRPr="00B73A7A">
        <w:rPr>
          <w:rFonts w:ascii="Calibri" w:hAnsi="Calibri" w:cs="Calibri"/>
        </w:rPr>
        <w:t>, for example</w:t>
      </w:r>
      <w:r w:rsidRPr="00B73A7A">
        <w:rPr>
          <w:rFonts w:ascii="Calibri" w:hAnsi="Calibri" w:cs="Calibri"/>
        </w:rPr>
        <w:t xml:space="preserve"> prioritising military veterans as a response to a perceived policing crisis</w:t>
      </w:r>
      <w:r w:rsidRPr="00B73A7A">
        <w:rPr>
          <w:rFonts w:ascii="Calibri" w:hAnsi="Calibri" w:cs="Calibri"/>
        </w:rPr>
        <w:t>,</w:t>
      </w:r>
      <w:r w:rsidRPr="00B73A7A">
        <w:rPr>
          <w:rFonts w:ascii="Calibri" w:hAnsi="Calibri" w:cs="Calibri"/>
        </w:rPr>
        <w:t xml:space="preserve"> this can amount to politically motivated rather than evidence-based policy (McCarthy, Stokes and Jackson, 2024). This creates a risk that the decisions of senior police officers, who are accountable to politically appointed overseers, may be unduly influenced by </w:t>
      </w:r>
      <w:r w:rsidRPr="00B73A7A">
        <w:rPr>
          <w:rFonts w:ascii="Calibri" w:hAnsi="Calibri" w:cs="Calibri"/>
        </w:rPr>
        <w:t xml:space="preserve">short-term </w:t>
      </w:r>
      <w:r w:rsidRPr="00B73A7A">
        <w:rPr>
          <w:rFonts w:ascii="Calibri" w:hAnsi="Calibri" w:cs="Calibri"/>
        </w:rPr>
        <w:t>political soundbites rather than operational evidence.</w:t>
      </w:r>
    </w:p>
    <w:p w:rsidR="00AF2CD4" w:rsidRPr="00B73A7A">
      <w:pPr>
        <w:pStyle w:val="ListParagraph"/>
        <w:numPr>
          <w:ilvl w:val="0"/>
          <w:numId w:val="2"/>
        </w:numPr>
        <w:spacing w:after="160"/>
        <w:rPr>
          <w:rFonts w:ascii="Calibri" w:hAnsi="Calibri" w:cs="Calibri"/>
        </w:rPr>
      </w:pPr>
      <w:r w:rsidRPr="00B73A7A">
        <w:rPr>
          <w:rFonts w:ascii="Calibri" w:hAnsi="Calibri" w:cs="Calibri"/>
        </w:rPr>
        <w:t xml:space="preserve">A key structural concern is the extent to which the PCC model has contributed to a performance measurement culture that can distort policing priorities. Research analysing the use of out-of-court disposals from 2000 to 2020 demonstrates </w:t>
      </w:r>
      <w:r w:rsidRPr="00B73A7A">
        <w:rPr>
          <w:rFonts w:ascii="Calibri" w:hAnsi="Calibri" w:cs="Calibri"/>
        </w:rPr>
        <w:t xml:space="preserve">that </w:t>
      </w:r>
      <w:r w:rsidRPr="00B73A7A">
        <w:rPr>
          <w:rFonts w:ascii="Calibri" w:hAnsi="Calibri" w:cs="Calibri"/>
        </w:rPr>
        <w:t xml:space="preserve"> </w:t>
      </w:r>
      <w:r w:rsidRPr="00B73A7A">
        <w:rPr>
          <w:rFonts w:ascii="Calibri" w:hAnsi="Calibri" w:cs="Calibri"/>
        </w:rPr>
        <w:t>internal</w:t>
      </w:r>
      <w:r w:rsidRPr="00B73A7A">
        <w:rPr>
          <w:rFonts w:ascii="Calibri" w:hAnsi="Calibri" w:cs="Calibri"/>
        </w:rPr>
        <w:t xml:space="preserve"> and external political pressure to </w:t>
      </w:r>
      <w:r w:rsidRPr="00B73A7A">
        <w:rPr>
          <w:rFonts w:ascii="Calibri" w:hAnsi="Calibri" w:cs="Calibri"/>
        </w:rPr>
        <w:t>m</w:t>
      </w:r>
      <w:r w:rsidRPr="00B73A7A">
        <w:rPr>
          <w:rFonts w:ascii="Calibri" w:hAnsi="Calibri" w:cs="Calibri"/>
        </w:rPr>
        <w:t xml:space="preserve">eet </w:t>
      </w:r>
      <w:r w:rsidRPr="00B73A7A">
        <w:rPr>
          <w:rFonts w:ascii="Calibri" w:hAnsi="Calibri" w:cs="Calibri"/>
        </w:rPr>
        <w:t>specific</w:t>
      </w:r>
      <w:r w:rsidRPr="00B73A7A">
        <w:rPr>
          <w:rFonts w:ascii="Calibri" w:hAnsi="Calibri" w:cs="Calibri"/>
        </w:rPr>
        <w:t>/</w:t>
      </w:r>
      <w:r w:rsidRPr="00B73A7A">
        <w:rPr>
          <w:rFonts w:ascii="Calibri" w:hAnsi="Calibri" w:cs="Calibri"/>
        </w:rPr>
        <w:t>numerical</w:t>
      </w:r>
      <w:r w:rsidRPr="00B73A7A">
        <w:rPr>
          <w:rFonts w:ascii="Calibri" w:hAnsi="Calibri" w:cs="Calibri"/>
        </w:rPr>
        <w:t xml:space="preserve"> </w:t>
      </w:r>
      <w:r w:rsidRPr="00B73A7A">
        <w:rPr>
          <w:rFonts w:ascii="Calibri" w:hAnsi="Calibri" w:cs="Calibri"/>
        </w:rPr>
        <w:t>performance m</w:t>
      </w:r>
      <w:r w:rsidRPr="00B73A7A">
        <w:rPr>
          <w:rFonts w:ascii="Calibri" w:hAnsi="Calibri" w:cs="Calibri"/>
        </w:rPr>
        <w:t>easures</w:t>
      </w:r>
      <w:r w:rsidRPr="00B73A7A">
        <w:rPr>
          <w:rFonts w:ascii="Calibri" w:hAnsi="Calibri" w:cs="Calibri"/>
        </w:rPr>
        <w:t xml:space="preserve"> </w:t>
      </w:r>
      <w:r w:rsidRPr="00B73A7A">
        <w:rPr>
          <w:rFonts w:ascii="Calibri" w:hAnsi="Calibri" w:cs="Calibri"/>
        </w:rPr>
        <w:t xml:space="preserve">can </w:t>
      </w:r>
      <w:r w:rsidRPr="00B73A7A">
        <w:rPr>
          <w:rFonts w:ascii="Calibri" w:hAnsi="Calibri" w:cs="Calibri"/>
        </w:rPr>
        <w:t xml:space="preserve"> invite</w:t>
      </w:r>
      <w:r w:rsidRPr="00B73A7A">
        <w:rPr>
          <w:rFonts w:ascii="Calibri" w:hAnsi="Calibri" w:cs="Calibri"/>
        </w:rPr>
        <w:t xml:space="preserve"> gaming behaviours </w:t>
      </w:r>
      <w:r w:rsidRPr="00B73A7A">
        <w:rPr>
          <w:rFonts w:ascii="Calibri" w:hAnsi="Calibri" w:cs="Calibri"/>
        </w:rPr>
        <w:t xml:space="preserve">(that is, </w:t>
      </w:r>
      <w:r w:rsidRPr="00B73A7A">
        <w:rPr>
          <w:rFonts w:ascii="Calibri" w:hAnsi="Calibri" w:cs="Calibri"/>
        </w:rPr>
        <w:t>where officers meet the letter rather than the spirit of performance targets</w:t>
      </w:r>
      <w:r w:rsidRPr="00B73A7A">
        <w:rPr>
          <w:rFonts w:ascii="Calibri" w:hAnsi="Calibri" w:cs="Calibri"/>
        </w:rPr>
        <w:t xml:space="preserve">) </w:t>
      </w:r>
      <w:r w:rsidRPr="00B73A7A">
        <w:rPr>
          <w:rFonts w:ascii="Calibri" w:hAnsi="Calibri" w:cs="Calibri"/>
        </w:rPr>
        <w:t>with potentially perverse consequences for the public (Grace, 2021).</w:t>
      </w:r>
    </w:p>
    <w:p w:rsidR="00AF2CD4" w:rsidRPr="00B73A7A">
      <w:pPr>
        <w:pStyle w:val="ListParagraph"/>
        <w:numPr>
          <w:ilvl w:val="0"/>
          <w:numId w:val="2"/>
        </w:numPr>
        <w:spacing w:after="160"/>
        <w:rPr>
          <w:rFonts w:ascii="Calibri" w:hAnsi="Calibri" w:cs="Calibri"/>
        </w:rPr>
      </w:pPr>
      <w:r w:rsidRPr="00B73A7A">
        <w:rPr>
          <w:rFonts w:ascii="Calibri" w:hAnsi="Calibri" w:cs="Calibri"/>
        </w:rPr>
        <w:t>It is recommended that Wales retain the principle of a democratic mandate for police oversight</w:t>
      </w:r>
      <w:r w:rsidRPr="00B73A7A">
        <w:rPr>
          <w:rFonts w:ascii="Calibri" w:hAnsi="Calibri" w:cs="Calibri"/>
        </w:rPr>
        <w:t xml:space="preserve">, </w:t>
      </w:r>
      <w:r w:rsidRPr="00B73A7A">
        <w:rPr>
          <w:rFonts w:ascii="Calibri" w:hAnsi="Calibri" w:cs="Calibri"/>
        </w:rPr>
        <w:t xml:space="preserve">a feature of the PCC model </w:t>
      </w:r>
      <w:r w:rsidRPr="00B73A7A">
        <w:rPr>
          <w:rFonts w:ascii="Calibri" w:hAnsi="Calibri" w:cs="Calibri"/>
        </w:rPr>
        <w:t xml:space="preserve">that is </w:t>
      </w:r>
      <w:r w:rsidRPr="00B73A7A">
        <w:rPr>
          <w:rFonts w:ascii="Calibri" w:hAnsi="Calibri" w:cs="Calibri"/>
        </w:rPr>
        <w:t>worth preserving</w:t>
      </w:r>
      <w:r w:rsidRPr="00B73A7A">
        <w:rPr>
          <w:rFonts w:ascii="Calibri" w:hAnsi="Calibri" w:cs="Calibri"/>
        </w:rPr>
        <w:t>,</w:t>
      </w:r>
      <w:r w:rsidRPr="00B73A7A">
        <w:rPr>
          <w:rFonts w:ascii="Calibri" w:hAnsi="Calibri" w:cs="Calibri"/>
        </w:rPr>
        <w:t xml:space="preserve"> while reconsidering the structural arrangements through which this is exercised. Any successor body should avoid the creation of single-office holders with significant unilateral power, which has been identified as a governance risk. Collective decision-making bodies with diverse representation may offer greater resilience and democratic legitimacy.</w:t>
      </w:r>
    </w:p>
    <w:p w:rsidR="00AF2CD4" w:rsidRPr="00B73A7A">
      <w:pPr>
        <w:pStyle w:val="ListParagraph"/>
        <w:numPr>
          <w:ilvl w:val="0"/>
          <w:numId w:val="2"/>
        </w:numPr>
        <w:spacing w:after="160"/>
        <w:rPr>
          <w:rFonts w:ascii="Calibri" w:hAnsi="Calibri" w:cs="Calibri"/>
        </w:rPr>
      </w:pPr>
      <w:r w:rsidRPr="00B73A7A">
        <w:rPr>
          <w:rFonts w:ascii="Calibri" w:hAnsi="Calibri" w:cs="Calibri"/>
        </w:rPr>
        <w:t xml:space="preserve">The commissioning function of PCCs </w:t>
      </w:r>
      <w:r w:rsidRPr="00B73A7A">
        <w:rPr>
          <w:rFonts w:ascii="Calibri" w:hAnsi="Calibri" w:cs="Calibri"/>
        </w:rPr>
        <w:t xml:space="preserve">and </w:t>
      </w:r>
      <w:r w:rsidRPr="00B73A7A">
        <w:rPr>
          <w:rFonts w:ascii="Calibri" w:hAnsi="Calibri" w:cs="Calibri"/>
        </w:rPr>
        <w:t>their ability to fund and shape criminal justice services in their area has the potential to align policing with broader social needs, including mental health provision. Research documents the severe and growing burden that mental health incidents place on police, with evidence that police are increasingly filling gaps left by reductions in health and social care services (Cummins, 2016). Any successor arrangement in Wales should preserve and strengthen this commissioning function, enabling strategic co</w:t>
      </w:r>
      <w:r w:rsidRPr="00B73A7A">
        <w:rPr>
          <w:rFonts w:ascii="Calibri" w:hAnsi="Calibri" w:cs="Calibri"/>
        </w:rPr>
        <w:t>ordination between police, health</w:t>
      </w:r>
      <w:r w:rsidRPr="00B73A7A">
        <w:rPr>
          <w:rFonts w:ascii="Calibri" w:hAnsi="Calibri" w:cs="Calibri"/>
        </w:rPr>
        <w:t xml:space="preserve"> </w:t>
      </w:r>
      <w:r w:rsidRPr="00B73A7A">
        <w:rPr>
          <w:rFonts w:ascii="Calibri" w:hAnsi="Calibri" w:cs="Calibri"/>
        </w:rPr>
        <w:t>and social care.</w:t>
      </w:r>
    </w:p>
    <w:p w:rsidR="00AF2CD4" w:rsidRPr="00B73A7A">
      <w:pPr>
        <w:pStyle w:val="ListParagraph"/>
        <w:numPr>
          <w:ilvl w:val="0"/>
          <w:numId w:val="2"/>
        </w:numPr>
        <w:spacing w:after="160"/>
        <w:rPr>
          <w:rFonts w:ascii="Calibri" w:hAnsi="Calibri" w:cs="Calibri"/>
        </w:rPr>
      </w:pPr>
      <w:r w:rsidRPr="00B73A7A">
        <w:rPr>
          <w:rFonts w:ascii="Calibri" w:hAnsi="Calibri" w:cs="Calibri"/>
        </w:rPr>
        <w:t>The PCC model has highlighted the importance of consistent, long-term community engagement strategies that transcend electoral cycles. Research on community policing in Greater Manchester found that the turnover of senior officers committed to community policing was a significant obstacle to the effectiveness of neighbourhood policing, with partnership projects being abandoned when new leaders took the reins with different priorities (Signori et al., 2023). Any successor accountability structure should embe</w:t>
      </w:r>
      <w:r w:rsidRPr="00B73A7A">
        <w:rPr>
          <w:rFonts w:ascii="Calibri" w:hAnsi="Calibri" w:cs="Calibri"/>
        </w:rPr>
        <w:t>d requirements for continuity in community policing commitments, with performance frameworks that measure long-term relationship building rather than only short-term outputs.</w:t>
      </w:r>
    </w:p>
    <w:p w:rsidR="00AF2CD4" w:rsidRPr="00B73A7A" w:rsidP="009337F0">
      <w:pPr>
        <w:pStyle w:val="Heading2"/>
        <w:rPr>
          <w:rFonts w:ascii="Calibri" w:hAnsi="Calibri" w:cs="Calibri"/>
        </w:rPr>
      </w:pPr>
      <w:r w:rsidRPr="00B73A7A">
        <w:rPr>
          <w:rFonts w:ascii="Calibri" w:hAnsi="Calibri" w:cs="Calibri"/>
        </w:rPr>
        <w:t xml:space="preserve">How </w:t>
      </w:r>
      <w:r w:rsidRPr="00B73A7A">
        <w:rPr>
          <w:rFonts w:ascii="Calibri" w:hAnsi="Calibri" w:cs="Calibri"/>
        </w:rPr>
        <w:t>e</w:t>
      </w:r>
      <w:r w:rsidRPr="00B73A7A">
        <w:rPr>
          <w:rFonts w:ascii="Calibri" w:hAnsi="Calibri" w:cs="Calibri"/>
        </w:rPr>
        <w:t xml:space="preserve">lse </w:t>
      </w:r>
      <w:r w:rsidRPr="00B73A7A">
        <w:rPr>
          <w:rFonts w:ascii="Calibri" w:hAnsi="Calibri" w:cs="Calibri"/>
        </w:rPr>
        <w:t>m</w:t>
      </w:r>
      <w:r w:rsidRPr="00B73A7A">
        <w:rPr>
          <w:rFonts w:ascii="Calibri" w:hAnsi="Calibri" w:cs="Calibri"/>
        </w:rPr>
        <w:t xml:space="preserve">ay the UK Government's </w:t>
      </w:r>
      <w:r w:rsidRPr="00B73A7A">
        <w:rPr>
          <w:rFonts w:ascii="Calibri" w:hAnsi="Calibri" w:cs="Calibri"/>
        </w:rPr>
        <w:t>p</w:t>
      </w:r>
      <w:r w:rsidRPr="00B73A7A">
        <w:rPr>
          <w:rFonts w:ascii="Calibri" w:hAnsi="Calibri" w:cs="Calibri"/>
        </w:rPr>
        <w:t xml:space="preserve">roposed </w:t>
      </w:r>
      <w:r w:rsidRPr="00B73A7A">
        <w:rPr>
          <w:rFonts w:ascii="Calibri" w:hAnsi="Calibri" w:cs="Calibri"/>
        </w:rPr>
        <w:t>p</w:t>
      </w:r>
      <w:r w:rsidRPr="00B73A7A">
        <w:rPr>
          <w:rFonts w:ascii="Calibri" w:hAnsi="Calibri" w:cs="Calibri"/>
        </w:rPr>
        <w:t xml:space="preserve">olicing </w:t>
      </w:r>
      <w:r w:rsidRPr="00B73A7A">
        <w:rPr>
          <w:rFonts w:ascii="Calibri" w:hAnsi="Calibri" w:cs="Calibri"/>
        </w:rPr>
        <w:t>r</w:t>
      </w:r>
      <w:r w:rsidRPr="00B73A7A">
        <w:rPr>
          <w:rFonts w:ascii="Calibri" w:hAnsi="Calibri" w:cs="Calibri"/>
        </w:rPr>
        <w:t xml:space="preserve">eforms </w:t>
      </w:r>
      <w:r w:rsidRPr="00B73A7A">
        <w:rPr>
          <w:rFonts w:ascii="Calibri" w:hAnsi="Calibri" w:cs="Calibri"/>
        </w:rPr>
        <w:t>i</w:t>
      </w:r>
      <w:r w:rsidRPr="00B73A7A">
        <w:rPr>
          <w:rFonts w:ascii="Calibri" w:hAnsi="Calibri" w:cs="Calibri"/>
        </w:rPr>
        <w:t xml:space="preserve">mpact </w:t>
      </w:r>
      <w:r w:rsidRPr="00B73A7A">
        <w:rPr>
          <w:rFonts w:ascii="Calibri" w:hAnsi="Calibri" w:cs="Calibri"/>
        </w:rPr>
        <w:t>p</w:t>
      </w:r>
      <w:r w:rsidRPr="00B73A7A">
        <w:rPr>
          <w:rFonts w:ascii="Calibri" w:hAnsi="Calibri" w:cs="Calibri"/>
        </w:rPr>
        <w:t>olicing in Wales?</w:t>
      </w:r>
    </w:p>
    <w:p w:rsidR="00AF2CD4" w:rsidRPr="00B73A7A">
      <w:pPr>
        <w:pStyle w:val="ListParagraph"/>
        <w:numPr>
          <w:ilvl w:val="0"/>
          <w:numId w:val="2"/>
        </w:numPr>
        <w:spacing w:after="160"/>
        <w:rPr>
          <w:rFonts w:ascii="Calibri" w:hAnsi="Calibri" w:cs="Calibri"/>
        </w:rPr>
      </w:pPr>
      <w:r w:rsidRPr="00B73A7A">
        <w:rPr>
          <w:rFonts w:ascii="Calibri" w:hAnsi="Calibri" w:cs="Calibri"/>
        </w:rPr>
        <w:t>Beyond governance restructuring, the UK Government's proposed reforms are embedded in a broader re-professionalisation agenda for policing that is transforming how officers work, what they prioritise, and how policing is evaluated. Research examining street-level policing in England demonstrates that reforms imposed through the College of Policing, HMICFRS inspections, and changes to doctrine and education represent a sustained attempt to replace traditional craft-based policing with a professional model em</w:t>
      </w:r>
      <w:r w:rsidRPr="00B73A7A">
        <w:rPr>
          <w:rFonts w:ascii="Calibri" w:hAnsi="Calibri" w:cs="Calibri"/>
        </w:rPr>
        <w:t>phasising vulnerability, harm reduction</w:t>
      </w:r>
      <w:r w:rsidRPr="00B73A7A">
        <w:rPr>
          <w:rFonts w:ascii="Calibri" w:hAnsi="Calibri" w:cs="Calibri"/>
        </w:rPr>
        <w:t xml:space="preserve"> </w:t>
      </w:r>
      <w:r w:rsidRPr="00B73A7A">
        <w:rPr>
          <w:rFonts w:ascii="Calibri" w:hAnsi="Calibri" w:cs="Calibri"/>
        </w:rPr>
        <w:t>and evidence-based practice (Bacon, Hebenton and McCann, 2023).</w:t>
      </w:r>
    </w:p>
    <w:p w:rsidR="00AF2CD4" w:rsidRPr="00B73A7A">
      <w:pPr>
        <w:pStyle w:val="ListParagraph"/>
        <w:numPr>
          <w:ilvl w:val="0"/>
          <w:numId w:val="2"/>
        </w:numPr>
        <w:spacing w:after="160"/>
        <w:rPr>
          <w:rFonts w:ascii="Calibri" w:hAnsi="Calibri" w:cs="Calibri"/>
        </w:rPr>
      </w:pPr>
      <w:r w:rsidRPr="00B73A7A">
        <w:rPr>
          <w:rFonts w:ascii="Calibri" w:hAnsi="Calibri" w:cs="Calibri"/>
        </w:rPr>
        <w:t xml:space="preserve">These reforms, while well-intentioned, have had significant unintended consequences at the frontline. Operational officers have reported widespread deskilling, loss of professional autonomy, and risk-averse behaviour arising from overly prescriptive processes, with many describing their current role in terms that reflect frustration </w:t>
      </w:r>
      <w:r w:rsidRPr="00B73A7A">
        <w:rPr>
          <w:rFonts w:ascii="Calibri" w:hAnsi="Calibri" w:cs="Calibri"/>
        </w:rPr>
        <w:t xml:space="preserve">at being positioned </w:t>
      </w:r>
      <w:r w:rsidRPr="00B73A7A">
        <w:rPr>
          <w:rFonts w:ascii="Calibri" w:hAnsi="Calibri" w:cs="Calibri"/>
        </w:rPr>
        <w:t>as emergency social workers rather than crime investigators (Bacon, Hebenton and McCann, 2023). This has implications for officer wellbeing, public service quality and the perceived legitimacy of policing in Wales.</w:t>
      </w:r>
    </w:p>
    <w:p w:rsidR="00AF2CD4" w:rsidRPr="00B73A7A">
      <w:pPr>
        <w:pStyle w:val="ListParagraph"/>
        <w:numPr>
          <w:ilvl w:val="0"/>
          <w:numId w:val="2"/>
        </w:numPr>
        <w:spacing w:after="160"/>
        <w:rPr>
          <w:rFonts w:ascii="Calibri" w:hAnsi="Calibri" w:cs="Calibri"/>
        </w:rPr>
      </w:pPr>
      <w:r w:rsidRPr="00B73A7A">
        <w:rPr>
          <w:rFonts w:ascii="Calibri" w:hAnsi="Calibri" w:cs="Calibri"/>
        </w:rPr>
        <w:t>The growth of cybercrime represents one of the most pressing and underappreciated challenges for any future policing model in Wales. Research within a single English constabulary found that over half of officers and staff lacked confidence in their ability to deal with cybercrime, and that more than half lacked the skills and knowledge to investigate cyber-enabled or cyber-dependent offences (Hull, Eze and Speakman, 2017). Structural reforms that do not specifically address investment in cyber</w:t>
      </w:r>
      <w:r w:rsidRPr="00B73A7A">
        <w:rPr>
          <w:rFonts w:ascii="Calibri" w:hAnsi="Calibri" w:cs="Calibri"/>
        </w:rPr>
        <w:t>-</w:t>
      </w:r>
      <w:r w:rsidRPr="00B73A7A">
        <w:rPr>
          <w:rFonts w:ascii="Calibri" w:hAnsi="Calibri" w:cs="Calibri"/>
        </w:rPr>
        <w:t>capability at local force level risk leaving Welsh communities without adequate protection from what is now one of the UK's most prevalent crime categories.</w:t>
      </w:r>
    </w:p>
    <w:p w:rsidR="00AF2CD4" w:rsidRPr="00B73A7A">
      <w:pPr>
        <w:pStyle w:val="ListParagraph"/>
        <w:numPr>
          <w:ilvl w:val="0"/>
          <w:numId w:val="2"/>
        </w:numPr>
        <w:spacing w:after="160"/>
        <w:rPr>
          <w:rFonts w:ascii="Calibri" w:hAnsi="Calibri" w:cs="Calibri"/>
        </w:rPr>
      </w:pPr>
      <w:r w:rsidRPr="00B73A7A">
        <w:rPr>
          <w:rFonts w:ascii="Calibri" w:hAnsi="Calibri" w:cs="Calibri"/>
        </w:rPr>
        <w:t>The scale of cybercrime demand is further exacerbated by systematic under-reporting and data inconsistencies. Research highlights that experimental figures estimate more than 5.5 million cybercrimes occur in the UK each year, while significant discrepancies exist between crimes reported to the Home Office and those identified through local force recording (Hull, Eze and Speakman, 2017). Without reliable data on the true scale of cybercrime demand, any force reorganisation in Wales risks being structurally b</w:t>
      </w:r>
      <w:r w:rsidRPr="00B73A7A">
        <w:rPr>
          <w:rFonts w:ascii="Calibri" w:hAnsi="Calibri" w:cs="Calibri"/>
        </w:rPr>
        <w:t>lind to one of the fastest-growing crime types.</w:t>
      </w:r>
    </w:p>
    <w:p w:rsidR="00AF2CD4" w:rsidRPr="00B73A7A">
      <w:pPr>
        <w:pStyle w:val="ListParagraph"/>
        <w:numPr>
          <w:ilvl w:val="0"/>
          <w:numId w:val="2"/>
        </w:numPr>
        <w:spacing w:after="160"/>
        <w:rPr>
          <w:rFonts w:ascii="Calibri" w:hAnsi="Calibri" w:cs="Calibri"/>
        </w:rPr>
      </w:pPr>
      <w:r w:rsidRPr="00B73A7A">
        <w:rPr>
          <w:rFonts w:ascii="Calibri" w:hAnsi="Calibri" w:cs="Calibri"/>
        </w:rPr>
        <w:t xml:space="preserve">A return to centralised performance measurement </w:t>
      </w:r>
      <w:r w:rsidRPr="00B73A7A">
        <w:rPr>
          <w:rFonts w:ascii="Calibri" w:hAnsi="Calibri" w:cs="Calibri"/>
        </w:rPr>
        <w:t>(</w:t>
      </w:r>
      <w:r w:rsidRPr="00B73A7A">
        <w:rPr>
          <w:rFonts w:ascii="Calibri" w:hAnsi="Calibri" w:cs="Calibri"/>
        </w:rPr>
        <w:t xml:space="preserve">signalled by the announcement of </w:t>
      </w:r>
      <w:r w:rsidRPr="00B73A7A">
        <w:rPr>
          <w:rFonts w:ascii="Calibri" w:hAnsi="Calibri" w:cs="Calibri"/>
        </w:rPr>
        <w:t>the</w:t>
      </w:r>
      <w:r w:rsidRPr="00B73A7A">
        <w:rPr>
          <w:rFonts w:ascii="Calibri" w:hAnsi="Calibri" w:cs="Calibri"/>
        </w:rPr>
        <w:t xml:space="preserve"> Crime and Policing Performance Board</w:t>
      </w:r>
      <w:r w:rsidRPr="00B73A7A">
        <w:rPr>
          <w:rFonts w:ascii="Calibri" w:hAnsi="Calibri" w:cs="Calibri"/>
        </w:rPr>
        <w:t xml:space="preserve">) </w:t>
      </w:r>
      <w:r w:rsidRPr="00B73A7A">
        <w:rPr>
          <w:rFonts w:ascii="Calibri" w:hAnsi="Calibri" w:cs="Calibri"/>
        </w:rPr>
        <w:t xml:space="preserve">carries significant risks. Research </w:t>
      </w:r>
      <w:r w:rsidRPr="00B73A7A">
        <w:rPr>
          <w:rFonts w:ascii="Calibri" w:hAnsi="Calibri" w:cs="Calibri"/>
        </w:rPr>
        <w:t>provides strong evidence that numerical performance targets distort police behaviour, creating incentives for gaming (meeting the letter rather than the spirit of targets) rather than improving genuine policing outcomes (Grace, 2021). Any performance framework introduced alongside structural reforms in Wales should be of a deliberative rather than purely target-based nature, drawing on service-use</w:t>
      </w:r>
      <w:r w:rsidRPr="00B73A7A">
        <w:rPr>
          <w:rFonts w:ascii="Calibri" w:hAnsi="Calibri" w:cs="Calibri"/>
        </w:rPr>
        <w:t>r experience and focusing on quality of process as well as measurable outputs.</w:t>
      </w:r>
    </w:p>
    <w:p w:rsidR="00AF2CD4" w:rsidRPr="00B73A7A">
      <w:pPr>
        <w:pStyle w:val="ListParagraph"/>
        <w:numPr>
          <w:ilvl w:val="0"/>
          <w:numId w:val="2"/>
        </w:numPr>
        <w:spacing w:after="160"/>
        <w:rPr>
          <w:rFonts w:ascii="Calibri" w:hAnsi="Calibri" w:cs="Calibri"/>
        </w:rPr>
      </w:pPr>
      <w:r w:rsidRPr="00B73A7A">
        <w:rPr>
          <w:rFonts w:ascii="Calibri" w:hAnsi="Calibri" w:cs="Calibri"/>
        </w:rPr>
        <w:t>The mental health burden on policing in Wales is substantial and growing</w:t>
      </w:r>
      <w:r w:rsidRPr="00B73A7A">
        <w:rPr>
          <w:rFonts w:ascii="Calibri" w:hAnsi="Calibri" w:cs="Calibri"/>
        </w:rPr>
        <w:t xml:space="preserve"> </w:t>
      </w:r>
      <w:r w:rsidRPr="00B73A7A">
        <w:rPr>
          <w:rFonts w:ascii="Calibri" w:hAnsi="Calibri" w:cs="Calibri"/>
        </w:rPr>
        <w:t>and is likely to be exacerbated by continued austerity in health and social care. Evidence shows that the police now deal with very large volumes of mental health-related incidents that fall outside any traditional conception of core policing</w:t>
      </w:r>
      <w:r w:rsidRPr="00B73A7A">
        <w:rPr>
          <w:rFonts w:ascii="Calibri" w:hAnsi="Calibri" w:cs="Calibri"/>
        </w:rPr>
        <w:t xml:space="preserve">. For example, </w:t>
      </w:r>
      <w:r w:rsidRPr="00B73A7A">
        <w:rPr>
          <w:rFonts w:ascii="Calibri" w:hAnsi="Calibri" w:cs="Calibri"/>
        </w:rPr>
        <w:t>the Metropolitan Police dealt with over 60,000 mental health-related incidents in a single year alone (Cummins, 2016). Reform proposals that do not address the structural mismatch between police capacity and mental health demand risk further burdening We</w:t>
      </w:r>
      <w:r w:rsidRPr="00B73A7A">
        <w:rPr>
          <w:rFonts w:ascii="Calibri" w:hAnsi="Calibri" w:cs="Calibri"/>
        </w:rPr>
        <w:t>lsh forces without commensurate resource or support.</w:t>
      </w:r>
    </w:p>
    <w:p w:rsidR="00AF2CD4" w:rsidRPr="00B73A7A">
      <w:pPr>
        <w:pStyle w:val="ListParagraph"/>
        <w:numPr>
          <w:ilvl w:val="0"/>
          <w:numId w:val="2"/>
        </w:numPr>
        <w:spacing w:after="160"/>
        <w:rPr>
          <w:rFonts w:ascii="Calibri" w:hAnsi="Calibri" w:cs="Calibri"/>
        </w:rPr>
      </w:pPr>
      <w:r w:rsidRPr="00B73A7A">
        <w:rPr>
          <w:rFonts w:ascii="Calibri" w:hAnsi="Calibri" w:cs="Calibri"/>
        </w:rPr>
        <w:t xml:space="preserve">Reform proposals must also address the emerging challenges of policing in the social media environment. During the 2024 summer riots, research found that social media platforms actively facilitated the spread of hate speech and enabled rioters to organise and act collectively, while police social media communication was met with overwhelmingly hostile, right-wing sentiment from online users who perceived police as out of touch with White British working-class communities (Ralph, Robinson and Aitken, 2025). </w:t>
      </w:r>
      <w:r w:rsidRPr="00B73A7A">
        <w:rPr>
          <w:rFonts w:ascii="Calibri" w:hAnsi="Calibri" w:cs="Calibri"/>
        </w:rPr>
        <w:t>Forces in Wales will require both the digital capability and strategic communications expertise to counter misinformation and manage public perception in future disorder scenarios.</w:t>
      </w:r>
    </w:p>
    <w:p w:rsidR="00AF2CD4" w:rsidRPr="00B73A7A">
      <w:pPr>
        <w:pStyle w:val="ListParagraph"/>
        <w:numPr>
          <w:ilvl w:val="0"/>
          <w:numId w:val="2"/>
        </w:numPr>
        <w:spacing w:after="160"/>
        <w:rPr>
          <w:rFonts w:ascii="Calibri" w:hAnsi="Calibri" w:cs="Calibri"/>
        </w:rPr>
      </w:pPr>
      <w:r w:rsidRPr="00B73A7A">
        <w:rPr>
          <w:rFonts w:ascii="Calibri" w:hAnsi="Calibri" w:cs="Calibri"/>
        </w:rPr>
        <w:t>The introduction of immersive training technologies including AI-enhanced simulations, virtual reality and serious games represents a significant opportunity for Welsh policing reform. Research argues that traditional training approaches are increasingly insufficient for the complex decision-making demands placed on modern officers, and that AI-driven simulations can create realistic scenarios for practising de-escalation, tactical responses, and crisis intervention in controlled environments (Silvestri and</w:t>
      </w:r>
      <w:r w:rsidRPr="00B73A7A">
        <w:rPr>
          <w:rFonts w:ascii="Calibri" w:hAnsi="Calibri" w:cs="Calibri"/>
        </w:rPr>
        <w:t xml:space="preserve"> Silika, 2026). However, the costs of such technologies remain prohibitive for some smaller forces</w:t>
      </w:r>
      <w:r w:rsidRPr="00B73A7A">
        <w:rPr>
          <w:rFonts w:ascii="Calibri" w:hAnsi="Calibri" w:cs="Calibri"/>
        </w:rPr>
        <w:t xml:space="preserve"> </w:t>
      </w:r>
      <w:r w:rsidRPr="00B73A7A">
        <w:rPr>
          <w:rFonts w:ascii="Calibri" w:hAnsi="Calibri" w:cs="Calibri"/>
        </w:rPr>
        <w:t>and any Welsh policing structure should include provision for shared or pooled training resources.</w:t>
      </w:r>
    </w:p>
    <w:p w:rsidR="00AF2CD4" w:rsidRPr="00B73A7A" w:rsidP="009337F0">
      <w:pPr>
        <w:pStyle w:val="Heading2"/>
        <w:rPr>
          <w:rFonts w:ascii="Calibri" w:hAnsi="Calibri" w:cs="Calibri"/>
        </w:rPr>
      </w:pPr>
      <w:r w:rsidRPr="00B73A7A">
        <w:rPr>
          <w:rFonts w:ascii="Calibri" w:hAnsi="Calibri" w:cs="Calibri"/>
        </w:rPr>
        <w:t xml:space="preserve">Arguments For and Against </w:t>
      </w:r>
      <w:r w:rsidRPr="00B73A7A">
        <w:rPr>
          <w:rFonts w:ascii="Calibri" w:hAnsi="Calibri" w:cs="Calibri"/>
        </w:rPr>
        <w:t>d</w:t>
      </w:r>
      <w:r w:rsidRPr="00B73A7A">
        <w:rPr>
          <w:rFonts w:ascii="Calibri" w:hAnsi="Calibri" w:cs="Calibri"/>
        </w:rPr>
        <w:t xml:space="preserve">evolving </w:t>
      </w:r>
      <w:r w:rsidRPr="00B73A7A">
        <w:rPr>
          <w:rFonts w:ascii="Calibri" w:hAnsi="Calibri" w:cs="Calibri"/>
        </w:rPr>
        <w:t>p</w:t>
      </w:r>
      <w:r w:rsidRPr="00B73A7A">
        <w:rPr>
          <w:rFonts w:ascii="Calibri" w:hAnsi="Calibri" w:cs="Calibri"/>
        </w:rPr>
        <w:t>olicing to the Welsh Government</w:t>
      </w:r>
    </w:p>
    <w:p w:rsidR="00AF2CD4" w:rsidRPr="00B73A7A">
      <w:pPr>
        <w:pStyle w:val="ListParagraph"/>
        <w:numPr>
          <w:ilvl w:val="0"/>
          <w:numId w:val="2"/>
        </w:numPr>
        <w:spacing w:after="160"/>
        <w:rPr>
          <w:rFonts w:ascii="Calibri" w:hAnsi="Calibri" w:cs="Calibri"/>
        </w:rPr>
      </w:pPr>
      <w:r w:rsidRPr="00B73A7A">
        <w:rPr>
          <w:rFonts w:ascii="Calibri" w:hAnsi="Calibri" w:cs="Calibri"/>
        </w:rPr>
        <w:t>The case for devolving policing to the Welsh Government rests significantly on the value of integrating policing with devolved services. Research demonstrates the substantial and growing overlap between policing and devolved areas of public policy</w:t>
      </w:r>
      <w:r w:rsidRPr="00B73A7A">
        <w:rPr>
          <w:rFonts w:ascii="Calibri" w:hAnsi="Calibri" w:cs="Calibri"/>
        </w:rPr>
        <w:t>,</w:t>
      </w:r>
      <w:r w:rsidRPr="00B73A7A">
        <w:rPr>
          <w:rFonts w:ascii="Calibri" w:hAnsi="Calibri" w:cs="Calibri"/>
        </w:rPr>
        <w:t xml:space="preserve"> particularly health, social care, and education</w:t>
      </w:r>
      <w:r w:rsidRPr="00B73A7A">
        <w:rPr>
          <w:rFonts w:ascii="Calibri" w:hAnsi="Calibri" w:cs="Calibri"/>
        </w:rPr>
        <w:t xml:space="preserve">, </w:t>
      </w:r>
      <w:r w:rsidRPr="00B73A7A">
        <w:rPr>
          <w:rFonts w:ascii="Calibri" w:hAnsi="Calibri" w:cs="Calibri"/>
        </w:rPr>
        <w:t>with police increasingly called upon to fill gaps in mental health provision and child safeguarding (Cummins, 2016; Bacon, Hebenton and McCann, 2023). Welsh devolution of policing would enable strategic alignment between police, health, and social services in a way that the current reserved settlement does not readily permit.</w:t>
      </w:r>
    </w:p>
    <w:p w:rsidR="00AF2CD4" w:rsidRPr="00B73A7A">
      <w:pPr>
        <w:pStyle w:val="ListParagraph"/>
        <w:numPr>
          <w:ilvl w:val="0"/>
          <w:numId w:val="2"/>
        </w:numPr>
        <w:spacing w:after="160"/>
        <w:rPr>
          <w:rFonts w:ascii="Calibri" w:hAnsi="Calibri" w:cs="Calibri"/>
        </w:rPr>
      </w:pPr>
      <w:r w:rsidRPr="00B73A7A">
        <w:rPr>
          <w:rFonts w:ascii="Calibri" w:hAnsi="Calibri" w:cs="Calibri"/>
        </w:rPr>
        <w:t xml:space="preserve">Devolution would allow Wales to tailor policing governance to its distinct demographic, linguistic, and geographical context. Research on community policing emphasises the critical importance of policing being responsive to local community </w:t>
      </w:r>
      <w:r w:rsidRPr="00B73A7A">
        <w:rPr>
          <w:rFonts w:ascii="Calibri" w:hAnsi="Calibri" w:cs="Calibri"/>
        </w:rPr>
        <w:t xml:space="preserve">needs, building long-term trust through consistent relationships, and adapting to local cultural contexts (Signori et al., 2023). A Welsh policing model designed in Wales </w:t>
      </w:r>
      <w:r w:rsidRPr="00B73A7A">
        <w:rPr>
          <w:rFonts w:ascii="Calibri" w:hAnsi="Calibri" w:cs="Calibri"/>
        </w:rPr>
        <w:t xml:space="preserve">and </w:t>
      </w:r>
      <w:r w:rsidRPr="00B73A7A">
        <w:rPr>
          <w:rFonts w:ascii="Calibri" w:hAnsi="Calibri" w:cs="Calibri"/>
        </w:rPr>
        <w:t>accountable to Welsh democratic institutions would be better placed to achieve this than one designed to serve the governance needs of England.</w:t>
      </w:r>
    </w:p>
    <w:p w:rsidR="00AF2CD4" w:rsidRPr="00B73A7A">
      <w:pPr>
        <w:pStyle w:val="ListParagraph"/>
        <w:numPr>
          <w:ilvl w:val="0"/>
          <w:numId w:val="2"/>
        </w:numPr>
        <w:spacing w:after="160"/>
        <w:rPr>
          <w:rFonts w:ascii="Calibri" w:hAnsi="Calibri" w:cs="Calibri"/>
        </w:rPr>
      </w:pPr>
      <w:r w:rsidRPr="00B73A7A">
        <w:rPr>
          <w:rFonts w:ascii="Calibri" w:hAnsi="Calibri" w:cs="Calibri"/>
        </w:rPr>
        <w:t>The case for devolution is further supported by the experience of BME communities, where dissatisfaction with policing has historically been linked to perceptions that it is culturally distant and unresponsive to the specific experiences of marginalised groups (Barrett, Fletcher and Patel, 2014</w:t>
      </w:r>
      <w:r w:rsidRPr="00B73A7A">
        <w:rPr>
          <w:rFonts w:ascii="Calibri" w:hAnsi="Calibri" w:cs="Calibri"/>
        </w:rPr>
        <w:t>; Patel, 2023</w:t>
      </w:r>
      <w:r w:rsidRPr="00B73A7A">
        <w:rPr>
          <w:rFonts w:ascii="Calibri" w:hAnsi="Calibri" w:cs="Calibri"/>
        </w:rPr>
        <w:t>). A devolved Welsh policing model with accountability to the Senedd could potentially be more responsive to the needs of Wales's diverse communities, including Welsh-speaking communities, through locally designed governance frameworks.</w:t>
      </w:r>
    </w:p>
    <w:p w:rsidR="00AF2CD4" w:rsidRPr="00B73A7A">
      <w:pPr>
        <w:pStyle w:val="ListParagraph"/>
        <w:numPr>
          <w:ilvl w:val="0"/>
          <w:numId w:val="2"/>
        </w:numPr>
        <w:spacing w:after="160"/>
        <w:rPr>
          <w:rFonts w:ascii="Calibri" w:hAnsi="Calibri" w:cs="Calibri"/>
        </w:rPr>
      </w:pPr>
      <w:r w:rsidRPr="00B73A7A">
        <w:rPr>
          <w:rFonts w:ascii="Calibri" w:hAnsi="Calibri" w:cs="Calibri"/>
        </w:rPr>
        <w:t>Against devolution, significant concerns arise from the nature of the crimes that policing must address. Cybercrime, serious organised crime, and terrorism all operate across jurisdictions and borders, requiring coordinated national</w:t>
      </w:r>
      <w:r w:rsidRPr="00B73A7A">
        <w:rPr>
          <w:rFonts w:ascii="Calibri" w:hAnsi="Calibri" w:cs="Calibri"/>
        </w:rPr>
        <w:t xml:space="preserve"> </w:t>
      </w:r>
      <w:r w:rsidRPr="00B73A7A">
        <w:rPr>
          <w:rFonts w:ascii="Calibri" w:hAnsi="Calibri" w:cs="Calibri"/>
        </w:rPr>
        <w:t xml:space="preserve">and international </w:t>
      </w:r>
      <w:r w:rsidRPr="00B73A7A">
        <w:rPr>
          <w:rFonts w:ascii="Calibri" w:hAnsi="Calibri" w:cs="Calibri"/>
        </w:rPr>
        <w:t>r</w:t>
      </w:r>
      <w:r w:rsidRPr="00B73A7A">
        <w:rPr>
          <w:rFonts w:ascii="Calibri" w:hAnsi="Calibri" w:cs="Calibri"/>
        </w:rPr>
        <w:t>esponses. Research highlights that effective cyber-policing relies substantially on national and regional specialist capacity, with local forces ill-equipped to respond to cyber threats without significant investment (Hull, Eze and Speakman, 2017). A devolved Welsh policing model would need to maintain robust mechanisms for collaboration with UK-wide bodies, including the National Crime Agency and GCHQ.</w:t>
      </w:r>
    </w:p>
    <w:p w:rsidR="00AF2CD4" w:rsidRPr="00B73A7A">
      <w:pPr>
        <w:pStyle w:val="ListParagraph"/>
        <w:numPr>
          <w:ilvl w:val="0"/>
          <w:numId w:val="2"/>
        </w:numPr>
        <w:spacing w:after="160"/>
        <w:rPr>
          <w:rFonts w:ascii="Calibri" w:hAnsi="Calibri" w:cs="Calibri"/>
        </w:rPr>
      </w:pPr>
      <w:r w:rsidRPr="00B73A7A">
        <w:rPr>
          <w:rFonts w:ascii="Calibri" w:hAnsi="Calibri" w:cs="Calibri"/>
        </w:rPr>
        <w:t>The management of public disorder in a connected social media environment also suggests caution about full devolution without corresponding investment in digital and communications capability. Research on the 2024 UK riots demonstrates that social media platforms can rapidly coordinate disorder across multiple force areas, and that effective police communication in such scenarios requires both rapid response capability and strategic coherence (Ralph, Robinson and Aitken, 2025). Devolved policing in Wales mu</w:t>
      </w:r>
      <w:r w:rsidRPr="00B73A7A">
        <w:rPr>
          <w:rFonts w:ascii="Calibri" w:hAnsi="Calibri" w:cs="Calibri"/>
        </w:rPr>
        <w:t>st be designed with the capacity to engage effectively in multi-agency, cross-border responses to large-scale disorder.</w:t>
      </w:r>
    </w:p>
    <w:p w:rsidR="00AF2CD4">
      <w:pPr>
        <w:pStyle w:val="ListParagraph"/>
        <w:numPr>
          <w:ilvl w:val="0"/>
          <w:numId w:val="2"/>
        </w:numPr>
        <w:spacing w:after="160"/>
        <w:rPr>
          <w:rFonts w:ascii="Calibri" w:hAnsi="Calibri" w:cs="Calibri"/>
        </w:rPr>
      </w:pPr>
      <w:r w:rsidRPr="00B73A7A">
        <w:rPr>
          <w:rFonts w:ascii="Calibri" w:hAnsi="Calibri" w:cs="Calibri"/>
        </w:rPr>
        <w:t>The Peelian principle that British policing operates by public consent is itself a powerful argument for greater local democratic control (McCarthy, Stokes and Jackson, 2024). Where communities perceive policing as distant, unaccountable, or insufficiently sensitive to their needs, public trust and legitimacy are eroded. Research from BME communities in northern England demonstrates that effective communication, direct engagement, and visible commitment to fairness are foundational to building the trust tha</w:t>
      </w:r>
      <w:r w:rsidRPr="00B73A7A">
        <w:rPr>
          <w:rFonts w:ascii="Calibri" w:hAnsi="Calibri" w:cs="Calibri"/>
        </w:rPr>
        <w:t>t enables police to function effectively (Barrett, Fletcher and Patel, 2014). Devolution, if resourced appropriately, offers a structural basis for more genuinely responsive and trusted policing in Wales.</w:t>
      </w:r>
    </w:p>
    <w:p w:rsidR="00B73A7A" w:rsidP="00B73A7A">
      <w:pPr>
        <w:spacing w:after="160"/>
        <w:rPr>
          <w:rFonts w:ascii="Calibri" w:hAnsi="Calibri" w:cs="Calibri"/>
        </w:rPr>
      </w:pPr>
    </w:p>
    <w:p w:rsidR="00B73A7A" w:rsidRPr="00B73A7A" w:rsidP="00B73A7A">
      <w:pPr>
        <w:spacing w:after="160"/>
        <w:rPr>
          <w:rFonts w:ascii="Calibri" w:hAnsi="Calibri" w:cs="Calibri"/>
          <w:i/>
          <w:iCs/>
        </w:rPr>
      </w:pPr>
      <w:r w:rsidRPr="00B73A7A">
        <w:rPr>
          <w:rFonts w:ascii="Calibri" w:hAnsi="Calibri" w:cs="Calibri"/>
          <w:i/>
          <w:iCs/>
        </w:rPr>
        <w:t>June 2026</w:t>
      </w:r>
    </w:p>
    <w:p w:rsidR="00AF2CD4" w:rsidRPr="00B73A7A" w:rsidP="009337F0">
      <w:pPr>
        <w:pStyle w:val="Heading2"/>
        <w:rPr>
          <w:rFonts w:ascii="Calibri" w:hAnsi="Calibri" w:cs="Calibri"/>
        </w:rPr>
      </w:pPr>
      <w:r w:rsidRPr="00B73A7A">
        <w:rPr>
          <w:rFonts w:ascii="Calibri" w:hAnsi="Calibri" w:cs="Calibri"/>
        </w:rPr>
        <w:t>References</w:t>
      </w:r>
    </w:p>
    <w:p w:rsidR="00AF2CD4" w:rsidRPr="00B73A7A">
      <w:pPr>
        <w:spacing w:before="60" w:after="120"/>
        <w:ind w:left="720" w:hanging="720"/>
        <w:rPr>
          <w:rFonts w:ascii="Calibri" w:hAnsi="Calibri" w:cs="Calibri"/>
        </w:rPr>
      </w:pPr>
      <w:r w:rsidRPr="00B73A7A">
        <w:rPr>
          <w:rFonts w:ascii="Calibri" w:hAnsi="Calibri" w:cs="Calibri"/>
        </w:rPr>
        <w:t>Bacon, C., Hebenton, B. and McCann, L. (2023) 'The limits of professionalisation from above: On the re-professionalisation of street-level policing in England', Criminology &amp; Criminal Justice, 25(4), pp. 1071–1096. DOI: 10.1177/17488958231170153.</w:t>
      </w:r>
    </w:p>
    <w:p w:rsidR="00AF2CD4" w:rsidRPr="00B73A7A">
      <w:pPr>
        <w:spacing w:before="60" w:after="120"/>
        <w:ind w:left="720" w:hanging="720"/>
        <w:rPr>
          <w:rFonts w:ascii="Calibri" w:hAnsi="Calibri" w:cs="Calibri"/>
        </w:rPr>
      </w:pPr>
      <w:r w:rsidRPr="00B73A7A">
        <w:rPr>
          <w:rFonts w:ascii="Calibri" w:hAnsi="Calibri" w:cs="Calibri"/>
        </w:rPr>
        <w:t>Barrett, G.A., Fletcher, S. and Patel, T.G. (2014) 'Black minority ethnic communities and levels of satisfaction with policing: findings from a study in the north of England', Criminology &amp; Criminal Justice, 14(2), pp. 196–215.</w:t>
      </w:r>
    </w:p>
    <w:p w:rsidR="00AF2CD4" w:rsidRPr="00B73A7A">
      <w:pPr>
        <w:spacing w:before="60" w:after="120"/>
        <w:ind w:left="720" w:hanging="720"/>
        <w:rPr>
          <w:rFonts w:ascii="Calibri" w:hAnsi="Calibri" w:cs="Calibri"/>
        </w:rPr>
      </w:pPr>
      <w:r w:rsidRPr="00B73A7A">
        <w:rPr>
          <w:rFonts w:ascii="Calibri" w:hAnsi="Calibri" w:cs="Calibri"/>
        </w:rPr>
        <w:t>Cummins, I. (2016) 'Policing and Mental Illness Article', Policing: A Journal of Policy and Practice, 6(4), pp. 365–374.</w:t>
      </w:r>
    </w:p>
    <w:p w:rsidR="00AF2CD4" w:rsidRPr="00B73A7A">
      <w:pPr>
        <w:spacing w:before="60" w:after="120"/>
        <w:ind w:left="720" w:hanging="720"/>
        <w:rPr>
          <w:rFonts w:ascii="Calibri" w:hAnsi="Calibri" w:cs="Calibri"/>
        </w:rPr>
      </w:pPr>
      <w:r w:rsidRPr="00B73A7A">
        <w:rPr>
          <w:rFonts w:ascii="Calibri" w:hAnsi="Calibri" w:cs="Calibri"/>
        </w:rPr>
        <w:t>Cummins, I. (n.d.) 'Policing, Vulnerability and Mental Health', in Policing, Vulnerability and Mental Health [book chapter]. University of Salford.</w:t>
      </w:r>
    </w:p>
    <w:p w:rsidR="00AF2CD4" w:rsidRPr="00B73A7A">
      <w:pPr>
        <w:spacing w:before="60" w:after="120"/>
        <w:ind w:left="720" w:hanging="720"/>
        <w:rPr>
          <w:rFonts w:ascii="Calibri" w:hAnsi="Calibri" w:cs="Calibri"/>
        </w:rPr>
      </w:pPr>
      <w:r w:rsidRPr="00B73A7A">
        <w:rPr>
          <w:rFonts w:ascii="Calibri" w:hAnsi="Calibri" w:cs="Calibri"/>
        </w:rPr>
        <w:t>Grace, S. (2021) 'The perverse impact of performance measures on policing: lessons from the rise and fall of out of court disposals', Policing and Society. DOI: 10.1080/10439463.2021.1906667.</w:t>
      </w:r>
    </w:p>
    <w:p w:rsidR="00AF2CD4" w:rsidRPr="00B73A7A">
      <w:pPr>
        <w:spacing w:before="60" w:after="120"/>
        <w:ind w:left="720" w:hanging="720"/>
        <w:rPr>
          <w:rFonts w:ascii="Calibri" w:hAnsi="Calibri" w:cs="Calibri"/>
        </w:rPr>
      </w:pPr>
      <w:r w:rsidRPr="00B73A7A">
        <w:rPr>
          <w:rFonts w:ascii="Calibri" w:hAnsi="Calibri" w:cs="Calibri"/>
        </w:rPr>
        <w:t xml:space="preserve">Hull, M., Eze, T. and Speakman, L. (2017) 'Policing </w:t>
      </w:r>
      <w:r w:rsidRPr="00B73A7A">
        <w:rPr>
          <w:rFonts w:ascii="Calibri" w:hAnsi="Calibri" w:cs="Calibri"/>
        </w:rPr>
        <w:t>The</w:t>
      </w:r>
      <w:r w:rsidRPr="00B73A7A">
        <w:rPr>
          <w:rFonts w:ascii="Calibri" w:hAnsi="Calibri" w:cs="Calibri"/>
        </w:rPr>
        <w:t xml:space="preserve"> Cyber Threat: Exploring the Threat from Cyber Crime and the Ability of Local Law Enforcement to Respond', IEEE. University of Chester.</w:t>
      </w:r>
    </w:p>
    <w:p w:rsidR="00AF2CD4" w:rsidRPr="00B73A7A">
      <w:pPr>
        <w:rPr>
          <w:rFonts w:ascii="Calibri" w:hAnsi="Calibri" w:cs="Calibri"/>
          <w:color w:val="000000" w:themeColor="text1"/>
        </w:rPr>
      </w:pPr>
      <w:r w:rsidRPr="00B73A7A">
        <w:rPr>
          <w:rFonts w:ascii="Calibri" w:hAnsi="Calibri" w:cs="Calibri"/>
        </w:rPr>
        <w:t>McCarthy, B., Stokes, A. and Jackson, J. (2024) 'The politicization of militarization: Examining military contributions to British policing', Journal of Global Faultlines, 11(1), pp. 71–80. DOI: 10.13169/jglobfaul.11.1.0071.</w:t>
      </w:r>
      <w:r w:rsidRPr="00B73A7A">
        <w:rPr>
          <w:rFonts w:ascii="Calibri" w:hAnsi="Calibri" w:cs="Calibri"/>
          <w:color w:val="000000" w:themeColor="text1"/>
        </w:rPr>
        <w:t>P</w:t>
      </w:r>
      <w:r w:rsidRPr="00B73A7A">
        <w:rPr>
          <w:rFonts w:ascii="Calibri" w:hAnsi="Calibri" w:cs="Calibri"/>
          <w:color w:val="000000" w:themeColor="text1"/>
        </w:rPr>
        <w:t>atel, TG, (2023) Race, Ethnicity and Society. London: SAGE</w:t>
      </w:r>
    </w:p>
    <w:p w:rsidR="00AF2CD4" w:rsidRPr="00B73A7A">
      <w:pPr>
        <w:spacing w:before="60" w:after="120"/>
        <w:ind w:left="720" w:hanging="720"/>
        <w:rPr>
          <w:rFonts w:ascii="Calibri" w:hAnsi="Calibri" w:cs="Calibri"/>
        </w:rPr>
      </w:pPr>
      <w:r w:rsidRPr="00B73A7A">
        <w:rPr>
          <w:rFonts w:ascii="Calibri" w:hAnsi="Calibri" w:cs="Calibri"/>
        </w:rPr>
        <w:t>Ralph, L., Robinson, P. and Aitken, A. (2025) 'Policing, social media, and riots: user responses to the police during the 2024 UK summer protests and riots', Policing and Society. DOI: 10.1080/10439463.2025.2560902.</w:t>
      </w:r>
    </w:p>
    <w:p w:rsidR="00AF2CD4" w:rsidRPr="00B73A7A">
      <w:pPr>
        <w:spacing w:before="60" w:after="120"/>
        <w:ind w:left="720" w:hanging="720"/>
        <w:rPr>
          <w:rFonts w:ascii="Calibri" w:hAnsi="Calibri" w:cs="Calibri"/>
        </w:rPr>
      </w:pPr>
      <w:r w:rsidRPr="00B73A7A">
        <w:rPr>
          <w:rFonts w:ascii="Calibri" w:hAnsi="Calibri" w:cs="Calibri"/>
        </w:rPr>
        <w:t>Signori, R. et al. (2023) 'Relational continuity in community policing [CCI Project — Greater Manchester]', Policing: A Journal of Policy and Practice. DOI: 10.1093/police/paad038.</w:t>
      </w:r>
    </w:p>
    <w:p w:rsidR="00AF2CD4" w:rsidRPr="00B73A7A">
      <w:pPr>
        <w:spacing w:before="60" w:after="120"/>
        <w:ind w:left="720" w:hanging="720"/>
        <w:rPr>
          <w:rFonts w:ascii="Calibri" w:hAnsi="Calibri" w:cs="Calibri"/>
        </w:rPr>
      </w:pPr>
      <w:r w:rsidRPr="00B73A7A">
        <w:rPr>
          <w:rFonts w:ascii="Calibri" w:hAnsi="Calibri" w:cs="Calibri"/>
        </w:rPr>
        <w:t>Silvestri, C. and Silika, K.K. (2026) 'Training the future of policing: can immersive simulation, games, and AI provide valuable assets? An opinion piece', Policing: A Journal of Policy and Practice, 20(1). DOI: 10.1093/police/paag023.</w:t>
      </w:r>
    </w:p>
    <w:p w:rsidR="00AF2CD4" w:rsidRPr="00B73A7A">
      <w:pPr>
        <w:spacing w:before="60" w:after="120"/>
        <w:ind w:left="720" w:hanging="720"/>
        <w:rPr>
          <w:rFonts w:ascii="Calibri" w:hAnsi="Calibri" w:cs="Calibri"/>
        </w:rPr>
      </w:pPr>
      <w:r w:rsidRPr="00B73A7A">
        <w:rPr>
          <w:rFonts w:ascii="Calibri" w:hAnsi="Calibri" w:cs="Calibri"/>
        </w:rPr>
        <w:t>Aitken, A. et al. (2023) 'Police use of Twitter during a sporting megaevent', Policing: A Journal of Policy and Practice.</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D140725"/>
    <w:multiLevelType w:val="hybridMultilevel"/>
    <w:tmpl w:val="6B7877B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nsid w:val="5E90136E"/>
    <w:multiLevelType w:val="hybridMultilevel"/>
    <w:tmpl w:val="277E5988"/>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spacing w:before="360" w:after="180"/>
      <w:outlineLvl w:val="0"/>
    </w:pPr>
    <w:rPr>
      <w:b/>
      <w:bCs/>
      <w:color w:val="1F3864"/>
      <w:sz w:val="28"/>
      <w:szCs w:val="28"/>
    </w:rPr>
  </w:style>
  <w:style w:type="paragraph" w:styleId="Heading2">
    <w:name w:val="heading 2"/>
    <w:uiPriority w:val="9"/>
    <w:unhideWhenUsed/>
    <w:qFormat/>
    <w:pPr>
      <w:spacing w:before="240" w:after="120"/>
      <w:outlineLvl w:val="1"/>
    </w:pPr>
    <w:rPr>
      <w:b/>
      <w:bCs/>
      <w:color w:val="2E549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FPW0003</dc:title>
  <cp:revision>0</cp:revision>
</cp:coreProperties>
</file>