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766CF" w:rsidP="0088057E">
      <w:pPr>
        <w:spacing w:after="320"/>
        <w:jc w:val="center"/>
      </w:pPr>
      <w:r>
        <w:rPr>
          <w:b/>
          <w:bCs/>
        </w:rPr>
        <w:t>Written evidence submitted by Public Health Wales (CPW0022)</w:t>
      </w:r>
    </w:p>
    <w:p w:rsidR="00D766CF">
      <w:pPr>
        <w:spacing w:before="260" w:after="160"/>
      </w:pPr>
      <w:r>
        <w:rPr>
          <w:b/>
          <w:bCs/>
        </w:rPr>
        <w:t>About Public Health Wales</w:t>
      </w:r>
    </w:p>
    <w:p w:rsidR="00D766CF">
      <w:pPr>
        <w:spacing w:after="200" w:line="276" w:lineRule="auto"/>
      </w:pPr>
      <w:r>
        <w:t>Public Health Wales (PHW) is the national public health organisation for Wales. We work with partners across sectors to protect and improve health and wellbeing and to reduce inequalities. Reducing child poverty is central to achieving a healthier future, as poverty is one of the most significant drivers of poor health outcomes across the life course. While many levers to tackle child poverty are devolved</w:t>
      </w:r>
      <w:r>
        <w:rPr>
          <w:rStyle w:val="FootnoteReference"/>
        </w:rPr>
        <w:footnoteReference w:id="2"/>
      </w:r>
      <w:r>
        <w:t>, key determinants such as social security, employment regulation and fiscal policy are reserved. PHW therefore supports a coordinated Four Nations approach to achieving sustained reductions in child poverty and looks forward to progressing this work through a Five Nations Public Health Group (UK nations and Ireland), which will commence in May.</w:t>
      </w:r>
    </w:p>
    <w:p w:rsidR="00D766CF">
      <w:pPr>
        <w:spacing w:before="260" w:after="160"/>
      </w:pPr>
      <w:r>
        <w:rPr>
          <w:b/>
          <w:bCs/>
        </w:rPr>
        <w:t>Q1: Barriers to Wales realising the ambitions of the UK Government’s 2025 Child Poverty Strategy</w:t>
      </w:r>
    </w:p>
    <w:p w:rsidR="00D766CF">
      <w:pPr>
        <w:spacing w:after="200" w:line="276" w:lineRule="auto"/>
      </w:pPr>
      <w:r>
        <w:t>Low income, rising living costs, and constrained access to local support are the primary drivers of child poverty in Wales, and these factors are strongly associated with poorer physical and mental health outcomes across the life course.</w:t>
      </w:r>
      <w:r>
        <w:rPr>
          <w:rStyle w:val="FootnoteReference"/>
        </w:rPr>
        <w:footnoteReference w:id="3"/>
      </w:r>
      <w:r>
        <w:rPr>
          <w:rStyle w:val="FootnoteReference"/>
        </w:rPr>
        <w:footnoteReference w:id="4"/>
      </w:r>
      <w:r>
        <w:t xml:space="preserve"> The Strategy’s focus on incomes, costs, and local support is therefore well aligned with the evidence on what drives child poverty and health inequalities.</w:t>
      </w:r>
    </w:p>
    <w:p w:rsidR="00D766CF">
      <w:pPr>
        <w:spacing w:after="200" w:line="276" w:lineRule="auto"/>
      </w:pPr>
      <w:r>
        <w:t>The earliest years of life, particularly the first 1,000 days, represent a critical period in which poverty has enduring and cumulative impacts on health, development, and life chances. However, poverty is experienced differently across childhood, as children’s needs, exposures and protective factors change with age. In early childhood, poverty is closely linked to parental income, nutrition, housing quality, and early development; during school age it increasingly affects learning, social participation, an</w:t>
      </w:r>
      <w:r>
        <w:t>d wellbeing; and in adolescence it shapes mental health, transitions to employment or education, and longer-term life opportunities. These age-specific experiences and impacts are not yet sufficiently reflected in the Strategy.</w:t>
      </w:r>
    </w:p>
    <w:p w:rsidR="00D766CF">
      <w:pPr>
        <w:spacing w:after="200" w:line="276" w:lineRule="auto"/>
      </w:pPr>
      <w:r>
        <w:t>The most significant structural barriers to reducing child poverty in Wales are the absence of statutory, UK-wide targets and accountability mechanisms, and the lack of clear coordination on key non-devolved levers, including social security, employment regulation, and aspects of childcare affordability.</w:t>
      </w:r>
      <w:r>
        <w:rPr>
          <w:rStyle w:val="FootnoteReference"/>
        </w:rPr>
        <w:footnoteReference w:id="5"/>
      </w:r>
      <w:r>
        <w:rPr>
          <w:rStyle w:val="FootnoteReference"/>
        </w:rPr>
        <w:footnoteReference w:id="6"/>
      </w:r>
    </w:p>
    <w:p w:rsidR="00D766CF">
      <w:pPr>
        <w:spacing w:after="200" w:line="276" w:lineRule="auto"/>
      </w:pPr>
      <w:r>
        <w:t>Evidence from Scotland demonstrates that legally binding child poverty targets, supported by mandatory annual reporting and interim milestones, strengthen accountability and enable governments to identify when progress is off-track and adjust policy accordingly. The Scottish Government’s 2024–25 statutory progress report explicitly assesses performance against interim targets set in the Child Poverty (Scotland) Act 2017 and explains the policy implications of missed milestones, illustrating how statutory fr</w:t>
      </w:r>
      <w:r>
        <w:t>ameworks support transparency and course correction.</w:t>
      </w:r>
      <w:r>
        <w:rPr>
          <w:rStyle w:val="FootnoteReference"/>
        </w:rPr>
        <w:footnoteReference w:id="7"/>
      </w:r>
    </w:p>
    <w:p w:rsidR="00D766CF">
      <w:pPr>
        <w:spacing w:before="260" w:after="160"/>
      </w:pPr>
      <w:r>
        <w:rPr>
          <w:b/>
          <w:bCs/>
        </w:rPr>
        <w:t>Q2: Effectiveness of UK–Welsh Government working</w:t>
      </w:r>
    </w:p>
    <w:p w:rsidR="00D766CF">
      <w:pPr>
        <w:spacing w:after="200" w:line="276" w:lineRule="auto"/>
      </w:pPr>
      <w:r>
        <w:t>Building on existing alignment, there is scope to further enhance coherence between UK monitoring frameworks and devolved indicators. Deepening integration across health, housing, and food insecurity measures, and strengthening joint planning with shared outcomes on early years and prevention, would further support a more joined-up approach.</w:t>
      </w:r>
    </w:p>
    <w:p w:rsidR="00D766CF">
      <w:pPr>
        <w:spacing w:after="200" w:line="276" w:lineRule="auto"/>
      </w:pPr>
      <w:r>
        <w:t>The evidence demonstrates that shared outcomes, aligned indicators, and joint accountability mechanisms are essential to support coherent, evidence informed action on child poverty. Addressing this would strengthen the current approach and enable it to operate at the scale and maturity required to make progress on what are entrenched and widening inequalities.</w:t>
      </w:r>
    </w:p>
    <w:p w:rsidR="00D766CF">
      <w:pPr>
        <w:spacing w:before="260" w:after="160"/>
      </w:pPr>
      <w:r>
        <w:rPr>
          <w:b/>
          <w:bCs/>
        </w:rPr>
        <w:t>Q3: Coordination between devolved and reserved agencies</w:t>
      </w:r>
    </w:p>
    <w:p w:rsidR="00D766CF">
      <w:pPr>
        <w:spacing w:after="200" w:line="276" w:lineRule="auto"/>
      </w:pPr>
      <w:r>
        <w:t>Wales benefits from strong coordination across devolved systems, with established partnerships spanning health, education, housing, and social care, aligned to a preventative, place-based approach. Coordination between devolved and reserved systems is affected by differing governance arrangements, particularly in relation to social security and employment.</w:t>
      </w:r>
    </w:p>
    <w:p w:rsidR="00D766CF">
      <w:pPr>
        <w:spacing w:after="200" w:line="276" w:lineRule="auto"/>
      </w:pPr>
      <w:r>
        <w:t>Strengthening the coordination between reserved and devolved agencies and policies would mutually enhance the effectiveness of efforts to prevent and mitigate child poverty. For example, devolved support for families in poverty is most effective when there is alignment with reserved factors such as benefit levels, support for housing costs within the social security system, and Universal Credit design. Enhanced mechanisms for joint planning, data sharing, and shared accountability would enable efforts at de</w:t>
      </w:r>
      <w:r>
        <w:t>volved and reserved levels to reinforce each other and increase overall impact.</w:t>
      </w:r>
    </w:p>
    <w:p w:rsidR="00D766CF">
      <w:pPr>
        <w:spacing w:before="260" w:after="160"/>
      </w:pPr>
      <w:r>
        <w:rPr>
          <w:b/>
          <w:bCs/>
        </w:rPr>
        <w:t>Q4: Are children’s voices heard loudly enough by UK policymakers?</w:t>
      </w:r>
    </w:p>
    <w:p w:rsidR="00D766CF">
      <w:pPr>
        <w:spacing w:after="200" w:line="276" w:lineRule="auto"/>
      </w:pPr>
      <w:r>
        <w:t>Evidence from the Children’s Commissioner for Wales and the Joseph Rowntree Foundation indicates that the voices of children and families with lived experience of poverty are not yet systematically embedded in policymaking at either UK or Wales level.</w:t>
      </w:r>
      <w:r>
        <w:rPr>
          <w:rStyle w:val="FootnoteReference"/>
        </w:rPr>
        <w:footnoteReference w:id="8"/>
      </w:r>
      <w:r>
        <w:t xml:space="preserve"> This gap is particularly evident for those at greatest risk of experiencing poverty and related health harms, including babies and very young children, care-experienced children, lone-parent families, children in temporary accommodation, disabled children, and children from minority ethnic families. Strengthening mechanisms to embed these voices would support more effective, preventive and equitable policy design.</w:t>
      </w:r>
      <w:r>
        <w:rPr>
          <w:rStyle w:val="FootnoteReference"/>
        </w:rPr>
        <w:footnoteReference w:id="9"/>
      </w:r>
      <w:r>
        <w:rPr>
          <w:rStyle w:val="FootnoteReference"/>
        </w:rPr>
        <w:footnoteReference w:id="10"/>
      </w:r>
    </w:p>
    <w:p w:rsidR="00D766CF">
      <w:pPr>
        <w:spacing w:after="200" w:line="276" w:lineRule="auto"/>
      </w:pPr>
      <w:r>
        <w:t xml:space="preserve">In Wales we have the legislative tools to provide a structured means of incorporating lived experience, assessing distributional impacts, and preventing unintended harms through the Well-being of Future Generations (Wales) Act and its Five Ways of Working (involvement, collaboration, integration, prevention, long-term) and the systematic use of the Health Impact Assessments (Wales) Regulations 2025. Embedding these approaches would enable Wales (and the UK more </w:t>
      </w:r>
      <w:r>
        <w:t>broadly) to move beyond ad hoc engagement of those with lived experience towards co-produced, preventative policy design over the long term.</w:t>
      </w:r>
    </w:p>
    <w:p w:rsidR="00D766CF">
      <w:pPr>
        <w:spacing w:before="260" w:after="160"/>
      </w:pPr>
      <w:r>
        <w:rPr>
          <w:b/>
          <w:bCs/>
        </w:rPr>
        <w:t>Q5 + 6: Improving data and its use to address child poverty</w:t>
      </w:r>
    </w:p>
    <w:p w:rsidR="00D766CF">
      <w:pPr>
        <w:spacing w:after="200" w:line="276" w:lineRule="auto"/>
      </w:pPr>
      <w:r>
        <w:t>Robust, high-quality data is essential for targeting need, tracking progress, and strengthening accountability. Child poverty data should:</w:t>
      </w:r>
    </w:p>
    <w:p w:rsidR="00D766CF">
      <w:pPr>
        <w:pStyle w:val="ListParagraph"/>
        <w:numPr>
          <w:ilvl w:val="0"/>
          <w:numId w:val="2"/>
        </w:numPr>
        <w:spacing w:after="120" w:line="276" w:lineRule="auto"/>
      </w:pPr>
      <w:r>
        <w:t>be disaggregated by age, geography and protected characteristics to reveal inequalities and target action;</w:t>
      </w:r>
    </w:p>
    <w:p w:rsidR="00D766CF">
      <w:pPr>
        <w:pStyle w:val="ListParagraph"/>
        <w:numPr>
          <w:ilvl w:val="0"/>
          <w:numId w:val="2"/>
        </w:numPr>
        <w:spacing w:after="120" w:line="276" w:lineRule="auto"/>
      </w:pPr>
      <w:r>
        <w:t>measure the depth and persistence of poverty, not only prevalence; and</w:t>
      </w:r>
    </w:p>
    <w:p w:rsidR="00D766CF">
      <w:pPr>
        <w:pStyle w:val="ListParagraph"/>
        <w:numPr>
          <w:ilvl w:val="0"/>
          <w:numId w:val="2"/>
        </w:numPr>
        <w:spacing w:after="120" w:line="276" w:lineRule="auto"/>
      </w:pPr>
      <w:r>
        <w:t>include health, food insecurity, and housing indicators, capturing both drivers and impacts of poverty.</w:t>
      </w:r>
    </w:p>
    <w:p w:rsidR="00D766CF">
      <w:pPr>
        <w:spacing w:after="200" w:line="276" w:lineRule="auto"/>
      </w:pPr>
      <w:r>
        <w:t>Local analytical capacity and timely, granular data is important in supporting effective prevention, service planning, and delivery.</w:t>
      </w:r>
    </w:p>
    <w:p w:rsidR="00D766CF">
      <w:pPr>
        <w:spacing w:after="200" w:line="276" w:lineRule="auto"/>
      </w:pPr>
      <w:r>
        <w:t>Improved and shared data enables more effective action by:</w:t>
      </w:r>
    </w:p>
    <w:p w:rsidR="00D766CF">
      <w:pPr>
        <w:pStyle w:val="ListParagraph"/>
        <w:numPr>
          <w:ilvl w:val="0"/>
          <w:numId w:val="2"/>
        </w:numPr>
        <w:spacing w:after="120" w:line="276" w:lineRule="auto"/>
      </w:pPr>
      <w:r>
        <w:t>targeting groups facing compounded disadvantage;</w:t>
      </w:r>
    </w:p>
    <w:p w:rsidR="00D766CF">
      <w:pPr>
        <w:pStyle w:val="ListParagraph"/>
        <w:numPr>
          <w:ilvl w:val="0"/>
          <w:numId w:val="2"/>
        </w:numPr>
        <w:spacing w:after="120" w:line="276" w:lineRule="auto"/>
      </w:pPr>
      <w:r>
        <w:t>strengthening accountability through clear theories of change linking action to outcomes;</w:t>
      </w:r>
    </w:p>
    <w:p w:rsidR="00D766CF">
      <w:pPr>
        <w:pStyle w:val="ListParagraph"/>
        <w:numPr>
          <w:ilvl w:val="0"/>
          <w:numId w:val="2"/>
        </w:numPr>
        <w:spacing w:after="120" w:line="276" w:lineRule="auto"/>
      </w:pPr>
      <w:r>
        <w:t>aligning UK and Welsh monitoring frameworks and indicators;</w:t>
      </w:r>
      <w:r>
        <w:rPr>
          <w:rStyle w:val="FootnoteReference"/>
        </w:rPr>
        <w:footnoteReference w:id="11"/>
      </w:r>
      <w:r>
        <w:rPr>
          <w:rStyle w:val="FootnoteReference"/>
        </w:rPr>
        <w:footnoteReference w:id="12"/>
      </w:r>
    </w:p>
    <w:p w:rsidR="00D766CF">
      <w:pPr>
        <w:pStyle w:val="ListParagraph"/>
        <w:numPr>
          <w:ilvl w:val="0"/>
          <w:numId w:val="2"/>
        </w:numPr>
        <w:spacing w:after="120" w:line="276" w:lineRule="auto"/>
      </w:pPr>
      <w:r>
        <w:t>linking poverty reduction to health outcomes, ensuring long term impacts are measured; and</w:t>
      </w:r>
    </w:p>
    <w:p w:rsidR="00D766CF">
      <w:pPr>
        <w:pStyle w:val="ListParagraph"/>
        <w:numPr>
          <w:ilvl w:val="0"/>
          <w:numId w:val="2"/>
        </w:numPr>
        <w:spacing w:after="120" w:line="276" w:lineRule="auto"/>
      </w:pPr>
      <w:r>
        <w:t>enabling Local Authorities and Health Boards to design evidence informed early intervention.</w:t>
      </w:r>
    </w:p>
    <w:p w:rsidR="00D766CF">
      <w:pPr>
        <w:spacing w:before="260" w:after="160"/>
      </w:pPr>
      <w:r>
        <w:rPr>
          <w:b/>
          <w:bCs/>
        </w:rPr>
        <w:t>Additional comments on strengthening delivery: destination, theory of change, and accountability</w:t>
      </w:r>
    </w:p>
    <w:p w:rsidR="00D766CF">
      <w:pPr>
        <w:spacing w:after="200" w:line="276" w:lineRule="auto"/>
      </w:pPr>
      <w:r>
        <w:t>Sustained reductions in child poverty require a clearly articulated outcome of fewer children living in poverty and fewer children experiencing deprivation underpinned by an explicit theory of change. This theory needs to set out how action across UK, devolved, and local levels combines to achieve shared outcomes, recognising where different policy levers sit and how they interact.</w:t>
      </w:r>
    </w:p>
    <w:p w:rsidR="00D766CF">
      <w:pPr>
        <w:spacing w:after="200" w:line="276" w:lineRule="auto"/>
      </w:pPr>
      <w:r>
        <w:t>Progress is most likely where governments agree shared outcomes, align policy levers to those outcomes, and invest over the long term, supported by statutory targets, interim milestones, and transparent accountability. Clear theories of change strengthen delivery across systems, enable early identification of what is not working, and support timely course correction.</w:t>
      </w:r>
    </w:p>
    <w:p w:rsidR="00D766CF">
      <w:pPr>
        <w:spacing w:after="200" w:line="276" w:lineRule="auto"/>
      </w:pPr>
      <w:r>
        <w:t>Robust monitoring frameworks, with shared indicators that track both poverty outcomes and their impacts on children’s health and wellbeing, are essential to knowing whether progress is being made and when the agreed destination has been reached.</w:t>
      </w:r>
    </w:p>
    <w:p w:rsidR="00D766CF">
      <w:pPr>
        <w:spacing w:after="200" w:line="276" w:lineRule="auto"/>
      </w:pPr>
      <w:r>
        <w:t>Within this context, a strengthened Four Nations approach provides critical space and opportunity to agree shared ambitions, develop a common theory of change across devolved and reserved systems, and align monitoring and accountability arrangements. Collaborative, outcome-focused approaches are essential to addressing entrenched and complex inequalities where responsibilities span multiple levels of government.</w:t>
      </w:r>
    </w:p>
    <w:p w:rsidR="00D766CF">
      <w:pPr>
        <w:spacing w:after="200" w:line="276" w:lineRule="auto"/>
      </w:pPr>
      <w:r>
        <w:t>PHW would support a Four Nations approach that is explicitly evidence-led, outcome focused, and theory driven, enabling governments to act with greater coherence, accountability, and impact to reduce child poverty and deprivation in Wales and across the UK.</w:t>
      </w:r>
    </w:p>
    <w:p w:rsidR="00D766CF"/>
    <w:p w:rsidR="00D766CF"/>
    <w:p w:rsidR="00D766CF"/>
    <w:p w:rsidR="00D766CF">
      <w:r>
        <w:rPr>
          <w:i/>
          <w:iCs/>
        </w:rPr>
        <w:t>June 2026</w:t>
      </w:r>
    </w:p>
    <w:sectPr>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AE6FFC">
      <w:r>
        <w:separator/>
      </w:r>
    </w:p>
  </w:footnote>
  <w:footnote w:type="continuationSeparator" w:id="1">
    <w:p w:rsidR="00AE6FFC">
      <w:r>
        <w:continuationSeparator/>
      </w:r>
    </w:p>
  </w:footnote>
  <w:footnote w:id="2">
    <w:p w:rsidR="00D766CF">
      <w:r>
        <w:rPr>
          <w:rStyle w:val="FootnoteReference"/>
        </w:rPr>
        <w:footnoteRef/>
      </w:r>
      <w:r>
        <w:rPr>
          <w:sz w:val="20"/>
          <w:szCs w:val="20"/>
        </w:rPr>
        <w:t xml:space="preserve">Hayre J. (2026). </w:t>
      </w:r>
      <w:r>
        <w:fldChar w:fldCharType="begin"/>
      </w:r>
      <w:r>
        <w:instrText xml:space="preserve"> HYPERLINK "https://pmc.ncbi.nlm.nih.gov/articles/PMC12815098/" </w:instrText>
      </w:r>
      <w:r>
        <w:fldChar w:fldCharType="separate"/>
      </w:r>
      <w:r>
        <w:rPr>
          <w:color w:val="0563C1"/>
          <w:sz w:val="20"/>
          <w:szCs w:val="20"/>
          <w:u w:val="single"/>
        </w:rPr>
        <w:t>Tackling child poverty in the UK – PMC</w:t>
      </w:r>
      <w:r>
        <w:fldChar w:fldCharType="end"/>
      </w:r>
      <w:r>
        <w:rPr>
          <w:sz w:val="20"/>
          <w:szCs w:val="20"/>
        </w:rPr>
        <w:t>. BMJ Paediatrics Open.</w:t>
      </w:r>
    </w:p>
  </w:footnote>
  <w:footnote w:id="3">
    <w:p w:rsidR="00D766CF">
      <w:r>
        <w:rPr>
          <w:rStyle w:val="FootnoteReference"/>
        </w:rPr>
        <w:footnoteRef/>
      </w:r>
      <w:r>
        <w:rPr>
          <w:sz w:val="20"/>
          <w:szCs w:val="20"/>
        </w:rPr>
        <w:t xml:space="preserve">UK Government Cabinet Office (2025). </w:t>
      </w:r>
      <w:r>
        <w:fldChar w:fldCharType="begin"/>
      </w:r>
      <w:r>
        <w:instrText xml:space="preserve"> HYPERLINK "https://assets.publishing.service.gov.uk/media/6931ae810cf0b7e681ff4282/child-poverty-strategy-evidence-pack.pdf" </w:instrText>
      </w:r>
      <w:r>
        <w:fldChar w:fldCharType="separate"/>
      </w:r>
      <w:r>
        <w:rPr>
          <w:color w:val="0563C1"/>
          <w:sz w:val="20"/>
          <w:szCs w:val="20"/>
          <w:u w:val="single"/>
        </w:rPr>
        <w:t>Child Poverty Strategy: Evidence Pack</w:t>
      </w:r>
      <w:r>
        <w:fldChar w:fldCharType="end"/>
      </w:r>
      <w:r>
        <w:rPr>
          <w:sz w:val="20"/>
          <w:szCs w:val="20"/>
        </w:rPr>
        <w:t>.</w:t>
      </w:r>
    </w:p>
  </w:footnote>
  <w:footnote w:id="4">
    <w:p w:rsidR="00D766CF">
      <w:r>
        <w:rPr>
          <w:rStyle w:val="FootnoteReference"/>
        </w:rPr>
        <w:footnoteRef/>
      </w:r>
      <w:r>
        <w:rPr>
          <w:sz w:val="20"/>
          <w:szCs w:val="20"/>
        </w:rPr>
        <w:t xml:space="preserve">CPAG (2024). </w:t>
      </w:r>
      <w:r>
        <w:fldChar w:fldCharType="begin"/>
      </w:r>
      <w:r>
        <w:instrText xml:space="preserve"> HYPERLINK "https://cpag.org.uk/news/state-nations-lessons-tackling-child-poverty-across-four-nations" </w:instrText>
      </w:r>
      <w:r>
        <w:fldChar w:fldCharType="separate"/>
      </w:r>
      <w:r>
        <w:rPr>
          <w:color w:val="0563C1"/>
          <w:sz w:val="20"/>
          <w:szCs w:val="20"/>
          <w:u w:val="single"/>
        </w:rPr>
        <w:t>State of the Nations: lessons in tackling child poverty from across the four nations</w:t>
      </w:r>
      <w:r>
        <w:fldChar w:fldCharType="end"/>
      </w:r>
      <w:r>
        <w:rPr>
          <w:sz w:val="20"/>
          <w:szCs w:val="20"/>
        </w:rPr>
        <w:t>.</w:t>
      </w:r>
    </w:p>
  </w:footnote>
  <w:footnote w:id="5">
    <w:p w:rsidR="00D766CF">
      <w:r>
        <w:rPr>
          <w:rStyle w:val="FootnoteReference"/>
        </w:rPr>
        <w:footnoteRef/>
      </w:r>
      <w:r>
        <w:rPr>
          <w:sz w:val="20"/>
          <w:szCs w:val="20"/>
        </w:rPr>
        <w:t xml:space="preserve">Scottish Government (2025). </w:t>
      </w:r>
      <w:r>
        <w:fldChar w:fldCharType="begin"/>
      </w:r>
      <w:r>
        <w:instrText xml:space="preserve"> HYPERLINK "https://www.gov.scot/publications/child-poverty-evidence-in-policy-making/" </w:instrText>
      </w:r>
      <w:r>
        <w:fldChar w:fldCharType="separate"/>
      </w:r>
      <w:r>
        <w:rPr>
          <w:color w:val="0563C1"/>
          <w:sz w:val="20"/>
          <w:szCs w:val="20"/>
          <w:u w:val="single"/>
        </w:rPr>
        <w:t>Child poverty: evidence in policy making – gov.scot</w:t>
      </w:r>
      <w:r>
        <w:fldChar w:fldCharType="end"/>
      </w:r>
      <w:r>
        <w:rPr>
          <w:sz w:val="20"/>
          <w:szCs w:val="20"/>
        </w:rPr>
        <w:t>.</w:t>
      </w:r>
    </w:p>
  </w:footnote>
  <w:footnote w:id="6">
    <w:p w:rsidR="00D766CF">
      <w:r>
        <w:rPr>
          <w:rStyle w:val="FootnoteReference"/>
        </w:rPr>
        <w:footnoteRef/>
      </w:r>
      <w:r>
        <w:rPr>
          <w:sz w:val="20"/>
          <w:szCs w:val="20"/>
        </w:rPr>
        <w:t xml:space="preserve">CPAG (2024). </w:t>
      </w:r>
      <w:r>
        <w:fldChar w:fldCharType="begin"/>
      </w:r>
      <w:r>
        <w:instrText xml:space="preserve"> HYPERLINK "https://cpag.org.uk/news/state-nations-lessons-tackling-child-poverty-across-four-nations" </w:instrText>
      </w:r>
      <w:r>
        <w:fldChar w:fldCharType="separate"/>
      </w:r>
      <w:r>
        <w:rPr>
          <w:color w:val="0563C1"/>
          <w:sz w:val="20"/>
          <w:szCs w:val="20"/>
          <w:u w:val="single"/>
        </w:rPr>
        <w:t>State of the Nations: lessons in tackling child poverty from across the four nations</w:t>
      </w:r>
      <w:r>
        <w:fldChar w:fldCharType="end"/>
      </w:r>
      <w:r>
        <w:rPr>
          <w:sz w:val="20"/>
          <w:szCs w:val="20"/>
        </w:rPr>
        <w:t>.</w:t>
      </w:r>
    </w:p>
  </w:footnote>
  <w:footnote w:id="7">
    <w:p w:rsidR="00D766CF">
      <w:r>
        <w:rPr>
          <w:rStyle w:val="FootnoteReference"/>
        </w:rPr>
        <w:footnoteRef/>
      </w:r>
      <w:r>
        <w:rPr>
          <w:sz w:val="20"/>
          <w:szCs w:val="20"/>
        </w:rPr>
        <w:t xml:space="preserve">Scottish Government (2025). </w:t>
      </w:r>
      <w:r>
        <w:fldChar w:fldCharType="begin"/>
      </w:r>
      <w:r>
        <w:instrText xml:space="preserve"> HYPERLINK "https://www.gov.scot/publications/child-poverty-evidence-in-policy-making/" </w:instrText>
      </w:r>
      <w:r>
        <w:fldChar w:fldCharType="separate"/>
      </w:r>
      <w:r>
        <w:rPr>
          <w:color w:val="0563C1"/>
          <w:sz w:val="20"/>
          <w:szCs w:val="20"/>
          <w:u w:val="single"/>
        </w:rPr>
        <w:t>Child poverty: evidence in policy making – gov.scot</w:t>
      </w:r>
      <w:r>
        <w:fldChar w:fldCharType="end"/>
      </w:r>
      <w:r>
        <w:rPr>
          <w:sz w:val="20"/>
          <w:szCs w:val="20"/>
        </w:rPr>
        <w:t>.</w:t>
      </w:r>
    </w:p>
  </w:footnote>
  <w:footnote w:id="8">
    <w:p w:rsidR="00AE6FFC">
      <w:r>
        <w:rPr>
          <w:rStyle w:val="FootnoteReference"/>
        </w:rPr>
        <w:footnoteRef/>
      </w:r>
      <w:r>
        <w:rPr>
          <w:sz w:val="20"/>
          <w:szCs w:val="20"/>
        </w:rPr>
        <w:t xml:space="preserve">Joseph Rowntree Foundation (2025). </w:t>
      </w:r>
      <w:r>
        <w:fldChar w:fldCharType="begin"/>
      </w:r>
      <w:r>
        <w:instrText xml:space="preserve"> HYPERLINK "https://www.jrf.org.uk/uk-poverty-2025-the-essential-guide-to-understanding-poverty-in-the-uk" </w:instrText>
      </w:r>
      <w:r>
        <w:fldChar w:fldCharType="separate"/>
      </w:r>
      <w:r>
        <w:rPr>
          <w:color w:val="0563C1"/>
          <w:sz w:val="20"/>
          <w:szCs w:val="20"/>
          <w:u w:val="single"/>
        </w:rPr>
        <w:t>UK Poverty 2025: the essential guide to understanding poverty in the UK</w:t>
      </w:r>
      <w:r>
        <w:fldChar w:fldCharType="end"/>
      </w:r>
      <w:r>
        <w:rPr>
          <w:sz w:val="20"/>
          <w:szCs w:val="20"/>
        </w:rPr>
        <w:t>.</w:t>
      </w:r>
    </w:p>
  </w:footnote>
  <w:footnote w:id="9">
    <w:p w:rsidR="00D766CF">
      <w:r>
        <w:rPr>
          <w:rStyle w:val="FootnoteReference"/>
        </w:rPr>
        <w:footnoteRef/>
      </w:r>
      <w:r>
        <w:rPr>
          <w:sz w:val="20"/>
          <w:szCs w:val="20"/>
        </w:rPr>
        <w:t xml:space="preserve">Children’s Commissioner for Wales (2026). </w:t>
      </w:r>
      <w:r>
        <w:fldChar w:fldCharType="begin"/>
      </w:r>
      <w:r>
        <w:instrText xml:space="preserve"> HYPERLINK "https://www.childcomwales.org.uk/our-work/policy-positions/child-poverty/" </w:instrText>
      </w:r>
      <w:r>
        <w:fldChar w:fldCharType="separate"/>
      </w:r>
      <w:r>
        <w:rPr>
          <w:color w:val="0563C1"/>
          <w:sz w:val="20"/>
          <w:szCs w:val="20"/>
          <w:u w:val="single"/>
        </w:rPr>
        <w:t>Child poverty – Policy positions</w:t>
      </w:r>
      <w:r>
        <w:fldChar w:fldCharType="end"/>
      </w:r>
      <w:r>
        <w:rPr>
          <w:sz w:val="20"/>
          <w:szCs w:val="20"/>
        </w:rPr>
        <w:t>.</w:t>
      </w:r>
    </w:p>
  </w:footnote>
  <w:footnote w:id="10">
    <w:p w:rsidR="00D766CF">
      <w:r>
        <w:rPr>
          <w:rStyle w:val="FootnoteReference"/>
        </w:rPr>
        <w:footnoteRef/>
      </w:r>
      <w:r>
        <w:rPr>
          <w:sz w:val="20"/>
          <w:szCs w:val="20"/>
        </w:rPr>
        <w:t xml:space="preserve">Joseph Rowntree Foundation (2025). </w:t>
      </w:r>
      <w:r>
        <w:fldChar w:fldCharType="begin"/>
      </w:r>
      <w:r>
        <w:instrText xml:space="preserve"> HYPERLINK "https://www.jrf.org.uk/uk-poverty-2025-the-essential-guide-to-understanding-poverty-in-the-uk" </w:instrText>
      </w:r>
      <w:r>
        <w:fldChar w:fldCharType="separate"/>
      </w:r>
      <w:r>
        <w:rPr>
          <w:color w:val="0563C1"/>
          <w:sz w:val="20"/>
          <w:szCs w:val="20"/>
          <w:u w:val="single"/>
        </w:rPr>
        <w:t>UK Poverty 2025: the essential guide to understanding poverty in the UK</w:t>
      </w:r>
      <w:r>
        <w:fldChar w:fldCharType="end"/>
      </w:r>
      <w:r>
        <w:rPr>
          <w:sz w:val="20"/>
          <w:szCs w:val="20"/>
        </w:rPr>
        <w:t>.</w:t>
      </w:r>
    </w:p>
  </w:footnote>
  <w:footnote w:id="11">
    <w:p w:rsidR="00D766CF">
      <w:r>
        <w:rPr>
          <w:rStyle w:val="FootnoteReference"/>
        </w:rPr>
        <w:footnoteRef/>
      </w:r>
      <w:r>
        <w:rPr>
          <w:sz w:val="20"/>
          <w:szCs w:val="20"/>
        </w:rPr>
        <w:t xml:space="preserve">UK Government Cabinet Office (2025). </w:t>
      </w:r>
      <w:r>
        <w:fldChar w:fldCharType="begin"/>
      </w:r>
      <w:r>
        <w:instrText xml:space="preserve"> HYPERLINK "https://assets.publishing.service.gov.uk/media/6931ae810cf0b7e681ff4282/child-poverty-strategy-evidence-pack.pdf" </w:instrText>
      </w:r>
      <w:r>
        <w:fldChar w:fldCharType="separate"/>
      </w:r>
      <w:r>
        <w:rPr>
          <w:color w:val="0563C1"/>
          <w:sz w:val="20"/>
          <w:szCs w:val="20"/>
          <w:u w:val="single"/>
        </w:rPr>
        <w:t>Child Poverty Strategy: Evidence Pack</w:t>
      </w:r>
      <w:r>
        <w:fldChar w:fldCharType="end"/>
      </w:r>
      <w:r>
        <w:rPr>
          <w:sz w:val="20"/>
          <w:szCs w:val="20"/>
        </w:rPr>
        <w:t>.</w:t>
      </w:r>
    </w:p>
  </w:footnote>
  <w:footnote w:id="12">
    <w:p w:rsidR="00D766CF">
      <w:r>
        <w:rPr>
          <w:rStyle w:val="FootnoteReference"/>
        </w:rPr>
        <w:footnoteRef/>
      </w:r>
      <w:r>
        <w:rPr>
          <w:sz w:val="20"/>
          <w:szCs w:val="20"/>
        </w:rPr>
        <w:t xml:space="preserve">CPAG (2024). </w:t>
      </w:r>
      <w:r>
        <w:fldChar w:fldCharType="begin"/>
      </w:r>
      <w:r>
        <w:instrText xml:space="preserve"> HYPERLINK "https://cpag.org.uk/news/state-nations-lessons-tackling-child-poverty-across-four-nations" </w:instrText>
      </w:r>
      <w:r>
        <w:fldChar w:fldCharType="separate"/>
      </w:r>
      <w:r>
        <w:rPr>
          <w:color w:val="0563C1"/>
          <w:sz w:val="20"/>
          <w:szCs w:val="20"/>
          <w:u w:val="single"/>
        </w:rPr>
        <w:t>State of the Nations: lessons in tackling child poverty from across the four nations</w:t>
      </w:r>
      <w:r>
        <w:fldChar w:fldCharType="end"/>
      </w:r>
      <w:r>
        <w:rPr>
          <w:sz w:val="20"/>
          <w:szCs w:val="20"/>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DB949C8"/>
    <w:multiLevelType w:val="hybridMultilevel"/>
    <w:tmpl w:val="72F49DBA"/>
    <w:lvl w:ilvl="0">
      <w:start w:val="1"/>
      <w:numFmt w:val="decimal"/>
      <w:lvlText w:val="%1."/>
      <w:lvlJc w:val="left"/>
      <w:pPr>
        <w:ind w:left="720" w:hanging="36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31F114EC"/>
    <w:multiLevelType w:val="hybridMultilevel"/>
    <w:tmpl w:val="A5C8772E"/>
    <w:lvl w:ilvl="0">
      <w:start w:val="1"/>
      <w:numFmt w:val="bullet"/>
      <w:lvlText w:val="•"/>
      <w:lvlJc w:val="left"/>
      <w:pPr>
        <w:ind w:left="720" w:hanging="360"/>
      </w:pPr>
    </w:lvl>
    <w:lvl w:ilvl="1">
      <w:start w:val="1"/>
      <w:numFmt w:val="bullet"/>
      <w:lvlText w:val="◦"/>
      <w:lvlJc w:val="left"/>
      <w:pPr>
        <w:ind w:left="1440" w:hanging="360"/>
      </w:pPr>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
    <w:nsid w:val="656D4483"/>
    <w:multiLevelType w:val="hybridMultilevel"/>
    <w:tmpl w:val="13A0536E"/>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3">
    <w:nsid w:val="6B3764AE"/>
    <w:multiLevelType w:val="hybridMultilevel"/>
    <w:tmpl w:val="448AAEFC"/>
    <w:lvl w:ilvl="0">
      <w:start w:val="1"/>
      <w:numFmt w:val="lowerLetter"/>
      <w:lvlText w:val="%1)"/>
      <w:lvlJc w:val="left"/>
      <w:pPr>
        <w:ind w:left="720" w:hanging="36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num w:numId="1">
    <w:abstractNumId w:val="2"/>
    <w:lvlOverride w:ilvl="0">
      <w:startOverride w:val="1"/>
    </w:lvlOverride>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48F8FC-DB76-4BD9-B113-9C186968D5B4}">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CPW0022</dc:title>
  <cp:revision>0</cp:revision>
</cp:coreProperties>
</file>