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2DD8" w:rsidP="0067688D">
      <w:pPr>
        <w:spacing w:after="320"/>
        <w:jc w:val="center"/>
      </w:pPr>
      <w:r>
        <w:rPr>
          <w:b/>
          <w:bCs/>
        </w:rPr>
        <w:t>Written evidence submitted by Mencap Cymru (CPW0021)</w:t>
      </w:r>
    </w:p>
    <w:p w:rsidR="00CA2DD8">
      <w:pPr>
        <w:spacing w:before="260" w:after="160"/>
      </w:pPr>
      <w:r>
        <w:rPr>
          <w:b/>
          <w:bCs/>
        </w:rPr>
        <w:t>Introduction</w:t>
      </w:r>
    </w:p>
    <w:p w:rsidR="00CA2DD8">
      <w:pPr>
        <w:spacing w:after="200" w:line="276" w:lineRule="auto"/>
      </w:pPr>
      <w:r>
        <w:t>Last year, the Welsh Government stated in their Child Poverty Strategy’s Progress Report that ‘no child should grow up hungry, cold or without hope for the future’.</w:t>
      </w:r>
      <w:r>
        <w:rPr>
          <w:rStyle w:val="FootnoteReference"/>
        </w:rPr>
        <w:footnoteReference w:id="2"/>
      </w:r>
      <w:r>
        <w:t xml:space="preserve"> However, for many children in Wales, this remains the reality they face.</w:t>
      </w:r>
    </w:p>
    <w:p w:rsidR="00CA2DD8">
      <w:pPr>
        <w:spacing w:after="200" w:line="276" w:lineRule="auto"/>
      </w:pPr>
      <w:r>
        <w:t>There has been little change in the percentage of children living in poverty in Wales which remains at around 1 in 3.</w:t>
      </w:r>
      <w:r>
        <w:rPr>
          <w:rStyle w:val="FootnoteReference"/>
        </w:rPr>
        <w:footnoteReference w:id="3"/>
      </w:r>
      <w:r>
        <w:t xml:space="preserve"> We know that where a family member in a household is disabled, the percentage of children living in relative income poverty is higher.</w:t>
      </w:r>
      <w:r>
        <w:rPr>
          <w:rStyle w:val="FootnoteReference"/>
        </w:rPr>
        <w:footnoteReference w:id="4"/>
      </w:r>
    </w:p>
    <w:p w:rsidR="00CA2DD8">
      <w:pPr>
        <w:spacing w:after="200" w:line="276" w:lineRule="auto"/>
      </w:pPr>
      <w:r>
        <w:t>There are approximately 349,000 children aged 0-17 with a learning disability in the UK, with an estimated 15,000 in Wales.</w:t>
      </w:r>
      <w:r>
        <w:rPr>
          <w:rStyle w:val="FootnoteReference"/>
        </w:rPr>
        <w:footnoteReference w:id="5"/>
      </w:r>
    </w:p>
    <w:p w:rsidR="00CA2DD8">
      <w:pPr>
        <w:spacing w:after="200" w:line="276" w:lineRule="auto"/>
      </w:pPr>
      <w:r>
        <w:t>Whilst the Welsh Government has the power to make some decisions to tackle child poverty in Wales, the most powerful levers, including those over welfare and targeted affordability schemes are controlled by the UK Government.</w:t>
      </w:r>
      <w:r>
        <w:rPr>
          <w:rStyle w:val="FootnoteReference"/>
        </w:rPr>
        <w:footnoteReference w:id="6"/>
      </w:r>
      <w:r>
        <w:t xml:space="preserve"> We welcome the Committee’s inquiry which will look at how both governments work together to address child poverty in Wales.</w:t>
      </w:r>
    </w:p>
    <w:p w:rsidR="00CA2DD8">
      <w:pPr>
        <w:spacing w:after="200" w:line="276" w:lineRule="auto"/>
      </w:pPr>
      <w:r>
        <w:t>Our response will highlight some of the key factors which are impacting on families where a loved one has a learning disability and how child poverty has a disproportionate impact when there is a disabled family member in the household.</w:t>
      </w:r>
    </w:p>
    <w:p w:rsidR="00CA2DD8">
      <w:pPr>
        <w:spacing w:before="260" w:after="160"/>
      </w:pPr>
      <w:r>
        <w:rPr>
          <w:b/>
          <w:bCs/>
        </w:rPr>
        <w:t>What is a learning disability?</w:t>
      </w:r>
    </w:p>
    <w:p w:rsidR="00CA2DD8">
      <w:pPr>
        <w:spacing w:after="200" w:line="276" w:lineRule="auto"/>
      </w:pPr>
      <w:r>
        <w:t>A learning disability is a reduced intellectual ability and resulting difficulty with everyday activities which affects someone for their whole life. It is caused when the brain is still developing (before, during or soon after birth). A learning disability e.g. Down Syndrome is different to a learning difficulty (e.g. dyslexia), mental health condition, or Autism, though they can co-occur.</w:t>
      </w:r>
    </w:p>
    <w:p w:rsidR="00CA2DD8">
      <w:pPr>
        <w:spacing w:after="200" w:line="276" w:lineRule="auto"/>
      </w:pPr>
      <w:r>
        <w:t>As a group, people with a learning disability are very diverse, and the type and degree of support needs will vary significantly from person to person. A learning disability can be mild, moderate, severe, or profound. Many people with a learning disability find everyday activities challenging; other people with a learning disability need to be fully supported in all areas of their life. With the right support and an inclusive community, people with a learning disability can thrive.</w:t>
      </w:r>
    </w:p>
    <w:p w:rsidR="00CA2DD8">
      <w:pPr>
        <w:spacing w:before="260" w:after="160"/>
      </w:pPr>
      <w:r>
        <w:rPr>
          <w:b/>
          <w:bCs/>
        </w:rPr>
        <w:t>Our Response</w:t>
      </w:r>
    </w:p>
    <w:p w:rsidR="00CA2DD8">
      <w:pPr>
        <w:spacing w:after="200" w:line="276" w:lineRule="auto"/>
      </w:pPr>
      <w:r>
        <w:t>There has been a significant increase in the proportion of children in poverty living in a household where a family member is disabled (an increase from 31% to 43% of children in poverty).</w:t>
      </w:r>
      <w:r>
        <w:rPr>
          <w:rStyle w:val="FootnoteReference"/>
        </w:rPr>
        <w:footnoteReference w:id="7"/>
      </w:r>
    </w:p>
    <w:p w:rsidR="00CA2DD8">
      <w:pPr>
        <w:spacing w:after="200" w:line="276" w:lineRule="auto"/>
      </w:pPr>
      <w:r>
        <w:t>Children with a learning disability are more likely to experience poverty due to a combination of factors that affect both their families and the child’s restricted access to resources.</w:t>
      </w:r>
    </w:p>
    <w:p w:rsidR="00CA2DD8">
      <w:pPr>
        <w:spacing w:after="200" w:line="276" w:lineRule="auto"/>
      </w:pPr>
      <w:r>
        <w:t xml:space="preserve">There are many factors which we would like the Committee to consider when considering the impact of child poverty on families in </w:t>
      </w:r>
      <w:r>
        <w:t>Wales:-</w:t>
      </w:r>
    </w:p>
    <w:p w:rsidR="00CA2DD8">
      <w:pPr>
        <w:spacing w:before="260" w:after="160"/>
      </w:pPr>
      <w:r>
        <w:rPr>
          <w:b/>
          <w:bCs/>
        </w:rPr>
        <w:t>a) Increased extra costs</w:t>
      </w:r>
    </w:p>
    <w:p w:rsidR="00CA2DD8">
      <w:pPr>
        <w:spacing w:after="200" w:line="276" w:lineRule="auto"/>
      </w:pPr>
      <w:r>
        <w:t xml:space="preserve">People with learning disabilities draw on different types of support to enable them to live rich and fulfilling lives. People with a learning disability, their families and carers often </w:t>
      </w:r>
      <w:r>
        <w:t>have to</w:t>
      </w:r>
      <w:r>
        <w:t xml:space="preserve"> pay more for essential disability-related specialist products, equipment, and services. For example, mobility aids, car or home adaptations, medicines, and extra therapies. There are also often extra costs of special clothing or footwear or specific dietary needs.</w:t>
      </w:r>
      <w:r>
        <w:rPr>
          <w:rStyle w:val="FootnoteReference"/>
        </w:rPr>
        <w:footnoteReference w:id="8"/>
      </w:r>
    </w:p>
    <w:p w:rsidR="00CA2DD8">
      <w:pPr>
        <w:spacing w:after="200" w:line="276" w:lineRule="auto"/>
      </w:pPr>
      <w:r>
        <w:t xml:space="preserve">Over 4 million children live in poverty in the </w:t>
      </w:r>
      <w:r>
        <w:t>UK</w:t>
      </w:r>
      <w:r>
        <w:t xml:space="preserve"> and 800,000 children use foodbanks to eat. Most children in poverty (69%) live in a family where at least one adult is working.</w:t>
      </w:r>
      <w:r>
        <w:rPr>
          <w:rStyle w:val="FootnoteReference"/>
        </w:rPr>
        <w:footnoteReference w:id="9"/>
      </w:r>
    </w:p>
    <w:p w:rsidR="00CA2DD8">
      <w:pPr>
        <w:spacing w:after="200" w:line="276" w:lineRule="auto"/>
      </w:pPr>
      <w:r>
        <w:t xml:space="preserve">Families with children who have a learning disability often face myriad unavoidable extra costs; on average, parents of disabled children </w:t>
      </w:r>
      <w:r>
        <w:t>have to</w:t>
      </w:r>
      <w:r>
        <w:t xml:space="preserve"> pay an extra £322 a month (£3,864 each year) due to their child’s condition. Extra costs can </w:t>
      </w:r>
      <w:r>
        <w:t>include:</w:t>
      </w:r>
      <w:r>
        <w:t xml:space="preserve"> medical expenses; specialised healthcare or diets; therapy; adaptive equipment; accessible transportation; and the cost of care. 35% of families surveyed by Contact had to pay for therapies essential to their child’s condition at an extra cost of £805 per year and 44% had to buy continence products at a cost of £522 each year.</w:t>
      </w:r>
    </w:p>
    <w:p w:rsidR="00CA2DD8">
      <w:pPr>
        <w:spacing w:before="260" w:after="160"/>
      </w:pPr>
      <w:r>
        <w:rPr>
          <w:b/>
          <w:bCs/>
        </w:rPr>
        <w:t>b) Lack of Adequate Services and Support</w:t>
      </w:r>
    </w:p>
    <w:p w:rsidR="00CA2DD8">
      <w:pPr>
        <w:spacing w:after="200" w:line="276" w:lineRule="auto"/>
      </w:pPr>
      <w:r>
        <w:t>Only 1 in 5 disabled children and young adults surveyed by the Disabled Children’s Partnership feel that they have the right amount of formal support to achieve the things that they want in life.</w:t>
      </w:r>
      <w:r>
        <w:rPr>
          <w:rStyle w:val="FootnoteReference"/>
        </w:rPr>
        <w:footnoteReference w:id="10"/>
      </w:r>
      <w:r>
        <w:t xml:space="preserve"> This means families with children with a learning disability are not getting the therapies, respite care and equipment they need to meet their support needs, pushing them further into poverty.</w:t>
      </w:r>
    </w:p>
    <w:p w:rsidR="00CA2DD8">
      <w:pPr>
        <w:spacing w:after="200" w:line="276" w:lineRule="auto"/>
      </w:pPr>
      <w:r>
        <w:t>A reduction in service provision for people with a learning disability not only impacts the person accessing this service but also their families. Mencap Cymru’s Future of Day Services Report found that 73% of respondents experienced some form of cut to day service support hours as a result of the COVID pandemic, which impacted on the well-being of both the individual and their family carer.</w:t>
      </w:r>
      <w:r>
        <w:rPr>
          <w:rStyle w:val="FootnoteReference"/>
        </w:rPr>
        <w:footnoteReference w:id="11"/>
      </w:r>
      <w:r>
        <w:t xml:space="preserve"> Family members may be left with no choice but to quit their jobs, or face having to reduce the number of hours that they are able to work in a week which could reduce their household </w:t>
      </w:r>
      <w:r>
        <w:t>income. During the Covid pandemic, 4 in 5 (79%) family carers were forced to take on more unpaid care for their family member.</w:t>
      </w:r>
      <w:r>
        <w:rPr>
          <w:rStyle w:val="FootnoteReference"/>
        </w:rPr>
        <w:footnoteReference w:id="12"/>
      </w:r>
    </w:p>
    <w:p w:rsidR="00CA2DD8">
      <w:pPr>
        <w:spacing w:after="200" w:line="276" w:lineRule="auto"/>
      </w:pPr>
      <w:r>
        <w:t>The current childcare sector in Wales is relatively small,</w:t>
      </w:r>
      <w:r>
        <w:rPr>
          <w:rStyle w:val="FootnoteReference"/>
        </w:rPr>
        <w:footnoteReference w:id="13"/>
      </w:r>
      <w:r>
        <w:t xml:space="preserve"> and with manifesto commitments from the party forming the new Welsh Government looking to substantively expand the childcare offer in Wales, it is crucial that sufficient support and investment is provided to ensure the sector can meet increased demand including for children with ALN in every part of Wales. The Children’s Commissioner has previously highlighted that there is very little specialised early years provision in Wales, and that this gap is widely acknowledged.</w:t>
      </w:r>
      <w:r>
        <w:rPr>
          <w:rStyle w:val="FootnoteReference"/>
        </w:rPr>
        <w:footnoteReference w:id="14"/>
      </w:r>
    </w:p>
    <w:p w:rsidR="00CA2DD8">
      <w:pPr>
        <w:spacing w:after="200" w:line="276" w:lineRule="auto"/>
      </w:pPr>
      <w:r>
        <w:t>Finding suitable childcare for children with additional learning needs, particularly if those needs are complex, is already difficult for many families in Wales. We want to ensure that families with a disabled child are not negatively impacted by these changes.</w:t>
      </w:r>
    </w:p>
    <w:p w:rsidR="00CA2DD8">
      <w:pPr>
        <w:spacing w:after="200" w:line="276" w:lineRule="auto"/>
      </w:pPr>
      <w:r>
        <w:rPr>
          <w:b/>
          <w:bCs/>
        </w:rPr>
        <w:t>ASK:</w:t>
      </w:r>
      <w:r>
        <w:t xml:space="preserve"> A commitment to ensuring that reforms to the childcare offer in Wales are designed to meet the needs of children with Additional Learning Needs and their families.</w:t>
      </w:r>
    </w:p>
    <w:p w:rsidR="00CA2DD8">
      <w:pPr>
        <w:spacing w:before="260" w:after="160"/>
      </w:pPr>
      <w:r>
        <w:rPr>
          <w:b/>
          <w:bCs/>
        </w:rPr>
        <w:t>c) Education</w:t>
      </w:r>
    </w:p>
    <w:p w:rsidR="00CA2DD8">
      <w:pPr>
        <w:spacing w:after="200" w:line="276" w:lineRule="auto"/>
      </w:pPr>
      <w:r>
        <w:t>Mencap Cymru continue to hear examples from parents where their child’s needs are not being met in their education setting. This includes children being placed on reduced timetables which are being used for behaviour management purposes for schools, who are under resourced, as opposed to a way of supporting a child temporarily. This is not an appropriate use of reduced timetables and can have a significant impact on employment opportunities for parents. Reduced timetables can be beneficial, if, and when, th</w:t>
      </w:r>
      <w:r>
        <w:t>ey are put in place solely for the benefit of the child and their family.</w:t>
      </w:r>
    </w:p>
    <w:p w:rsidR="00CA2DD8">
      <w:pPr>
        <w:spacing w:after="200" w:line="276" w:lineRule="auto"/>
      </w:pPr>
      <w:r>
        <w:t>We believe that Local Authorities should be transparent regarding how many children are currently on reduced timetables.</w:t>
      </w:r>
    </w:p>
    <w:p w:rsidR="00CA2DD8">
      <w:pPr>
        <w:spacing w:after="200" w:line="276" w:lineRule="auto"/>
      </w:pPr>
      <w:r>
        <w:rPr>
          <w:b/>
          <w:bCs/>
        </w:rPr>
        <w:t>Ask:</w:t>
      </w:r>
      <w:r>
        <w:t xml:space="preserve"> A review of the impact of the use of reduced timetables in education settings in Wales and how this affects both the child and their family.</w:t>
      </w:r>
    </w:p>
    <w:p w:rsidR="00CA2DD8">
      <w:pPr>
        <w:spacing w:before="260" w:after="160"/>
      </w:pPr>
      <w:r>
        <w:rPr>
          <w:b/>
          <w:bCs/>
        </w:rPr>
        <w:t>d) Barriers to employment for family carers</w:t>
      </w:r>
    </w:p>
    <w:p w:rsidR="00CA2DD8">
      <w:pPr>
        <w:spacing w:after="200" w:line="276" w:lineRule="auto"/>
      </w:pPr>
      <w:r>
        <w:t>Parents of children with a learning disability can face difficulties maintaining stable employment because they may need to provide extra care and support for their child, which can lead to reduced work hours or the inability to pursue paid work at all. Research by Contact found that in 2024 nearly 62% of parent carers had given up paid work or reduced hours, on average losing £21,174.</w:t>
      </w:r>
      <w:r>
        <w:rPr>
          <w:rStyle w:val="FootnoteReference"/>
        </w:rPr>
        <w:footnoteReference w:id="15"/>
      </w:r>
      <w:r>
        <w:t xml:space="preserve"> During a workshop with Mencap Mon, one parent told us how they had to choose between paid employment or caring for their loved one, and multiple attempts at doing both had not worked. This led to a significant reduction in their household income. Another parent highlighted a lack of understanding from an employer about the number of meetings that she would need to attend; whether that was with the school, social services or a health appointment.</w:t>
      </w:r>
    </w:p>
    <w:p w:rsidR="00CA2DD8">
      <w:pPr>
        <w:spacing w:before="260" w:after="160"/>
      </w:pPr>
      <w:r>
        <w:rPr>
          <w:b/>
          <w:bCs/>
        </w:rPr>
        <w:t>e) Lack of Data</w:t>
      </w:r>
    </w:p>
    <w:p w:rsidR="00CA2DD8">
      <w:pPr>
        <w:spacing w:after="200" w:line="276" w:lineRule="auto"/>
      </w:pPr>
      <w:r>
        <w:t>There remains an issue regarding the lack of robust, learning disability-specific data in Wales. Despite the creation of the Welsh Government’s Disability Disparity Unit which aims to improve the measurement of disability data, significant gaps remain. This data deficit makes it harder for decision makers and service providers to effectively shape services in line with the needs of the population.</w:t>
      </w:r>
    </w:p>
    <w:p w:rsidR="00CA2DD8">
      <w:pPr>
        <w:spacing w:after="200" w:line="276" w:lineRule="auto"/>
      </w:pPr>
      <w:r>
        <w:t>Exploring the benefits of creating a National Learning Disability Observatory for Wales is listed as a strategic priority area in the Welsh Government’s Learning Disability Strategic Action Plan 2022-2026. The Senedd’s CYPE Committee has also recommended for greater availability of research and data on the gaps in childcare provision, which can help inform development of inclusive provision. This is an area we support and believe should be included as a key focus of the inquiry.</w:t>
      </w:r>
    </w:p>
    <w:p w:rsidR="00CA2DD8">
      <w:pPr>
        <w:spacing w:after="200" w:line="276" w:lineRule="auto"/>
      </w:pPr>
      <w:r>
        <w:rPr>
          <w:b/>
          <w:bCs/>
        </w:rPr>
        <w:t>Ask:</w:t>
      </w:r>
      <w:r>
        <w:t xml:space="preserve"> A commitment to improve learning disability data collection in Wales as part of Government plans, including the next Learning Disability Transformation Programme and the renewed Strategic Action Plan in Wales.</w:t>
      </w:r>
    </w:p>
    <w:p w:rsidR="00CA2DD8">
      <w:pPr>
        <w:spacing w:before="260" w:after="160"/>
      </w:pPr>
      <w:r>
        <w:rPr>
          <w:b/>
          <w:bCs/>
        </w:rPr>
        <w:t>f) Broken social security system</w:t>
      </w:r>
    </w:p>
    <w:p w:rsidR="00CA2DD8">
      <w:pPr>
        <w:spacing w:after="200" w:line="276" w:lineRule="auto"/>
      </w:pPr>
      <w:r>
        <w:t>The social security system accounts for approximately £4 in every £10 of income of the poorest families with children.</w:t>
      </w:r>
      <w:r>
        <w:rPr>
          <w:rStyle w:val="FootnoteReference"/>
        </w:rPr>
        <w:footnoteReference w:id="16"/>
      </w:r>
      <w:r>
        <w:t xml:space="preserve"> Disability living allowance (DLA) is designed to contribute towards the additional needs of raising a disabled child, yet it is under-claimed, complex and often is not commensurate with the extra costs families face. It is also true that PIP plays a critical role in supporting people with a learning disability to live with dignity and autonomy by helping them manage the unavoidable extra costs of their learning disability.</w:t>
      </w:r>
    </w:p>
    <w:p w:rsidR="00CA2DD8">
      <w:pPr>
        <w:spacing w:after="200" w:line="276" w:lineRule="auto"/>
      </w:pPr>
      <w:r>
        <w:rPr>
          <w:b/>
          <w:bCs/>
        </w:rPr>
        <w:t>Ask:</w:t>
      </w:r>
      <w:r>
        <w:t xml:space="preserve"> We believe that the recommendations of changes to PIP as part of the Timms Review should </w:t>
      </w:r>
      <w:r>
        <w:t>include:-</w:t>
      </w:r>
    </w:p>
    <w:p w:rsidR="00CA2DD8">
      <w:pPr>
        <w:pStyle w:val="ListParagraph"/>
        <w:numPr>
          <w:ilvl w:val="0"/>
          <w:numId w:val="2"/>
        </w:numPr>
        <w:spacing w:after="120" w:line="276" w:lineRule="auto"/>
      </w:pPr>
      <w:r>
        <w:rPr>
          <w:i/>
          <w:iCs/>
        </w:rPr>
        <w:t>Removing people with lifelong conditions like a learning disability from PIP award reviews.</w:t>
      </w:r>
    </w:p>
    <w:p w:rsidR="00CA2DD8">
      <w:pPr>
        <w:pStyle w:val="ListParagraph"/>
        <w:numPr>
          <w:ilvl w:val="0"/>
          <w:numId w:val="2"/>
        </w:numPr>
        <w:spacing w:after="120" w:line="276" w:lineRule="auto"/>
      </w:pPr>
      <w:r>
        <w:rPr>
          <w:i/>
          <w:iCs/>
        </w:rPr>
        <w:t>Maintaining the points-based system and functional assessment, whilst changing PIP descriptors to better account for the needs of people with a learning disability.</w:t>
      </w:r>
    </w:p>
    <w:p w:rsidR="00CA2DD8">
      <w:pPr>
        <w:pStyle w:val="ListParagraph"/>
        <w:numPr>
          <w:ilvl w:val="0"/>
          <w:numId w:val="2"/>
        </w:numPr>
        <w:spacing w:after="120" w:line="276" w:lineRule="auto"/>
      </w:pPr>
      <w:r>
        <w:rPr>
          <w:i/>
          <w:iCs/>
        </w:rPr>
        <w:t>Take learnings from Scotland’s ADP model, improve the accuracy of PIP decisions, and enhance claimant experiences.</w:t>
      </w:r>
    </w:p>
    <w:p w:rsidR="00CA2DD8">
      <w:pPr>
        <w:spacing w:before="260" w:after="160"/>
      </w:pPr>
      <w:r>
        <w:rPr>
          <w:b/>
          <w:bCs/>
        </w:rPr>
        <w:t xml:space="preserve">g) Impact of the </w:t>
      </w:r>
      <w:r>
        <w:rPr>
          <w:b/>
          <w:bCs/>
        </w:rPr>
        <w:t>cost of living</w:t>
      </w:r>
      <w:r>
        <w:rPr>
          <w:b/>
          <w:bCs/>
        </w:rPr>
        <w:t xml:space="preserve"> crisis</w:t>
      </w:r>
    </w:p>
    <w:p w:rsidR="00CA2DD8">
      <w:pPr>
        <w:spacing w:after="200" w:line="276" w:lineRule="auto"/>
      </w:pPr>
      <w:r>
        <w:t>Due to the disproportionately high energy prices disabled households face, over a third (39%) of families of disabled children have had to cut back on using essential equipment like ventilators, adjustable beds, ceiling track hoists, wheelchair chargers and suction pumps because they can’t afford their bills and almost half (45%) say they have not been able to keep their home warm enough for their child’s needs.</w:t>
      </w:r>
      <w:r>
        <w:rPr>
          <w:rStyle w:val="FootnoteReference"/>
        </w:rPr>
        <w:footnoteReference w:id="17"/>
      </w:r>
    </w:p>
    <w:p w:rsidR="00CA2DD8">
      <w:pPr>
        <w:spacing w:after="200" w:line="276" w:lineRule="auto"/>
      </w:pPr>
      <w:r>
        <w:rPr>
          <w:b/>
          <w:bCs/>
        </w:rPr>
        <w:t>ASK:</w:t>
      </w:r>
      <w:r>
        <w:t xml:space="preserve"> Greater engagement between the Welsh and UK Governments to develop targeted energy affordability support for disabled people and their households.</w:t>
      </w:r>
    </w:p>
    <w:p w:rsidR="00CA2DD8"/>
    <w:p w:rsidR="00CA2DD8"/>
    <w:p w:rsidR="00CA2DD8"/>
    <w:p w:rsidR="00CA2DD8">
      <w:r>
        <w:rPr>
          <w:i/>
          <w:iCs/>
        </w:rPr>
        <w:t>June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A0863">
      <w:r>
        <w:separator/>
      </w:r>
    </w:p>
  </w:footnote>
  <w:footnote w:type="continuationSeparator" w:id="1">
    <w:p w:rsidR="008A0863">
      <w:r>
        <w:continuationSeparator/>
      </w:r>
    </w:p>
  </w:footnote>
  <w:footnote w:id="2">
    <w:p w:rsidR="00CA2DD8">
      <w:r>
        <w:rPr>
          <w:rStyle w:val="FootnoteReference"/>
        </w:rPr>
        <w:footnoteRef/>
      </w:r>
      <w:r>
        <w:fldChar w:fldCharType="begin"/>
      </w:r>
      <w:r>
        <w:instrText xml:space="preserve"> HYPERLINK "https://www.gov.wales/child-poverty-strategy-wales-progress-report-2025-html" </w:instrText>
      </w:r>
      <w:r>
        <w:fldChar w:fldCharType="separate"/>
      </w:r>
      <w:r>
        <w:rPr>
          <w:color w:val="0563C1"/>
          <w:sz w:val="20"/>
          <w:szCs w:val="20"/>
          <w:u w:val="single"/>
        </w:rPr>
        <w:t>Child poverty strategy for Wales: progress report 2025</w:t>
      </w:r>
      <w:r>
        <w:fldChar w:fldCharType="end"/>
      </w:r>
    </w:p>
  </w:footnote>
  <w:footnote w:id="3">
    <w:p w:rsidR="00CA2DD8">
      <w:r>
        <w:rPr>
          <w:rStyle w:val="FootnoteReference"/>
        </w:rPr>
        <w:footnoteRef/>
      </w:r>
      <w:r>
        <w:fldChar w:fldCharType="begin"/>
      </w:r>
      <w:r>
        <w:instrText xml:space="preserve"> HYPERLINK "https://www.bevanfoundation.org/child-poverty-new-approach" </w:instrText>
      </w:r>
      <w:r>
        <w:fldChar w:fldCharType="separate"/>
      </w:r>
      <w:r>
        <w:rPr>
          <w:color w:val="0563C1"/>
          <w:sz w:val="20"/>
          <w:szCs w:val="20"/>
          <w:u w:val="single"/>
        </w:rPr>
        <w:t>bevanfoundation.org/child-poverty-new-approach</w:t>
      </w:r>
      <w:r>
        <w:fldChar w:fldCharType="end"/>
      </w:r>
    </w:p>
  </w:footnote>
  <w:footnote w:id="4">
    <w:p w:rsidR="00CA2DD8">
      <w:r>
        <w:rPr>
          <w:rStyle w:val="FootnoteReference"/>
        </w:rPr>
        <w:footnoteRef/>
      </w:r>
      <w:r>
        <w:fldChar w:fldCharType="begin"/>
      </w:r>
      <w:r>
        <w:instrText xml:space="preserve"> HYPERLINK "https://www.gov.wales/child-poverty-strategy-wales-progress-report-2025-html" </w:instrText>
      </w:r>
      <w:r>
        <w:fldChar w:fldCharType="separate"/>
      </w:r>
      <w:r>
        <w:rPr>
          <w:color w:val="0563C1"/>
          <w:sz w:val="20"/>
          <w:szCs w:val="20"/>
          <w:u w:val="single"/>
        </w:rPr>
        <w:t>Child poverty strategy for Wales: progress report 2025</w:t>
      </w:r>
      <w:r>
        <w:fldChar w:fldCharType="end"/>
      </w:r>
    </w:p>
  </w:footnote>
  <w:footnote w:id="5">
    <w:p w:rsidR="00CA2DD8">
      <w:r>
        <w:rPr>
          <w:rStyle w:val="FootnoteReference"/>
        </w:rPr>
        <w:footnoteRef/>
      </w:r>
      <w:r>
        <w:fldChar w:fldCharType="begin"/>
      </w:r>
      <w:r>
        <w:instrText xml:space="preserve"> HYPERLINK "https://www.mencap.org.uk/learning-disability-explained/research-and-statistics/how-common-learning-disability" </w:instrText>
      </w:r>
      <w:r>
        <w:fldChar w:fldCharType="separate"/>
      </w:r>
      <w:r>
        <w:rPr>
          <w:color w:val="0563C1"/>
          <w:sz w:val="20"/>
          <w:szCs w:val="20"/>
          <w:u w:val="single"/>
        </w:rPr>
        <w:t>How common is learning disability? – Mencap</w:t>
      </w:r>
      <w:r>
        <w:fldChar w:fldCharType="end"/>
      </w:r>
      <w:r>
        <w:rPr>
          <w:sz w:val="20"/>
          <w:szCs w:val="20"/>
        </w:rPr>
        <w:t xml:space="preserve"> From ONS statistics. This figure breaks down </w:t>
      </w:r>
      <w:r>
        <w:rPr>
          <w:sz w:val="20"/>
          <w:szCs w:val="20"/>
        </w:rPr>
        <w:t>to:</w:t>
      </w:r>
      <w:r>
        <w:rPr>
          <w:sz w:val="20"/>
          <w:szCs w:val="20"/>
        </w:rPr>
        <w:t xml:space="preserve"> 297,000 children with a learning disability in England; 15,000 children with a learning disability in Wales; 11,000 children with a learning disability in Northern Ireland.</w:t>
      </w:r>
    </w:p>
  </w:footnote>
  <w:footnote w:id="6">
    <w:p w:rsidR="00CA2DD8">
      <w:r>
        <w:rPr>
          <w:rStyle w:val="FootnoteReference"/>
        </w:rPr>
        <w:footnoteRef/>
      </w:r>
      <w:r>
        <w:fldChar w:fldCharType="begin"/>
      </w:r>
      <w:r>
        <w:instrText xml:space="preserve"> HYPERLINK "https://www.gov.wales/child-poverty-strategy-wales-progress-report-2025-html" </w:instrText>
      </w:r>
      <w:r>
        <w:fldChar w:fldCharType="separate"/>
      </w:r>
      <w:r>
        <w:rPr>
          <w:color w:val="0563C1"/>
          <w:sz w:val="20"/>
          <w:szCs w:val="20"/>
          <w:u w:val="single"/>
        </w:rPr>
        <w:t>Child poverty strategy for Wales: progress report 2025</w:t>
      </w:r>
      <w:r>
        <w:fldChar w:fldCharType="end"/>
      </w:r>
    </w:p>
  </w:footnote>
  <w:footnote w:id="7">
    <w:p w:rsidR="00CA2DD8">
      <w:r>
        <w:rPr>
          <w:rStyle w:val="FootnoteReference"/>
        </w:rPr>
        <w:footnoteRef/>
      </w:r>
      <w:r>
        <w:fldChar w:fldCharType="begin"/>
      </w:r>
      <w:r>
        <w:instrText xml:space="preserve"> HYPERLINK "https://assets.publishing.service.gov.uk/media/671a59cff7c956b7d065a494/Child_Poverty_Strategy_Launch_Publication.pdf" </w:instrText>
      </w:r>
      <w:r>
        <w:fldChar w:fldCharType="separate"/>
      </w:r>
      <w:r>
        <w:rPr>
          <w:color w:val="0563C1"/>
          <w:sz w:val="20"/>
          <w:szCs w:val="20"/>
          <w:u w:val="single"/>
        </w:rPr>
        <w:t>Child Poverty Strategy Launch Publication</w:t>
      </w:r>
      <w:r>
        <w:fldChar w:fldCharType="end"/>
      </w:r>
    </w:p>
  </w:footnote>
  <w:footnote w:id="8">
    <w:p w:rsidR="00CA2DD8">
      <w:r>
        <w:rPr>
          <w:rStyle w:val="FootnoteReference"/>
        </w:rPr>
        <w:footnoteRef/>
      </w:r>
      <w:r>
        <w:fldChar w:fldCharType="begin"/>
      </w:r>
      <w:r>
        <w:instrText xml:space="preserve"> HYPERLINK "https://www.mencap.org.uk/sites/default/files/2025-05/Extra%20costs%20of%20learning%20disability_Final.pdf" </w:instrText>
      </w:r>
      <w:r>
        <w:fldChar w:fldCharType="separate"/>
      </w:r>
      <w:r>
        <w:rPr>
          <w:color w:val="0563C1"/>
          <w:sz w:val="20"/>
          <w:szCs w:val="20"/>
          <w:u w:val="single"/>
        </w:rPr>
        <w:t>Extra costs of learning disability – Mencap</w:t>
      </w:r>
      <w:r>
        <w:fldChar w:fldCharType="end"/>
      </w:r>
    </w:p>
  </w:footnote>
  <w:footnote w:id="9">
    <w:p w:rsidR="00CA2DD8">
      <w:r>
        <w:rPr>
          <w:rStyle w:val="FootnoteReference"/>
        </w:rPr>
        <w:footnoteRef/>
      </w:r>
      <w:r>
        <w:fldChar w:fldCharType="begin"/>
      </w:r>
      <w:r>
        <w:instrText xml:space="preserve"> HYPERLINK "https://assets.publishing.service.gov.uk/media/671a59cff7c956b7d065a494/Child_Poverty_Strategy_Launch_Publication.pdf" </w:instrText>
      </w:r>
      <w:r>
        <w:fldChar w:fldCharType="separate"/>
      </w:r>
      <w:r>
        <w:rPr>
          <w:color w:val="0563C1"/>
          <w:sz w:val="20"/>
          <w:szCs w:val="20"/>
          <w:u w:val="single"/>
        </w:rPr>
        <w:t>Child Poverty Strategy Launch Publication</w:t>
      </w:r>
      <w:r>
        <w:fldChar w:fldCharType="end"/>
      </w:r>
    </w:p>
  </w:footnote>
  <w:footnote w:id="10">
    <w:p w:rsidR="00CA2DD8">
      <w:r>
        <w:rPr>
          <w:rStyle w:val="FootnoteReference"/>
        </w:rPr>
        <w:footnoteRef/>
      </w:r>
      <w:r>
        <w:rPr>
          <w:sz w:val="20"/>
          <w:szCs w:val="20"/>
        </w:rPr>
        <w:t xml:space="preserve">DCP, The Disabled Children’s Partnership conducted an online survey between December 2023 and January 2024 of 640 </w:t>
      </w:r>
      <w:r>
        <w:rPr>
          <w:sz w:val="20"/>
          <w:szCs w:val="20"/>
        </w:rPr>
        <w:t>11-25 year olds</w:t>
      </w:r>
      <w:r>
        <w:rPr>
          <w:sz w:val="20"/>
          <w:szCs w:val="20"/>
        </w:rPr>
        <w:t xml:space="preserve">. The most common reported disabilities (more than one could be reported) were Autism (55%), Learning Disability (42%). </w:t>
      </w:r>
      <w:r>
        <w:fldChar w:fldCharType="begin"/>
      </w:r>
      <w:r>
        <w:instrText xml:space="preserve"> HYPERLINK "https://disabledchildrenspartnership.org.uk/wp-content/uploads/2024/05/THIS-IS-MY-LIFE-REPORT.pdf" </w:instrText>
      </w:r>
      <w:r>
        <w:fldChar w:fldCharType="separate"/>
      </w:r>
      <w:r>
        <w:rPr>
          <w:color w:val="0563C1"/>
          <w:sz w:val="20"/>
          <w:szCs w:val="20"/>
          <w:u w:val="single"/>
        </w:rPr>
        <w:t>THIS IS MY LIFE report</w:t>
      </w:r>
      <w:r>
        <w:fldChar w:fldCharType="end"/>
      </w:r>
    </w:p>
  </w:footnote>
  <w:footnote w:id="11">
    <w:p w:rsidR="00CA2DD8">
      <w:r>
        <w:rPr>
          <w:rStyle w:val="FootnoteReference"/>
        </w:rPr>
        <w:footnoteRef/>
      </w:r>
      <w:r>
        <w:fldChar w:fldCharType="begin"/>
      </w:r>
      <w:r>
        <w:instrText xml:space="preserve"> HYPERLINK "https://wales.mencap.org.uk/sites/default/files/2023-07/Future%20of%20Day%20Services%20Mencap%20Cymru.pdf" </w:instrText>
      </w:r>
      <w:r>
        <w:fldChar w:fldCharType="separate"/>
      </w:r>
      <w:r>
        <w:rPr>
          <w:color w:val="0563C1"/>
          <w:sz w:val="20"/>
          <w:szCs w:val="20"/>
          <w:u w:val="single"/>
        </w:rPr>
        <w:t>Future of Day Services – Mencap Cymru</w:t>
      </w:r>
      <w:r>
        <w:fldChar w:fldCharType="end"/>
      </w:r>
    </w:p>
  </w:footnote>
  <w:footnote w:id="12">
    <w:p w:rsidR="00CA2DD8">
      <w:r>
        <w:rPr>
          <w:rStyle w:val="FootnoteReference"/>
        </w:rPr>
        <w:footnoteRef/>
      </w:r>
      <w:r>
        <w:fldChar w:fldCharType="begin"/>
      </w:r>
      <w:r>
        <w:instrText xml:space="preserve"> HYPERLINK "https://www.mencap.org.uk/sites/default/files/2020-08/Social%20care%20survey%20%281%29.pdf" </w:instrText>
      </w:r>
      <w:r>
        <w:fldChar w:fldCharType="separate"/>
      </w:r>
      <w:r>
        <w:rPr>
          <w:color w:val="0563C1"/>
          <w:sz w:val="20"/>
          <w:szCs w:val="20"/>
          <w:u w:val="single"/>
        </w:rPr>
        <w:t>Social care survey – Mencap</w:t>
      </w:r>
      <w:r>
        <w:fldChar w:fldCharType="end"/>
      </w:r>
    </w:p>
  </w:footnote>
  <w:footnote w:id="13">
    <w:p w:rsidR="00CA2DD8">
      <w:r>
        <w:rPr>
          <w:rStyle w:val="FootnoteReference"/>
        </w:rPr>
        <w:footnoteRef/>
      </w:r>
      <w:r>
        <w:fldChar w:fldCharType="begin"/>
      </w:r>
      <w:r>
        <w:instrText xml:space="preserve"> HYPERLINK "https://record.senedd.wales/Committee/13535" \l "A82818" </w:instrText>
      </w:r>
      <w:r>
        <w:fldChar w:fldCharType="separate"/>
      </w:r>
      <w:r>
        <w:rPr>
          <w:color w:val="0563C1"/>
          <w:sz w:val="20"/>
          <w:szCs w:val="20"/>
          <w:u w:val="single"/>
        </w:rPr>
        <w:t>record.senedd</w:t>
      </w:r>
      <w:r>
        <w:rPr>
          <w:color w:val="0563C1"/>
          <w:sz w:val="20"/>
          <w:szCs w:val="20"/>
          <w:u w:val="single"/>
        </w:rPr>
        <w:t>.wales</w:t>
      </w:r>
      <w:r>
        <w:rPr>
          <w:color w:val="0563C1"/>
          <w:sz w:val="20"/>
          <w:szCs w:val="20"/>
          <w:u w:val="single"/>
        </w:rPr>
        <w:t>/Committee/13535</w:t>
      </w:r>
      <w:r>
        <w:fldChar w:fldCharType="end"/>
      </w:r>
    </w:p>
  </w:footnote>
  <w:footnote w:id="14">
    <w:p w:rsidR="00CA2DD8">
      <w:r>
        <w:rPr>
          <w:rStyle w:val="FootnoteReference"/>
        </w:rPr>
        <w:footnoteRef/>
      </w:r>
      <w:r>
        <w:fldChar w:fldCharType="begin"/>
      </w:r>
      <w:r>
        <w:instrText xml:space="preserve"> HYPERLINK "https://record.assembly.wales/Committee/13323" </w:instrText>
      </w:r>
      <w:r>
        <w:fldChar w:fldCharType="separate"/>
      </w:r>
      <w:r>
        <w:rPr>
          <w:color w:val="0563C1"/>
          <w:sz w:val="20"/>
          <w:szCs w:val="20"/>
          <w:u w:val="single"/>
        </w:rPr>
        <w:t>record.assembly</w:t>
      </w:r>
      <w:r>
        <w:rPr>
          <w:color w:val="0563C1"/>
          <w:sz w:val="20"/>
          <w:szCs w:val="20"/>
          <w:u w:val="single"/>
        </w:rPr>
        <w:t>.wales</w:t>
      </w:r>
      <w:r>
        <w:rPr>
          <w:color w:val="0563C1"/>
          <w:sz w:val="20"/>
          <w:szCs w:val="20"/>
          <w:u w:val="single"/>
        </w:rPr>
        <w:t>/Committee/13323</w:t>
      </w:r>
      <w:r>
        <w:fldChar w:fldCharType="end"/>
      </w:r>
    </w:p>
  </w:footnote>
  <w:footnote w:id="15">
    <w:p w:rsidR="00CA2DD8">
      <w:r>
        <w:rPr>
          <w:rStyle w:val="FootnoteReference"/>
        </w:rPr>
        <w:footnoteRef/>
      </w:r>
      <w:r>
        <w:fldChar w:fldCharType="begin"/>
      </w:r>
      <w:r>
        <w:instrText xml:space="preserve"> HYPERLINK "https://contact.org.uk/help-for-families/campaigns-and-research/counting-the-costs/" </w:instrText>
      </w:r>
      <w:r>
        <w:fldChar w:fldCharType="separate"/>
      </w:r>
      <w:r>
        <w:rPr>
          <w:color w:val="0563C1"/>
          <w:sz w:val="20"/>
          <w:szCs w:val="20"/>
          <w:u w:val="single"/>
        </w:rPr>
        <w:t>Counting the costs – Contact</w:t>
      </w:r>
      <w:r>
        <w:fldChar w:fldCharType="end"/>
      </w:r>
    </w:p>
  </w:footnote>
  <w:footnote w:id="16">
    <w:p w:rsidR="00CA2DD8">
      <w:r>
        <w:rPr>
          <w:rStyle w:val="FootnoteReference"/>
        </w:rPr>
        <w:footnoteRef/>
      </w:r>
      <w:r>
        <w:fldChar w:fldCharType="begin"/>
      </w:r>
      <w:r>
        <w:instrText xml:space="preserve"> HYPERLINK "https://www.bevanfoundation.org/wp-content/uploads/2026/03/Child-poverty-strategy-WEB-ENG.pdf" </w:instrText>
      </w:r>
      <w:r>
        <w:fldChar w:fldCharType="separate"/>
      </w:r>
      <w:r>
        <w:rPr>
          <w:color w:val="0563C1"/>
          <w:sz w:val="20"/>
          <w:szCs w:val="20"/>
          <w:u w:val="single"/>
        </w:rPr>
        <w:t>Child poverty strategy – Bevan Foundation</w:t>
      </w:r>
      <w:r>
        <w:fldChar w:fldCharType="end"/>
      </w:r>
    </w:p>
  </w:footnote>
  <w:footnote w:id="17">
    <w:p w:rsidR="00CA2DD8">
      <w:r>
        <w:rPr>
          <w:rStyle w:val="FootnoteReference"/>
        </w:rPr>
        <w:footnoteRef/>
      </w:r>
      <w:r>
        <w:fldChar w:fldCharType="begin"/>
      </w:r>
      <w:r>
        <w:instrText xml:space="preserve"> HYPERLINK "https://contact.org.uk/help-for-families/campaigns-and-research/out-of-energy/" </w:instrText>
      </w:r>
      <w:r>
        <w:fldChar w:fldCharType="separate"/>
      </w:r>
      <w:r>
        <w:rPr>
          <w:color w:val="0563C1"/>
          <w:sz w:val="20"/>
          <w:szCs w:val="20"/>
          <w:u w:val="single"/>
        </w:rPr>
        <w:t>Out of energy – Contact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5A0747"/>
    <w:multiLevelType w:val="hybridMultilevel"/>
    <w:tmpl w:val="BA1AFBF4"/>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2DF713DF"/>
    <w:multiLevelType w:val="hybridMultilevel"/>
    <w:tmpl w:val="09AC877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C9377FB"/>
    <w:multiLevelType w:val="hybridMultilevel"/>
    <w:tmpl w:val="645EC41C"/>
    <w:lvl w:ilvl="0">
      <w:start w:val="1"/>
      <w:numFmt w:val="bullet"/>
      <w:lvlText w:val="•"/>
      <w:lvlJc w:val="left"/>
      <w:pPr>
        <w:ind w:left="720" w:hanging="360"/>
      </w:pPr>
    </w:lvl>
    <w:lvl w:ilvl="1">
      <w:start w:val="1"/>
      <w:numFmt w:val="bullet"/>
      <w:lvlText w:val="◦"/>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76CB1085"/>
    <w:multiLevelType w:val="hybridMultilevel"/>
    <w:tmpl w:val="E8C6B690"/>
    <w:lvl w:ilvl="0">
      <w:start w:val="1"/>
      <w:numFmt w:val="lowerLetter"/>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CPW0021</dc:title>
  <cp:revision>0</cp:revision>
</cp:coreProperties>
</file>