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75B71" w:rsidRPr="00075B71" w:rsidP="00075B71">
      <w:pPr>
        <w:spacing w:line="360" w:lineRule="auto"/>
        <w:jc w:val="center"/>
        <w:rPr>
          <w:rFonts w:ascii="Calibri" w:hAnsi="Calibri" w:cs="Calibri"/>
          <w:sz w:val="28"/>
          <w:szCs w:val="28"/>
          <w:lang w:val="en-GB"/>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Pr>
          <w:rFonts w:ascii="Calibri" w:hAnsi="Calibri" w:cs="Calibri"/>
          <w:sz w:val="28"/>
          <w:szCs w:val="28"/>
        </w:rPr>
        <w:t xml:space="preserve">the </w:t>
      </w:r>
      <w:r>
        <w:rPr>
          <w:rFonts w:ascii="Calibri" w:hAnsi="Calibri" w:cs="Calibri"/>
          <w:sz w:val="28"/>
          <w:szCs w:val="28"/>
        </w:rPr>
        <w:br/>
      </w:r>
      <w:r w:rsidRPr="00075B71">
        <w:rPr>
          <w:rFonts w:ascii="Calibri" w:hAnsi="Calibri" w:cs="Calibri"/>
          <w:sz w:val="28"/>
          <w:szCs w:val="28"/>
          <w:lang w:val="en-GB"/>
        </w:rPr>
        <w:t>Federation of Small Businesses</w:t>
      </w:r>
    </w:p>
    <w:p w:rsidR="00075B71" w:rsidRPr="00075B71" w:rsidP="00075B71">
      <w:pPr>
        <w:spacing w:line="360" w:lineRule="auto"/>
        <w:jc w:val="center"/>
        <w:rPr>
          <w:rFonts w:ascii="Calibri" w:hAnsi="Calibri" w:cs="Calibri"/>
          <w:sz w:val="28"/>
          <w:szCs w:val="28"/>
          <w:lang w:val="en-GB"/>
        </w:rPr>
      </w:pPr>
    </w:p>
    <w:p w:rsidR="002269EF" w:rsidRPr="002269EF" w:rsidP="002269EF">
      <w:pPr>
        <w:pStyle w:val="FSBBody"/>
        <w:rPr>
          <w:lang w:val="en-GB"/>
        </w:rPr>
      </w:pPr>
      <w:r w:rsidRPr="002269EF">
        <w:rPr>
          <w:lang w:val="en-GB"/>
        </w:rPr>
        <w:t xml:space="preserve">FSB welcomes the opportunity to provide a response to the above </w:t>
      </w:r>
      <w:r>
        <w:rPr>
          <w:lang w:val="en-GB"/>
        </w:rPr>
        <w:t>consultation</w:t>
      </w:r>
      <w:r w:rsidRPr="002269EF">
        <w:rPr>
          <w:lang w:val="en-GB"/>
        </w:rPr>
        <w:t>.</w:t>
      </w:r>
    </w:p>
    <w:p w:rsidR="002269EF" w:rsidP="002269EF">
      <w:pPr>
        <w:pStyle w:val="FSBBody"/>
        <w:rPr>
          <w:lang w:val="en-GB"/>
        </w:rPr>
      </w:pPr>
      <w:r w:rsidRPr="002269EF">
        <w:rPr>
          <w:lang w:val="en-GB"/>
        </w:rPr>
        <w:t>FSB is a non-</w:t>
      </w:r>
      <w:r w:rsidR="0072218F">
        <w:rPr>
          <w:lang w:val="en-GB"/>
        </w:rPr>
        <w:t>for-profit</w:t>
      </w:r>
      <w:r w:rsidRPr="002269EF">
        <w:rPr>
          <w:lang w:val="en-GB"/>
        </w:rPr>
        <w:t>, grassroots and cross-party business organisation that represents members in every local community across the UK. Set up in 1974, we are the authoritative voice on policy issues affecting the UK’s 5.7 million small and medium businesses, micro businesses and the self-employed.</w:t>
      </w:r>
    </w:p>
    <w:p w:rsidR="00C341FE" w:rsidRPr="00C341FE" w:rsidP="00C341FE">
      <w:pPr>
        <w:pStyle w:val="FSBBody"/>
        <w:rPr>
          <w:lang w:val="en-GB"/>
        </w:rPr>
      </w:pPr>
      <w:r w:rsidRPr="00C341FE">
        <w:rPr>
          <w:lang w:val="en-GB"/>
        </w:rPr>
        <w:t>Small businesses in the food and accommodation sectors form the core of the tourism industry and face an exceptionally difficult economic environment. FSB analysis shows confidence in the food and accommodation sector remains very low at -62.6 in the first quarter of 2026, up from a major dip the previous quarter of -104. Overall small business confidence sits at -52.5 points in Q1 2026.</w:t>
      </w:r>
    </w:p>
    <w:p w:rsidR="00C341FE" w:rsidP="00C341FE">
      <w:pPr>
        <w:pStyle w:val="FSBBody"/>
        <w:rPr>
          <w:lang w:val="en-GB"/>
        </w:rPr>
      </w:pPr>
      <w:r w:rsidRPr="00C341FE">
        <w:rPr>
          <w:lang w:val="en-GB"/>
        </w:rPr>
        <w:t>These negative scores reflect an unbearable accumulation of business costs. At the end of 2025, FSB research showed more firms expecting contraction (35%) than growth (21%) for the first time in the index's history. Surging employment expenses, consecutive increases to the National Living Wage, higher employer National Insurance contributions, and new Statutory Sick Pay rules are severely stretching margins. Small firms face an average 52 per cent increase in business rates for the retail, hospitality, and leisure sectors over the next three years, paired with a projected 44 per cent spike in energy standing charges in April 2026.</w:t>
      </w:r>
    </w:p>
    <w:p w:rsidR="00C341FE" w:rsidP="002269EF">
      <w:pPr>
        <w:pStyle w:val="FSBBody"/>
        <w:rPr>
          <w:lang w:val="en-GB"/>
        </w:rPr>
      </w:pPr>
      <w:r w:rsidRPr="00C341FE">
        <w:rPr>
          <w:lang w:val="en-GB"/>
        </w:rPr>
        <w:t>FSB has answered a selected set of questions within this call for evidence to focus purely on the regulatory and economic issues most impactful to small businesses operating in the visitor economy</w:t>
      </w:r>
      <w:r w:rsidR="0072218F">
        <w:rPr>
          <w:lang w:val="en-GB"/>
        </w:rPr>
        <w:t>, and especially the impact of proposed powers to raise a visitor levy in England.</w:t>
      </w:r>
    </w:p>
    <w:p w:rsidR="00873364" w:rsidRPr="000A6183" w:rsidP="002269EF">
      <w:pPr>
        <w:pStyle w:val="FSBBody"/>
        <w:rPr>
          <w:rFonts w:eastAsia="NunitoSans-Black" w:asciiTheme="majorHAnsi" w:hAnsiTheme="majorHAnsi" w:cs="NunitoSans-Black"/>
          <w:b/>
          <w:color w:val="03304A"/>
          <w:sz w:val="28"/>
        </w:rPr>
      </w:pPr>
      <w:r w:rsidRPr="000A6183">
        <w:rPr>
          <w:rFonts w:eastAsia="NunitoSans-Black" w:asciiTheme="majorHAnsi" w:hAnsiTheme="majorHAnsi" w:cs="NunitoSans-Black"/>
          <w:b/>
          <w:color w:val="03304A"/>
          <w:sz w:val="28"/>
        </w:rPr>
        <w:t xml:space="preserve">FSB </w:t>
      </w:r>
      <w:r w:rsidR="00F44ABA">
        <w:rPr>
          <w:rFonts w:eastAsia="NunitoSans-Black" w:asciiTheme="majorHAnsi" w:hAnsiTheme="majorHAnsi" w:cs="NunitoSans-Black"/>
          <w:b/>
          <w:color w:val="03304A"/>
          <w:sz w:val="28"/>
        </w:rPr>
        <w:t>responses in summary</w:t>
      </w:r>
      <w:r w:rsidRPr="000A6183">
        <w:rPr>
          <w:rFonts w:eastAsia="NunitoSans-Black" w:asciiTheme="majorHAnsi" w:hAnsiTheme="majorHAnsi" w:cs="NunitoSans-Black"/>
          <w:b/>
          <w:color w:val="03304A"/>
          <w:sz w:val="28"/>
        </w:rPr>
        <w:t>:</w:t>
      </w:r>
    </w:p>
    <w:p w:rsidR="00F44ABA" w:rsidRPr="00F44ABA" w:rsidP="00517ED5">
      <w:pPr>
        <w:pStyle w:val="FSBBody"/>
        <w:numPr>
          <w:ilvl w:val="0"/>
          <w:numId w:val="14"/>
        </w:numPr>
        <w:rPr>
          <w:lang w:val="en-GB"/>
        </w:rPr>
      </w:pPr>
      <w:r w:rsidRPr="00F44ABA">
        <w:t xml:space="preserve">Introducing a new </w:t>
      </w:r>
      <w:r w:rsidR="00C341FE">
        <w:t>visitor levy in England</w:t>
      </w:r>
      <w:r w:rsidRPr="00F44ABA">
        <w:t xml:space="preserve"> </w:t>
      </w:r>
      <w:r w:rsidR="00C341FE">
        <w:t xml:space="preserve">through legislation in 2026 </w:t>
      </w:r>
      <w:r w:rsidRPr="00F44ABA">
        <w:t>is</w:t>
      </w:r>
      <w:r w:rsidR="00C341FE">
        <w:t xml:space="preserve"> particularly</w:t>
      </w:r>
      <w:r w:rsidRPr="00F44ABA">
        <w:t xml:space="preserve"> bad timing for small businesses.</w:t>
      </w:r>
      <w:r w:rsidRPr="00C341FE" w:rsidR="00C341FE">
        <w:rPr>
          <w:rFonts w:ascii="NunitoSans-Light" w:hAnsi="NunitoSans-Light"/>
          <w:szCs w:val="22"/>
        </w:rPr>
        <w:t xml:space="preserve"> </w:t>
      </w:r>
      <w:r w:rsidRPr="00C341FE" w:rsidR="00C341FE">
        <w:t>If implemented, it must use a flat fee to avoid operational friction, be managed at a single regional level to prevent overlapping taxes, and strictly ringfence proceeds for local infrastructure.</w:t>
      </w:r>
    </w:p>
    <w:p w:rsidR="00C341FE" w:rsidRPr="00C341FE" w:rsidP="00517ED5">
      <w:pPr>
        <w:pStyle w:val="FSBBody"/>
        <w:numPr>
          <w:ilvl w:val="0"/>
          <w:numId w:val="14"/>
        </w:numPr>
        <w:rPr>
          <w:lang w:val="en-GB"/>
        </w:rPr>
      </w:pPr>
      <w:r w:rsidRPr="00C341FE">
        <w:rPr>
          <w:lang w:val="en-GB"/>
        </w:rPr>
        <w:t xml:space="preserve">In terms of competitiveness, </w:t>
      </w:r>
      <w:r>
        <w:t>t</w:t>
      </w:r>
      <w:r w:rsidRPr="00C341FE">
        <w:t>he UK's 20% hospitality VAT already makes England uncompetitive globally (compared to 5-10% rates elsewhere). Uncapped municipal levies risk spiraling visitor costs and reducing disposable income for local high streets.</w:t>
      </w:r>
    </w:p>
    <w:p w:rsidR="00517ED5" w:rsidRPr="00C341FE" w:rsidP="00517ED5">
      <w:pPr>
        <w:pStyle w:val="FSBBody"/>
        <w:numPr>
          <w:ilvl w:val="0"/>
          <w:numId w:val="14"/>
        </w:numPr>
        <w:rPr>
          <w:lang w:val="en-GB"/>
        </w:rPr>
      </w:pPr>
      <w:r w:rsidRPr="00C341FE">
        <w:rPr>
          <w:lang w:val="en-GB"/>
        </w:rPr>
        <w:t xml:space="preserve">The regulatory and administrative burden is high </w:t>
      </w:r>
      <w:r>
        <w:rPr>
          <w:lang w:val="en-GB"/>
        </w:rPr>
        <w:t xml:space="preserve">with tax alone </w:t>
      </w:r>
      <w:r w:rsidRPr="00C341FE">
        <w:t>cos</w:t>
      </w:r>
      <w:r>
        <w:t>ting</w:t>
      </w:r>
      <w:r w:rsidRPr="00C341FE">
        <w:t xml:space="preserve"> small businesses £25 billion and 44 hours annually. </w:t>
      </w:r>
      <w:r>
        <w:t>Visitor l</w:t>
      </w:r>
      <w:r w:rsidRPr="00C341FE">
        <w:t>evy collections must be excluded from VAT turnover thresholds, and enforcement should be "support-first," avoiding intrusive home-premise inspections.</w:t>
      </w:r>
    </w:p>
    <w:p w:rsidR="00315E25" w:rsidRPr="00C341FE" w:rsidP="00315E25">
      <w:pPr>
        <w:pStyle w:val="FSBBody"/>
        <w:numPr>
          <w:ilvl w:val="0"/>
          <w:numId w:val="14"/>
        </w:numPr>
        <w:rPr>
          <w:lang w:val="en-GB"/>
        </w:rPr>
      </w:pPr>
      <w:r w:rsidRPr="00C341FE">
        <w:rPr>
          <w:lang w:val="en-GB"/>
        </w:rPr>
        <w:t xml:space="preserve">Rural and coastal communities face specific challenges. </w:t>
      </w:r>
      <w:r w:rsidRPr="00C341FE">
        <w:t>Allocating funds based on overnight stays unfairly favors cities. Rural areas absorb the wear and tear of day-trippers without the revenue, worsening existing infrastructure gaps—such as broadband issues, which affect 32% of rural businesses compared to just 17% of urban ones.</w:t>
      </w:r>
      <w:r w:rsidRPr="00C341FE">
        <w:rPr>
          <w:lang w:val="en-GB"/>
        </w:rPr>
        <w:br w:type="page"/>
      </w:r>
    </w:p>
    <w:p w:rsidR="00A5351C" w:rsidP="00A5351C">
      <w:pPr>
        <w:pStyle w:val="FSBBody"/>
        <w:rPr>
          <w:rFonts w:eastAsia="NunitoSans-Black" w:asciiTheme="majorHAnsi" w:hAnsiTheme="majorHAnsi" w:cs="NunitoSans-Black"/>
          <w:b/>
          <w:color w:val="03304A"/>
          <w:sz w:val="28"/>
        </w:rPr>
      </w:pPr>
      <w:r w:rsidRPr="00315E25">
        <w:rPr>
          <w:rFonts w:eastAsia="NunitoSans-Black" w:asciiTheme="majorHAnsi" w:hAnsiTheme="majorHAnsi" w:cs="NunitoSans-Black"/>
          <w:b/>
          <w:color w:val="03304A"/>
          <w:sz w:val="28"/>
        </w:rPr>
        <w:t>Questions</w:t>
      </w:r>
    </w:p>
    <w:p w:rsidR="002F2D9C" w:rsidRPr="00A5351C" w:rsidP="00A5351C">
      <w:pPr>
        <w:pStyle w:val="FSBHeading3"/>
        <w:rPr>
          <w:u w:color="FFFFFF"/>
          <w:lang w:val="en-GB"/>
        </w:rPr>
      </w:pPr>
      <w:r w:rsidRPr="00DE2CCF">
        <w:rPr>
          <w:u w:color="FFFFFF"/>
          <w:lang w:val="en-GB"/>
        </w:rPr>
        <w:t>1</w:t>
      </w:r>
      <w:r w:rsidRPr="00A5351C">
        <w:rPr>
          <w:rFonts w:ascii="MS Gothic" w:eastAsia="MS Gothic" w:hAnsi="MS Gothic" w:cs="MS Gothic" w:hint="eastAsia"/>
          <w:u w:color="FFFFFF"/>
          <w:lang w:val="en-GB"/>
        </w:rPr>
        <w:t>․</w:t>
      </w:r>
      <w:r w:rsidRPr="00DE2CCF">
        <w:rPr>
          <w:u w:color="FFFFFF"/>
          <w:lang w:val="en-GB"/>
        </w:rPr>
        <w:t xml:space="preserve"> </w:t>
      </w:r>
      <w:r w:rsidRPr="00B3399B" w:rsidR="00B3399B">
        <w:rPr>
          <w:u w:color="FFFFFF"/>
          <w:lang w:val="en-GB"/>
        </w:rPr>
        <w:t>How effective are government policies in supporting the growth, competitiveness and long-term resilience of the tourism sector?</w:t>
      </w:r>
      <w:r w:rsidR="00B3399B">
        <w:rPr>
          <w:u w:color="FFFFFF"/>
          <w:lang w:val="en-GB"/>
        </w:rPr>
        <w:t xml:space="preserve"> </w:t>
      </w:r>
      <w:r w:rsidRPr="00A5351C" w:rsidR="00B3399B">
        <w:rPr>
          <w:u w:color="FFFFFF"/>
          <w:lang w:val="en-GB"/>
        </w:rPr>
        <w:t>v. What are the arguments for and against the proposal to give mayoral strategic authorities the power to introduce an overnight visitor levy? If a levy is introduced, how should it best be spent to attract tourism and investment?</w:t>
      </w:r>
    </w:p>
    <w:p w:rsidR="00A5351C" w:rsidRPr="00680B78" w:rsidP="00680B78">
      <w:pPr>
        <w:rPr>
          <w:rFonts w:ascii="Nunito Sans Light" w:eastAsia="Calibri" w:hAnsi="Nunito Sans Light" w:cs="Calibri"/>
        </w:rPr>
      </w:pPr>
      <w:r w:rsidRPr="00680B78">
        <w:rPr>
          <w:rFonts w:ascii="Nunito Sans Light" w:eastAsia="Calibri" w:hAnsi="Nunito Sans Light" w:cs="Calibri"/>
        </w:rPr>
        <w:t xml:space="preserve">FSB analysis shows that this is especially bad timing to be introducing a new potential tax on small businesses. Small business confidence </w:t>
      </w:r>
      <w:r w:rsidRPr="00680B78">
        <w:rPr>
          <w:rFonts w:ascii="Nunito Sans Light" w:eastAsia="Calibri" w:hAnsi="Nunito Sans Light" w:cs="Calibri"/>
        </w:rPr>
        <w:t xml:space="preserve">has fluctuated significantly in the food and accommodation sector over the past year reflecting a lot of uncertainty. For this sector confidence remains very low at -62.6 in the first quarter of 2026 up from a major dip the previous quarter of -104. The picture is not favourable for other businesses on the high street either as confidence for small businesses overall sits </w:t>
      </w:r>
      <w:r w:rsidRPr="00680B78">
        <w:rPr>
          <w:rFonts w:ascii="Nunito Sans Light" w:eastAsia="Calibri" w:hAnsi="Nunito Sans Light" w:cs="Calibri"/>
        </w:rPr>
        <w:t>at -</w:t>
      </w:r>
      <w:r w:rsidRPr="00680B78">
        <w:rPr>
          <w:rFonts w:ascii="Nunito Sans Light" w:eastAsia="Calibri" w:hAnsi="Nunito Sans Light" w:cs="Calibri"/>
        </w:rPr>
        <w:t>52.5</w:t>
      </w:r>
      <w:r w:rsidRPr="00680B78">
        <w:rPr>
          <w:rFonts w:ascii="Nunito Sans Light" w:eastAsia="Calibri" w:hAnsi="Nunito Sans Light" w:cs="Calibri"/>
        </w:rPr>
        <w:t xml:space="preserve"> points</w:t>
      </w:r>
      <w:r w:rsidRPr="00680B78">
        <w:rPr>
          <w:rFonts w:ascii="Nunito Sans Light" w:eastAsia="Calibri" w:hAnsi="Nunito Sans Light" w:cs="Calibri"/>
        </w:rPr>
        <w:t xml:space="preserve"> in Q1 2026 up from the previous quarter with a confidence score of -71 points.</w:t>
      </w:r>
      <w:r>
        <w:rPr>
          <w:rFonts w:eastAsia="Calibri" w:cs="Calibri"/>
          <w:vertAlign w:val="superscript"/>
        </w:rPr>
        <w:footnoteReference w:id="2"/>
      </w:r>
    </w:p>
    <w:p w:rsidR="00680B78" w:rsidRPr="00680B78" w:rsidP="00680B78">
      <w:pPr>
        <w:rPr>
          <w:rFonts w:ascii="Nunito Sans Light" w:eastAsia="Calibri" w:hAnsi="Nunito Sans Light" w:cs="Calibri"/>
        </w:rPr>
      </w:pPr>
      <w:r w:rsidRPr="00680B78">
        <w:rPr>
          <w:rFonts w:ascii="Nunito Sans Light" w:eastAsia="Calibri" w:hAnsi="Nunito Sans Light" w:cs="Calibri"/>
        </w:rPr>
        <w:t>As FSB’s analysis of small business costs since 2022 shows, t</w:t>
      </w:r>
      <w:r w:rsidRPr="00680B78" w:rsidR="00F27056">
        <w:rPr>
          <w:rFonts w:ascii="Nunito Sans Light" w:eastAsia="Calibri" w:hAnsi="Nunito Sans Light" w:cs="Calibri"/>
        </w:rPr>
        <w:t xml:space="preserve">his low confidence score can be attributed, in large part, to the fact that business costs have been </w:t>
      </w:r>
      <w:r w:rsidRPr="00680B78">
        <w:rPr>
          <w:rFonts w:ascii="Nunito Sans Light" w:eastAsia="Calibri" w:hAnsi="Nunito Sans Light" w:cs="Calibri"/>
        </w:rPr>
        <w:t xml:space="preserve">accumulating </w:t>
      </w:r>
      <w:r w:rsidRPr="00680B78" w:rsidR="00142E11">
        <w:rPr>
          <w:rFonts w:ascii="Nunito Sans Light" w:eastAsia="Calibri" w:hAnsi="Nunito Sans Light" w:cs="Calibri"/>
        </w:rPr>
        <w:t>to an unbearable level</w:t>
      </w:r>
      <w:r w:rsidRPr="00680B78" w:rsidR="00F27056">
        <w:rPr>
          <w:rFonts w:ascii="Nunito Sans Light" w:eastAsia="Calibri" w:hAnsi="Nunito Sans Light" w:cs="Calibri"/>
        </w:rPr>
        <w:t xml:space="preserve">. </w:t>
      </w:r>
      <w:r w:rsidRPr="00680B78" w:rsidR="00142E11">
        <w:rPr>
          <w:rFonts w:ascii="Nunito Sans Light" w:eastAsia="Calibri" w:hAnsi="Nunito Sans Light" w:cs="Calibri"/>
        </w:rPr>
        <w:t>At the end of 2025, FSB research shows more firms to expect contraction (35%) than growth (21%) for the first time in the index's history. This severe cost crisis is heavily fueled by surging employment expenses, specifically consecutive increases to the National Living Wage and higher employer National Insurance contributions, alongside new Statutory Sick Pay rules that remove waiting days and lower earnings limits.</w:t>
      </w:r>
      <w:r>
        <w:rPr>
          <w:rFonts w:eastAsia="Calibri" w:cs="Calibri"/>
          <w:vertAlign w:val="superscript"/>
        </w:rPr>
        <w:footnoteReference w:id="3"/>
      </w:r>
    </w:p>
    <w:p w:rsidR="00F27056" w:rsidRPr="00680B78" w:rsidP="00680B78">
      <w:pPr>
        <w:rPr>
          <w:rFonts w:ascii="Nunito Sans Light" w:eastAsia="Calibri" w:hAnsi="Nunito Sans Light" w:cs="Calibri"/>
        </w:rPr>
      </w:pPr>
      <w:r w:rsidRPr="00680B78">
        <w:rPr>
          <w:rFonts w:ascii="Nunito Sans Light" w:eastAsia="Calibri" w:hAnsi="Nunito Sans Light" w:cs="Calibri"/>
        </w:rPr>
        <w:t>Apart from the very welcome support seen for pubs and live music venues in 2026,</w:t>
      </w:r>
      <w:r>
        <w:rPr>
          <w:rFonts w:eastAsia="Calibri" w:cs="Calibri"/>
          <w:vertAlign w:val="superscript"/>
        </w:rPr>
        <w:footnoteReference w:id="4"/>
      </w:r>
      <w:r w:rsidRPr="00680B78">
        <w:rPr>
          <w:rFonts w:ascii="Nunito Sans Light" w:eastAsia="Calibri" w:hAnsi="Nunito Sans Light" w:cs="Calibri"/>
        </w:rPr>
        <w:t xml:space="preserve"> small firms are being hit by an average 52% increase in business rates for the retail, hospitality, and leisure sectors over the next three years, as well as a projected 44% spike in energy standing charges in April. To prevent widespread downsizing and closures, FSB urgently recommends targeted government interventions, including indexing the Employment Allowance to the National Living Wage, introducing a Statutory Sick Pay rebate for small employers, extending business rate discounts, and removing a significant portion of Renewable Obligation costs from non-domestic energy bills.</w:t>
      </w:r>
      <w:r>
        <w:rPr>
          <w:rFonts w:eastAsia="Calibri" w:cs="Calibri"/>
          <w:vertAlign w:val="superscript"/>
        </w:rPr>
        <w:footnoteReference w:id="5"/>
      </w:r>
    </w:p>
    <w:p w:rsidR="00F27056" w:rsidRPr="00680B78" w:rsidP="00680B78">
      <w:pPr>
        <w:rPr>
          <w:rFonts w:ascii="Nunito Sans Light" w:eastAsia="Calibri" w:hAnsi="Nunito Sans Light" w:cs="Calibri"/>
        </w:rPr>
      </w:pPr>
      <w:r w:rsidRPr="00680B78">
        <w:rPr>
          <w:rFonts w:ascii="Nunito Sans Light" w:eastAsia="Calibri" w:hAnsi="Nunito Sans Light" w:cs="Calibri"/>
        </w:rPr>
        <w:t xml:space="preserve">Having highlighted these challenges, FSB's response </w:t>
      </w:r>
      <w:r w:rsidRPr="00680B78" w:rsidR="00142E11">
        <w:rPr>
          <w:rFonts w:ascii="Nunito Sans Light" w:eastAsia="Calibri" w:hAnsi="Nunito Sans Light" w:cs="Calibri"/>
        </w:rPr>
        <w:t xml:space="preserve">to proposed visitor levy powers </w:t>
      </w:r>
      <w:r w:rsidRPr="00680B78">
        <w:rPr>
          <w:rFonts w:ascii="Nunito Sans Light" w:eastAsia="Calibri" w:hAnsi="Nunito Sans Light" w:cs="Calibri"/>
        </w:rPr>
        <w:t>focuses on how a levy can be best designed to mitigate the impact on small businesses</w:t>
      </w:r>
      <w:r w:rsidRPr="00680B78" w:rsidR="00142E11">
        <w:rPr>
          <w:rFonts w:ascii="Nunito Sans Light" w:eastAsia="Calibri" w:hAnsi="Nunito Sans Light" w:cs="Calibri"/>
        </w:rPr>
        <w:t>, and tourism economies</w:t>
      </w:r>
      <w:r w:rsidRPr="00680B78">
        <w:rPr>
          <w:rFonts w:ascii="Nunito Sans Light" w:eastAsia="Calibri" w:hAnsi="Nunito Sans Light" w:cs="Calibri"/>
        </w:rPr>
        <w:t xml:space="preserve"> if implemented. We must learn lessons from the implementation of similar levies in Wales, and especially in Scotland, where earlier in 2026 a new amendment bill was needed to rectify serious implementation issues with the levy. Any design must avoid these pitfalls to support a </w:t>
      </w:r>
      <w:r w:rsidRPr="00680B78">
        <w:rPr>
          <w:rFonts w:ascii="Nunito Sans Light" w:eastAsia="Calibri" w:hAnsi="Nunito Sans Light" w:cs="Calibri"/>
        </w:rPr>
        <w:t>fair trading</w:t>
      </w:r>
      <w:r w:rsidRPr="00680B78">
        <w:rPr>
          <w:rFonts w:ascii="Nunito Sans Light" w:eastAsia="Calibri" w:hAnsi="Nunito Sans Light" w:cs="Calibri"/>
        </w:rPr>
        <w:t xml:space="preserve"> environment.  </w:t>
      </w:r>
    </w:p>
    <w:p w:rsidR="00F27056" w:rsidRPr="00680B78" w:rsidP="00680B78">
      <w:pPr>
        <w:rPr>
          <w:rFonts w:ascii="Nunito Sans Light" w:eastAsia="Calibri" w:hAnsi="Nunito Sans Light" w:cs="Calibri"/>
        </w:rPr>
      </w:pPr>
      <w:r w:rsidRPr="00680B78">
        <w:rPr>
          <w:rFonts w:ascii="Nunito Sans Light" w:eastAsia="Calibri" w:hAnsi="Nunito Sans Light" w:cs="Calibri"/>
        </w:rPr>
        <w:t xml:space="preserve">A flat fee is preferred to a percentage levy. </w:t>
      </w:r>
      <w:r w:rsidRPr="0072218F" w:rsidR="0072218F">
        <w:rPr>
          <w:rFonts w:ascii="Nunito Sans Light" w:eastAsia="Calibri" w:hAnsi="Nunito Sans Light" w:cs="Calibri"/>
        </w:rPr>
        <w:t>The recent struggles with the Scottish implementation demonstrate</w:t>
      </w:r>
      <w:r w:rsidR="0072218F">
        <w:rPr>
          <w:rFonts w:ascii="Nunito Sans Light" w:eastAsia="Calibri" w:hAnsi="Nunito Sans Light" w:cs="Calibri"/>
        </w:rPr>
        <w:t xml:space="preserve"> </w:t>
      </w:r>
      <w:r w:rsidRPr="00680B78">
        <w:rPr>
          <w:rFonts w:ascii="Nunito Sans Light" w:eastAsia="Calibri" w:hAnsi="Nunito Sans Light" w:cs="Calibri"/>
        </w:rPr>
        <w:t>percentages</w:t>
      </w:r>
      <w:r w:rsidR="0072218F">
        <w:rPr>
          <w:rFonts w:ascii="Nunito Sans Light" w:eastAsia="Calibri" w:hAnsi="Nunito Sans Light" w:cs="Calibri"/>
        </w:rPr>
        <w:t xml:space="preserve"> calculations</w:t>
      </w:r>
      <w:r w:rsidRPr="00680B78">
        <w:rPr>
          <w:rFonts w:ascii="Nunito Sans Light" w:eastAsia="Calibri" w:hAnsi="Nunito Sans Light" w:cs="Calibri"/>
        </w:rPr>
        <w:t xml:space="preserve"> create operational friction and confusion. In most cases any proportionality gained by a percentage fee is outweighed by the administrative cost incurred.</w:t>
      </w:r>
      <w:r>
        <w:rPr>
          <w:rFonts w:eastAsia="Calibri" w:cs="Calibri"/>
          <w:vertAlign w:val="superscript"/>
        </w:rPr>
        <w:footnoteReference w:id="6"/>
      </w:r>
      <w:r w:rsidRPr="00680B78">
        <w:rPr>
          <w:rFonts w:eastAsia="Calibri" w:cs="Calibri"/>
          <w:vertAlign w:val="superscript"/>
        </w:rPr>
        <w:t xml:space="preserve"> </w:t>
      </w:r>
      <w:r w:rsidRPr="00680B78">
        <w:rPr>
          <w:rFonts w:ascii="Nunito Sans Light" w:eastAsia="Calibri" w:hAnsi="Nunito Sans Light" w:cs="Calibri"/>
        </w:rPr>
        <w:t xml:space="preserve">The percentage model forces businesses to separate the accommodation element from other charges such as food and drink, and use of facilities.  </w:t>
      </w:r>
    </w:p>
    <w:p w:rsidR="00F27056" w:rsidRPr="00680B78" w:rsidP="00680B78">
      <w:pPr>
        <w:rPr>
          <w:rFonts w:ascii="Nunito Sans Light" w:eastAsia="Calibri" w:hAnsi="Nunito Sans Light" w:cs="Calibri"/>
        </w:rPr>
      </w:pPr>
      <w:r w:rsidRPr="00680B78">
        <w:rPr>
          <w:rFonts w:ascii="Nunito Sans Light" w:eastAsia="Calibri" w:hAnsi="Nunito Sans Light" w:cs="Calibri"/>
        </w:rPr>
        <w:t xml:space="preserve">Powers must reside at a single regional layer, avoiding the cumulative cost and confusion of overlapping levies. No region should face duplicated or additional visitor levies from both a city and a </w:t>
      </w:r>
      <w:r w:rsidRPr="00680B78">
        <w:rPr>
          <w:rFonts w:ascii="Nunito Sans Light" w:eastAsia="Calibri" w:hAnsi="Nunito Sans Light" w:cs="Calibri"/>
        </w:rPr>
        <w:t xml:space="preserve">regional authority, for example. The levy should be limited to a single charge rather than multiple overlapping or duplicated levies. Multiple levies put off tourists and multiply the administrative work for the businesses implementing the system.  </w:t>
      </w:r>
    </w:p>
    <w:p w:rsidR="00F27056" w:rsidRPr="00680B78" w:rsidP="00680B78">
      <w:pPr>
        <w:rPr>
          <w:rFonts w:ascii="Nunito Sans Light" w:eastAsia="Calibri" w:hAnsi="Nunito Sans Light" w:cs="Calibri"/>
        </w:rPr>
      </w:pPr>
      <w:r w:rsidRPr="00680B78">
        <w:rPr>
          <w:rFonts w:ascii="Nunito Sans Light" w:eastAsia="Calibri" w:hAnsi="Nunito Sans Light" w:cs="Calibri"/>
        </w:rPr>
        <w:t xml:space="preserve">Proceeds of any levy must be ringfenced. Spending should focus on tourist infrastructure and mitigating local impacts. Accountability mechanisms must be strong to prevent the levy from becoming a tool for filling general funding gaps. Local business communities need a formal role in deciding where these revenues go to prevent the diversion of funds.  </w:t>
      </w:r>
    </w:p>
    <w:p w:rsidR="00BF17EE" w:rsidP="00680B78">
      <w:pPr>
        <w:rPr>
          <w:rFonts w:ascii="Nunito Sans Light" w:eastAsia="Calibri" w:hAnsi="Nunito Sans Light" w:cs="Calibri"/>
        </w:rPr>
      </w:pPr>
      <w:r w:rsidRPr="00680B78">
        <w:rPr>
          <w:rFonts w:ascii="Nunito Sans Light" w:eastAsia="Calibri" w:hAnsi="Nunito Sans Light" w:cs="Calibri"/>
        </w:rPr>
        <w:t>Evidence from FSB Scotland in its Big Small Business Survey shows when SMEs were asked what revenues should be spent on, they prioritised tangible improvements that enhance the visitor experience infrastructure/transport (62%), facilities like public toilets and bins (60%), and street cleaning (54%). These preferences show that small firms value physical upgrades that directly help their trading environment.</w:t>
      </w:r>
      <w:r>
        <w:rPr>
          <w:rStyle w:val="FootnoteReference"/>
          <w:rFonts w:ascii="Nunito Sans Light" w:hAnsi="Nunito Sans Light"/>
        </w:rPr>
        <w:footnoteReference w:id="7"/>
      </w:r>
    </w:p>
    <w:p w:rsidR="00F44ABA" w:rsidP="00680B78">
      <w:pPr>
        <w:rPr>
          <w:rFonts w:ascii="Nunito Sans Light" w:eastAsia="Calibri" w:hAnsi="Nunito Sans Light" w:cs="Calibri"/>
        </w:rPr>
      </w:pPr>
    </w:p>
    <w:p w:rsidR="009C46A5" w:rsidP="009C46A5">
      <w:pPr>
        <w:rPr>
          <w:rFonts w:asciiTheme="majorHAnsi" w:eastAsiaTheme="majorEastAsia" w:hAnsiTheme="majorHAnsi" w:cstheme="majorBidi"/>
          <w:b/>
          <w:bCs/>
          <w:color w:val="03304A"/>
          <w:sz w:val="24"/>
          <w:szCs w:val="24"/>
          <w:u w:color="FFFFFF"/>
        </w:rPr>
      </w:pPr>
      <w:r w:rsidRPr="009C46A5">
        <w:rPr>
          <w:rFonts w:asciiTheme="majorHAnsi" w:eastAsiaTheme="majorEastAsia" w:hAnsiTheme="majorHAnsi" w:cstheme="majorBidi"/>
          <w:b/>
          <w:bCs/>
          <w:color w:val="03304A"/>
          <w:sz w:val="24"/>
          <w:szCs w:val="24"/>
          <w:u w:color="FFFFFF"/>
        </w:rPr>
        <w:t>i. What are the main barriers to international competitiveness? How effectively does the UK promote itself overseas as a destination and what more could be done to strengthen its international profile?</w:t>
      </w:r>
    </w:p>
    <w:p w:rsidR="009C46A5" w:rsidRPr="009C46A5" w:rsidP="009C46A5">
      <w:pPr>
        <w:rPr>
          <w:rFonts w:ascii="Nunito Sans Light" w:eastAsia="Calibri" w:hAnsi="Nunito Sans Light" w:cs="Calibri"/>
        </w:rPr>
      </w:pPr>
      <w:r>
        <w:rPr>
          <w:rFonts w:ascii="Nunito Sans Light" w:eastAsia="Calibri" w:hAnsi="Nunito Sans Light" w:cs="Calibri"/>
        </w:rPr>
        <w:t>A</w:t>
      </w:r>
      <w:r w:rsidRPr="009C46A5">
        <w:rPr>
          <w:rFonts w:ascii="Nunito Sans Light" w:eastAsia="Calibri" w:hAnsi="Nunito Sans Light" w:cs="Calibri"/>
        </w:rPr>
        <w:t xml:space="preserve"> primary concern for FSB is the structural taxation baseline. The UK applies a standard 20% VAT to hospitality. Competitor destinations often apply reduced rates of 5-10%. Research conducted by the Tourism Alliance finds that international destinations with tourist taxes usually have these lower VAT baselines to offset the cost.</w:t>
      </w:r>
    </w:p>
    <w:p w:rsidR="009C46A5" w:rsidRPr="009C46A5" w:rsidP="009C46A5">
      <w:pPr>
        <w:rPr>
          <w:rFonts w:ascii="Nunito Sans Light" w:eastAsia="Calibri" w:hAnsi="Nunito Sans Light" w:cs="Calibri"/>
        </w:rPr>
      </w:pPr>
      <w:r w:rsidRPr="009C46A5">
        <w:rPr>
          <w:rFonts w:ascii="Nunito Sans Light" w:eastAsia="Calibri" w:hAnsi="Nunito Sans Light" w:cs="Calibri"/>
        </w:rPr>
        <w:t>Adding an uncapped municipal levy on top of 20% VAT creates an exceptionally high total tax burden. When evaluating how effectively the UK promotes itself overseas, it must be acknowledged that this renders England structurally uncompetitive in tourism markets.</w:t>
      </w:r>
    </w:p>
    <w:p w:rsidR="009C46A5" w:rsidRPr="009C46A5" w:rsidP="009C46A5">
      <w:pPr>
        <w:rPr>
          <w:rFonts w:ascii="Nunito Sans Light" w:eastAsia="Calibri" w:hAnsi="Nunito Sans Light" w:cs="Calibri"/>
        </w:rPr>
      </w:pPr>
      <w:r w:rsidRPr="009C46A5">
        <w:rPr>
          <w:rFonts w:ascii="Nunito Sans Light" w:eastAsia="Calibri" w:hAnsi="Nunito Sans Light" w:cs="Calibri"/>
        </w:rPr>
        <w:t>A major factor exacerbating this barrier is the lack of limits on future taxation. Without a statutory upper limit and defined areas of spend, a risk exists of rate creep where local authorities under financial pressure gradually increase levies to punitive levels. This damage hits the visitor economy and displaces domestic tourism, alongside acting as a major deterrent to international guests.</w:t>
      </w:r>
    </w:p>
    <w:p w:rsidR="009C46A5" w:rsidRPr="009C46A5" w:rsidP="009C46A5">
      <w:pPr>
        <w:rPr>
          <w:rFonts w:ascii="Nunito Sans Light" w:eastAsia="Calibri" w:hAnsi="Nunito Sans Light" w:cs="Calibri"/>
        </w:rPr>
      </w:pPr>
      <w:r w:rsidRPr="009C46A5">
        <w:rPr>
          <w:rFonts w:ascii="Nunito Sans Light" w:eastAsia="Calibri" w:hAnsi="Nunito Sans Light" w:cs="Calibri"/>
        </w:rPr>
        <w:t>This risk is compounded by the threat of cumulative taxation across different regions. It must be that only one levy is raised for a certain locality. Levels of taxes quickly add up. This is caused when different layers of government or neighboring authorities apply cumulative taxes, resulting in spiraling costs for those travelling across the country.</w:t>
      </w:r>
    </w:p>
    <w:p w:rsidR="009C46A5" w:rsidRPr="002C38C8" w:rsidP="009C46A5">
      <w:pPr>
        <w:rPr>
          <w:rFonts w:ascii="Nunito Sans Light" w:eastAsia="Calibri" w:hAnsi="Nunito Sans Light" w:cs="Calibri"/>
        </w:rPr>
      </w:pPr>
      <w:r w:rsidRPr="009C46A5">
        <w:rPr>
          <w:rFonts w:ascii="Nunito Sans Light" w:eastAsia="Calibri" w:hAnsi="Nunito Sans Light" w:cs="Calibri"/>
        </w:rPr>
        <w:t>The ultimate consequence of these spiraling costs directly harms local growth. This compounds with multiple stays and limits visitors' ability to plan regional tours. This decrease in subsequent spend and disposable funds available to visitors to spend in retail and hospitality centres strangles the benefits that come with tourism. Guests dine out less often since their accommodation costs are artificially high, and local shops also lose out on trade.</w:t>
      </w:r>
    </w:p>
    <w:p w:rsidR="009C46A5" w:rsidRPr="00680B78" w:rsidP="00680B78">
      <w:pPr>
        <w:rPr>
          <w:rFonts w:ascii="Nunito Sans Light" w:eastAsia="Calibri" w:hAnsi="Nunito Sans Light" w:cs="Calibri"/>
        </w:rPr>
      </w:pPr>
    </w:p>
    <w:p w:rsidR="00B3399B" w:rsidRPr="00BF17EE" w:rsidP="00B3399B">
      <w:pPr>
        <w:pStyle w:val="FSBHeading3"/>
        <w:rPr>
          <w:rFonts w:ascii="Nunito Sans Light" w:eastAsia="NunitoSans-Light" w:hAnsi="Nunito Sans Light" w:cs="NunitoSans-Light"/>
          <w:b w:val="0"/>
          <w:bCs w:val="0"/>
          <w:color w:val="000000" w:themeColor="text1"/>
          <w:sz w:val="22"/>
          <w:szCs w:val="20"/>
          <w:u w:color="FFFFFF"/>
          <w:lang w:val="en-GB"/>
        </w:rPr>
      </w:pPr>
      <w:r>
        <w:rPr>
          <w:u w:color="FFFFFF"/>
          <w:lang w:val="en-GB"/>
        </w:rPr>
        <w:t>5</w:t>
      </w:r>
      <w:r w:rsidRPr="002F2D9C">
        <w:rPr>
          <w:rFonts w:ascii="Microsoft JhengHei" w:eastAsia="Microsoft JhengHei" w:hAnsi="Microsoft JhengHei" w:cs="Microsoft JhengHei" w:hint="eastAsia"/>
          <w:u w:color="FFFFFF"/>
          <w:lang w:val="en-GB"/>
        </w:rPr>
        <w:t>․</w:t>
      </w:r>
      <w:r w:rsidRPr="00DE2CCF">
        <w:rPr>
          <w:u w:color="FFFFFF"/>
          <w:lang w:val="en-GB"/>
        </w:rPr>
        <w:t xml:space="preserve"> </w:t>
      </w:r>
      <w:r w:rsidRPr="00BF17EE">
        <w:rPr>
          <w:u w:color="FFFFFF"/>
          <w:lang w:val="en-GB"/>
        </w:rPr>
        <w:t>How effectively is the domestic tourism sector functioning across the UK and what factors are shaping current levels of demand and recovery?</w:t>
      </w:r>
      <w:r>
        <w:rPr>
          <w:u w:color="FFFFFF"/>
          <w:lang w:val="en-GB"/>
        </w:rPr>
        <w:t xml:space="preserve"> </w:t>
      </w:r>
      <w:r w:rsidRPr="00BF17EE">
        <w:rPr>
          <w:u w:color="FFFFFF"/>
        </w:rPr>
        <w:t>i. To what extent have rising operational and workforce costs affected the affordability and viability of domestic trips for both operators and consumers?</w:t>
      </w:r>
    </w:p>
    <w:p w:rsidR="009C46A5" w:rsidRPr="009C46A5" w:rsidP="009C46A5">
      <w:pPr>
        <w:rPr>
          <w:rFonts w:ascii="Nunito Sans Light" w:eastAsia="Calibri" w:hAnsi="Nunito Sans Light" w:cs="Calibri"/>
        </w:rPr>
      </w:pPr>
      <w:r>
        <w:rPr>
          <w:rFonts w:ascii="Nunito Sans Light" w:eastAsia="Calibri" w:hAnsi="Nunito Sans Light" w:cs="Calibri"/>
        </w:rPr>
        <w:t>T</w:t>
      </w:r>
      <w:r w:rsidRPr="009C46A5">
        <w:rPr>
          <w:rFonts w:ascii="Nunito Sans Light" w:eastAsia="Calibri" w:hAnsi="Nunito Sans Light" w:cs="Calibri"/>
        </w:rPr>
        <w:t xml:space="preserve">he evidence set out in response to Q1v sets out the challenges in business confidence, growth </w:t>
      </w:r>
      <w:r w:rsidRPr="009C46A5">
        <w:rPr>
          <w:rFonts w:ascii="Nunito Sans Light" w:eastAsia="Calibri" w:hAnsi="Nunito Sans Light" w:cs="Calibri"/>
        </w:rPr>
        <w:t>prospects, and cumulative costs that have been relentlessly increasing since 2022.</w:t>
      </w:r>
    </w:p>
    <w:p w:rsidR="009C46A5" w:rsidRPr="009C46A5" w:rsidP="009C46A5">
      <w:pPr>
        <w:rPr>
          <w:rFonts w:ascii="Nunito Sans Light" w:eastAsia="Calibri" w:hAnsi="Nunito Sans Light" w:cs="Calibri"/>
        </w:rPr>
      </w:pPr>
      <w:r w:rsidRPr="009C46A5">
        <w:rPr>
          <w:rFonts w:ascii="Nunito Sans Light" w:eastAsia="Calibri" w:hAnsi="Nunito Sans Light" w:cs="Calibri"/>
        </w:rPr>
        <w:t>Beyond these overarching economic pressures, there are other significant cost and administrative burdens that are burdening small businesses in the hospitality and tourism sectors that tourism relies so heavily upon. These non-operational hurdles drain vital resources and time that could otherwise be invested in competitive pricing, staff retention, or improving the overall consumer experience.</w:t>
      </w:r>
    </w:p>
    <w:p w:rsidR="009C46A5" w:rsidRPr="009C46A5" w:rsidP="009C46A5">
      <w:pPr>
        <w:rPr>
          <w:rFonts w:ascii="Nunito Sans Light" w:eastAsia="Calibri" w:hAnsi="Nunito Sans Light" w:cs="Calibri"/>
        </w:rPr>
      </w:pPr>
      <w:r w:rsidRPr="009C46A5">
        <w:rPr>
          <w:rFonts w:ascii="Nunito Sans Light" w:eastAsia="Calibri" w:hAnsi="Nunito Sans Light" w:cs="Calibri"/>
        </w:rPr>
        <w:t>A prime example of this drain is the current administrative load associated with taxation. The cost of tax compliance to the small business community amounts to nearly £25 billion per year. Alongside this immense financial weight, small business owners spend an average of 44 hours per year on tax admin.</w:t>
      </w:r>
      <w:r>
        <w:rPr>
          <w:rStyle w:val="FootnoteReference"/>
          <w:rFonts w:ascii="Nunito Sans Light" w:eastAsia="Calibri" w:hAnsi="Nunito Sans Light" w:cs="Calibri"/>
        </w:rPr>
        <w:footnoteReference w:id="8"/>
      </w:r>
    </w:p>
    <w:p w:rsidR="009C46A5" w:rsidRPr="009C46A5" w:rsidP="009C46A5">
      <w:pPr>
        <w:rPr>
          <w:rFonts w:ascii="Nunito Sans Light" w:eastAsia="Calibri" w:hAnsi="Nunito Sans Light" w:cs="Calibri"/>
        </w:rPr>
      </w:pPr>
      <w:r w:rsidRPr="009C46A5">
        <w:rPr>
          <w:rFonts w:ascii="Nunito Sans Light" w:eastAsia="Calibri" w:hAnsi="Nunito Sans Light" w:cs="Calibri"/>
        </w:rPr>
        <w:t>When evaluating the additional risks of proposed visitor levies in England, the structural design of such policies poses a direct threat to affordability and viability. Imposing any new tax collection mechanism must explicitly be excluded from turnover calculations to prevent pushing a business artificially over the VAT registration threshold. Pushing small businesses over this threshold would severely damage viability, creating a duplication of taxes that operators would be forced to pass on to domestic consumers.</w:t>
      </w:r>
    </w:p>
    <w:p w:rsidR="009C46A5" w:rsidP="009C46A5">
      <w:pPr>
        <w:rPr>
          <w:rFonts w:ascii="Nunito Sans Light" w:eastAsia="Calibri" w:hAnsi="Nunito Sans Light" w:cs="Calibri"/>
        </w:rPr>
      </w:pPr>
      <w:r w:rsidRPr="009C46A5">
        <w:rPr>
          <w:rFonts w:ascii="Nunito Sans Light" w:eastAsia="Calibri" w:hAnsi="Nunito Sans Light" w:cs="Calibri"/>
        </w:rPr>
        <w:t>Finally, how these costs and regulations are managed by authorities plays a critical role in the sector's ability to function effectively. Enforcement of new regulatory costs must prioritise a support-first approach rather than immediate punishment. It is essential to completely avoid intrusive physical inspections of premises, as for many small operators, business premises are also family homes. Treating compliance with heavy-handed enforcement risks being disproportionately harsh and undermines the very businesses driving the domestic tourism recovery.</w:t>
      </w:r>
    </w:p>
    <w:p w:rsidR="00F44ABA" w:rsidRPr="009C46A5" w:rsidP="009C46A5">
      <w:pPr>
        <w:rPr>
          <w:rFonts w:ascii="Nunito Sans Light" w:eastAsia="Calibri" w:hAnsi="Nunito Sans Light" w:cs="Calibri"/>
        </w:rPr>
      </w:pPr>
    </w:p>
    <w:p w:rsidR="00B3399B" w:rsidP="00B3399B">
      <w:pPr>
        <w:pStyle w:val="FSBHeading3"/>
        <w:rPr>
          <w:lang w:val="en-GB"/>
        </w:rPr>
      </w:pPr>
      <w:r>
        <w:rPr>
          <w:u w:color="FFFFFF"/>
          <w:lang w:val="en-GB"/>
        </w:rPr>
        <w:t>6</w:t>
      </w:r>
      <w:r w:rsidRPr="002F2D9C">
        <w:rPr>
          <w:rFonts w:ascii="Microsoft JhengHei" w:eastAsia="Microsoft JhengHei" w:hAnsi="Microsoft JhengHei" w:cs="Microsoft JhengHei" w:hint="eastAsia"/>
          <w:u w:color="FFFFFF"/>
          <w:lang w:val="en-GB"/>
        </w:rPr>
        <w:t>․</w:t>
      </w:r>
      <w:r w:rsidRPr="00DE2CCF">
        <w:rPr>
          <w:u w:color="FFFFFF"/>
          <w:lang w:val="en-GB"/>
        </w:rPr>
        <w:t xml:space="preserve"> </w:t>
      </w:r>
      <w:r w:rsidRPr="00F44ABA">
        <w:rPr>
          <w:u w:color="FFFFFF"/>
          <w:lang w:val="en-GB"/>
        </w:rPr>
        <w:t>How can tourism better support regional growth, community prosperity and wider Government objectives?</w:t>
      </w:r>
      <w:r>
        <w:rPr>
          <w:u w:color="FFFFFF"/>
          <w:lang w:val="en-GB"/>
        </w:rPr>
        <w:t xml:space="preserve"> </w:t>
      </w:r>
      <w:r w:rsidRPr="00F44ABA">
        <w:rPr>
          <w:u w:color="FFFFFF"/>
        </w:rPr>
        <w:t>What are the particular opportunities and challenges for tourism in: a) coastal areas, and b) rural areas</w:t>
      </w:r>
    </w:p>
    <w:p w:rsidR="00F44ABA" w:rsidRPr="00F44ABA" w:rsidP="00F44ABA">
      <w:pPr>
        <w:pStyle w:val="BodyText"/>
        <w:rPr>
          <w:rFonts w:eastAsia="Calibri" w:cs="Calibri"/>
        </w:rPr>
      </w:pPr>
      <w:r w:rsidRPr="00F44ABA">
        <w:rPr>
          <w:rFonts w:eastAsia="Calibri" w:cs="Calibri"/>
        </w:rPr>
        <w:t>FSB highlights significant structural and funding disparities</w:t>
      </w:r>
      <w:r w:rsidR="00C23DCB">
        <w:rPr>
          <w:rFonts w:eastAsia="Calibri" w:cs="Calibri"/>
        </w:rPr>
        <w:t xml:space="preserve"> which would be especially worsened by a visitor levy </w:t>
      </w:r>
      <w:r w:rsidR="0072218F">
        <w:rPr>
          <w:rFonts w:eastAsia="Calibri" w:cs="Calibri"/>
        </w:rPr>
        <w:t>in England</w:t>
      </w:r>
      <w:r w:rsidRPr="00F44ABA">
        <w:rPr>
          <w:rFonts w:eastAsia="Calibri" w:cs="Calibri"/>
        </w:rPr>
        <w:t>. A primary challenge emerges when considering how support and resources are distributed. Allocating revenue based on the location of the overnight stay can inadvertently favour established cities over surrounding areas. This approach ignores the reality of the pressure on local services regardless of where a visitor sleeps.</w:t>
      </w:r>
    </w:p>
    <w:p w:rsidR="00F44ABA" w:rsidRPr="00F44ABA" w:rsidP="00F44ABA">
      <w:pPr>
        <w:pStyle w:val="BodyText"/>
        <w:rPr>
          <w:rFonts w:eastAsia="Calibri" w:cs="Calibri"/>
        </w:rPr>
      </w:pPr>
      <w:r w:rsidRPr="00F44ABA">
        <w:rPr>
          <w:rFonts w:eastAsia="Calibri" w:cs="Calibri"/>
        </w:rPr>
        <w:t>The nature of rural tourism often means that visitor footfall does not cleanly translate into local overnight spend. Outlying locations often bear the brunt of day-tripper wear and tear, or being quick stops on touring routes, without the benefit of any accommodation revenue from a levy or direct overnight spending. This creates a challenging dynamic where rural areas must manage the physical impact of high tourism volume without the corresponding financial support.</w:t>
      </w:r>
    </w:p>
    <w:p w:rsidR="00F44ABA" w:rsidRPr="00F44ABA" w:rsidP="00F44ABA">
      <w:pPr>
        <w:pStyle w:val="BodyText"/>
        <w:rPr>
          <w:rFonts w:eastAsia="Calibri" w:cs="Calibri"/>
        </w:rPr>
      </w:pPr>
      <w:r w:rsidRPr="00F44ABA">
        <w:rPr>
          <w:rFonts w:eastAsia="Calibri" w:cs="Calibri"/>
        </w:rPr>
        <w:t>Compounding this issue is the baseline condition of local facilities. Urban centres often already possess existing strong infrastructure. In stark contrast, rural or outlying areas suffer from deficits in basic amenities. Growth depends on addressing these gaps across the entire region, ensuring that rural tourism destinations are equipped to handle visitor demand safely and effectively.</w:t>
      </w:r>
    </w:p>
    <w:p w:rsidR="00F44ABA" w:rsidRPr="00F44ABA" w:rsidP="00F44ABA">
      <w:pPr>
        <w:pStyle w:val="BodyText"/>
        <w:rPr>
          <w:rFonts w:eastAsia="Calibri" w:cs="Calibri"/>
        </w:rPr>
      </w:pPr>
      <w:r w:rsidRPr="00F44ABA">
        <w:rPr>
          <w:rFonts w:eastAsia="Calibri" w:cs="Calibri"/>
        </w:rPr>
        <w:t xml:space="preserve">This structural disparity extends significantly into digital infrastructure, which is absolutely essential for modern tourism businesses to operate, take bookings, and market themselves. Highlighting this difference, FSB's policy report The Growth Belt shows infrastructure disparity and found that almost </w:t>
      </w:r>
      <w:r w:rsidRPr="00F44ABA">
        <w:rPr>
          <w:rFonts w:eastAsia="Calibri" w:cs="Calibri"/>
        </w:rPr>
        <w:t>a third (32%) of rural small businesses report issues with the reliability of their broadband, compared to 17 per cent of urban businesses.</w:t>
      </w:r>
      <w:r>
        <w:rPr>
          <w:rStyle w:val="FootnoteReference"/>
          <w:rFonts w:eastAsia="Calibri" w:cs="Calibri"/>
        </w:rPr>
        <w:footnoteReference w:id="9"/>
      </w:r>
    </w:p>
    <w:p w:rsidR="00B3399B" w:rsidP="00F44ABA">
      <w:pPr>
        <w:pStyle w:val="BodyText"/>
      </w:pPr>
      <w:r w:rsidRPr="00F44ABA">
        <w:rPr>
          <w:rFonts w:eastAsia="Calibri" w:cs="Calibri"/>
        </w:rPr>
        <w:t>Ultimately, while rural locations offer immense opportunities for the visitor economy, these foundational challenges must be addressed. Funding distribution and investment must reflect this reality, ensuring that rural businesses are not structurally disadvantaged and can unlock their full potential within the domestic and international tourism landscape.</w:t>
      </w:r>
      <w:r w:rsidR="009C46A5">
        <w:rPr>
          <w:lang w:val="en-GB"/>
        </w:rPr>
        <w:t xml:space="preserve"> </w:t>
      </w:r>
    </w:p>
    <w:p w:rsidR="008550B9" w:rsidP="002C38C8">
      <w:pPr>
        <w:rPr>
          <w:rFonts w:ascii="Nunito Sans Light" w:eastAsia="Calibri" w:hAnsi="Nunito Sans Light" w:cs="Calibri"/>
        </w:rPr>
      </w:pPr>
    </w:p>
    <w:p w:rsidR="002C38C8" w:rsidRPr="002C38C8" w:rsidP="002C38C8">
      <w:pPr>
        <w:rPr>
          <w:rFonts w:ascii="Nunito Sans Light" w:eastAsia="Calibri" w:hAnsi="Nunito Sans Light" w:cs="Calibri"/>
        </w:rPr>
      </w:pPr>
      <w:r w:rsidRPr="002C38C8">
        <w:rPr>
          <w:rFonts w:ascii="Nunito Sans Light" w:eastAsia="Calibri" w:hAnsi="Nunito Sans Light" w:cs="Calibri"/>
        </w:rPr>
        <w:t>Yours sincerely,</w:t>
      </w:r>
    </w:p>
    <w:p w:rsidR="00194A34" w:rsidP="002C38C8">
      <w:pPr>
        <w:rPr>
          <w:rFonts w:ascii="Nunito Sans Light" w:hAnsi="Nunito Sans Light"/>
        </w:rPr>
      </w:pPr>
      <w:r>
        <w:rPr>
          <w:rFonts w:ascii="Nunito Sans Light" w:hAnsi="Nunito Sans Light"/>
        </w:rPr>
        <w:t>Paul Wilson</w:t>
      </w:r>
    </w:p>
    <w:p w:rsidR="00194A34" w:rsidP="002C38C8">
      <w:pPr>
        <w:rPr>
          <w:rFonts w:ascii="Nunito Sans Light" w:hAnsi="Nunito Sans Light"/>
        </w:rPr>
      </w:pPr>
      <w:r>
        <w:rPr>
          <w:rFonts w:ascii="Nunito Sans Light" w:hAnsi="Nunito Sans Light"/>
        </w:rPr>
        <w:t>Policy Director</w:t>
      </w:r>
    </w:p>
    <w:p w:rsidR="002C38C8" w:rsidRPr="002C38C8" w:rsidP="002C38C8">
      <w:pPr>
        <w:rPr>
          <w:rFonts w:ascii="Nunito Sans Light" w:eastAsia="Calibri" w:hAnsi="Nunito Sans Light" w:cs="Calibri"/>
        </w:rPr>
      </w:pPr>
      <w:r w:rsidRPr="002C38C8">
        <w:rPr>
          <w:rFonts w:ascii="Nunito Sans Light" w:eastAsia="Calibri" w:hAnsi="Nunito Sans Light" w:cs="Calibri"/>
        </w:rPr>
        <w:t xml:space="preserve">Federation of Small Businesses </w:t>
      </w:r>
    </w:p>
    <w:p w:rsidR="002C38C8" w:rsidRPr="002C38C8" w:rsidP="00967791">
      <w:pPr>
        <w:rPr>
          <w:rFonts w:ascii="Nunito Sans Light" w:hAnsi="Nunito Sans Light" w:cstheme="minorHAnsi"/>
          <w:b/>
        </w:rPr>
      </w:pPr>
    </w:p>
    <w:p w:rsidR="002C38C8" w:rsidRPr="002C38C8" w:rsidP="002C38C8">
      <w:pPr>
        <w:rPr>
          <w:rFonts w:asciiTheme="majorHAnsi" w:eastAsiaTheme="majorEastAsia" w:hAnsiTheme="majorHAnsi" w:cstheme="majorBidi"/>
          <w:b/>
          <w:bCs/>
          <w:color w:val="03304A"/>
          <w:sz w:val="24"/>
          <w:szCs w:val="24"/>
        </w:rPr>
      </w:pPr>
      <w:r w:rsidRPr="002C38C8">
        <w:rPr>
          <w:rFonts w:asciiTheme="majorHAnsi" w:eastAsiaTheme="majorEastAsia" w:hAnsiTheme="majorHAnsi" w:cstheme="majorBidi"/>
          <w:b/>
          <w:bCs/>
          <w:color w:val="03304A"/>
          <w:sz w:val="24"/>
          <w:szCs w:val="24"/>
        </w:rPr>
        <w:t>For further information please contact:</w:t>
      </w:r>
    </w:p>
    <w:p w:rsidR="002C38C8" w:rsidRPr="00A31576" w:rsidP="002C38C8">
      <w:pPr>
        <w:rPr>
          <w:rFonts w:ascii="Nunito Sans Light" w:hAnsi="Nunito Sans Light"/>
          <w:lang w:val="it-IT"/>
        </w:rPr>
      </w:pPr>
      <w:r>
        <w:rPr>
          <w:rFonts w:ascii="Nunito Sans Light" w:hAnsi="Nunito Sans Light"/>
          <w:lang w:val="it-IT"/>
        </w:rPr>
        <w:t>Ben Butler</w:t>
      </w:r>
    </w:p>
    <w:p w:rsidR="002C38C8" w:rsidRPr="002C38C8" w:rsidP="002C38C8">
      <w:pPr>
        <w:rPr>
          <w:rFonts w:ascii="Nunito Sans Light" w:hAnsi="Nunito Sans Light" w:cstheme="majorHAnsi"/>
        </w:rPr>
      </w:pPr>
      <w:r w:rsidRPr="002C38C8">
        <w:rPr>
          <w:rFonts w:ascii="Nunito Sans Light" w:hAnsi="Nunito Sans Light" w:cstheme="majorHAnsi"/>
        </w:rPr>
        <w:t xml:space="preserve">Federation of Small Businesses </w:t>
      </w:r>
    </w:p>
    <w:sectPr w:rsidSect="00142E11">
      <w:headerReference w:type="default" r:id="rId6"/>
      <w:pgSz w:w="11906" w:h="16838"/>
      <w:pgMar w:top="1560" w:right="1080" w:bottom="1134" w:left="108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Light">
    <w:charset w:val="00"/>
    <w:family w:val="auto"/>
    <w:pitch w:val="variable"/>
    <w:sig w:usb0="A00002FF" w:usb1="5000204B" w:usb2="00000000" w:usb3="00000000" w:csb0="00000197" w:csb1="00000000"/>
    <w:embedRegular r:id="rId1" w:fontKey="{C05F538A-3168-4D48-AF57-3458BE7E13F1}"/>
    <w:embedBold r:id="rId2" w:fontKey="{91D2961E-CFA1-4789-A69E-7CD877F83A71}"/>
  </w:font>
  <w:font w:name="NunitoSans-Light">
    <w:altName w:val="Times New Roman"/>
    <w:charset w:val="00"/>
    <w:family w:val="auto"/>
    <w:pitch w:val="variable"/>
    <w:sig w:usb0="20000007" w:usb1="00000001" w:usb2="00000000" w:usb3="00000000" w:csb0="00000193" w:csb1="00000000"/>
    <w:embedRegular r:id="rId3" w:fontKey="{157C8725-159B-464B-8A9F-A1E2CA63208A}"/>
    <w:embedBold r:id="rId4" w:fontKey="{2D8EDF5A-D4DC-409B-96E1-D0B59DA69224}"/>
    <w:embedItalic r:id="rId5" w:fontKey="{2A27CED4-748C-487F-867A-DE3E1C916C07}"/>
  </w:font>
  <w:font w:name="Nunito Sans">
    <w:charset w:val="00"/>
    <w:family w:val="auto"/>
    <w:pitch w:val="variable"/>
    <w:sig w:usb0="A00002FF" w:usb1="5000204B" w:usb2="00000000" w:usb3="00000000" w:csb0="00000197" w:csb1="00000000"/>
    <w:embedRegular r:id="rId6" w:fontKey="{CDB9787B-FCAD-48DC-A44F-8C4B0ED851F6}"/>
    <w:embedBold r:id="rId7" w:fontKey="{844EF849-A4FA-4319-9629-D2BBFAA8E55B}"/>
    <w:embedItalic r:id="rId8" w:fontKey="{A57AD04B-483A-4091-81FC-5E7882B1B778}"/>
  </w:font>
  <w:font w:name="NunitoSans-ExtraBold">
    <w:altName w:val="Calibri"/>
    <w:charset w:val="00"/>
    <w:family w:val="auto"/>
    <w:pitch w:val="variable"/>
    <w:sig w:usb0="20000007" w:usb1="00000001" w:usb2="00000000" w:usb3="00000000" w:csb0="00000193" w:csb1="00000000"/>
    <w:embedBold r:id="rId9" w:fontKey="{2A50A8A4-B3B4-4E1C-A545-DD69CCB5EC1E}"/>
  </w:font>
  <w:font w:name="Nunito Sans Black">
    <w:charset w:val="00"/>
    <w:family w:val="auto"/>
    <w:pitch w:val="variable"/>
    <w:sig w:usb0="A00002FF" w:usb1="5000204B" w:usb2="00000000" w:usb3="00000000" w:csb0="00000197" w:csb1="00000000"/>
  </w:font>
  <w:font w:name="NunitoSans-Black">
    <w:altName w:val="Calibri"/>
    <w:charset w:val="00"/>
    <w:family w:val="auto"/>
    <w:pitch w:val="variable"/>
    <w:sig w:usb0="20000007" w:usb1="00000001" w:usb2="00000000" w:usb3="00000000" w:csb0="00000193" w:csb1="00000000"/>
  </w:font>
  <w:font w:name="SimHei">
    <w:panose1 w:val="02010600030101010101"/>
    <w:charset w:val="86"/>
    <w:family w:val="modern"/>
    <w:pitch w:val="fixed"/>
    <w:sig w:usb0="800002BF" w:usb1="38CF7CFA" w:usb2="00000016" w:usb3="00000000" w:csb0="00040001" w:csb1="00000000"/>
  </w:font>
  <w:font w:name="Nunito Light">
    <w:charset w:val="00"/>
    <w:family w:val="auto"/>
    <w:pitch w:val="variable"/>
    <w:sig w:usb0="A00002FF" w:usb1="5000204B" w:usb2="00000000" w:usb3="00000000" w:csb0="00000197" w:csb1="00000000"/>
  </w:font>
  <w:font w:name="Tahoma">
    <w:panose1 w:val="020B0604030504040204"/>
    <w:charset w:val="00"/>
    <w:family w:val="swiss"/>
    <w:pitch w:val="variable"/>
    <w:sig w:usb0="E1002EFF" w:usb1="C000605B" w:usb2="00000029" w:usb3="00000000" w:csb0="000101FF" w:csb1="00000000"/>
    <w:embedRegular r:id="rId10" w:fontKey="{39C616B1-4AD5-4302-AD23-803FAF4320C8}"/>
  </w:font>
  <w:font w:name="Minion Pro">
    <w:panose1 w:val="02040503050201020203"/>
    <w:charset w:val="00"/>
    <w:family w:val="roman"/>
    <w:notTrueType/>
    <w:pitch w:val="variable"/>
    <w:sig w:usb0="E00002AF" w:usb1="5000205B" w:usb2="00000000" w:usb3="00000000" w:csb0="0000009F" w:csb1="00000000"/>
  </w:font>
  <w:font w:name="Nunito Sans ExtraBold">
    <w:charset w:val="00"/>
    <w:family w:val="auto"/>
    <w:pitch w:val="variable"/>
    <w:sig w:usb0="A00002FF" w:usb1="5000204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Balboa Medium">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11" w:fontKey="{EC0900E4-DA42-41E3-A24B-31B36658E5D7}"/>
  </w:font>
  <w:font w:name="MS Gothic">
    <w:altName w:val="ＭＳ ゴシック"/>
    <w:panose1 w:val="020B0609070205080204"/>
    <w:charset w:val="80"/>
    <w:family w:val="modern"/>
    <w:pitch w:val="fixed"/>
    <w:sig w:usb0="E00002FF" w:usb1="6AC7FDFB" w:usb2="08000012" w:usb3="00000000" w:csb0="0002009F" w:csb1="00000000"/>
    <w:embedBold r:id="rId12" w:subsetted="1" w:fontKey="{129543B6-0886-4EC5-B03C-0D26C52D9E22}"/>
  </w:font>
  <w:font w:name="Microsoft JhengHei">
    <w:panose1 w:val="020B0604030504040204"/>
    <w:charset w:val="88"/>
    <w:family w:val="swiss"/>
    <w:pitch w:val="variable"/>
    <w:sig w:usb0="000002A7" w:usb1="28CF4400" w:usb2="00000016" w:usb3="00000000" w:csb0="00100009" w:csb1="00000000"/>
    <w:embedBold r:id="rId13" w:subsetted="1" w:fontKey="{9DB25F50-CBF0-4858-A283-277007D92E4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05A2D">
      <w:r>
        <w:separator/>
      </w:r>
    </w:p>
  </w:footnote>
  <w:footnote w:type="continuationSeparator" w:id="1">
    <w:p w:rsidR="00505A2D">
      <w:r>
        <w:continuationSeparator/>
      </w:r>
    </w:p>
  </w:footnote>
  <w:footnote w:id="2">
    <w:p w:rsidR="00142E11">
      <w:pPr>
        <w:pStyle w:val="FootnoteText"/>
      </w:pPr>
      <w:r>
        <w:rPr>
          <w:rStyle w:val="FootnoteReference"/>
        </w:rPr>
        <w:footnoteRef/>
      </w:r>
      <w:r>
        <w:t xml:space="preserve"> </w:t>
      </w:r>
      <w:r w:rsidRPr="00142E11">
        <w:t xml:space="preserve">2026, Federation of Small Businesses, </w:t>
      </w:r>
      <w:r>
        <w:fldChar w:fldCharType="begin"/>
      </w:r>
      <w:r>
        <w:instrText xml:space="preserve"> HYPERLINK "https://www.fsb.org.uk/resources/reports/small-business-index/small-business-index-quarter-1-2026-MC2CL4AAKX6FDRJCVQZRUHA43WTE" </w:instrText>
      </w:r>
      <w:r>
        <w:fldChar w:fldCharType="separate"/>
      </w:r>
      <w:r w:rsidRPr="00142E11">
        <w:rPr>
          <w:rStyle w:val="Hyperlink"/>
          <w:rFonts w:eastAsiaTheme="minorEastAsia" w:cstheme="minorBidi"/>
          <w:sz w:val="20"/>
          <w:szCs w:val="20"/>
        </w:rPr>
        <w:t>Small Business Index, Quarter 1, 2026</w:t>
      </w:r>
      <w:r>
        <w:fldChar w:fldCharType="end"/>
      </w:r>
      <w:r w:rsidRPr="00142E11">
        <w:t>.</w:t>
      </w:r>
    </w:p>
  </w:footnote>
  <w:footnote w:id="3">
    <w:p w:rsidR="00142E11">
      <w:pPr>
        <w:pStyle w:val="FootnoteText"/>
      </w:pPr>
      <w:r>
        <w:rPr>
          <w:rStyle w:val="FootnoteReference"/>
        </w:rPr>
        <w:footnoteRef/>
      </w:r>
      <w:r>
        <w:t xml:space="preserve"> </w:t>
      </w:r>
      <w:r w:rsidRPr="00142E11">
        <w:t xml:space="preserve">2026, Federation of Small Businesses, </w:t>
      </w:r>
      <w:r>
        <w:fldChar w:fldCharType="begin"/>
      </w:r>
      <w:r>
        <w:instrText xml:space="preserve"> HYPERLINK "https://www.fsb.org.uk/resources/policy-reports/small-business-costs-analysis-MCUJ55HHPLXJFSXBJ7MNITGXTFBA" </w:instrText>
      </w:r>
      <w:r>
        <w:fldChar w:fldCharType="separate"/>
      </w:r>
      <w:r w:rsidRPr="00142E11">
        <w:rPr>
          <w:rStyle w:val="Hyperlink"/>
          <w:rFonts w:eastAsiaTheme="minorEastAsia" w:cstheme="minorBidi"/>
          <w:sz w:val="20"/>
          <w:szCs w:val="20"/>
        </w:rPr>
        <w:t>Small Business: Costs Analysis</w:t>
      </w:r>
      <w:r>
        <w:fldChar w:fldCharType="end"/>
      </w:r>
      <w:r w:rsidRPr="00142E11">
        <w:t>.</w:t>
      </w:r>
    </w:p>
  </w:footnote>
  <w:footnote w:id="4">
    <w:p w:rsidR="00142E11">
      <w:pPr>
        <w:pStyle w:val="FootnoteText"/>
      </w:pPr>
      <w:r>
        <w:rPr>
          <w:rStyle w:val="FootnoteReference"/>
        </w:rPr>
        <w:footnoteRef/>
      </w:r>
      <w:r>
        <w:t xml:space="preserve"> 2026, HM Treasury, </w:t>
      </w:r>
      <w:r>
        <w:fldChar w:fldCharType="begin"/>
      </w:r>
      <w:r>
        <w:instrText xml:space="preserve"> HYPERLINK "https://www.gov.uk/government/news/pubs-and-live-music-venues-relief" </w:instrText>
      </w:r>
      <w:r>
        <w:fldChar w:fldCharType="separate"/>
      </w:r>
      <w:r w:rsidRPr="00142E11">
        <w:rPr>
          <w:rStyle w:val="Hyperlink"/>
          <w:rFonts w:eastAsiaTheme="minorEastAsia" w:cstheme="minorBidi"/>
          <w:sz w:val="20"/>
          <w:szCs w:val="20"/>
        </w:rPr>
        <w:t>Pubs and Live Music Venues Relief</w:t>
      </w:r>
      <w:r>
        <w:fldChar w:fldCharType="end"/>
      </w:r>
      <w:r>
        <w:t>.</w:t>
      </w:r>
    </w:p>
  </w:footnote>
  <w:footnote w:id="5">
    <w:p w:rsidR="00142E11">
      <w:pPr>
        <w:pStyle w:val="FootnoteText"/>
      </w:pPr>
      <w:r>
        <w:rPr>
          <w:rStyle w:val="FootnoteReference"/>
        </w:rPr>
        <w:footnoteRef/>
      </w:r>
      <w:r>
        <w:t xml:space="preserve"> </w:t>
      </w:r>
      <w:r w:rsidRPr="00142E11">
        <w:t xml:space="preserve">2026, Federation of Small Businesses, </w:t>
      </w:r>
      <w:r>
        <w:fldChar w:fldCharType="begin"/>
      </w:r>
      <w:r>
        <w:instrText xml:space="preserve"> HYPERLINK "https://www.fsb.org.uk/resources/policy-reports/small-business-costs-analysis-MCUJ55HHPLXJFSXBJ7MNITGXTFBA" </w:instrText>
      </w:r>
      <w:r>
        <w:fldChar w:fldCharType="separate"/>
      </w:r>
      <w:r w:rsidRPr="00142E11">
        <w:rPr>
          <w:rStyle w:val="Hyperlink"/>
          <w:rFonts w:eastAsiaTheme="minorEastAsia" w:cstheme="minorBidi"/>
          <w:sz w:val="20"/>
          <w:szCs w:val="20"/>
        </w:rPr>
        <w:t>Small Business: Costs Analysis</w:t>
      </w:r>
      <w:r>
        <w:fldChar w:fldCharType="end"/>
      </w:r>
      <w:r w:rsidRPr="00142E11">
        <w:t>.</w:t>
      </w:r>
    </w:p>
  </w:footnote>
  <w:footnote w:id="6">
    <w:p w:rsidR="00680B78">
      <w:pPr>
        <w:pStyle w:val="FootnoteText"/>
      </w:pPr>
      <w:r>
        <w:rPr>
          <w:rStyle w:val="FootnoteReference"/>
        </w:rPr>
        <w:footnoteRef/>
      </w:r>
      <w:r>
        <w:t xml:space="preserve"> 2025, Law Society of Scotland, </w:t>
      </w:r>
      <w:r>
        <w:fldChar w:fldCharType="begin"/>
      </w:r>
      <w:r>
        <w:instrText xml:space="preserve"> HYPERLINK "https://www.lawscot.org.uk/members/journal-hub/articles/scotlands-visitor-levy-divides-city-and-countryside-as-reform-calls-grow/" </w:instrText>
      </w:r>
      <w:r>
        <w:fldChar w:fldCharType="separate"/>
      </w:r>
      <w:r w:rsidRPr="00F942DA">
        <w:rPr>
          <w:rStyle w:val="Hyperlink"/>
          <w:rFonts w:eastAsiaTheme="minorEastAsia" w:cstheme="minorBidi"/>
          <w:sz w:val="20"/>
          <w:szCs w:val="20"/>
        </w:rPr>
        <w:t>Scotland's Visitor Levy divides city and countryside as reform calls grow</w:t>
      </w:r>
      <w:r>
        <w:fldChar w:fldCharType="end"/>
      </w:r>
      <w:r>
        <w:t>.</w:t>
      </w:r>
    </w:p>
  </w:footnote>
  <w:footnote w:id="7">
    <w:p w:rsidR="00680B78">
      <w:pPr>
        <w:pStyle w:val="FootnoteText"/>
      </w:pPr>
      <w:r>
        <w:rPr>
          <w:rStyle w:val="FootnoteReference"/>
        </w:rPr>
        <w:footnoteRef/>
      </w:r>
      <w:r>
        <w:t xml:space="preserve"> 2023, FSB Scotland, </w:t>
      </w:r>
      <w:r>
        <w:fldChar w:fldCharType="begin"/>
      </w:r>
      <w:r>
        <w:instrText xml:space="preserve"> HYPERLINK "https://www.fsb.org.uk/resources/policy-reports/big-small-business-survey-MC2LAOR7YKWFBUFDNTVX7NJUDMXU" </w:instrText>
      </w:r>
      <w:r>
        <w:fldChar w:fldCharType="separate"/>
      </w:r>
      <w:r w:rsidRPr="00A6760A">
        <w:rPr>
          <w:rStyle w:val="Hyperlink"/>
          <w:rFonts w:eastAsiaTheme="minorEastAsia" w:cstheme="minorBidi"/>
          <w:sz w:val="20"/>
          <w:szCs w:val="20"/>
        </w:rPr>
        <w:t>Big Small Business Survey: Results from FSB Scotland's findings from its biggest ever state of the nation survey for Small Businesses</w:t>
      </w:r>
      <w:r>
        <w:fldChar w:fldCharType="end"/>
      </w:r>
      <w:r w:rsidRPr="00A6760A">
        <w:t>.</w:t>
      </w:r>
    </w:p>
  </w:footnote>
  <w:footnote w:id="8">
    <w:p w:rsidR="009C46A5">
      <w:pPr>
        <w:pStyle w:val="FootnoteText"/>
      </w:pPr>
      <w:r>
        <w:rPr>
          <w:rStyle w:val="FootnoteReference"/>
        </w:rPr>
        <w:footnoteRef/>
      </w:r>
      <w:r>
        <w:t xml:space="preserve">  2025, Federation of Small Businesses, </w:t>
      </w:r>
      <w:r>
        <w:fldChar w:fldCharType="begin"/>
      </w:r>
      <w:r>
        <w:instrText xml:space="preserve"> HYPERLINK "https://www.fsb.org.uk/resources/policy-reports/taking-a-toll-MCXVY7MRC5RRARLJZUR5YC37WDGQ" </w:instrText>
      </w:r>
      <w:r>
        <w:fldChar w:fldCharType="separate"/>
      </w:r>
      <w:r w:rsidRPr="00F942DA">
        <w:rPr>
          <w:rStyle w:val="Hyperlink"/>
          <w:rFonts w:eastAsiaTheme="minorEastAsia" w:cstheme="minorBidi"/>
          <w:sz w:val="20"/>
          <w:szCs w:val="20"/>
        </w:rPr>
        <w:t>Taking a Toll: Small businesses and the cost of tax compliance</w:t>
      </w:r>
      <w:r>
        <w:fldChar w:fldCharType="end"/>
      </w:r>
      <w:r>
        <w:t>.</w:t>
      </w:r>
    </w:p>
  </w:footnote>
  <w:footnote w:id="9">
    <w:p w:rsidR="0072218F">
      <w:pPr>
        <w:pStyle w:val="FootnoteText"/>
      </w:pPr>
      <w:r>
        <w:rPr>
          <w:rStyle w:val="FootnoteReference"/>
        </w:rPr>
        <w:footnoteRef/>
      </w:r>
      <w:r>
        <w:t xml:space="preserve"> 2023, Federation of Small Businesses, </w:t>
      </w:r>
      <w:r>
        <w:fldChar w:fldCharType="begin"/>
      </w:r>
      <w:r>
        <w:instrText xml:space="preserve"> HYPERLINK "https://www.fsb.org.uk/resources/policy-reports/the-growth-belt-MCCDX77LDVOJGHXMHV7KD2SC5AXI" </w:instrText>
      </w:r>
      <w:r>
        <w:fldChar w:fldCharType="separate"/>
      </w:r>
      <w:r w:rsidRPr="00190F64">
        <w:rPr>
          <w:rStyle w:val="Hyperlink"/>
          <w:rFonts w:eastAsiaTheme="minorEastAsia" w:cstheme="minorBidi"/>
          <w:sz w:val="20"/>
          <w:szCs w:val="20"/>
        </w:rPr>
        <w:t>The Growth Belt: Supporting Rural Small Businesses</w:t>
      </w:r>
      <w:r>
        <w:fldChar w:fldCharType="end"/>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ook w:val="06A0"/>
    </w:tblPr>
    <w:tblGrid>
      <w:gridCol w:w="3245"/>
      <w:gridCol w:w="3245"/>
      <w:gridCol w:w="3245"/>
    </w:tblGrid>
    <w:tr w:rsidTr="2A4695BE">
      <w:tblPrEx>
        <w:tblW w:w="0" w:type="auto"/>
        <w:tblLook w:val="06A0"/>
      </w:tblPrEx>
      <w:trPr>
        <w:trHeight w:val="300"/>
      </w:trPr>
      <w:tc>
        <w:tcPr>
          <w:tcW w:w="3245" w:type="dxa"/>
        </w:tcPr>
        <w:p w:rsidR="2A4695BE" w:rsidP="2A4695BE">
          <w:pPr>
            <w:pStyle w:val="Header"/>
            <w:ind w:left="-115"/>
          </w:pPr>
        </w:p>
      </w:tc>
      <w:tc>
        <w:tcPr>
          <w:tcW w:w="3245" w:type="dxa"/>
        </w:tcPr>
        <w:p w:rsidR="2A4695BE" w:rsidP="2A4695BE">
          <w:pPr>
            <w:pStyle w:val="Header"/>
            <w:jc w:val="center"/>
          </w:pPr>
        </w:p>
      </w:tc>
      <w:tc>
        <w:tcPr>
          <w:tcW w:w="3245" w:type="dxa"/>
        </w:tcPr>
        <w:p w:rsidR="2A4695BE" w:rsidP="2A4695BE">
          <w:pPr>
            <w:pStyle w:val="Header"/>
            <w:ind w:right="-115"/>
            <w:jc w:val="right"/>
          </w:pPr>
        </w:p>
      </w:tc>
    </w:tr>
  </w:tbl>
  <w:p w:rsidR="002550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88605CBA"/>
    <w:lvl w:ilvl="0">
      <w:start w:val="1"/>
      <w:numFmt w:val="bullet"/>
      <w:lvlText w:val=""/>
      <w:lvlJc w:val="left"/>
      <w:pPr>
        <w:tabs>
          <w:tab w:val="num" w:pos="360"/>
        </w:tabs>
        <w:ind w:left="360" w:hanging="360"/>
      </w:pPr>
      <w:rPr>
        <w:rFonts w:ascii="Symbol" w:hAnsi="Symbol" w:hint="default"/>
      </w:rPr>
    </w:lvl>
  </w:abstractNum>
  <w:abstractNum w:abstractNumId="1">
    <w:nsid w:val="0A922480"/>
    <w:multiLevelType w:val="hybridMultilevel"/>
    <w:tmpl w:val="E4D42A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7F4623"/>
    <w:multiLevelType w:val="hybridMultilevel"/>
    <w:tmpl w:val="FA68FCE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44B4109"/>
    <w:multiLevelType w:val="hybridMultilevel"/>
    <w:tmpl w:val="5D0870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8E14FB"/>
    <w:multiLevelType w:val="hybridMultilevel"/>
    <w:tmpl w:val="34A4D02E"/>
    <w:lvl w:ilvl="0">
      <w:start w:val="0"/>
      <w:numFmt w:val="bullet"/>
      <w:lvlText w:val="•"/>
      <w:lvlJc w:val="left"/>
      <w:pPr>
        <w:ind w:left="720" w:hanging="360"/>
      </w:pPr>
      <w:rPr>
        <w:rFonts w:ascii="Nunito Sans Light" w:eastAsia="NunitoSans-Light" w:hAnsi="Nunito Sans Light" w:cs="NunitoSans-Light" w:hint="default"/>
        <w:color w:val="00CEC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628012E"/>
    <w:multiLevelType w:val="hybridMultilevel"/>
    <w:tmpl w:val="CFC2E826"/>
    <w:lvl w:ilvl="0">
      <w:start w:val="0"/>
      <w:numFmt w:val="bullet"/>
      <w:lvlText w:val="•"/>
      <w:lvlJc w:val="left"/>
      <w:pPr>
        <w:ind w:left="720" w:hanging="360"/>
      </w:pPr>
      <w:rPr>
        <w:rFonts w:ascii="Nunito Sans Light" w:eastAsia="NunitoSans-Light" w:hAnsi="Nunito Sans Light" w:cs="NunitoSans-Light" w:hint="default"/>
        <w:color w:val="00CEC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93340D4"/>
    <w:multiLevelType w:val="hybridMultilevel"/>
    <w:tmpl w:val="2F94BE7C"/>
    <w:lvl w:ilvl="0">
      <w:start w:val="0"/>
      <w:numFmt w:val="bullet"/>
      <w:pStyle w:val="ListBullet"/>
      <w:lvlText w:val="•"/>
      <w:lvlJc w:val="left"/>
      <w:pPr>
        <w:ind w:left="284" w:firstLine="0"/>
      </w:pPr>
      <w:rPr>
        <w:rFonts w:ascii="Nunito Sans Light" w:eastAsia="NunitoSans-Light" w:hAnsi="Nunito Sans Light" w:cs="NunitoSans-Light" w:hint="default"/>
        <w:color w:val="00CEC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6D6871"/>
    <w:multiLevelType w:val="hybridMultilevel"/>
    <w:tmpl w:val="6930DF7C"/>
    <w:lvl w:ilvl="0">
      <w:start w:val="0"/>
      <w:numFmt w:val="bullet"/>
      <w:lvlText w:val="•"/>
      <w:lvlJc w:val="left"/>
      <w:pPr>
        <w:ind w:left="720" w:hanging="360"/>
      </w:pPr>
      <w:rPr>
        <w:rFonts w:ascii="Nunito Sans Light" w:eastAsia="NunitoSans-Light" w:hAnsi="Nunito Sans Light" w:cs="NunitoSans-Light" w:hint="default"/>
        <w:color w:val="00CEC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23067E0"/>
    <w:multiLevelType w:val="hybridMultilevel"/>
    <w:tmpl w:val="A762CF9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
    <w:nsid w:val="43BF3C38"/>
    <w:multiLevelType w:val="hybridMultilevel"/>
    <w:tmpl w:val="02BA06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DA3A4D"/>
    <w:multiLevelType w:val="multilevel"/>
    <w:tmpl w:val="D204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34377A8"/>
    <w:multiLevelType w:val="hybridMultilevel"/>
    <w:tmpl w:val="8AEE32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7393436"/>
    <w:multiLevelType w:val="hybridMultilevel"/>
    <w:tmpl w:val="0098052E"/>
    <w:lvl w:ilvl="0">
      <w:start w:val="0"/>
      <w:numFmt w:val="bullet"/>
      <w:lvlText w:val="-"/>
      <w:lvlJc w:val="left"/>
      <w:pPr>
        <w:ind w:left="414" w:hanging="360"/>
      </w:pPr>
      <w:rPr>
        <w:rFonts w:ascii="Nunito Sans Light" w:eastAsia="NunitoSans-Light" w:hAnsi="Nunito Sans Light" w:cs="NunitoSans-Light" w:hint="default"/>
      </w:rPr>
    </w:lvl>
    <w:lvl w:ilvl="1" w:tentative="1">
      <w:start w:val="1"/>
      <w:numFmt w:val="bullet"/>
      <w:lvlText w:val="o"/>
      <w:lvlJc w:val="left"/>
      <w:pPr>
        <w:ind w:left="1134" w:hanging="360"/>
      </w:pPr>
      <w:rPr>
        <w:rFonts w:ascii="Courier New" w:hAnsi="Courier New" w:cs="Courier New" w:hint="default"/>
      </w:rPr>
    </w:lvl>
    <w:lvl w:ilvl="2" w:tentative="1">
      <w:start w:val="1"/>
      <w:numFmt w:val="bullet"/>
      <w:lvlText w:val=""/>
      <w:lvlJc w:val="left"/>
      <w:pPr>
        <w:ind w:left="1854" w:hanging="360"/>
      </w:pPr>
      <w:rPr>
        <w:rFonts w:ascii="Wingdings" w:hAnsi="Wingdings" w:hint="default"/>
      </w:rPr>
    </w:lvl>
    <w:lvl w:ilvl="3" w:tentative="1">
      <w:start w:val="1"/>
      <w:numFmt w:val="bullet"/>
      <w:lvlText w:val=""/>
      <w:lvlJc w:val="left"/>
      <w:pPr>
        <w:ind w:left="2574" w:hanging="360"/>
      </w:pPr>
      <w:rPr>
        <w:rFonts w:ascii="Symbol" w:hAnsi="Symbol" w:hint="default"/>
      </w:rPr>
    </w:lvl>
    <w:lvl w:ilvl="4" w:tentative="1">
      <w:start w:val="1"/>
      <w:numFmt w:val="bullet"/>
      <w:lvlText w:val="o"/>
      <w:lvlJc w:val="left"/>
      <w:pPr>
        <w:ind w:left="3294" w:hanging="360"/>
      </w:pPr>
      <w:rPr>
        <w:rFonts w:ascii="Courier New" w:hAnsi="Courier New" w:cs="Courier New" w:hint="default"/>
      </w:rPr>
    </w:lvl>
    <w:lvl w:ilvl="5" w:tentative="1">
      <w:start w:val="1"/>
      <w:numFmt w:val="bullet"/>
      <w:lvlText w:val=""/>
      <w:lvlJc w:val="left"/>
      <w:pPr>
        <w:ind w:left="4014" w:hanging="360"/>
      </w:pPr>
      <w:rPr>
        <w:rFonts w:ascii="Wingdings" w:hAnsi="Wingdings" w:hint="default"/>
      </w:rPr>
    </w:lvl>
    <w:lvl w:ilvl="6" w:tentative="1">
      <w:start w:val="1"/>
      <w:numFmt w:val="bullet"/>
      <w:lvlText w:val=""/>
      <w:lvlJc w:val="left"/>
      <w:pPr>
        <w:ind w:left="4734" w:hanging="360"/>
      </w:pPr>
      <w:rPr>
        <w:rFonts w:ascii="Symbol" w:hAnsi="Symbol" w:hint="default"/>
      </w:rPr>
    </w:lvl>
    <w:lvl w:ilvl="7" w:tentative="1">
      <w:start w:val="1"/>
      <w:numFmt w:val="bullet"/>
      <w:lvlText w:val="o"/>
      <w:lvlJc w:val="left"/>
      <w:pPr>
        <w:ind w:left="5454" w:hanging="360"/>
      </w:pPr>
      <w:rPr>
        <w:rFonts w:ascii="Courier New" w:hAnsi="Courier New" w:cs="Courier New" w:hint="default"/>
      </w:rPr>
    </w:lvl>
    <w:lvl w:ilvl="8" w:tentative="1">
      <w:start w:val="1"/>
      <w:numFmt w:val="bullet"/>
      <w:lvlText w:val=""/>
      <w:lvlJc w:val="left"/>
      <w:pPr>
        <w:ind w:left="6174" w:hanging="360"/>
      </w:pPr>
      <w:rPr>
        <w:rFonts w:ascii="Wingdings" w:hAnsi="Wingdings" w:hint="default"/>
      </w:rPr>
    </w:lvl>
  </w:abstractNum>
  <w:abstractNum w:abstractNumId="13">
    <w:nsid w:val="70315E84"/>
    <w:multiLevelType w:val="hybridMultilevel"/>
    <w:tmpl w:val="4E1E50B0"/>
    <w:lvl w:ilvl="0">
      <w:start w:val="0"/>
      <w:numFmt w:val="bullet"/>
      <w:lvlText w:val="•"/>
      <w:lvlJc w:val="left"/>
      <w:pPr>
        <w:ind w:left="720" w:hanging="360"/>
      </w:pPr>
      <w:rPr>
        <w:rFonts w:ascii="Nunito Sans Light" w:eastAsia="NunitoSans-Light" w:hAnsi="Nunito Sans Light" w:cs="NunitoSans-Light" w:hint="default"/>
        <w:color w:val="00CEC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0"/>
  </w:num>
  <w:num w:numId="5">
    <w:abstractNumId w:val="13"/>
  </w:num>
  <w:num w:numId="6">
    <w:abstractNumId w:val="5"/>
  </w:num>
  <w:num w:numId="7">
    <w:abstractNumId w:val="4"/>
  </w:num>
  <w:num w:numId="8">
    <w:abstractNumId w:val="2"/>
  </w:num>
  <w:num w:numId="9">
    <w:abstractNumId w:val="11"/>
  </w:num>
  <w:num w:numId="10">
    <w:abstractNumId w:val="3"/>
  </w:num>
  <w:num w:numId="11">
    <w:abstractNumId w:val="8"/>
  </w:num>
  <w:num w:numId="12">
    <w:abstractNumId w:val="1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proofState w:spelling="clean" w:grammar="clean"/>
  <w:attachedTemplate r:id="rId1"/>
  <w:doNotTrackMoves/>
  <w:defaultTabStop w:val="720"/>
  <w:drawingGridHorizontalSpacing w:val="110"/>
  <w:drawingGridVerticalSpacing w:val="299"/>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uiPriority w:val="1"/>
    <w:qFormat/>
    <w:rsid w:val="00C32B1B"/>
    <w:rPr>
      <w:rFonts w:ascii="NunitoSans-Light" w:eastAsia="NunitoSans-Light" w:hAnsi="NunitoSans-Light" w:cs="NunitoSans-Light"/>
      <w:color w:val="000000" w:themeColor="text1"/>
    </w:rPr>
  </w:style>
  <w:style w:type="paragraph" w:styleId="Heading1">
    <w:name w:val="heading 1"/>
    <w:aliases w:val="Heading"/>
    <w:basedOn w:val="Normal"/>
    <w:link w:val="Heading1Char"/>
    <w:uiPriority w:val="1"/>
    <w:qFormat/>
    <w:rsid w:val="00D03231"/>
    <w:pPr>
      <w:spacing w:after="120" w:line="440" w:lineRule="exact"/>
      <w:outlineLvl w:val="0"/>
    </w:pPr>
    <w:rPr>
      <w:rFonts w:eastAsia="NunitoSans-ExtraBold" w:asciiTheme="majorHAnsi" w:hAnsiTheme="majorHAnsi" w:cs="NunitoSans-ExtraBold"/>
      <w:b/>
      <w:bCs/>
      <w:color w:val="03304A"/>
      <w:sz w:val="32"/>
      <w:szCs w:val="40"/>
    </w:rPr>
  </w:style>
  <w:style w:type="paragraph" w:styleId="Heading2">
    <w:name w:val="heading 2"/>
    <w:basedOn w:val="BodyText"/>
    <w:link w:val="Heading2Char"/>
    <w:uiPriority w:val="1"/>
    <w:rsid w:val="00A84B7C"/>
    <w:pPr>
      <w:spacing w:before="240" w:line="211" w:lineRule="auto"/>
      <w:contextualSpacing/>
      <w:outlineLvl w:val="1"/>
    </w:pPr>
    <w:rPr>
      <w:rFonts w:ascii="Nunito Sans Black" w:eastAsia="NunitoSans-Black" w:hAnsi="Nunito Sans Black" w:cs="NunitoSans-Black"/>
      <w:bCs/>
      <w:sz w:val="28"/>
    </w:rPr>
  </w:style>
  <w:style w:type="paragraph" w:styleId="Heading3">
    <w:name w:val="heading 3"/>
    <w:basedOn w:val="Normal"/>
    <w:next w:val="Normal"/>
    <w:link w:val="Heading3Char"/>
    <w:uiPriority w:val="9"/>
    <w:unhideWhenUsed/>
    <w:rsid w:val="00080B36"/>
    <w:pPr>
      <w:keepNext/>
      <w:keepLines/>
      <w:spacing w:before="40"/>
      <w:outlineLvl w:val="2"/>
    </w:pPr>
    <w:rPr>
      <w:rFonts w:asciiTheme="majorHAnsi" w:eastAsiaTheme="majorEastAsia" w:hAnsiTheme="majorHAnsi" w:cstheme="majorBidi"/>
      <w:color w:val="006666" w:themeColor="accent1" w:themeShade="7F"/>
      <w:sz w:val="24"/>
      <w:szCs w:val="24"/>
    </w:rPr>
  </w:style>
  <w:style w:type="paragraph" w:styleId="Heading4">
    <w:name w:val="heading 4"/>
    <w:basedOn w:val="Normal"/>
    <w:next w:val="Normal"/>
    <w:link w:val="Heading4Char"/>
    <w:uiPriority w:val="9"/>
    <w:semiHidden/>
    <w:unhideWhenUsed/>
    <w:qFormat/>
    <w:rsid w:val="00A84B7C"/>
    <w:pPr>
      <w:keepNext/>
      <w:keepLines/>
      <w:spacing w:before="40"/>
      <w:outlineLvl w:val="3"/>
    </w:pPr>
    <w:rPr>
      <w:rFonts w:asciiTheme="majorHAnsi" w:eastAsiaTheme="majorEastAsia" w:hAnsiTheme="majorHAnsi" w:cstheme="majorBidi"/>
      <w:i/>
      <w:iCs/>
      <w:color w:val="009A9A"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542EC"/>
    <w:pPr>
      <w:spacing w:after="120" w:line="300" w:lineRule="exact"/>
    </w:pPr>
    <w:rPr>
      <w:rFonts w:ascii="Nunito Sans Light" w:hAnsi="Nunito Sans Light"/>
      <w:szCs w:val="20"/>
      <w:u w:color="FFFFFF"/>
    </w:rPr>
  </w:style>
  <w:style w:type="paragraph" w:styleId="ListParagraph">
    <w:name w:val="List Paragraph"/>
    <w:basedOn w:val="Normal"/>
    <w:uiPriority w:val="34"/>
    <w:qFormat/>
    <w:rsid w:val="00C0122B"/>
    <w:rPr>
      <w:rFonts w:ascii="Nunito Light" w:hAnsi="Nunito Light"/>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86361"/>
    <w:pPr>
      <w:tabs>
        <w:tab w:val="center" w:pos="4513"/>
        <w:tab w:val="right" w:pos="9026"/>
      </w:tabs>
    </w:pPr>
  </w:style>
  <w:style w:type="character" w:customStyle="1" w:styleId="HeaderChar">
    <w:name w:val="Header Char"/>
    <w:basedOn w:val="DefaultParagraphFont"/>
    <w:link w:val="Header"/>
    <w:uiPriority w:val="99"/>
    <w:rsid w:val="00C86361"/>
    <w:rPr>
      <w:rFonts w:ascii="NunitoSans-Light" w:eastAsia="NunitoSans-Light" w:hAnsi="NunitoSans-Light" w:cs="NunitoSans-Light"/>
    </w:rPr>
  </w:style>
  <w:style w:type="paragraph" w:styleId="Footer">
    <w:name w:val="footer"/>
    <w:basedOn w:val="Normal"/>
    <w:link w:val="FooterChar"/>
    <w:uiPriority w:val="99"/>
    <w:unhideWhenUsed/>
    <w:rsid w:val="00C86361"/>
    <w:pPr>
      <w:tabs>
        <w:tab w:val="center" w:pos="4513"/>
        <w:tab w:val="right" w:pos="9026"/>
      </w:tabs>
    </w:pPr>
  </w:style>
  <w:style w:type="character" w:customStyle="1" w:styleId="FooterChar">
    <w:name w:val="Footer Char"/>
    <w:basedOn w:val="DefaultParagraphFont"/>
    <w:link w:val="Footer"/>
    <w:uiPriority w:val="99"/>
    <w:rsid w:val="00C86361"/>
    <w:rPr>
      <w:rFonts w:ascii="NunitoSans-Light" w:eastAsia="NunitoSans-Light" w:hAnsi="NunitoSans-Light" w:cs="NunitoSans-Light"/>
    </w:rPr>
  </w:style>
  <w:style w:type="paragraph" w:styleId="BalloonText">
    <w:name w:val="Balloon Text"/>
    <w:basedOn w:val="Normal"/>
    <w:link w:val="BalloonTextChar"/>
    <w:uiPriority w:val="99"/>
    <w:semiHidden/>
    <w:unhideWhenUsed/>
    <w:rsid w:val="00930667"/>
    <w:rPr>
      <w:rFonts w:ascii="Tahoma" w:hAnsi="Tahoma" w:cs="Tahoma"/>
      <w:sz w:val="16"/>
      <w:szCs w:val="16"/>
    </w:rPr>
  </w:style>
  <w:style w:type="character" w:customStyle="1" w:styleId="BalloonTextChar">
    <w:name w:val="Balloon Text Char"/>
    <w:basedOn w:val="DefaultParagraphFont"/>
    <w:link w:val="BalloonText"/>
    <w:uiPriority w:val="99"/>
    <w:semiHidden/>
    <w:rsid w:val="00930667"/>
    <w:rPr>
      <w:rFonts w:ascii="Tahoma" w:eastAsia="NunitoSans-Light" w:hAnsi="Tahoma" w:cs="Tahoma"/>
      <w:sz w:val="16"/>
      <w:szCs w:val="16"/>
    </w:rPr>
  </w:style>
  <w:style w:type="paragraph" w:customStyle="1" w:styleId="Footertext">
    <w:name w:val="Footer text"/>
    <w:basedOn w:val="Normal"/>
    <w:link w:val="FootertextChar"/>
    <w:uiPriority w:val="1"/>
    <w:qFormat/>
    <w:rsid w:val="00C0122B"/>
    <w:rPr>
      <w:rFonts w:ascii="Nunito Sans"/>
      <w:color w:val="03304A"/>
      <w:sz w:val="16"/>
    </w:rPr>
  </w:style>
  <w:style w:type="character" w:customStyle="1" w:styleId="FootertextChar">
    <w:name w:val="Footer text Char"/>
    <w:basedOn w:val="DefaultParagraphFont"/>
    <w:link w:val="Footertext"/>
    <w:uiPriority w:val="1"/>
    <w:rsid w:val="00C0122B"/>
    <w:rPr>
      <w:rFonts w:ascii="Nunito Sans" w:eastAsia="NunitoSans-Light" w:hAnsi="NunitoSans-Light" w:cs="NunitoSans-Light"/>
      <w:color w:val="03304A"/>
      <w:sz w:val="16"/>
    </w:rPr>
  </w:style>
  <w:style w:type="character" w:styleId="Hyperlink">
    <w:name w:val="Hyperlink"/>
    <w:uiPriority w:val="99"/>
    <w:unhideWhenUsed/>
    <w:rsid w:val="009A4281"/>
    <w:rPr>
      <w:rFonts w:asciiTheme="minorHAnsi" w:eastAsiaTheme="minorHAnsi" w:hAnsiTheme="minorHAnsi" w:cs="NunitoSans-Black"/>
      <w:b w:val="0"/>
      <w:color w:val="00CECE"/>
      <w:sz w:val="24"/>
      <w:szCs w:val="14"/>
      <w:u w:val="single"/>
      <w:lang w:val="en-GB"/>
    </w:rPr>
  </w:style>
  <w:style w:type="character" w:customStyle="1" w:styleId="Heading1Char">
    <w:name w:val="Heading 1 Char"/>
    <w:aliases w:val="Heading Char"/>
    <w:basedOn w:val="DefaultParagraphFont"/>
    <w:link w:val="Heading1"/>
    <w:uiPriority w:val="1"/>
    <w:rsid w:val="00D03231"/>
    <w:rPr>
      <w:rFonts w:eastAsia="NunitoSans-ExtraBold" w:asciiTheme="majorHAnsi" w:hAnsiTheme="majorHAnsi" w:cs="NunitoSans-ExtraBold"/>
      <w:b/>
      <w:bCs/>
      <w:color w:val="03304A"/>
      <w:sz w:val="32"/>
      <w:szCs w:val="40"/>
    </w:rPr>
  </w:style>
  <w:style w:type="table" w:styleId="TableGrid">
    <w:name w:val="Table Grid"/>
    <w:basedOn w:val="TableNormal"/>
    <w:uiPriority w:val="39"/>
    <w:rsid w:val="00044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aragraphStyle">
    <w:name w:val="[No Paragraph Style]"/>
    <w:rsid w:val="00044481"/>
    <w:pPr>
      <w:widowControl/>
      <w:adjustRightInd w:val="0"/>
      <w:spacing w:line="288" w:lineRule="auto"/>
      <w:textAlignment w:val="center"/>
    </w:pPr>
    <w:rPr>
      <w:rFonts w:ascii="Minion Pro" w:hAnsi="Minion Pro" w:cs="Minion Pro"/>
      <w:color w:val="000000"/>
      <w:sz w:val="24"/>
      <w:szCs w:val="24"/>
      <w:lang w:val="en-GB"/>
    </w:rPr>
  </w:style>
  <w:style w:type="character" w:styleId="PageNumber">
    <w:name w:val="page number"/>
    <w:basedOn w:val="DefaultParagraphFont"/>
    <w:uiPriority w:val="99"/>
    <w:semiHidden/>
    <w:unhideWhenUsed/>
    <w:rsid w:val="004A18C9"/>
  </w:style>
  <w:style w:type="paragraph" w:styleId="Title">
    <w:name w:val="Title"/>
    <w:basedOn w:val="Normal"/>
    <w:next w:val="Normal"/>
    <w:link w:val="TitleChar"/>
    <w:uiPriority w:val="10"/>
    <w:rsid w:val="00627A93"/>
    <w:pPr>
      <w:spacing w:before="300" w:line="1240" w:lineRule="exact"/>
      <w:contextualSpacing/>
    </w:pPr>
    <w:rPr>
      <w:rFonts w:ascii="Nunito Sans ExtraBold" w:hAnsi="Nunito Sans ExtraBold" w:eastAsiaTheme="majorEastAsia" w:cstheme="majorBidi"/>
      <w:b/>
      <w:bCs/>
      <w:spacing w:val="-10"/>
      <w:kern w:val="28"/>
      <w:sz w:val="124"/>
      <w:szCs w:val="56"/>
    </w:rPr>
  </w:style>
  <w:style w:type="character" w:customStyle="1" w:styleId="TitleChar">
    <w:name w:val="Title Char"/>
    <w:basedOn w:val="DefaultParagraphFont"/>
    <w:link w:val="Title"/>
    <w:uiPriority w:val="10"/>
    <w:rsid w:val="00627A93"/>
    <w:rPr>
      <w:rFonts w:ascii="Nunito Sans ExtraBold" w:hAnsi="Nunito Sans ExtraBold" w:eastAsiaTheme="majorEastAsia" w:cstheme="majorBidi"/>
      <w:b/>
      <w:bCs/>
      <w:spacing w:val="-10"/>
      <w:kern w:val="28"/>
      <w:sz w:val="124"/>
      <w:szCs w:val="56"/>
    </w:rPr>
  </w:style>
  <w:style w:type="paragraph" w:styleId="Subtitle">
    <w:name w:val="Subtitle"/>
    <w:basedOn w:val="BodyText"/>
    <w:next w:val="Normal"/>
    <w:link w:val="SubtitleChar"/>
    <w:uiPriority w:val="11"/>
    <w:rsid w:val="00627A93"/>
    <w:pPr>
      <w:spacing w:before="160" w:line="440" w:lineRule="exact"/>
    </w:pPr>
    <w:rPr>
      <w:sz w:val="40"/>
      <w:szCs w:val="40"/>
    </w:rPr>
  </w:style>
  <w:style w:type="character" w:customStyle="1" w:styleId="SubtitleChar">
    <w:name w:val="Subtitle Char"/>
    <w:basedOn w:val="DefaultParagraphFont"/>
    <w:link w:val="Subtitle"/>
    <w:uiPriority w:val="11"/>
    <w:rsid w:val="00627A93"/>
    <w:rPr>
      <w:rFonts w:ascii="Nunito Sans Light" w:eastAsia="NunitoSans-Light" w:hAnsi="Nunito Sans Light" w:cs="NunitoSans-Light"/>
      <w:color w:val="3C3C3C"/>
      <w:sz w:val="40"/>
      <w:szCs w:val="40"/>
    </w:rPr>
  </w:style>
  <w:style w:type="character" w:styleId="Strong">
    <w:name w:val="Strong"/>
    <w:basedOn w:val="DefaultParagraphFont"/>
    <w:uiPriority w:val="22"/>
    <w:qFormat/>
    <w:rsid w:val="00501895"/>
    <w:rPr>
      <w:rFonts w:ascii="Nunito Sans" w:hAnsi="Nunito Sans"/>
      <w:b/>
      <w:bCs/>
      <w:i w:val="0"/>
      <w:color w:val="03304A"/>
    </w:rPr>
  </w:style>
  <w:style w:type="paragraph" w:customStyle="1" w:styleId="BasicParagraph">
    <w:name w:val="[Basic Paragraph]"/>
    <w:basedOn w:val="NoParagraphStyle"/>
    <w:uiPriority w:val="99"/>
    <w:rsid w:val="00453ADF"/>
  </w:style>
  <w:style w:type="paragraph" w:styleId="ListBullet">
    <w:name w:val="List Bullet"/>
    <w:basedOn w:val="BodyText"/>
    <w:uiPriority w:val="99"/>
    <w:unhideWhenUsed/>
    <w:rsid w:val="007C2AB7"/>
    <w:pPr>
      <w:numPr>
        <w:numId w:val="3"/>
      </w:numPr>
      <w:spacing w:before="260"/>
      <w:ind w:left="425" w:hanging="425"/>
    </w:pPr>
  </w:style>
  <w:style w:type="paragraph" w:customStyle="1" w:styleId="Headingrob">
    <w:name w:val="Heading rob"/>
    <w:basedOn w:val="Heading1"/>
    <w:link w:val="HeadingrobChar"/>
    <w:uiPriority w:val="1"/>
    <w:rsid w:val="00830DAE"/>
    <w:rPr>
      <w:color w:val="00CECE"/>
    </w:rPr>
  </w:style>
  <w:style w:type="character" w:customStyle="1" w:styleId="HeadingrobChar">
    <w:name w:val="Heading rob Char"/>
    <w:basedOn w:val="Heading1Char"/>
    <w:link w:val="Headingrob"/>
    <w:uiPriority w:val="1"/>
    <w:rsid w:val="00830DAE"/>
    <w:rPr>
      <w:rFonts w:eastAsia="NunitoSans-ExtraBold" w:asciiTheme="majorHAnsi" w:hAnsiTheme="majorHAnsi" w:cs="NunitoSans-ExtraBold"/>
      <w:b/>
      <w:bCs/>
      <w:color w:val="00CECE"/>
      <w:sz w:val="32"/>
      <w:szCs w:val="40"/>
    </w:rPr>
  </w:style>
  <w:style w:type="character" w:styleId="SubtleEmphasis">
    <w:name w:val="Subtle Emphasis"/>
    <w:basedOn w:val="DefaultParagraphFont"/>
    <w:uiPriority w:val="19"/>
    <w:qFormat/>
    <w:rsid w:val="00C0122B"/>
    <w:rPr>
      <w:i/>
      <w:iCs/>
      <w:color w:val="000000" w:themeColor="text1"/>
    </w:rPr>
  </w:style>
  <w:style w:type="character" w:styleId="Emphasis">
    <w:name w:val="Emphasis"/>
    <w:basedOn w:val="DefaultParagraphFont"/>
    <w:uiPriority w:val="20"/>
    <w:qFormat/>
    <w:rsid w:val="00501895"/>
    <w:rPr>
      <w:i/>
      <w:iCs/>
      <w:color w:val="03304A"/>
    </w:rPr>
  </w:style>
  <w:style w:type="paragraph" w:styleId="Quote">
    <w:name w:val="Quote"/>
    <w:basedOn w:val="Normal"/>
    <w:next w:val="Normal"/>
    <w:link w:val="QuoteChar"/>
    <w:uiPriority w:val="29"/>
    <w:qFormat/>
    <w:rsid w:val="00501895"/>
    <w:pPr>
      <w:spacing w:before="200" w:after="160"/>
      <w:ind w:left="864" w:right="864"/>
      <w:jc w:val="center"/>
    </w:pPr>
    <w:rPr>
      <w:i/>
      <w:iCs/>
    </w:rPr>
  </w:style>
  <w:style w:type="character" w:customStyle="1" w:styleId="QuoteChar">
    <w:name w:val="Quote Char"/>
    <w:basedOn w:val="DefaultParagraphFont"/>
    <w:link w:val="Quote"/>
    <w:uiPriority w:val="29"/>
    <w:rsid w:val="00501895"/>
    <w:rPr>
      <w:rFonts w:ascii="NunitoSans-Light" w:eastAsia="NunitoSans-Light" w:hAnsi="NunitoSans-Light" w:cs="NunitoSans-Light"/>
      <w:i/>
      <w:iCs/>
      <w:color w:val="03304A"/>
    </w:rPr>
  </w:style>
  <w:style w:type="character" w:styleId="SubtleReference">
    <w:name w:val="Subtle Reference"/>
    <w:basedOn w:val="DefaultParagraphFont"/>
    <w:uiPriority w:val="31"/>
    <w:qFormat/>
    <w:rsid w:val="00C0122B"/>
    <w:rPr>
      <w:smallCaps/>
      <w:color w:val="000000" w:themeColor="text1"/>
    </w:rPr>
  </w:style>
  <w:style w:type="paragraph" w:styleId="FootnoteText">
    <w:name w:val="footnote text"/>
    <w:basedOn w:val="Normal"/>
    <w:link w:val="FootnoteTextChar"/>
    <w:uiPriority w:val="99"/>
    <w:semiHidden/>
    <w:unhideWhenUsed/>
    <w:rsid w:val="00A6760A"/>
    <w:pPr>
      <w:keepLines/>
      <w:widowControl/>
      <w:autoSpaceDE/>
      <w:autoSpaceDN/>
    </w:pPr>
    <w:rPr>
      <w:rFonts w:asciiTheme="minorHAnsi" w:eastAsiaTheme="minorEastAsia" w:hAnsiTheme="minorHAnsi" w:cstheme="minorBidi"/>
      <w:color w:val="auto"/>
      <w:sz w:val="20"/>
      <w:szCs w:val="20"/>
      <w:lang w:val="en-GB" w:eastAsia="ja-JP"/>
    </w:rPr>
  </w:style>
  <w:style w:type="character" w:customStyle="1" w:styleId="FootnoteTextChar">
    <w:name w:val="Footnote Text Char"/>
    <w:basedOn w:val="DefaultParagraphFont"/>
    <w:link w:val="FootnoteText"/>
    <w:uiPriority w:val="99"/>
    <w:semiHidden/>
    <w:rsid w:val="00A6760A"/>
    <w:rPr>
      <w:rFonts w:eastAsiaTheme="minorEastAsia"/>
      <w:sz w:val="20"/>
      <w:szCs w:val="20"/>
      <w:lang w:val="en-GB" w:eastAsia="ja-JP"/>
    </w:rPr>
  </w:style>
  <w:style w:type="character" w:styleId="FootnoteReference">
    <w:name w:val="footnote reference"/>
    <w:basedOn w:val="DefaultParagraphFont"/>
    <w:uiPriority w:val="99"/>
    <w:semiHidden/>
    <w:unhideWhenUsed/>
    <w:rsid w:val="007D61EF"/>
    <w:rPr>
      <w:vertAlign w:val="superscript"/>
    </w:rPr>
  </w:style>
  <w:style w:type="character" w:styleId="FollowedHyperlink">
    <w:name w:val="FollowedHyperlink"/>
    <w:basedOn w:val="DefaultParagraphFont"/>
    <w:uiPriority w:val="99"/>
    <w:semiHidden/>
    <w:unhideWhenUsed/>
    <w:rsid w:val="007D61EF"/>
    <w:rPr>
      <w:color w:val="1E46AF" w:themeColor="followedHyperlink"/>
      <w:u w:val="single"/>
    </w:rPr>
  </w:style>
  <w:style w:type="character" w:customStyle="1" w:styleId="Heading4Char">
    <w:name w:val="Heading 4 Char"/>
    <w:basedOn w:val="DefaultParagraphFont"/>
    <w:link w:val="Heading4"/>
    <w:uiPriority w:val="9"/>
    <w:semiHidden/>
    <w:rsid w:val="00A84B7C"/>
    <w:rPr>
      <w:rFonts w:asciiTheme="majorHAnsi" w:eastAsiaTheme="majorEastAsia" w:hAnsiTheme="majorHAnsi" w:cstheme="majorBidi"/>
      <w:i/>
      <w:iCs/>
      <w:color w:val="009A9A" w:themeColor="accent1" w:themeShade="BF"/>
    </w:rPr>
  </w:style>
  <w:style w:type="paragraph" w:customStyle="1" w:styleId="FSBMainTitle">
    <w:name w:val="FSB Main Title"/>
    <w:basedOn w:val="Normal"/>
    <w:uiPriority w:val="1"/>
    <w:qFormat/>
    <w:rsid w:val="00292C8E"/>
    <w:pPr>
      <w:tabs>
        <w:tab w:val="left" w:pos="9639"/>
      </w:tabs>
    </w:pPr>
    <w:rPr>
      <w:rFonts w:ascii="Balboa Medium" w:hAnsi="Balboa Medium"/>
      <w:color w:val="03304A"/>
      <w:spacing w:val="-20"/>
      <w:kern w:val="16"/>
      <w:sz w:val="144"/>
      <w:szCs w:val="144"/>
    </w:rPr>
  </w:style>
  <w:style w:type="paragraph" w:customStyle="1" w:styleId="FSBsubtitle">
    <w:name w:val="FSB sub title"/>
    <w:basedOn w:val="BodyText"/>
    <w:uiPriority w:val="1"/>
    <w:qFormat/>
    <w:rsid w:val="0037237A"/>
    <w:pPr>
      <w:spacing w:line="240" w:lineRule="auto"/>
    </w:pPr>
    <w:rPr>
      <w:rFonts w:ascii="Balboa Medium" w:hAnsi="Balboa Medium"/>
      <w:color w:val="00CECE"/>
      <w:spacing w:val="-20"/>
      <w:kern w:val="16"/>
      <w:sz w:val="128"/>
      <w:szCs w:val="144"/>
    </w:rPr>
  </w:style>
  <w:style w:type="paragraph" w:customStyle="1" w:styleId="FSBSubtitle2">
    <w:name w:val="FSB Sub title 2"/>
    <w:basedOn w:val="Heading2"/>
    <w:uiPriority w:val="1"/>
    <w:qFormat/>
    <w:rsid w:val="0037237A"/>
    <w:rPr>
      <w:rFonts w:eastAsia="NunitoSans-ExtraBold" w:asciiTheme="majorHAnsi" w:hAnsiTheme="majorHAnsi" w:cs="NunitoSans-ExtraBold"/>
      <w:b/>
      <w:color w:val="03304A"/>
      <w:szCs w:val="28"/>
    </w:rPr>
  </w:style>
  <w:style w:type="character" w:customStyle="1" w:styleId="BodyTextChar">
    <w:name w:val="Body Text Char"/>
    <w:basedOn w:val="DefaultParagraphFont"/>
    <w:link w:val="BodyText"/>
    <w:uiPriority w:val="1"/>
    <w:rsid w:val="006E31DE"/>
    <w:rPr>
      <w:rFonts w:ascii="Nunito Sans Light" w:eastAsia="NunitoSans-Light" w:hAnsi="Nunito Sans Light" w:cs="NunitoSans-Light"/>
      <w:color w:val="000000" w:themeColor="text1"/>
      <w:szCs w:val="20"/>
      <w:u w:color="FFFFFF"/>
    </w:rPr>
  </w:style>
  <w:style w:type="paragraph" w:customStyle="1" w:styleId="FSBheading2">
    <w:name w:val="FSB heading 2"/>
    <w:basedOn w:val="Heading2"/>
    <w:link w:val="FSBheading2Char"/>
    <w:uiPriority w:val="1"/>
    <w:qFormat/>
    <w:rsid w:val="00292C8E"/>
    <w:pPr>
      <w:spacing w:line="240" w:lineRule="auto"/>
    </w:pPr>
    <w:rPr>
      <w:rFonts w:asciiTheme="majorHAnsi" w:hAnsiTheme="majorHAnsi"/>
      <w:b/>
      <w:bCs w:val="0"/>
      <w:color w:val="03304A"/>
    </w:rPr>
  </w:style>
  <w:style w:type="character" w:customStyle="1" w:styleId="Heading2Char">
    <w:name w:val="Heading 2 Char"/>
    <w:basedOn w:val="BodyTextChar"/>
    <w:link w:val="Heading2"/>
    <w:uiPriority w:val="1"/>
    <w:rsid w:val="00080B36"/>
    <w:rPr>
      <w:rFonts w:ascii="Nunito Sans Black" w:eastAsia="NunitoSans-Black" w:hAnsi="Nunito Sans Black" w:cs="NunitoSans-Black"/>
      <w:bCs/>
      <w:color w:val="000000" w:themeColor="text1"/>
      <w:sz w:val="28"/>
      <w:szCs w:val="20"/>
      <w:u w:color="FFFFFF"/>
    </w:rPr>
  </w:style>
  <w:style w:type="character" w:customStyle="1" w:styleId="FSBheading2Char">
    <w:name w:val="FSB heading 2 Char"/>
    <w:basedOn w:val="Heading2Char"/>
    <w:link w:val="FSBheading2"/>
    <w:uiPriority w:val="1"/>
    <w:rsid w:val="00292C8E"/>
    <w:rPr>
      <w:rFonts w:eastAsia="NunitoSans-Black" w:asciiTheme="majorHAnsi" w:hAnsiTheme="majorHAnsi" w:cs="NunitoSans-Black"/>
      <w:b/>
      <w:bCs w:val="0"/>
      <w:color w:val="03304A"/>
      <w:sz w:val="28"/>
      <w:szCs w:val="20"/>
      <w:u w:color="FFFFFF"/>
    </w:rPr>
  </w:style>
  <w:style w:type="paragraph" w:customStyle="1" w:styleId="FSBHeading1">
    <w:name w:val="FSB Heading 1"/>
    <w:basedOn w:val="Heading1"/>
    <w:link w:val="FSBHeading1Char"/>
    <w:uiPriority w:val="1"/>
    <w:qFormat/>
    <w:rsid w:val="005D0F7E"/>
    <w:pPr>
      <w:spacing w:line="240" w:lineRule="auto"/>
    </w:pPr>
    <w:rPr>
      <w:color w:val="00CECE"/>
    </w:rPr>
  </w:style>
  <w:style w:type="character" w:customStyle="1" w:styleId="FSBHeading1Char">
    <w:name w:val="FSB Heading 1 Char"/>
    <w:basedOn w:val="Heading1Char"/>
    <w:link w:val="FSBHeading1"/>
    <w:uiPriority w:val="1"/>
    <w:rsid w:val="005D0F7E"/>
    <w:rPr>
      <w:rFonts w:eastAsia="NunitoSans-ExtraBold" w:asciiTheme="majorHAnsi" w:hAnsiTheme="majorHAnsi" w:cs="NunitoSans-ExtraBold"/>
      <w:b/>
      <w:bCs/>
      <w:color w:val="00CECE"/>
      <w:sz w:val="32"/>
      <w:szCs w:val="40"/>
    </w:rPr>
  </w:style>
  <w:style w:type="character" w:customStyle="1" w:styleId="Heading3Char">
    <w:name w:val="Heading 3 Char"/>
    <w:basedOn w:val="DefaultParagraphFont"/>
    <w:link w:val="Heading3"/>
    <w:uiPriority w:val="9"/>
    <w:rsid w:val="00080B36"/>
    <w:rPr>
      <w:rFonts w:asciiTheme="majorHAnsi" w:eastAsiaTheme="majorEastAsia" w:hAnsiTheme="majorHAnsi" w:cstheme="majorBidi"/>
      <w:color w:val="006666" w:themeColor="accent1" w:themeShade="7F"/>
      <w:sz w:val="24"/>
      <w:szCs w:val="24"/>
    </w:rPr>
  </w:style>
  <w:style w:type="paragraph" w:customStyle="1" w:styleId="FSBHeading3">
    <w:name w:val="FSB Heading 3"/>
    <w:basedOn w:val="Heading3"/>
    <w:link w:val="FSBHeading3Char"/>
    <w:uiPriority w:val="1"/>
    <w:qFormat/>
    <w:rsid w:val="005D0F7E"/>
    <w:pPr>
      <w:spacing w:before="0" w:after="120"/>
    </w:pPr>
    <w:rPr>
      <w:b/>
      <w:bCs/>
      <w:color w:val="03304A"/>
    </w:rPr>
  </w:style>
  <w:style w:type="character" w:customStyle="1" w:styleId="FSBHeading3Char">
    <w:name w:val="FSB Heading 3 Char"/>
    <w:basedOn w:val="Heading3Char"/>
    <w:link w:val="FSBHeading3"/>
    <w:uiPriority w:val="1"/>
    <w:rsid w:val="005D0F7E"/>
    <w:rPr>
      <w:rFonts w:asciiTheme="majorHAnsi" w:eastAsiaTheme="majorEastAsia" w:hAnsiTheme="majorHAnsi" w:cstheme="majorBidi"/>
      <w:b/>
      <w:bCs/>
      <w:color w:val="03304A"/>
      <w:sz w:val="24"/>
      <w:szCs w:val="24"/>
    </w:rPr>
  </w:style>
  <w:style w:type="paragraph" w:customStyle="1" w:styleId="FSBBody">
    <w:name w:val="FSB Body"/>
    <w:basedOn w:val="BodyText"/>
    <w:link w:val="FSBBodyChar"/>
    <w:uiPriority w:val="1"/>
    <w:qFormat/>
    <w:rsid w:val="00807DB9"/>
    <w:pPr>
      <w:spacing w:line="240" w:lineRule="auto"/>
    </w:pPr>
  </w:style>
  <w:style w:type="character" w:customStyle="1" w:styleId="FSBBodyChar">
    <w:name w:val="FSB Body Char"/>
    <w:basedOn w:val="BodyTextChar"/>
    <w:link w:val="FSBBody"/>
    <w:uiPriority w:val="1"/>
    <w:rsid w:val="00807DB9"/>
    <w:rPr>
      <w:rFonts w:ascii="Nunito Sans Light" w:eastAsia="NunitoSans-Light" w:hAnsi="Nunito Sans Light" w:cs="NunitoSans-Light"/>
      <w:color w:val="000000" w:themeColor="text1"/>
      <w:szCs w:val="20"/>
      <w:u w:color="FFFFFF"/>
    </w:rPr>
  </w:style>
  <w:style w:type="character" w:customStyle="1" w:styleId="UnresolvedMention">
    <w:name w:val="Unresolved Mention"/>
    <w:basedOn w:val="DefaultParagraphFont"/>
    <w:uiPriority w:val="99"/>
    <w:rsid w:val="009A4281"/>
    <w:rPr>
      <w:color w:val="605E5C"/>
      <w:shd w:val="clear" w:color="auto" w:fill="E1DFDD"/>
    </w:rPr>
  </w:style>
  <w:style w:type="paragraph" w:customStyle="1" w:styleId="fsbhyperlink">
    <w:name w:val="fsb hyperlink"/>
    <w:basedOn w:val="FSBBody"/>
    <w:link w:val="fsbhyperlinkChar"/>
    <w:uiPriority w:val="1"/>
    <w:qFormat/>
    <w:rsid w:val="0030241F"/>
    <w:rPr>
      <w:color w:val="00CECE"/>
      <w:u w:val="single"/>
    </w:rPr>
  </w:style>
  <w:style w:type="character" w:customStyle="1" w:styleId="fsbhyperlinkChar">
    <w:name w:val="fsb hyperlink Char"/>
    <w:basedOn w:val="FSBBodyChar"/>
    <w:link w:val="fsbhyperlink"/>
    <w:uiPriority w:val="1"/>
    <w:rsid w:val="0030241F"/>
    <w:rPr>
      <w:rFonts w:ascii="Nunito Sans Light" w:eastAsia="NunitoSans-Light" w:hAnsi="Nunito Sans Light" w:cs="NunitoSans-Light"/>
      <w:color w:val="00CECE"/>
      <w:szCs w:val="20"/>
      <w:u w:val="single" w:color="FFFFFF"/>
    </w:rPr>
  </w:style>
  <w:style w:type="character" w:styleId="CommentReference">
    <w:name w:val="annotation reference"/>
    <w:basedOn w:val="DefaultParagraphFont"/>
    <w:uiPriority w:val="99"/>
    <w:semiHidden/>
    <w:unhideWhenUsed/>
    <w:rsid w:val="00F67860"/>
    <w:rPr>
      <w:sz w:val="16"/>
      <w:szCs w:val="16"/>
    </w:rPr>
  </w:style>
  <w:style w:type="paragraph" w:styleId="CommentText">
    <w:name w:val="annotation text"/>
    <w:basedOn w:val="Normal"/>
    <w:link w:val="CommentTextChar"/>
    <w:uiPriority w:val="99"/>
    <w:unhideWhenUsed/>
    <w:rsid w:val="00F67860"/>
    <w:rPr>
      <w:sz w:val="20"/>
      <w:szCs w:val="20"/>
    </w:rPr>
  </w:style>
  <w:style w:type="character" w:customStyle="1" w:styleId="CommentTextChar">
    <w:name w:val="Comment Text Char"/>
    <w:basedOn w:val="DefaultParagraphFont"/>
    <w:link w:val="CommentText"/>
    <w:uiPriority w:val="99"/>
    <w:rsid w:val="00F67860"/>
    <w:rPr>
      <w:rFonts w:ascii="NunitoSans-Light" w:eastAsia="NunitoSans-Light" w:hAnsi="NunitoSans-Light" w:cs="NunitoSans-Light"/>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67860"/>
    <w:rPr>
      <w:b/>
      <w:bCs/>
    </w:rPr>
  </w:style>
  <w:style w:type="character" w:customStyle="1" w:styleId="CommentSubjectChar">
    <w:name w:val="Comment Subject Char"/>
    <w:basedOn w:val="CommentTextChar"/>
    <w:link w:val="CommentSubject"/>
    <w:uiPriority w:val="99"/>
    <w:semiHidden/>
    <w:rsid w:val="00F67860"/>
    <w:rPr>
      <w:rFonts w:ascii="NunitoSans-Light" w:eastAsia="NunitoSans-Light" w:hAnsi="NunitoSans-Light" w:cs="NunitoSans-Light"/>
      <w:b/>
      <w:bCs/>
      <w:color w:val="000000" w:themeColor="text1"/>
      <w:sz w:val="20"/>
      <w:szCs w:val="20"/>
    </w:rPr>
  </w:style>
  <w:style w:type="paragraph" w:styleId="Revision">
    <w:name w:val="Revision"/>
    <w:hidden/>
    <w:uiPriority w:val="99"/>
    <w:semiHidden/>
    <w:rsid w:val="00F67860"/>
    <w:pPr>
      <w:widowControl/>
      <w:autoSpaceDE/>
      <w:autoSpaceDN/>
    </w:pPr>
    <w:rPr>
      <w:rFonts w:ascii="NunitoSans-Light" w:eastAsia="NunitoSans-Light" w:hAnsi="NunitoSans-Light" w:cs="NunitoSans-Light"/>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10" Type="http://schemas.openxmlformats.org/officeDocument/2006/relationships/font" Target="fonts/font10.odttf" /><Relationship Id="rId11" Type="http://schemas.openxmlformats.org/officeDocument/2006/relationships/font" Target="fonts/font11.odttf" /><Relationship Id="rId12" Type="http://schemas.openxmlformats.org/officeDocument/2006/relationships/font" Target="fonts/font12.odttf" /><Relationship Id="rId13" Type="http://schemas.openxmlformats.org/officeDocument/2006/relationships/font" Target="fonts/font13.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 Id="rId8" Type="http://schemas.openxmlformats.org/officeDocument/2006/relationships/font" Target="fonts/font8.odttf" /><Relationship Id="rId9" Type="http://schemas.openxmlformats.org/officeDocument/2006/relationships/font" Target="fonts/font9.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Ayesha.Graves\OneDrive%20-%20fsb.org.uk\Documents\FSB%20document%20template.dotx" TargetMode="External" /></Relationships>
</file>

<file path=word/theme/theme1.xml><?xml version="1.0" encoding="utf-8"?>
<a:theme xmlns:a="http://schemas.openxmlformats.org/drawingml/2006/main" name="SCOUTS">
  <a:themeElements>
    <a:clrScheme name="FSB V1">
      <a:dk1>
        <a:srgbClr val="000000"/>
      </a:dk1>
      <a:lt1>
        <a:srgbClr val="FFFFFF"/>
      </a:lt1>
      <a:dk2>
        <a:srgbClr val="033049"/>
      </a:dk2>
      <a:lt2>
        <a:srgbClr val="FFFFFF"/>
      </a:lt2>
      <a:accent1>
        <a:srgbClr val="00CECE"/>
      </a:accent1>
      <a:accent2>
        <a:srgbClr val="682CC3"/>
      </a:accent2>
      <a:accent3>
        <a:srgbClr val="ECB3EE"/>
      </a:accent3>
      <a:accent4>
        <a:srgbClr val="AEEDA7"/>
      </a:accent4>
      <a:accent5>
        <a:srgbClr val="96BFD5"/>
      </a:accent5>
      <a:accent6>
        <a:srgbClr val="751330"/>
      </a:accent6>
      <a:hlink>
        <a:srgbClr val="00CECE"/>
      </a:hlink>
      <a:folHlink>
        <a:srgbClr val="1E46AF"/>
      </a:folHlink>
    </a:clrScheme>
    <a:fontScheme name="Scouts">
      <a:majorFont>
        <a:latin typeface="Nunito Sans"/>
        <a:ea typeface=""/>
        <a:cs typeface=""/>
      </a:majorFont>
      <a:minorFont>
        <a:latin typeface="Nuni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COUTS" id="{5D7BB8F1-3B9C-4549-AE35-EBEB3715033C}" vid="{30335BBC-243B-9142-B4D9-077C7DEC867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43BC0-1661-8341-9341-046286531F33}">
  <ds:schemaRefs>
    <ds:schemaRef ds:uri="http://schemas.openxmlformats.org/officeDocument/2006/bibliography"/>
  </ds:schemaRefs>
</ds:datastoreItem>
</file>

<file path=docMetadata/LabelInfo.xml><?xml version="1.0" encoding="utf-8"?>
<clbl:labelList xmlns:clbl="http://schemas.microsoft.com/office/2020/mipLabelMetadata">
  <clbl:label id="{8ca1add8-070e-4945-b5f5-42f5d62e8d18}" enabled="0" method="" siteId="{8ca1add8-070e-4945-b5f5-42f5d62e8d1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TOU0118</dc:title>
  <cp:revision>0</cp:revision>
</cp:coreProperties>
</file>