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E4B10" w:rsidRPr="008E4B10" w:rsidP="008E4B10">
      <w:pPr>
        <w:widowControl w:val="0"/>
        <w:autoSpaceDE w:val="0"/>
        <w:autoSpaceDN w:val="0"/>
        <w:adjustRightInd w:val="0"/>
        <w:spacing w:after="0" w:line="240" w:lineRule="auto"/>
        <w:jc w:val="center"/>
        <w:rPr>
          <w:rFonts w:ascii="HelveticaNeue" w:hAnsi="HelveticaNeue" w:cs="HelveticaNeue"/>
          <w:b/>
          <w:bCs/>
          <w:kern w:val="0"/>
          <w:sz w:val="26"/>
          <w:szCs w:val="26"/>
        </w:rPr>
      </w:pPr>
      <w:r w:rsidRPr="008E4B10">
        <w:rPr>
          <w:rFonts w:ascii="HelveticaNeue" w:hAnsi="HelveticaNeue" w:cs="HelveticaNeue"/>
          <w:b/>
          <w:bCs/>
          <w:kern w:val="0"/>
          <w:sz w:val="26"/>
          <w:szCs w:val="26"/>
        </w:rPr>
        <w:t>Written evidence submitted by Peter Mawson (LUN0009)</w:t>
      </w:r>
    </w:p>
    <w:p w:rsidR="008E4B10">
      <w:pPr>
        <w:widowControl w:val="0"/>
        <w:autoSpaceDE w:val="0"/>
        <w:autoSpaceDN w:val="0"/>
        <w:adjustRightInd w:val="0"/>
        <w:spacing w:after="0" w:line="240" w:lineRule="auto"/>
        <w:rPr>
          <w:rFonts w:ascii="HelveticaNeue" w:hAnsi="HelveticaNeue" w:cs="HelveticaNeue"/>
          <w:kern w:val="0"/>
          <w:sz w:val="26"/>
          <w:szCs w:val="26"/>
        </w:rPr>
      </w:pPr>
    </w:p>
    <w:p w:rsidR="008E4B10">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UK Parliament</w:t>
      </w: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EFRA Committee Evidence</w:t>
      </w: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Peter Mawson</w:t>
      </w: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9 June 2026</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numPr>
          <w:ilvl w:val="0"/>
          <w:numId w:val="1"/>
        </w:numPr>
        <w:autoSpaceDE w:val="0"/>
        <w:autoSpaceDN w:val="0"/>
        <w:adjustRightInd w:val="0"/>
        <w:spacing w:after="0" w:line="240" w:lineRule="auto"/>
        <w:ind w:left="0" w:firstLine="0"/>
        <w:rPr>
          <w:rFonts w:ascii="HelveticaNeue" w:hAnsi="HelveticaNeue" w:cs="HelveticaNeue"/>
          <w:kern w:val="0"/>
          <w:sz w:val="26"/>
          <w:szCs w:val="26"/>
        </w:rPr>
      </w:pPr>
      <w:r>
        <w:rPr>
          <w:rFonts w:ascii="HelveticaNeue" w:hAnsi="HelveticaNeue" w:cs="HelveticaNeue"/>
          <w:kern w:val="0"/>
          <w:sz w:val="26"/>
          <w:szCs w:val="26"/>
        </w:rPr>
        <w:t>1. How effectively do current policies balance competing demands in the uplands, including food production, nature recovery, climate mitigation, water management, and public access, and where do the key tensions remain?</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Answer:</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I doubt any particular policy is delivering effective success.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FiPL is useful if one has money to spend, either access to cash or debt, but the business cases will be tight.</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BPS provided cash flow for other works, especially those benefitting nature where financial returns are not obvious.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Worth noting that in the North York Moors National Park, FiPL only contributes 40% to costs associated with regenerative farming projects.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Too many tenants and owner farmers still entertain the false hope that ‘they’, the Government, may help them.</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SFI - the new, watered down, offer, and the grander scheme before it, are too orientated toward arable. Not incentivising a change in grazing management is a massive missed opportunity. For the uplands especially.</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Pulse grazing of cattle and sheep would have eco-system and financial benefits for society as a whole - cleaner water, lower operating costs, more animal behaviour benefits, greater carbon sequestration etc.</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As far as I can tell, many in local and central Government do not understand holistic management techniques for livestock.</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Trees - so far the benefits of tree planting have been ignored; the new SFI will compound that attitude.</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Small abattoirs - any possibility of new business ventures are held back by the lack of processing facilities and skilled staff. There could be more Riverford’s and Pipers Farm’s to keep farms viable, to employ local people, especially the youth.</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My nearest abattoir is a three hour drive away. The last butcher offering cutting and packing services to bespoke specification has closed.</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This is a catch-22 situation; farmers cannot become entrepreneurs without essential services. A new small abattoir could cost £3million. Finding qualified staff would be a major challenge.</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numPr>
          <w:ilvl w:val="0"/>
          <w:numId w:val="2"/>
        </w:numPr>
        <w:autoSpaceDE w:val="0"/>
        <w:autoSpaceDN w:val="0"/>
        <w:adjustRightInd w:val="0"/>
        <w:spacing w:after="0" w:line="240" w:lineRule="auto"/>
        <w:ind w:left="0" w:firstLine="0"/>
        <w:rPr>
          <w:rFonts w:ascii="HelveticaNeue" w:hAnsi="HelveticaNeue" w:cs="HelveticaNeue"/>
          <w:kern w:val="0"/>
          <w:sz w:val="26"/>
          <w:szCs w:val="26"/>
        </w:rPr>
      </w:pPr>
      <w:r>
        <w:rPr>
          <w:rFonts w:ascii="HelveticaNeue" w:hAnsi="HelveticaNeue" w:cs="HelveticaNeue"/>
          <w:kern w:val="0"/>
          <w:sz w:val="26"/>
          <w:szCs w:val="26"/>
        </w:rPr>
        <w:t>2. What has been the impact of agricultural policy changes (including the transition away from direct payments) on upland farming businesses, and the impact of these changes on farming profitability?</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Answer:</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Lower cash flow; BPS disguised poor business performance and a greater lack of entrepreneurship.</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High demand for sheep meat at present will offset some concerns, but in flocks of 200 ewes the differences are not significant, compared with flocks of thousands. And the benefits of the high prices are fleeting and beyond the control of the upland land manager.</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Cash flow insecurity has/will lead to lower investment (if there was any beforehand) by ageing land owners. The 50 something offspring may try to stick around, but the youth are unlikely to find the unrewarded toil of two or three jobs and a degraded farm to be attractive.</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numPr>
          <w:ilvl w:val="0"/>
          <w:numId w:val="3"/>
        </w:numPr>
        <w:autoSpaceDE w:val="0"/>
        <w:autoSpaceDN w:val="0"/>
        <w:adjustRightInd w:val="0"/>
        <w:spacing w:after="0" w:line="240" w:lineRule="auto"/>
        <w:ind w:left="0" w:firstLine="0"/>
        <w:rPr>
          <w:rFonts w:ascii="HelveticaNeue" w:hAnsi="HelveticaNeue" w:cs="HelveticaNeue"/>
          <w:kern w:val="0"/>
          <w:sz w:val="26"/>
          <w:szCs w:val="26"/>
        </w:rPr>
      </w:pPr>
      <w:r>
        <w:rPr>
          <w:rFonts w:ascii="HelveticaNeue" w:hAnsi="HelveticaNeue" w:cs="HelveticaNeue"/>
          <w:kern w:val="0"/>
          <w:sz w:val="26"/>
          <w:szCs w:val="26"/>
        </w:rPr>
        <w:t>3. To what extent do the current Environmental Land Management (ELM) schemes and other support like the Farming in Protected Landscapes (FiPL) schemes support financially and environmentally sustainable land management in the uplands?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Answer:</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FiPL is useful if one has money to spend, either access to cash or debt, but the business cases will be tight.</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BPS provided cash flow for other works, especially those benefitting nature where financial returns are not obvious.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Worth noting that in the North York Moors National Park, FiPL only contributes 40% to costs associated with regenerative farming projects.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 xml:space="preserve">SFI - the new, watered down, offer, and the grander scheme before it, are too orientated toward arable. Not incentivising a change in grazing management </w:t>
      </w:r>
      <w:r>
        <w:rPr>
          <w:rFonts w:ascii="HelveticaNeue" w:hAnsi="HelveticaNeue" w:cs="HelveticaNeue"/>
          <w:kern w:val="0"/>
          <w:sz w:val="26"/>
          <w:szCs w:val="26"/>
        </w:rPr>
        <w:t>is a massive missed opportunity. For the uplands especially.</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Pulse grazing of cattle and sheep would have eco-system and financial benefits for society as a whole - cleaner water, lower operating costs, more animal behaviour benefits, greater carbon sequestration etc.</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As far as I can tell, many in local and central Government do not understand holistic management techniques for livestock.</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The basic grassland action of £151 p/ha doesn’t amount to a major cash injection and many could fall foul of the RPA, if they submit overgrazed land.</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The £ value of walls and hedges is meagre; SFI offers a small contribution to the farm budget and no incentive to change… to change for a better environment and better business.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numPr>
          <w:ilvl w:val="0"/>
          <w:numId w:val="4"/>
        </w:numPr>
        <w:autoSpaceDE w:val="0"/>
        <w:autoSpaceDN w:val="0"/>
        <w:adjustRightInd w:val="0"/>
        <w:spacing w:after="0" w:line="240" w:lineRule="auto"/>
        <w:ind w:left="0" w:firstLine="0"/>
        <w:rPr>
          <w:rFonts w:ascii="HelveticaNeue" w:hAnsi="HelveticaNeue" w:cs="HelveticaNeue"/>
          <w:kern w:val="0"/>
          <w:sz w:val="26"/>
          <w:szCs w:val="26"/>
        </w:rPr>
      </w:pPr>
      <w:r>
        <w:rPr>
          <w:rFonts w:ascii="HelveticaNeue" w:hAnsi="HelveticaNeue" w:cs="HelveticaNeue"/>
          <w:kern w:val="0"/>
          <w:sz w:val="26"/>
          <w:szCs w:val="26"/>
        </w:rPr>
        <w:t>4. 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Answer:</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With my mindset I don’t feel that farming is held back by working in the National Park.</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My interactions with planning have been positive.</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However, it appears the legacy opportunity for some Park members of affordable housing will be detrimental to the place. The mystery is, who are the houses for? There’s limited employment, remote locations and youngsters leave for better opportunities and lifestyles.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numPr>
          <w:ilvl w:val="0"/>
          <w:numId w:val="5"/>
        </w:numPr>
        <w:autoSpaceDE w:val="0"/>
        <w:autoSpaceDN w:val="0"/>
        <w:adjustRightInd w:val="0"/>
        <w:spacing w:after="0" w:line="240" w:lineRule="auto"/>
        <w:ind w:left="0" w:firstLine="0"/>
        <w:rPr>
          <w:rFonts w:ascii="HelveticaNeue" w:hAnsi="HelveticaNeue" w:cs="HelveticaNeue"/>
          <w:kern w:val="0"/>
          <w:sz w:val="26"/>
          <w:szCs w:val="26"/>
        </w:rPr>
      </w:pPr>
      <w:r>
        <w:rPr>
          <w:rFonts w:ascii="HelveticaNeue" w:hAnsi="HelveticaNeue" w:cs="HelveticaNeue"/>
          <w:kern w:val="0"/>
          <w:sz w:val="26"/>
          <w:szCs w:val="26"/>
        </w:rPr>
        <w:t>5. What improvements are needed in land use data, mapping, and modelling to support effective decision-making in the uplands? What training or other skill development options are needed to support this?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Answer:</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The new peat mapping is a liability. It should be removed from use until the data is reorganised.</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It would be beneficial to highlight what data is currently available and usage case studies.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numPr>
          <w:ilvl w:val="0"/>
          <w:numId w:val="6"/>
        </w:numPr>
        <w:autoSpaceDE w:val="0"/>
        <w:autoSpaceDN w:val="0"/>
        <w:adjustRightInd w:val="0"/>
        <w:spacing w:after="0" w:line="240" w:lineRule="auto"/>
        <w:ind w:left="0" w:firstLine="0"/>
        <w:rPr>
          <w:rFonts w:ascii="HelveticaNeue" w:hAnsi="HelveticaNeue" w:cs="HelveticaNeue"/>
          <w:kern w:val="0"/>
          <w:sz w:val="26"/>
          <w:szCs w:val="26"/>
        </w:rPr>
      </w:pPr>
      <w:r>
        <w:rPr>
          <w:rFonts w:ascii="HelveticaNeue" w:hAnsi="HelveticaNeue" w:cs="HelveticaNeue"/>
          <w:kern w:val="0"/>
          <w:sz w:val="26"/>
          <w:szCs w:val="26"/>
        </w:rPr>
        <w:t xml:space="preserve">6. How might land use and business changes in the uplands impact rural </w:t>
      </w:r>
      <w:r>
        <w:rPr>
          <w:rFonts w:ascii="HelveticaNeue" w:hAnsi="HelveticaNeue" w:cs="HelveticaNeue"/>
          <w:kern w:val="0"/>
          <w:sz w:val="26"/>
          <w:szCs w:val="26"/>
        </w:rPr>
        <w:t>communities?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Answer:</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Changes to moorland management would benefit farming; many higher fields at the moor edge are subject to rabbit overgrazing; due to systamatic killing of predators such as the stoat and fox. This is done to maximise the number of grouse for shooting.</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Overgrazing has lead to decades of soil erosion, soil compaction, poor plant growth, low soil organic matter levels and reduced water storage potential. With the knock on effect of poor financial returns per acre.</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 xml:space="preserve">Burning </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Land owners, associations and gamekeepers have fostered a notion of burning as a community service, as a defence against wild fire. Pre-emptive burning is no defence against arson. Burning is undertaken to attempt to bolster the declining numbers of grouse available to be shot.</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Burning already degraded land continuously erodes soil.</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Game keeping staff numbers are steady or falling locally.</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The moor tops are vast areas of land devoted to a singular purpose; enlightened landowners would diversify use toward building soil organic matter, not letting it blow away.</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There is an opportunity for holistic cattle grazing with the latest collar technology; this would also take into account the open access nature of the moorland.</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Housing</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Making it more difficult for farms to maintain diversified income e.g. B&amp;B and holiday lets will not magically fill buildings with permanent residents. There’s no work.</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Stimulating the sale of second homes will not automatically create new communities - if houses sell eventually (in this market) who buys them; youngsters? Unlikely, probably commuters from the nearest towns. They’ll stick about for a while, maybe endure one winter of driving on ice, before they sell… and then what?</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There is no year round reliable public transport here.</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numPr>
          <w:ilvl w:val="0"/>
          <w:numId w:val="7"/>
        </w:numPr>
        <w:autoSpaceDE w:val="0"/>
        <w:autoSpaceDN w:val="0"/>
        <w:adjustRightInd w:val="0"/>
        <w:spacing w:after="0" w:line="240" w:lineRule="auto"/>
        <w:ind w:left="0" w:firstLine="0"/>
        <w:rPr>
          <w:rFonts w:ascii="HelveticaNeue" w:hAnsi="HelveticaNeue" w:cs="HelveticaNeue"/>
          <w:kern w:val="0"/>
          <w:sz w:val="26"/>
          <w:szCs w:val="26"/>
        </w:rPr>
      </w:pPr>
      <w:r>
        <w:rPr>
          <w:rFonts w:ascii="HelveticaNeue" w:hAnsi="HelveticaNeue" w:cs="HelveticaNeue"/>
          <w:kern w:val="0"/>
          <w:sz w:val="26"/>
          <w:szCs w:val="26"/>
        </w:rPr>
        <w:t>7. How can government policy ensure that rural communities in upland areas benefit from changes?</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Answer:</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I’m not aware of policy intended to benefit upland residents specifically.</w:t>
      </w:r>
    </w:p>
    <w:p w:rsidR="00670488">
      <w:pPr>
        <w:widowControl w:val="0"/>
        <w:autoSpaceDE w:val="0"/>
        <w:autoSpaceDN w:val="0"/>
        <w:adjustRightInd w:val="0"/>
        <w:spacing w:after="0" w:line="240" w:lineRule="auto"/>
        <w:rPr>
          <w:rFonts w:ascii="HelveticaNeue" w:hAnsi="HelveticaNeue" w:cs="HelveticaNeue"/>
          <w:kern w:val="0"/>
          <w:sz w:val="26"/>
          <w:szCs w:val="26"/>
        </w:rPr>
      </w:pPr>
    </w:p>
    <w:p w:rsidR="00670488">
      <w:pPr>
        <w:widowControl w:val="0"/>
        <w:autoSpaceDE w:val="0"/>
        <w:autoSpaceDN w:val="0"/>
        <w:adjustRightInd w:val="0"/>
        <w:spacing w:after="0" w:line="240" w:lineRule="auto"/>
        <w:rPr>
          <w:rFonts w:ascii="HelveticaNeue" w:hAnsi="HelveticaNeue" w:cs="HelveticaNeue"/>
          <w:kern w:val="0"/>
          <w:sz w:val="26"/>
          <w:szCs w:val="26"/>
        </w:rPr>
      </w:pPr>
      <w:r>
        <w:rPr>
          <w:rFonts w:ascii="HelveticaNeue" w:hAnsi="HelveticaNeue" w:cs="HelveticaNeue"/>
          <w:kern w:val="0"/>
          <w:sz w:val="26"/>
          <w:szCs w:val="26"/>
        </w:rPr>
        <w:t xml:space="preserve">Incentivising better practice/outcomes would help; better grazing </w:t>
      </w:r>
      <w:r>
        <w:rPr>
          <w:rFonts w:ascii="HelveticaNeue" w:hAnsi="HelveticaNeue" w:cs="HelveticaNeue"/>
          <w:kern w:val="0"/>
          <w:sz w:val="26"/>
          <w:szCs w:val="26"/>
        </w:rPr>
        <w:t>practice in particular</w:t>
      </w:r>
      <w:r>
        <w:rPr>
          <w:rFonts w:ascii="HelveticaNeue" w:hAnsi="HelveticaNeue" w:cs="HelveticaNeue"/>
          <w:kern w:val="0"/>
          <w:sz w:val="26"/>
          <w:szCs w:val="26"/>
        </w:rPr>
        <w:t>.</w:t>
      </w:r>
    </w:p>
    <w:p w:rsidR="008E4B10">
      <w:pPr>
        <w:widowControl w:val="0"/>
        <w:autoSpaceDE w:val="0"/>
        <w:autoSpaceDN w:val="0"/>
        <w:adjustRightInd w:val="0"/>
        <w:spacing w:after="0" w:line="240" w:lineRule="auto"/>
        <w:rPr>
          <w:rFonts w:ascii="HelveticaNeue" w:hAnsi="HelveticaNeue" w:cs="HelveticaNeue"/>
          <w:kern w:val="0"/>
          <w:sz w:val="26"/>
          <w:szCs w:val="26"/>
        </w:rPr>
      </w:pPr>
    </w:p>
    <w:p w:rsidR="008E4B10">
      <w:pPr>
        <w:widowControl w:val="0"/>
        <w:autoSpaceDE w:val="0"/>
        <w:autoSpaceDN w:val="0"/>
        <w:adjustRightInd w:val="0"/>
        <w:spacing w:after="0" w:line="240" w:lineRule="auto"/>
        <w:rPr>
          <w:rFonts w:ascii="HelveticaNeue" w:hAnsi="HelveticaNeue" w:cs="HelveticaNeue"/>
          <w:kern w:val="0"/>
          <w:sz w:val="26"/>
          <w:szCs w:val="26"/>
        </w:rPr>
      </w:pPr>
    </w:p>
    <w:p w:rsidR="008E4B10" w:rsidRPr="008E4B10">
      <w:pPr>
        <w:widowControl w:val="0"/>
        <w:autoSpaceDE w:val="0"/>
        <w:autoSpaceDN w:val="0"/>
        <w:adjustRightInd w:val="0"/>
        <w:spacing w:after="0" w:line="240" w:lineRule="auto"/>
        <w:rPr>
          <w:rFonts w:ascii="HelveticaNeue" w:hAnsi="HelveticaNeue" w:cs="HelveticaNeue"/>
          <w:i/>
          <w:iCs/>
          <w:kern w:val="0"/>
          <w:sz w:val="26"/>
          <w:szCs w:val="26"/>
        </w:rPr>
      </w:pPr>
      <w:r w:rsidRPr="008E4B10">
        <w:rPr>
          <w:rFonts w:ascii="HelveticaNeue" w:hAnsi="HelveticaNeue" w:cs="HelveticaNeue"/>
          <w:i/>
          <w:iCs/>
          <w:kern w:val="0"/>
          <w:sz w:val="26"/>
          <w:szCs w:val="26"/>
        </w:rPr>
        <w:t>June 2026</w:t>
      </w:r>
    </w:p>
    <w:sectPr>
      <w:pgSz w:w="11904" w:h="16837"/>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Neue">
    <w:altName w:val="Arial"/>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FFFFFFFF"/>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0000002"/>
    <w:multiLevelType w:val="hybridMultilevel"/>
    <w:tmpl w:val="FFFFFFFF"/>
    <w:lvl w:ilvl="0">
      <w:start w:val="2"/>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00000003"/>
    <w:multiLevelType w:val="hybridMultilevel"/>
    <w:tmpl w:val="FFFFFFFF"/>
    <w:lvl w:ilvl="0">
      <w:start w:val="3"/>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00000004"/>
    <w:multiLevelType w:val="hybridMultilevel"/>
    <w:tmpl w:val="FFFFFFFF"/>
    <w:lvl w:ilvl="0">
      <w:start w:val="4"/>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00000005"/>
    <w:multiLevelType w:val="hybridMultilevel"/>
    <w:tmpl w:val="FFFFFFFF"/>
    <w:lvl w:ilvl="0">
      <w:start w:val="5"/>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00000006"/>
    <w:multiLevelType w:val="hybridMultilevel"/>
    <w:tmpl w:val="FFFFFFFF"/>
    <w:lvl w:ilvl="0">
      <w:start w:val="6"/>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nsid w:val="00000007"/>
    <w:multiLevelType w:val="hybridMultilevel"/>
    <w:tmpl w:val="FFFFFFFF"/>
    <w:lvl w:ilvl="0">
      <w:start w:val="7"/>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NotTrackMoves/>
  <w:defaultTabStop w:val="56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LUN0009</dc:title>
  <cp:revision>0</cp:revision>
</cp:coreProperties>
</file>