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642EF" w:rsidRPr="00C76AE5" w:rsidP="0036292B">
      <w:pPr>
        <w:spacing w:after="0"/>
        <w:jc w:val="center"/>
        <w:rPr>
          <w:rFonts w:ascii="Calibri" w:hAnsi="Calibri" w:cs="Calibri"/>
          <w:b/>
          <w:bCs/>
        </w:rPr>
      </w:pPr>
    </w:p>
    <w:p w:rsidR="00C76AE5" w:rsidRPr="00C76AE5" w:rsidP="00C76AE5">
      <w:pPr>
        <w:spacing w:after="0"/>
        <w:rPr>
          <w:rFonts w:ascii="Calibri" w:hAnsi="Calibri" w:cs="Calibri"/>
          <w:b/>
          <w:bCs/>
        </w:rPr>
      </w:pPr>
      <w:r w:rsidRPr="00C76AE5">
        <w:rPr>
          <w:rFonts w:ascii="Calibri" w:hAnsi="Calibri" w:cs="Calibri"/>
          <w:b/>
          <w:bCs/>
        </w:rPr>
        <w:t xml:space="preserve">Written evidence submitted by the </w:t>
      </w:r>
      <w:r w:rsidRPr="00C76AE5">
        <w:rPr>
          <w:rFonts w:ascii="Calibri" w:hAnsi="Calibri" w:cs="Calibri"/>
          <w:b/>
          <w:bCs/>
        </w:rPr>
        <w:t>ACS (Association of Convenience Stores)</w:t>
      </w:r>
      <w:r w:rsidRPr="00C76AE5">
        <w:rPr>
          <w:rFonts w:ascii="Calibri" w:hAnsi="Calibri" w:cs="Calibri"/>
          <w:b/>
          <w:bCs/>
        </w:rPr>
        <w:t xml:space="preserve"> (SOC0052)</w:t>
      </w:r>
    </w:p>
    <w:p w:rsidR="00C76AE5" w:rsidRPr="00C76AE5" w:rsidP="00C76AE5">
      <w:pPr>
        <w:spacing w:after="0"/>
        <w:rPr>
          <w:rFonts w:ascii="Calibri" w:hAnsi="Calibri" w:cs="Calibri"/>
          <w:b/>
          <w:bCs/>
        </w:rPr>
      </w:pPr>
    </w:p>
    <w:p w:rsidR="007279E9" w:rsidRPr="00C76AE5" w:rsidP="007279E9">
      <w:pPr>
        <w:rPr>
          <w:rFonts w:ascii="Calibri" w:hAnsi="Calibri" w:cs="Calibri"/>
          <w:b/>
          <w:bCs/>
        </w:rPr>
      </w:pPr>
      <w:r w:rsidRPr="00C76AE5">
        <w:rPr>
          <w:rFonts w:ascii="Calibri" w:hAnsi="Calibri" w:cs="Calibri"/>
          <w:b/>
          <w:bCs/>
        </w:rPr>
        <w:t>Executive Summary</w:t>
      </w:r>
    </w:p>
    <w:p w:rsidR="007E7332" w:rsidRPr="00C76AE5" w:rsidP="0036292B">
      <w:pPr>
        <w:pStyle w:val="ListParagraph"/>
        <w:numPr>
          <w:ilvl w:val="0"/>
          <w:numId w:val="28"/>
        </w:numPr>
        <w:ind w:left="0"/>
        <w:rPr>
          <w:rFonts w:ascii="Calibri" w:hAnsi="Calibri" w:cs="Calibri"/>
        </w:rPr>
      </w:pPr>
      <w:r w:rsidRPr="00C76AE5">
        <w:rPr>
          <w:rFonts w:ascii="Calibri" w:hAnsi="Calibri" w:cs="Calibri"/>
        </w:rPr>
        <w:t>ACS (</w:t>
      </w:r>
      <w:r w:rsidRPr="00C76AE5">
        <w:rPr>
          <w:rFonts w:ascii="Calibri" w:hAnsi="Calibri" w:cs="Calibri"/>
        </w:rPr>
        <w:t>Association of Convenience Stores) represents over 50,000 convenience retailers across the UK</w:t>
      </w:r>
      <w:r w:rsidRPr="00C76AE5">
        <w:rPr>
          <w:rFonts w:ascii="Calibri" w:hAnsi="Calibri" w:cs="Calibri"/>
        </w:rPr>
        <w:t>.</w:t>
      </w:r>
      <w:r w:rsidRPr="00C76AE5" w:rsidR="00991553">
        <w:rPr>
          <w:rFonts w:ascii="Calibri" w:hAnsi="Calibri" w:cs="Calibri"/>
        </w:rPr>
        <w:t xml:space="preserve"> </w:t>
      </w:r>
      <w:r w:rsidRPr="00C76AE5">
        <w:rPr>
          <w:rFonts w:ascii="Calibri" w:hAnsi="Calibri" w:cs="Calibri"/>
        </w:rPr>
        <w:t>This submission reflects the experience of those retailers, who are increasingly exposed to the impacts of serious and organised crime through organised shop theft and the growing presence of rogue businesses selling illicit and non-duty-paid goods.</w:t>
      </w:r>
    </w:p>
    <w:p w:rsidR="00B24221" w:rsidRPr="00C76AE5" w:rsidP="0036292B">
      <w:pPr>
        <w:pStyle w:val="ListParagraph"/>
        <w:ind w:left="360"/>
        <w:rPr>
          <w:rFonts w:ascii="Calibri" w:hAnsi="Calibri" w:cs="Calibri"/>
        </w:rPr>
      </w:pPr>
    </w:p>
    <w:p w:rsidR="00B24221" w:rsidRPr="00C76AE5" w:rsidP="0036292B">
      <w:pPr>
        <w:pStyle w:val="ListParagraph"/>
        <w:numPr>
          <w:ilvl w:val="0"/>
          <w:numId w:val="28"/>
        </w:numPr>
        <w:ind w:left="0"/>
        <w:rPr>
          <w:rFonts w:ascii="Calibri" w:hAnsi="Calibri" w:cs="Calibri"/>
        </w:rPr>
      </w:pPr>
      <w:r w:rsidRPr="00C76AE5">
        <w:rPr>
          <w:rFonts w:ascii="Calibri" w:hAnsi="Calibri" w:cs="Calibri"/>
        </w:rPr>
        <w:t>While public discussion of organised crime often focuses on large-scale international networks, retailers more commonly experience it as persistent, repeat offending at neighbourhood level. This includes organised shop theft across multiple stores and rogue operators embedded in local high streets, often linked to wider criminal supply chains. Enforcement activity, including Operation Pegasus, alongside intelligence from the police-led OPAL reporting platform, demonstrates that these localised offences are frequently connected to broader organised criminal networks involving money laundering, tax evasion and illicit distribution.</w:t>
      </w:r>
    </w:p>
    <w:p w:rsidR="00B24221" w:rsidRPr="00C76AE5" w:rsidP="0036292B">
      <w:pPr>
        <w:pStyle w:val="ListParagraph"/>
        <w:ind w:left="360"/>
        <w:rPr>
          <w:rFonts w:ascii="Calibri" w:hAnsi="Calibri" w:cs="Calibri"/>
        </w:rPr>
      </w:pPr>
    </w:p>
    <w:p w:rsidR="007E7332" w:rsidRPr="00C76AE5" w:rsidP="0036292B">
      <w:pPr>
        <w:pStyle w:val="ListParagraph"/>
        <w:numPr>
          <w:ilvl w:val="0"/>
          <w:numId w:val="28"/>
        </w:numPr>
        <w:ind w:left="0"/>
        <w:rPr>
          <w:rFonts w:ascii="Calibri" w:hAnsi="Calibri" w:cs="Calibri"/>
        </w:rPr>
      </w:pPr>
      <w:r w:rsidRPr="00C76AE5">
        <w:rPr>
          <w:rFonts w:ascii="Calibri" w:hAnsi="Calibri" w:cs="Calibri"/>
        </w:rPr>
        <w:t>ACS’ 2026 Crime Report shows the scale of this issue in practice, with 85% of retailers reporting that illicit trade has increased in their area and 52% reporting greater involvement of organised crime groups.</w:t>
      </w:r>
      <w:r>
        <w:rPr>
          <w:rStyle w:val="FootnoteReference"/>
          <w:rFonts w:ascii="Calibri" w:hAnsi="Calibri" w:cs="Calibri"/>
        </w:rPr>
        <w:footnoteReference w:id="2"/>
      </w:r>
      <w:r w:rsidRPr="00C76AE5">
        <w:rPr>
          <w:rFonts w:ascii="Calibri" w:hAnsi="Calibri" w:cs="Calibri"/>
        </w:rPr>
        <w:t xml:space="preserve"> These activities have direct consequences for staff safety, business viability, and the long-term confidence of local high streets.</w:t>
      </w:r>
    </w:p>
    <w:p w:rsidR="00483330" w:rsidRPr="00C76AE5" w:rsidP="007E7332">
      <w:pPr>
        <w:rPr>
          <w:rFonts w:ascii="Calibri" w:hAnsi="Calibri" w:cs="Calibri"/>
          <w:b/>
          <w:bCs/>
        </w:rPr>
      </w:pPr>
      <w:r w:rsidRPr="00C76AE5">
        <w:rPr>
          <w:rFonts w:ascii="Calibri" w:hAnsi="Calibri" w:cs="Calibri"/>
          <w:b/>
          <w:bCs/>
        </w:rPr>
        <w:t>Key Recommendations</w:t>
      </w:r>
    </w:p>
    <w:p w:rsidR="008227DA" w:rsidRPr="00C76AE5" w:rsidP="0036292B">
      <w:pPr>
        <w:pStyle w:val="ListParagraph"/>
        <w:numPr>
          <w:ilvl w:val="0"/>
          <w:numId w:val="28"/>
        </w:numPr>
        <w:ind w:left="0"/>
        <w:rPr>
          <w:rFonts w:ascii="Calibri" w:hAnsi="Calibri" w:cs="Calibri"/>
          <w:b/>
          <w:bCs/>
        </w:rPr>
      </w:pPr>
      <w:r w:rsidRPr="00C76AE5">
        <w:rPr>
          <w:rFonts w:ascii="Calibri" w:hAnsi="Calibri" w:cs="Calibri"/>
          <w:b/>
          <w:bCs/>
        </w:rPr>
        <w:t xml:space="preserve">Strengthen cross-agency coordination and intelligence sharing </w:t>
      </w:r>
    </w:p>
    <w:p w:rsidR="00FA55E2" w:rsidRPr="00C76AE5" w:rsidP="00197CF7">
      <w:pPr>
        <w:rPr>
          <w:rFonts w:ascii="Calibri" w:hAnsi="Calibri" w:cs="Calibri"/>
        </w:rPr>
      </w:pPr>
      <w:r w:rsidRPr="00C76AE5">
        <w:rPr>
          <w:rFonts w:ascii="Calibri" w:hAnsi="Calibri" w:cs="Calibri"/>
        </w:rPr>
        <w:t>Police should be granted powers to be able to access tobacco track-and-trace data to improve the identification of illicit supply chains and strengthen intelligence-led enforcement. This would support more effective data sharing between police, HMRC, Trading Standards and local authorities to ensure coordinated action against organised rogue trading networks.</w:t>
      </w:r>
    </w:p>
    <w:p w:rsidR="008227DA" w:rsidRPr="00C76AE5" w:rsidP="0036292B">
      <w:pPr>
        <w:pStyle w:val="ListParagraph"/>
        <w:numPr>
          <w:ilvl w:val="0"/>
          <w:numId w:val="28"/>
        </w:numPr>
        <w:ind w:left="0"/>
        <w:rPr>
          <w:rFonts w:ascii="Calibri" w:hAnsi="Calibri" w:cs="Calibri"/>
          <w:b/>
          <w:bCs/>
        </w:rPr>
      </w:pPr>
      <w:r w:rsidRPr="00C76AE5">
        <w:rPr>
          <w:rFonts w:ascii="Calibri" w:hAnsi="Calibri" w:cs="Calibri"/>
          <w:b/>
          <w:bCs/>
        </w:rPr>
        <w:t xml:space="preserve">Modernise reporting systems for businesses and the public </w:t>
      </w:r>
    </w:p>
    <w:p w:rsidR="00573AD1" w:rsidRPr="00C76AE5" w:rsidP="00197CF7">
      <w:pPr>
        <w:rPr>
          <w:rFonts w:ascii="Calibri" w:hAnsi="Calibri" w:cs="Calibri"/>
        </w:rPr>
      </w:pPr>
      <w:r w:rsidRPr="00C76AE5">
        <w:rPr>
          <w:rFonts w:ascii="Calibri" w:hAnsi="Calibri" w:cs="Calibri"/>
        </w:rPr>
        <w:t>The current Citizens Advice reporting system should be reformed to ensure it is clearly recognised as an enforcement intelligence channel rather than a general consumer advice service. Accessibility should also be improved, particularly given that the online reporting form is currently only available at weekends, limiting real-time reporting during the working week. A reporting route should be available 24/7 for businesses and the public.</w:t>
      </w:r>
    </w:p>
    <w:p w:rsidR="008227DA" w:rsidRPr="00C76AE5" w:rsidP="0036292B">
      <w:pPr>
        <w:pStyle w:val="ListParagraph"/>
        <w:numPr>
          <w:ilvl w:val="0"/>
          <w:numId w:val="28"/>
        </w:numPr>
        <w:ind w:left="0"/>
        <w:rPr>
          <w:rFonts w:ascii="Calibri" w:hAnsi="Calibri" w:cs="Calibri"/>
          <w:b/>
          <w:bCs/>
        </w:rPr>
      </w:pPr>
      <w:r w:rsidRPr="00C76AE5">
        <w:rPr>
          <w:rFonts w:ascii="Calibri" w:hAnsi="Calibri" w:cs="Calibri"/>
          <w:b/>
          <w:bCs/>
        </w:rPr>
        <w:t xml:space="preserve">Expand and strengthen closure order powers </w:t>
      </w:r>
    </w:p>
    <w:p w:rsidR="004B38C3" w:rsidRPr="00C76AE5" w:rsidP="00197CF7">
      <w:pPr>
        <w:rPr>
          <w:rFonts w:ascii="Calibri" w:hAnsi="Calibri" w:cs="Calibri"/>
        </w:rPr>
      </w:pPr>
      <w:r w:rsidRPr="00C76AE5">
        <w:rPr>
          <w:rFonts w:ascii="Calibri" w:hAnsi="Calibri" w:cs="Calibri"/>
        </w:rPr>
        <w:t>Closure order powers should be extended beyond their current focus on anti-social behaviour to explicitly cover organised rogue trading activity. This would enable more consistent and effective use against premises involved in the sale of illicit tobacco, vaping products, alcohol and counterfeit goods, particularly where there is repeat or cross-boundary offending. Safeguards and evidential thresholds should remain in place to ensure proportionate application.</w:t>
      </w:r>
    </w:p>
    <w:p w:rsidR="008227DA" w:rsidRPr="00C76AE5" w:rsidP="0036292B">
      <w:pPr>
        <w:pStyle w:val="ListParagraph"/>
        <w:numPr>
          <w:ilvl w:val="0"/>
          <w:numId w:val="28"/>
        </w:numPr>
        <w:ind w:left="0"/>
        <w:rPr>
          <w:rFonts w:ascii="Calibri" w:hAnsi="Calibri" w:cs="Calibri"/>
          <w:b/>
          <w:bCs/>
        </w:rPr>
      </w:pPr>
      <w:r w:rsidRPr="00C76AE5">
        <w:rPr>
          <w:rFonts w:ascii="Calibri" w:hAnsi="Calibri" w:cs="Calibri"/>
          <w:b/>
          <w:bCs/>
        </w:rPr>
        <w:t xml:space="preserve">Increase funding for Trading Standards </w:t>
      </w:r>
    </w:p>
    <w:p w:rsidR="007279E9" w:rsidRPr="00C76AE5" w:rsidP="0036292B">
      <w:pPr>
        <w:rPr>
          <w:rFonts w:ascii="Calibri" w:hAnsi="Calibri" w:cs="Calibri"/>
        </w:rPr>
      </w:pPr>
      <w:r w:rsidRPr="00C76AE5">
        <w:rPr>
          <w:rFonts w:ascii="Calibri" w:hAnsi="Calibri" w:cs="Calibri"/>
        </w:rPr>
        <w:t>Trading Standards services require sustained additional funding to address long-standing resource constraints and enable more proactive enforcement activity against illicit markets.</w:t>
      </w:r>
      <w:r w:rsidRPr="00C76AE5" w:rsidR="00CC162E">
        <w:rPr>
          <w:rFonts w:ascii="Calibri" w:hAnsi="Calibri" w:cs="Calibri"/>
        </w:rPr>
        <w:t xml:space="preserve"> ACS estimates £140 million is needed over the next five years to address</w:t>
      </w:r>
      <w:r w:rsidRPr="00C76AE5" w:rsidR="008642EF">
        <w:rPr>
          <w:rFonts w:ascii="Calibri" w:hAnsi="Calibri" w:cs="Calibri"/>
        </w:rPr>
        <w:t xml:space="preserve"> the illicit market. </w:t>
      </w:r>
      <w:r w:rsidRPr="00C76AE5">
        <w:rPr>
          <w:rFonts w:ascii="Calibri" w:hAnsi="Calibri" w:cs="Calibri"/>
        </w:rPr>
        <w:t>Consideration should be given to ring-fencing a proportion of revenue generated from the forthcoming Vaping Products Duty (from October) to support frontline enforcement capacity and improve disruption of rogue trading activity.</w:t>
      </w:r>
    </w:p>
    <w:p w:rsidR="00A101E7" w:rsidRPr="00C76AE5" w:rsidP="0036292B">
      <w:pPr>
        <w:jc w:val="center"/>
        <w:rPr>
          <w:rFonts w:ascii="Calibri" w:hAnsi="Calibri" w:cs="Calibri"/>
          <w:b/>
          <w:bCs/>
        </w:rPr>
      </w:pPr>
      <w:r w:rsidRPr="00C76AE5">
        <w:rPr>
          <w:rFonts w:ascii="Calibri" w:hAnsi="Calibri" w:cs="Calibri"/>
          <w:b/>
          <w:bCs/>
        </w:rPr>
        <w:t>How do different types of serious and organised crime manifest in local neighbourhoods?</w:t>
      </w:r>
    </w:p>
    <w:p w:rsidR="00FF5D12" w:rsidRPr="00C76AE5" w:rsidP="0036292B">
      <w:pPr>
        <w:pStyle w:val="ListParagraph"/>
        <w:numPr>
          <w:ilvl w:val="0"/>
          <w:numId w:val="28"/>
        </w:numPr>
        <w:ind w:left="0"/>
        <w:rPr>
          <w:rFonts w:ascii="Calibri" w:hAnsi="Calibri" w:cs="Calibri"/>
        </w:rPr>
      </w:pPr>
      <w:r w:rsidRPr="00C76AE5">
        <w:rPr>
          <w:rFonts w:ascii="Calibri" w:hAnsi="Calibri" w:cs="Calibri"/>
        </w:rPr>
        <w:t xml:space="preserve">The evidence set out below reflects the experience of convenience retailers, who are often on the frontline of dealing with the consequences of serious and organised crime in the communities they serve. While serious and organised </w:t>
      </w:r>
      <w:r w:rsidRPr="00C76AE5">
        <w:rPr>
          <w:rFonts w:ascii="Calibri" w:hAnsi="Calibri" w:cs="Calibri"/>
        </w:rPr>
        <w:t xml:space="preserve">crime is often associated with highly structured criminal organisations operating across regional, national and international borders, retailers are more likely to experience it through persistent offending at a neighbourhood level, </w:t>
      </w:r>
      <w:r w:rsidRPr="00C76AE5" w:rsidR="00DF1AF3">
        <w:rPr>
          <w:rFonts w:ascii="Calibri" w:hAnsi="Calibri" w:cs="Calibri"/>
        </w:rPr>
        <w:t xml:space="preserve">through </w:t>
      </w:r>
      <w:r w:rsidRPr="00C76AE5">
        <w:rPr>
          <w:rFonts w:ascii="Calibri" w:hAnsi="Calibri" w:cs="Calibri"/>
        </w:rPr>
        <w:t>organised shop theft and rogue businesses selling illicit products. Although these activities can appear localised, intelligence from the police-led OPAL (Organised Retail Crime) reporting platform and enforcement operations such as Operation Pegasus demonstrate that they are frequently linked to wider organised criminal networks involved in offences including money laundering, tax evasion, labour exploitation and illicit supply chains. It is through organised shop theft and the activities of rogue operators that most convenience retailers experience serious and organised crime, and these two areas form the focus of this submission.</w:t>
      </w:r>
    </w:p>
    <w:p w:rsidR="004E1A55" w:rsidRPr="00C76AE5" w:rsidP="0036292B">
      <w:pPr>
        <w:pStyle w:val="ListParagraph"/>
        <w:rPr>
          <w:rFonts w:ascii="Calibri" w:hAnsi="Calibri" w:cs="Calibri"/>
        </w:rPr>
      </w:pPr>
    </w:p>
    <w:p w:rsidR="007474B2" w:rsidRPr="00C76AE5" w:rsidP="0036292B">
      <w:pPr>
        <w:pStyle w:val="ListParagraph"/>
        <w:numPr>
          <w:ilvl w:val="0"/>
          <w:numId w:val="28"/>
        </w:numPr>
        <w:ind w:left="0"/>
        <w:rPr>
          <w:rFonts w:ascii="Calibri" w:hAnsi="Calibri" w:cs="Calibri"/>
          <w:b/>
          <w:bCs/>
        </w:rPr>
      </w:pPr>
      <w:r w:rsidRPr="00C76AE5">
        <w:rPr>
          <w:rFonts w:ascii="Calibri" w:hAnsi="Calibri" w:cs="Calibri"/>
          <w:b/>
          <w:bCs/>
        </w:rPr>
        <w:t>Organised shop theft</w:t>
      </w:r>
      <w:r w:rsidRPr="00C76AE5" w:rsidR="00AA4428">
        <w:rPr>
          <w:rFonts w:ascii="Calibri" w:hAnsi="Calibri" w:cs="Calibri"/>
          <w:b/>
          <w:bCs/>
        </w:rPr>
        <w:t xml:space="preserve"> </w:t>
      </w:r>
    </w:p>
    <w:p w:rsidR="005E2209" w:rsidRPr="00C76AE5" w:rsidP="005E2209">
      <w:pPr>
        <w:rPr>
          <w:rFonts w:ascii="Calibri" w:hAnsi="Calibri" w:cs="Calibri"/>
        </w:rPr>
      </w:pPr>
      <w:r w:rsidRPr="00C76AE5">
        <w:rPr>
          <w:rFonts w:ascii="Calibri" w:hAnsi="Calibri" w:cs="Calibri"/>
        </w:rPr>
        <w:t>Convenience retailers increasingly report being targeted by organised groups engaged in systematic theft</w:t>
      </w:r>
      <w:r w:rsidRPr="00C76AE5" w:rsidR="0068316F">
        <w:rPr>
          <w:rFonts w:ascii="Calibri" w:hAnsi="Calibri" w:cs="Calibri"/>
        </w:rPr>
        <w:t>.</w:t>
      </w:r>
      <w:r w:rsidRPr="00C76AE5" w:rsidR="00FF5D12">
        <w:rPr>
          <w:rFonts w:ascii="Calibri" w:hAnsi="Calibri" w:cs="Calibri"/>
        </w:rPr>
        <w:t xml:space="preserve"> </w:t>
      </w:r>
      <w:r w:rsidRPr="00C76AE5">
        <w:rPr>
          <w:rFonts w:ascii="Calibri" w:hAnsi="Calibri" w:cs="Calibri"/>
        </w:rPr>
        <w:t xml:space="preserve">Typically, these offences are carried out by groups usually consisting of two or three offenders, who travel between multiple stores stealing high-value products for onward resale. These groups </w:t>
      </w:r>
      <w:r w:rsidRPr="00C76AE5" w:rsidR="006A2D09">
        <w:rPr>
          <w:rFonts w:ascii="Calibri" w:hAnsi="Calibri" w:cs="Calibri"/>
        </w:rPr>
        <w:t xml:space="preserve">can </w:t>
      </w:r>
      <w:r w:rsidRPr="00C76AE5">
        <w:rPr>
          <w:rFonts w:ascii="Calibri" w:hAnsi="Calibri" w:cs="Calibri"/>
        </w:rPr>
        <w:t xml:space="preserve">operate </w:t>
      </w:r>
      <w:r w:rsidRPr="00C76AE5" w:rsidR="006A2D09">
        <w:rPr>
          <w:rFonts w:ascii="Calibri" w:hAnsi="Calibri" w:cs="Calibri"/>
        </w:rPr>
        <w:t xml:space="preserve">more widely </w:t>
      </w:r>
      <w:r w:rsidRPr="00C76AE5">
        <w:rPr>
          <w:rFonts w:ascii="Calibri" w:hAnsi="Calibri" w:cs="Calibri"/>
        </w:rPr>
        <w:t>across local authority and police force boundaries, targeting dozens of businesses over a short period of time.</w:t>
      </w:r>
      <w:r w:rsidRPr="00C76AE5" w:rsidR="00FF5D12">
        <w:rPr>
          <w:rFonts w:ascii="Calibri" w:hAnsi="Calibri" w:cs="Calibri"/>
        </w:rPr>
        <w:t xml:space="preserve"> </w:t>
      </w:r>
      <w:r w:rsidRPr="00C76AE5">
        <w:rPr>
          <w:rFonts w:ascii="Calibri" w:hAnsi="Calibri" w:cs="Calibri"/>
        </w:rPr>
        <w:t>The products targeted are typically high-value and easily resold, including</w:t>
      </w:r>
      <w:r w:rsidRPr="00C76AE5" w:rsidR="002D7B61">
        <w:rPr>
          <w:rFonts w:ascii="Calibri" w:hAnsi="Calibri" w:cs="Calibri"/>
        </w:rPr>
        <w:t xml:space="preserve"> a</w:t>
      </w:r>
      <w:r w:rsidRPr="00C76AE5">
        <w:rPr>
          <w:rFonts w:ascii="Calibri" w:hAnsi="Calibri" w:cs="Calibri"/>
        </w:rPr>
        <w:t>lcohol</w:t>
      </w:r>
      <w:r w:rsidRPr="00C76AE5" w:rsidR="0068316F">
        <w:rPr>
          <w:rFonts w:ascii="Calibri" w:hAnsi="Calibri" w:cs="Calibri"/>
        </w:rPr>
        <w:t>,</w:t>
      </w:r>
      <w:r w:rsidRPr="00C76AE5" w:rsidR="002D7B61">
        <w:rPr>
          <w:rFonts w:ascii="Calibri" w:hAnsi="Calibri" w:cs="Calibri"/>
        </w:rPr>
        <w:t xml:space="preserve"> v</w:t>
      </w:r>
      <w:r w:rsidRPr="00C76AE5">
        <w:rPr>
          <w:rFonts w:ascii="Calibri" w:hAnsi="Calibri" w:cs="Calibri"/>
        </w:rPr>
        <w:t>ape</w:t>
      </w:r>
      <w:r w:rsidRPr="00C76AE5" w:rsidR="0068316F">
        <w:rPr>
          <w:rFonts w:ascii="Calibri" w:hAnsi="Calibri" w:cs="Calibri"/>
        </w:rPr>
        <w:t>s,</w:t>
      </w:r>
      <w:r w:rsidRPr="00C76AE5" w:rsidR="002D7B61">
        <w:rPr>
          <w:rFonts w:ascii="Calibri" w:hAnsi="Calibri" w:cs="Calibri"/>
        </w:rPr>
        <w:t xml:space="preserve"> m</w:t>
      </w:r>
      <w:r w:rsidRPr="00C76AE5">
        <w:rPr>
          <w:rFonts w:ascii="Calibri" w:hAnsi="Calibri" w:cs="Calibri"/>
        </w:rPr>
        <w:t>eat</w:t>
      </w:r>
      <w:r w:rsidRPr="00C76AE5" w:rsidR="0068316F">
        <w:rPr>
          <w:rFonts w:ascii="Calibri" w:hAnsi="Calibri" w:cs="Calibri"/>
        </w:rPr>
        <w:t>,</w:t>
      </w:r>
      <w:r w:rsidRPr="00C76AE5" w:rsidR="002D7B61">
        <w:rPr>
          <w:rFonts w:ascii="Calibri" w:hAnsi="Calibri" w:cs="Calibri"/>
        </w:rPr>
        <w:t xml:space="preserve"> c</w:t>
      </w:r>
      <w:r w:rsidRPr="00C76AE5">
        <w:rPr>
          <w:rFonts w:ascii="Calibri" w:hAnsi="Calibri" w:cs="Calibri"/>
        </w:rPr>
        <w:t>onfectionery</w:t>
      </w:r>
      <w:r w:rsidRPr="00C76AE5" w:rsidR="0068316F">
        <w:rPr>
          <w:rFonts w:ascii="Calibri" w:hAnsi="Calibri" w:cs="Calibri"/>
        </w:rPr>
        <w:t>,</w:t>
      </w:r>
      <w:r w:rsidRPr="00C76AE5" w:rsidR="002D7B61">
        <w:rPr>
          <w:rFonts w:ascii="Calibri" w:hAnsi="Calibri" w:cs="Calibri"/>
        </w:rPr>
        <w:t xml:space="preserve"> as well as h</w:t>
      </w:r>
      <w:r w:rsidRPr="00C76AE5">
        <w:rPr>
          <w:rFonts w:ascii="Calibri" w:hAnsi="Calibri" w:cs="Calibri"/>
        </w:rPr>
        <w:t>ealth and beauty products.</w:t>
      </w:r>
      <w:r w:rsidRPr="00C76AE5" w:rsidR="00FF5D12">
        <w:rPr>
          <w:rFonts w:ascii="Calibri" w:hAnsi="Calibri" w:cs="Calibri"/>
        </w:rPr>
        <w:t xml:space="preserve"> </w:t>
      </w:r>
      <w:r w:rsidRPr="00C76AE5">
        <w:rPr>
          <w:rFonts w:ascii="Calibri" w:hAnsi="Calibri" w:cs="Calibri"/>
        </w:rPr>
        <w:t>Retailers consistently report that these thefts are not motivated by necessity, but by organised resale and the funding of wider criminal activity, including drug dependency and organised illicit markets. Retailers regularly identify stolen stock being openly resold in local communities, markets and through social media channels</w:t>
      </w:r>
      <w:r w:rsidRPr="00C76AE5" w:rsidR="00561DB1">
        <w:rPr>
          <w:rFonts w:ascii="Calibri" w:hAnsi="Calibri" w:cs="Calibri"/>
        </w:rPr>
        <w:t>.</w:t>
      </w:r>
    </w:p>
    <w:p w:rsidR="009C11A5" w:rsidRPr="00C76AE5" w:rsidP="005E2209">
      <w:pPr>
        <w:pStyle w:val="ListParagraph"/>
        <w:numPr>
          <w:ilvl w:val="0"/>
          <w:numId w:val="28"/>
        </w:numPr>
        <w:ind w:left="77"/>
        <w:rPr>
          <w:rFonts w:ascii="Calibri" w:hAnsi="Calibri" w:cs="Calibri"/>
        </w:rPr>
      </w:pPr>
      <w:r w:rsidRPr="00C76AE5">
        <w:rPr>
          <w:rFonts w:ascii="Calibri" w:hAnsi="Calibri" w:cs="Calibri"/>
          <w:b/>
          <w:bCs/>
        </w:rPr>
        <w:t xml:space="preserve">Rogue </w:t>
      </w:r>
      <w:r w:rsidRPr="00C76AE5" w:rsidR="00561DB1">
        <w:rPr>
          <w:rFonts w:ascii="Calibri" w:hAnsi="Calibri" w:cs="Calibri"/>
          <w:b/>
          <w:bCs/>
        </w:rPr>
        <w:t>Traders</w:t>
      </w:r>
      <w:r w:rsidRPr="00C76AE5">
        <w:rPr>
          <w:rFonts w:ascii="Calibri" w:hAnsi="Calibri" w:cs="Calibri"/>
          <w:b/>
          <w:bCs/>
        </w:rPr>
        <w:t xml:space="preserve"> </w:t>
      </w:r>
    </w:p>
    <w:p w:rsidR="00D44D5E" w:rsidRPr="00C76AE5" w:rsidP="00D44D5E">
      <w:pPr>
        <w:rPr>
          <w:rFonts w:ascii="Calibri" w:hAnsi="Calibri" w:cs="Calibri"/>
        </w:rPr>
      </w:pPr>
      <w:r w:rsidRPr="00C76AE5">
        <w:rPr>
          <w:rFonts w:ascii="Calibri" w:hAnsi="Calibri" w:cs="Calibri"/>
        </w:rPr>
        <w:t>A major and growing concern for convenience retailers is the increasing visibility of rogue operators selling illicit and non-duty-paid goods on local high streets and within neighbourhoods.</w:t>
      </w:r>
      <w:r w:rsidRPr="00C76AE5" w:rsidR="00197CF7">
        <w:rPr>
          <w:rFonts w:ascii="Calibri" w:hAnsi="Calibri" w:cs="Calibri"/>
        </w:rPr>
        <w:t xml:space="preserve"> </w:t>
      </w:r>
      <w:r w:rsidRPr="00C76AE5">
        <w:rPr>
          <w:rFonts w:ascii="Calibri" w:hAnsi="Calibri" w:cs="Calibri"/>
        </w:rPr>
        <w:t>Responsible retailers are subject to extensive regulatory requirements, including age-restricted sales laws, tobacco and vape regulations, food standards, tax obligations and employment law. Rogue operators routinely undermine compliant businesses by selling unregulated and unsafe products at significantly lower prices.</w:t>
      </w:r>
      <w:r w:rsidRPr="00C76AE5" w:rsidR="00197CF7">
        <w:rPr>
          <w:rFonts w:ascii="Calibri" w:hAnsi="Calibri" w:cs="Calibri"/>
        </w:rPr>
        <w:t xml:space="preserve"> T</w:t>
      </w:r>
      <w:r w:rsidRPr="00C76AE5">
        <w:rPr>
          <w:rFonts w:ascii="Calibri" w:hAnsi="Calibri" w:cs="Calibri"/>
        </w:rPr>
        <w:t xml:space="preserve">here are three main types of rogue operators </w:t>
      </w:r>
      <w:r w:rsidRPr="00C76AE5" w:rsidR="00561DB1">
        <w:rPr>
          <w:rFonts w:ascii="Calibri" w:hAnsi="Calibri" w:cs="Calibri"/>
        </w:rPr>
        <w:t xml:space="preserve">that </w:t>
      </w:r>
      <w:r w:rsidRPr="00C76AE5">
        <w:rPr>
          <w:rFonts w:ascii="Calibri" w:hAnsi="Calibri" w:cs="Calibri"/>
        </w:rPr>
        <w:t>convenience retailers</w:t>
      </w:r>
      <w:r w:rsidRPr="00C76AE5" w:rsidR="00245C6B">
        <w:rPr>
          <w:rFonts w:ascii="Calibri" w:hAnsi="Calibri" w:cs="Calibri"/>
        </w:rPr>
        <w:t xml:space="preserve"> are impacted by</w:t>
      </w:r>
      <w:r w:rsidRPr="00C76AE5">
        <w:rPr>
          <w:rFonts w:ascii="Calibri" w:hAnsi="Calibri" w:cs="Calibri"/>
        </w:rPr>
        <w:t>:</w:t>
      </w:r>
    </w:p>
    <w:p w:rsidR="00D44D5E" w:rsidRPr="00C76AE5" w:rsidP="00B44C94">
      <w:pPr>
        <w:rPr>
          <w:rFonts w:ascii="Calibri" w:hAnsi="Calibri" w:cs="Calibri"/>
        </w:rPr>
      </w:pPr>
      <w:r w:rsidRPr="00C76AE5">
        <w:rPr>
          <w:rFonts w:ascii="Calibri" w:hAnsi="Calibri" w:cs="Calibri"/>
          <w:b/>
          <w:bCs/>
          <w:i/>
          <w:iCs/>
        </w:rPr>
        <w:t xml:space="preserve">Established </w:t>
      </w:r>
      <w:r w:rsidRPr="00C76AE5" w:rsidR="00997367">
        <w:rPr>
          <w:rFonts w:ascii="Calibri" w:hAnsi="Calibri" w:cs="Calibri"/>
          <w:b/>
          <w:bCs/>
          <w:i/>
          <w:iCs/>
        </w:rPr>
        <w:t>businesses</w:t>
      </w:r>
      <w:r w:rsidRPr="00C76AE5">
        <w:rPr>
          <w:rFonts w:ascii="Calibri" w:hAnsi="Calibri" w:cs="Calibri"/>
        </w:rPr>
        <w:br/>
        <w:t xml:space="preserve">These include otherwise legitimate retail premises such as convenience stores, mobile phone shops, barber shops or vape stores that supplement their income through the sale of illicit or counterfeit products. </w:t>
      </w:r>
    </w:p>
    <w:p w:rsidR="00D44D5E" w:rsidRPr="00C76AE5" w:rsidP="00B44C94">
      <w:pPr>
        <w:rPr>
          <w:rFonts w:ascii="Calibri" w:hAnsi="Calibri" w:cs="Calibri"/>
        </w:rPr>
      </w:pPr>
      <w:r w:rsidRPr="00C76AE5">
        <w:rPr>
          <w:rFonts w:ascii="Calibri" w:hAnsi="Calibri" w:cs="Calibri"/>
          <w:b/>
          <w:bCs/>
          <w:i/>
          <w:iCs/>
        </w:rPr>
        <w:t xml:space="preserve">“Pop-up” </w:t>
      </w:r>
      <w:r w:rsidRPr="00C76AE5" w:rsidR="00997367">
        <w:rPr>
          <w:rFonts w:ascii="Calibri" w:hAnsi="Calibri" w:cs="Calibri"/>
          <w:b/>
          <w:bCs/>
          <w:i/>
          <w:iCs/>
        </w:rPr>
        <w:t>shops</w:t>
      </w:r>
      <w:r w:rsidRPr="00C76AE5">
        <w:rPr>
          <w:rFonts w:ascii="Calibri" w:hAnsi="Calibri" w:cs="Calibri"/>
        </w:rPr>
        <w:br/>
        <w:t xml:space="preserve">These businesses operate for short periods before enforcement action is taken, often reopening shortly afterwards under a different trading name or at a nearby location. Retailers report that this creates a cycle of enforcement without long-term disruption to criminal activity. </w:t>
      </w:r>
    </w:p>
    <w:p w:rsidR="00197CF7" w:rsidRPr="00C76AE5" w:rsidP="00B44C94">
      <w:pPr>
        <w:rPr>
          <w:rFonts w:ascii="Calibri" w:hAnsi="Calibri" w:cs="Calibri"/>
        </w:rPr>
      </w:pPr>
      <w:r w:rsidRPr="00C76AE5">
        <w:rPr>
          <w:rFonts w:ascii="Calibri" w:hAnsi="Calibri" w:cs="Calibri"/>
          <w:b/>
          <w:bCs/>
          <w:i/>
          <w:iCs/>
        </w:rPr>
        <w:t>Online and social media sellers</w:t>
      </w:r>
      <w:r w:rsidRPr="00C76AE5">
        <w:rPr>
          <w:rFonts w:ascii="Calibri" w:hAnsi="Calibri" w:cs="Calibri"/>
        </w:rPr>
        <w:br/>
        <w:t>Criminal operators increasingly use social media platforms and online marketplaces to advertise illicit products, with goods distributed locally through home delivery, collection points or informal community networks.</w:t>
      </w:r>
    </w:p>
    <w:p w:rsidR="00671093" w:rsidRPr="00C76AE5" w:rsidP="00D21ED9">
      <w:pPr>
        <w:jc w:val="center"/>
        <w:rPr>
          <w:rFonts w:ascii="Calibri" w:hAnsi="Calibri" w:cs="Calibri"/>
          <w:b/>
          <w:bCs/>
        </w:rPr>
      </w:pPr>
      <w:r w:rsidRPr="00C76AE5">
        <w:rPr>
          <w:rFonts w:ascii="Calibri" w:hAnsi="Calibri" w:cs="Calibri"/>
          <w:b/>
          <w:bCs/>
        </w:rPr>
        <w:t>What proportion of neighbourhood crimes are driven by serious and organised criminal networks?</w:t>
      </w:r>
    </w:p>
    <w:p w:rsidR="00197CF7" w:rsidRPr="00C76AE5" w:rsidP="005E2209">
      <w:pPr>
        <w:pStyle w:val="ListParagraph"/>
        <w:numPr>
          <w:ilvl w:val="0"/>
          <w:numId w:val="28"/>
        </w:numPr>
        <w:ind w:left="0"/>
        <w:rPr>
          <w:rFonts w:ascii="Calibri" w:hAnsi="Calibri" w:cs="Calibri"/>
        </w:rPr>
      </w:pPr>
      <w:r w:rsidRPr="00C76AE5">
        <w:rPr>
          <w:rFonts w:ascii="Calibri" w:hAnsi="Calibri" w:cs="Calibri"/>
        </w:rPr>
        <w:t xml:space="preserve">ACS does not hold data on the proportion of neighbourhood crime that is driven by serious and organised criminal networks. </w:t>
      </w:r>
      <w:r w:rsidRPr="00C76AE5" w:rsidR="00233A75">
        <w:rPr>
          <w:rFonts w:ascii="Calibri" w:hAnsi="Calibri" w:cs="Calibri"/>
        </w:rPr>
        <w:t>Where evidence is available, it is generally drawn from national-level datasets rather than neighbourhood-specific analysis</w:t>
      </w:r>
      <w:r w:rsidRPr="00C76AE5" w:rsidR="004754FB">
        <w:rPr>
          <w:rFonts w:ascii="Calibri" w:hAnsi="Calibri" w:cs="Calibri"/>
        </w:rPr>
        <w:t>.</w:t>
      </w:r>
    </w:p>
    <w:p w:rsidR="00197CF7" w:rsidRPr="00C76AE5" w:rsidP="0036292B">
      <w:pPr>
        <w:pStyle w:val="ListParagraph"/>
        <w:ind w:left="0"/>
        <w:rPr>
          <w:rFonts w:ascii="Calibri" w:hAnsi="Calibri" w:cs="Calibri"/>
        </w:rPr>
      </w:pPr>
    </w:p>
    <w:p w:rsidR="00DE2C99" w:rsidRPr="00C76AE5" w:rsidP="0036292B">
      <w:pPr>
        <w:pStyle w:val="ListParagraph"/>
        <w:numPr>
          <w:ilvl w:val="0"/>
          <w:numId w:val="28"/>
        </w:numPr>
        <w:ind w:left="0"/>
        <w:rPr>
          <w:rFonts w:ascii="Calibri" w:hAnsi="Calibri" w:cs="Calibri"/>
          <w:b/>
          <w:bCs/>
          <w:i/>
          <w:iCs/>
        </w:rPr>
      </w:pPr>
      <w:r w:rsidRPr="00C76AE5">
        <w:rPr>
          <w:rFonts w:ascii="Calibri" w:hAnsi="Calibri" w:cs="Calibri"/>
          <w:b/>
          <w:bCs/>
          <w:i/>
          <w:iCs/>
        </w:rPr>
        <w:t xml:space="preserve">Organised </w:t>
      </w:r>
      <w:r w:rsidRPr="00C76AE5" w:rsidR="00064769">
        <w:rPr>
          <w:rFonts w:ascii="Calibri" w:hAnsi="Calibri" w:cs="Calibri"/>
          <w:b/>
          <w:bCs/>
          <w:i/>
          <w:iCs/>
        </w:rPr>
        <w:t>Shop theft</w:t>
      </w:r>
    </w:p>
    <w:p w:rsidR="00536E12" w:rsidRPr="00C76AE5" w:rsidP="00B44C94">
      <w:pPr>
        <w:rPr>
          <w:rFonts w:ascii="Calibri" w:hAnsi="Calibri" w:cs="Calibri"/>
        </w:rPr>
      </w:pPr>
      <w:r w:rsidRPr="00C76AE5">
        <w:rPr>
          <w:rFonts w:ascii="Calibri" w:hAnsi="Calibri" w:cs="Calibri"/>
        </w:rPr>
        <w:t>E</w:t>
      </w:r>
      <w:r w:rsidRPr="00C76AE5" w:rsidR="005E72A0">
        <w:rPr>
          <w:rFonts w:ascii="Calibri" w:hAnsi="Calibri" w:cs="Calibri"/>
        </w:rPr>
        <w:t>vidence from the convenience sector suggests that a significant proportion of shop theft is driven by persistent and organised offending rather than isolated opportunistic incidents. ACS’ 2026 Crime Report estimates that there were 5.8 million incidents of shop theft in the convenience sector over the last year, compared to 519,381 offences recorded by police nationally.</w:t>
      </w:r>
      <w:r>
        <w:rPr>
          <w:rStyle w:val="FootnoteReference"/>
          <w:rFonts w:ascii="Calibri" w:hAnsi="Calibri" w:cs="Calibri"/>
        </w:rPr>
        <w:footnoteReference w:id="3"/>
      </w:r>
      <w:r w:rsidRPr="00C76AE5" w:rsidR="005E72A0">
        <w:rPr>
          <w:rFonts w:ascii="Calibri" w:hAnsi="Calibri" w:cs="Calibri"/>
        </w:rPr>
        <w:t xml:space="preserve"> </w:t>
      </w:r>
      <w:r w:rsidRPr="00C76AE5" w:rsidR="00284E37">
        <w:rPr>
          <w:rFonts w:ascii="Calibri" w:hAnsi="Calibri" w:cs="Calibri"/>
        </w:rPr>
        <w:t xml:space="preserve">In terms of the profile of offenders, our report </w:t>
      </w:r>
      <w:r w:rsidRPr="00C76AE5" w:rsidR="007261F6">
        <w:rPr>
          <w:rFonts w:ascii="Calibri" w:hAnsi="Calibri" w:cs="Calibri"/>
        </w:rPr>
        <w:t>indicates</w:t>
      </w:r>
      <w:r w:rsidRPr="00C76AE5" w:rsidR="00F13B24">
        <w:rPr>
          <w:rFonts w:ascii="Calibri" w:hAnsi="Calibri" w:cs="Calibri"/>
        </w:rPr>
        <w:t xml:space="preserve"> the percentage of repeat </w:t>
      </w:r>
      <w:r w:rsidRPr="00C76AE5" w:rsidR="00F13B24">
        <w:rPr>
          <w:rFonts w:ascii="Calibri" w:hAnsi="Calibri" w:cs="Calibri"/>
        </w:rPr>
        <w:t xml:space="preserve">offenders </w:t>
      </w:r>
      <w:r w:rsidRPr="00C76AE5" w:rsidR="007261F6">
        <w:rPr>
          <w:rFonts w:ascii="Calibri" w:hAnsi="Calibri" w:cs="Calibri"/>
        </w:rPr>
        <w:t>has increased</w:t>
      </w:r>
      <w:r w:rsidRPr="00C76AE5" w:rsidR="00F13B24">
        <w:rPr>
          <w:rFonts w:ascii="Calibri" w:hAnsi="Calibri" w:cs="Calibri"/>
        </w:rPr>
        <w:t xml:space="preserve"> </w:t>
      </w:r>
      <w:r w:rsidRPr="00C76AE5" w:rsidR="00495EC9">
        <w:rPr>
          <w:rFonts w:ascii="Calibri" w:hAnsi="Calibri" w:cs="Calibri"/>
        </w:rPr>
        <w:t>from 49% in 2024 to 65% in 2026.</w:t>
      </w:r>
      <w:r>
        <w:rPr>
          <w:rStyle w:val="FootnoteReference"/>
          <w:rFonts w:ascii="Calibri" w:hAnsi="Calibri" w:cs="Calibri"/>
        </w:rPr>
        <w:footnoteReference w:id="4"/>
      </w:r>
      <w:r w:rsidRPr="00C76AE5" w:rsidR="007261F6">
        <w:rPr>
          <w:rFonts w:ascii="Calibri" w:hAnsi="Calibri" w:cs="Calibri"/>
        </w:rPr>
        <w:t xml:space="preserve"> </w:t>
      </w:r>
      <w:r w:rsidRPr="00C76AE5" w:rsidR="00F24F3E">
        <w:rPr>
          <w:rFonts w:ascii="Calibri" w:hAnsi="Calibri" w:cs="Calibri"/>
        </w:rPr>
        <w:t>Recent g</w:t>
      </w:r>
      <w:r w:rsidRPr="00C76AE5">
        <w:rPr>
          <w:rFonts w:ascii="Calibri" w:hAnsi="Calibri" w:cs="Calibri"/>
        </w:rPr>
        <w:t>overnment</w:t>
      </w:r>
      <w:r w:rsidRPr="00C76AE5" w:rsidR="004B3237">
        <w:rPr>
          <w:rFonts w:ascii="Calibri" w:hAnsi="Calibri" w:cs="Calibri"/>
        </w:rPr>
        <w:t xml:space="preserve"> data</w:t>
      </w:r>
      <w:r w:rsidRPr="00C76AE5" w:rsidR="007261F6">
        <w:rPr>
          <w:rFonts w:ascii="Calibri" w:hAnsi="Calibri" w:cs="Calibri"/>
        </w:rPr>
        <w:t xml:space="preserve"> also</w:t>
      </w:r>
      <w:r w:rsidRPr="00C76AE5">
        <w:rPr>
          <w:rFonts w:ascii="Calibri" w:hAnsi="Calibri" w:cs="Calibri"/>
        </w:rPr>
        <w:t xml:space="preserve"> suggests that 67% of convicted shoplifters reoffend within 12 months and this is reinforced by our members whom report strong links between shop theft, organised resale and drug or alcohol dependency, with stolen goods commonly sold locally to fund addiction.</w:t>
      </w:r>
      <w:r>
        <w:rPr>
          <w:rStyle w:val="FootnoteReference"/>
          <w:rFonts w:ascii="Calibri" w:hAnsi="Calibri" w:cs="Calibri"/>
        </w:rPr>
        <w:footnoteReference w:id="5"/>
      </w:r>
    </w:p>
    <w:p w:rsidR="006E2719" w:rsidRPr="00C76AE5" w:rsidP="0036292B">
      <w:pPr>
        <w:pStyle w:val="ListParagraph"/>
        <w:numPr>
          <w:ilvl w:val="0"/>
          <w:numId w:val="28"/>
        </w:numPr>
        <w:ind w:left="20"/>
        <w:rPr>
          <w:rFonts w:ascii="Calibri" w:hAnsi="Calibri" w:cs="Calibri"/>
          <w:b/>
          <w:bCs/>
          <w:i/>
          <w:iCs/>
        </w:rPr>
      </w:pPr>
      <w:r w:rsidRPr="00C76AE5">
        <w:rPr>
          <w:rFonts w:ascii="Calibri" w:hAnsi="Calibri" w:cs="Calibri"/>
          <w:b/>
          <w:bCs/>
          <w:i/>
          <w:iCs/>
        </w:rPr>
        <w:t xml:space="preserve">Rogue </w:t>
      </w:r>
      <w:r w:rsidRPr="00C76AE5" w:rsidR="008367AE">
        <w:rPr>
          <w:rFonts w:ascii="Calibri" w:hAnsi="Calibri" w:cs="Calibri"/>
          <w:b/>
          <w:bCs/>
          <w:i/>
          <w:iCs/>
        </w:rPr>
        <w:t>Traders</w:t>
      </w:r>
    </w:p>
    <w:p w:rsidR="00090F93" w:rsidRPr="00C76AE5" w:rsidP="00B44C94">
      <w:pPr>
        <w:rPr>
          <w:rFonts w:ascii="Calibri" w:hAnsi="Calibri" w:cs="Calibri"/>
        </w:rPr>
      </w:pPr>
      <w:r w:rsidRPr="00C76AE5">
        <w:rPr>
          <w:rFonts w:ascii="Calibri" w:hAnsi="Calibri" w:cs="Calibri"/>
        </w:rPr>
        <w:t xml:space="preserve">ACS evidence suggests that the sale of illicit goods is now a visible feature of many local communities and is closely linked to wider organised criminal activity. Recent polling found that 25% of independent retailers have identified products stolen from their stores being resold locally. Among retailers who have observed illicit goods being sold in their area, the </w:t>
      </w:r>
      <w:r w:rsidRPr="00C76AE5">
        <w:rPr>
          <w:rFonts w:ascii="Calibri" w:hAnsi="Calibri" w:cs="Calibri"/>
        </w:rPr>
        <w:t>most commonly identified</w:t>
      </w:r>
      <w:r w:rsidRPr="00C76AE5">
        <w:rPr>
          <w:rFonts w:ascii="Calibri" w:hAnsi="Calibri" w:cs="Calibri"/>
        </w:rPr>
        <w:t xml:space="preserve"> products are tobacco (32%), vapes (31%), counterfeit food products (15%), products stolen from other businesses (11%) and toys (10%). </w:t>
      </w:r>
    </w:p>
    <w:p w:rsidR="00E52909" w:rsidRPr="00C76AE5" w:rsidP="00B44C94">
      <w:pPr>
        <w:rPr>
          <w:rFonts w:ascii="Calibri" w:hAnsi="Calibri" w:cs="Calibri"/>
        </w:rPr>
      </w:pPr>
      <w:r w:rsidRPr="00C76AE5">
        <w:rPr>
          <w:rFonts w:ascii="Calibri" w:hAnsi="Calibri" w:cs="Calibri"/>
        </w:rPr>
        <w:t>These findings are consistent with HMRC's tax gap estimates, which demonstrate the substantial scale of illicit tobacco and alcohol markets operating across the UK and indicate the involvement of sophisticated criminal supply chains rather than isolated offending.</w:t>
      </w:r>
    </w:p>
    <w:p w:rsidR="00E52909" w:rsidRPr="00C76AE5" w:rsidP="00B44C94">
      <w:pPr>
        <w:pStyle w:val="ListParagraph"/>
        <w:numPr>
          <w:ilvl w:val="0"/>
          <w:numId w:val="18"/>
        </w:numPr>
        <w:rPr>
          <w:rFonts w:ascii="Calibri" w:hAnsi="Calibri" w:cs="Calibri"/>
        </w:rPr>
      </w:pPr>
      <w:r w:rsidRPr="00C76AE5">
        <w:rPr>
          <w:rFonts w:ascii="Calibri" w:hAnsi="Calibri" w:cs="Calibri"/>
        </w:rPr>
        <w:t>Alcohol: The beer duty gap is 16.0% of the theoretical beer duty liability, or £0.7 billion in absolute terms, in the 2023 to 2024 tax year.  The spirits duty gap is 1.4% of the theoretical spirits duty liability, or £0.1 billion in absolute terms, in the 2023 to 2024 tax year.</w:t>
      </w:r>
      <w:r>
        <w:rPr>
          <w:rStyle w:val="FootnoteReference"/>
          <w:rFonts w:ascii="Calibri" w:hAnsi="Calibri" w:cs="Calibri"/>
        </w:rPr>
        <w:footnoteReference w:id="6"/>
      </w:r>
    </w:p>
    <w:p w:rsidR="00E52909" w:rsidRPr="00C76AE5" w:rsidP="0036292B">
      <w:pPr>
        <w:pStyle w:val="ListParagraph"/>
        <w:rPr>
          <w:rFonts w:ascii="Calibri" w:hAnsi="Calibri" w:cs="Calibri"/>
        </w:rPr>
      </w:pPr>
    </w:p>
    <w:p w:rsidR="000E5275" w:rsidRPr="00C76AE5" w:rsidP="00B44C94">
      <w:pPr>
        <w:pStyle w:val="ListParagraph"/>
        <w:numPr>
          <w:ilvl w:val="0"/>
          <w:numId w:val="18"/>
        </w:numPr>
        <w:rPr>
          <w:rFonts w:ascii="Calibri" w:hAnsi="Calibri" w:cs="Calibri"/>
        </w:rPr>
      </w:pPr>
      <w:r w:rsidRPr="00C76AE5">
        <w:rPr>
          <w:rFonts w:ascii="Calibri" w:hAnsi="Calibri" w:cs="Calibri"/>
        </w:rPr>
        <w:t xml:space="preserve">Tobacco: </w:t>
      </w:r>
      <w:r w:rsidRPr="00C76AE5" w:rsidR="001D580E">
        <w:rPr>
          <w:rFonts w:ascii="Calibri" w:hAnsi="Calibri" w:cs="Calibri"/>
        </w:rPr>
        <w:t>the latest government data the duty gap for tobacco duty is 13.8% of the theoretical tobacco duty liability, or £1.4 billion in absolute terms, in tax year 2023 to 2024</w:t>
      </w:r>
      <w:r w:rsidRPr="00C76AE5" w:rsidR="00FF49F9">
        <w:rPr>
          <w:rFonts w:ascii="Calibri" w:hAnsi="Calibri" w:cs="Calibri"/>
        </w:rPr>
        <w:t>.</w:t>
      </w:r>
      <w:r>
        <w:rPr>
          <w:rStyle w:val="FootnoteReference"/>
          <w:rFonts w:ascii="Calibri" w:hAnsi="Calibri" w:cs="Calibri"/>
        </w:rPr>
        <w:footnoteReference w:id="7"/>
      </w:r>
    </w:p>
    <w:p w:rsidR="00A928DE" w:rsidRPr="00C76AE5" w:rsidP="0036292B">
      <w:pPr>
        <w:pStyle w:val="ListParagraph"/>
        <w:rPr>
          <w:rFonts w:ascii="Calibri" w:hAnsi="Calibri" w:cs="Calibri"/>
        </w:rPr>
      </w:pPr>
    </w:p>
    <w:p w:rsidR="00FF49F9" w:rsidRPr="00C76AE5" w:rsidP="008C241F">
      <w:pPr>
        <w:pStyle w:val="ListParagraph"/>
        <w:numPr>
          <w:ilvl w:val="0"/>
          <w:numId w:val="28"/>
        </w:numPr>
        <w:ind w:left="133"/>
        <w:rPr>
          <w:rFonts w:ascii="Calibri" w:hAnsi="Calibri" w:cs="Calibri"/>
        </w:rPr>
      </w:pPr>
      <w:r w:rsidRPr="00C76AE5">
        <w:rPr>
          <w:rFonts w:ascii="Calibri" w:hAnsi="Calibri" w:cs="Calibri"/>
        </w:rPr>
        <w:t>Retailers tell us that the sale of illicit tobacco and alcohol product is most likely to be part of organised criminal gangs. These gangs will have established distribution networks servicing rogue businesses with regular supplies. These businesses often sell the products with impunity, not fearing enforcement activity.</w:t>
      </w:r>
    </w:p>
    <w:p w:rsidR="007904BB" w:rsidRPr="00C76AE5" w:rsidP="007904BB">
      <w:pPr>
        <w:pStyle w:val="ListParagraph"/>
        <w:ind w:left="133"/>
        <w:rPr>
          <w:rFonts w:ascii="Calibri" w:hAnsi="Calibri" w:cs="Calibri"/>
        </w:rPr>
      </w:pPr>
    </w:p>
    <w:p w:rsidR="008C241F" w:rsidRPr="00C76AE5" w:rsidP="00BC5C59">
      <w:pPr>
        <w:pStyle w:val="ListParagraph"/>
        <w:numPr>
          <w:ilvl w:val="0"/>
          <w:numId w:val="28"/>
        </w:numPr>
        <w:ind w:left="77"/>
        <w:rPr>
          <w:rFonts w:ascii="Calibri" w:hAnsi="Calibri" w:cs="Calibri"/>
        </w:rPr>
      </w:pPr>
      <w:r w:rsidRPr="00C76AE5">
        <w:rPr>
          <w:rFonts w:ascii="Calibri" w:hAnsi="Calibri" w:cs="Calibri"/>
        </w:rPr>
        <w:t>While HMRC estimates have remained relatively stable in recent years, ACS’ own evidence suggests that the visibility of illicit products within local communities has increased. ACS’ 2026 Crime Report found that 85% of retailers believe illicit trade has become more visible in their local area</w:t>
      </w:r>
      <w:r w:rsidRPr="00C76AE5" w:rsidR="002866DB">
        <w:rPr>
          <w:rFonts w:ascii="Calibri" w:hAnsi="Calibri" w:cs="Calibri"/>
        </w:rPr>
        <w:t>.</w:t>
      </w:r>
      <w:r>
        <w:rPr>
          <w:rStyle w:val="FootnoteReference"/>
          <w:rFonts w:ascii="Calibri" w:hAnsi="Calibri" w:cs="Calibri"/>
        </w:rPr>
        <w:footnoteReference w:id="8"/>
      </w:r>
      <w:r w:rsidRPr="00C76AE5" w:rsidR="002866DB">
        <w:rPr>
          <w:rFonts w:ascii="Calibri" w:hAnsi="Calibri" w:cs="Calibri"/>
        </w:rPr>
        <w:t xml:space="preserve"> </w:t>
      </w:r>
      <w:r w:rsidRPr="00C76AE5" w:rsidR="00373C4A">
        <w:rPr>
          <w:rFonts w:ascii="Calibri" w:hAnsi="Calibri" w:cs="Calibri"/>
        </w:rPr>
        <w:t>Retailers attribute this in part to insufficient enforcement action against rogue operators, alongside policy changes which can have unintended effects on illicit market demand. For example, ACS consumer polling conducted by Yonder in July 2025 found that following the disposable vape ban, while 51% of users switched to reusable products, 14% continued to use disposables because they were still able to obtain them from local shops.</w:t>
      </w:r>
    </w:p>
    <w:p w:rsidR="00A101E7" w:rsidRPr="00C76AE5" w:rsidP="00BC5C59">
      <w:pPr>
        <w:jc w:val="center"/>
        <w:rPr>
          <w:rFonts w:ascii="Calibri" w:hAnsi="Calibri" w:cs="Calibri"/>
          <w:b/>
          <w:bCs/>
        </w:rPr>
      </w:pPr>
      <w:r w:rsidRPr="00C76AE5">
        <w:rPr>
          <w:rFonts w:ascii="Calibri" w:hAnsi="Calibri" w:cs="Calibri"/>
          <w:b/>
          <w:bCs/>
        </w:rPr>
        <w:t xml:space="preserve">What impact do </w:t>
      </w:r>
      <w:r w:rsidRPr="00C76AE5">
        <w:rPr>
          <w:rFonts w:ascii="Calibri" w:hAnsi="Calibri" w:cs="Calibri"/>
          <w:b/>
          <w:bCs/>
        </w:rPr>
        <w:t>these crime</w:t>
      </w:r>
      <w:r w:rsidRPr="00C76AE5">
        <w:rPr>
          <w:rFonts w:ascii="Calibri" w:hAnsi="Calibri" w:cs="Calibri"/>
          <w:b/>
          <w:bCs/>
        </w:rPr>
        <w:t xml:space="preserve"> types have on people living in those communities?</w:t>
      </w:r>
    </w:p>
    <w:p w:rsidR="00EC22D4" w:rsidRPr="00C76AE5" w:rsidP="008C241F">
      <w:pPr>
        <w:pStyle w:val="ListParagraph"/>
        <w:numPr>
          <w:ilvl w:val="0"/>
          <w:numId w:val="28"/>
        </w:numPr>
        <w:ind w:left="20"/>
        <w:rPr>
          <w:rFonts w:ascii="Calibri" w:hAnsi="Calibri" w:cs="Calibri"/>
          <w:b/>
          <w:i/>
          <w:iCs/>
        </w:rPr>
      </w:pPr>
      <w:r w:rsidRPr="00C76AE5">
        <w:rPr>
          <w:rFonts w:ascii="Calibri" w:hAnsi="Calibri" w:cs="Calibri"/>
          <w:b/>
          <w:i/>
          <w:iCs/>
        </w:rPr>
        <w:t xml:space="preserve">Rogue traders </w:t>
      </w:r>
    </w:p>
    <w:p w:rsidR="00982E9C" w:rsidRPr="00C76AE5" w:rsidP="00FE71B0">
      <w:pPr>
        <w:rPr>
          <w:rFonts w:ascii="Calibri" w:hAnsi="Calibri" w:cs="Calibri"/>
          <w:bCs/>
        </w:rPr>
      </w:pPr>
      <w:r w:rsidRPr="00C76AE5">
        <w:rPr>
          <w:rFonts w:ascii="Calibri" w:hAnsi="Calibri" w:cs="Calibri"/>
          <w:bCs/>
        </w:rPr>
        <w:t>The impact of rogue operators extends well beyond the sale of illicit goods. Legitimate retailers lose sales to businesses that can undercut prices by avoiding tax and regulatory obligations, placing additional pressure on already challenging trading conditions. Retailers also report growing frustration with the difficulty of reporting illicit activity and a perceived lack of enforcement action, which can erode confidence in regulatory and enforcement systems. In some cases, businesses are reluctant to report rogue operators due to fears of retaliation from individuals linked to organised criminal networks. Over time, the visibility of illicit trading can undermine confidence in compliance, create an uneven playing field for responsible businesses, and damage the reputation of local high streets. For communities, this contributes to a perception that criminal activity is being tolerated, weakening trust in both local enforcement and the legitimate businesses that serve those areas.</w:t>
      </w:r>
    </w:p>
    <w:p w:rsidR="00FA712D" w:rsidRPr="00C76AE5" w:rsidP="008C241F">
      <w:pPr>
        <w:pStyle w:val="ListParagraph"/>
        <w:numPr>
          <w:ilvl w:val="0"/>
          <w:numId w:val="28"/>
        </w:numPr>
        <w:ind w:left="20"/>
        <w:rPr>
          <w:rFonts w:ascii="Calibri" w:hAnsi="Calibri" w:cs="Calibri"/>
          <w:b/>
          <w:i/>
          <w:iCs/>
        </w:rPr>
      </w:pPr>
      <w:r w:rsidRPr="00C76AE5">
        <w:rPr>
          <w:rFonts w:ascii="Calibri" w:hAnsi="Calibri" w:cs="Calibri"/>
          <w:b/>
          <w:i/>
          <w:iCs/>
        </w:rPr>
        <w:t>Organised shop theft</w:t>
      </w:r>
    </w:p>
    <w:p w:rsidR="004616FC" w:rsidRPr="00C76AE5" w:rsidP="0036292B">
      <w:pPr>
        <w:rPr>
          <w:rFonts w:ascii="Calibri" w:hAnsi="Calibri" w:cs="Calibri"/>
        </w:rPr>
      </w:pPr>
      <w:r w:rsidRPr="00C76AE5">
        <w:rPr>
          <w:rFonts w:ascii="Calibri" w:hAnsi="Calibri" w:cs="Calibri"/>
        </w:rPr>
        <w:t>Organised shop theft has a significant impact on both local communities and the people who work within them. These offences are often committed openly and repeatedly, contributing to a perception that criminal behaviour is becoming normalised on local high streets. Retail staff and customers can be exposed to violence, threats and intimidation, while persistent offending has a considerable emotional impact on shopworkers, increasing levels of stress, anxiety and fear. The resale of stolen goods within local communities can also fuel wider anti-social behaviour and support other forms of criminal activity, including drug-related offending. In addition, the financial cost of repeat theft reduces retailers' ability to invest in their businesses, staff and services, weakening the role that many convenience stores play as essential community assets.</w:t>
      </w:r>
    </w:p>
    <w:p w:rsidR="0047645C" w:rsidRPr="00C76AE5" w:rsidP="00BC5C59">
      <w:pPr>
        <w:jc w:val="center"/>
        <w:rPr>
          <w:rFonts w:ascii="Calibri" w:hAnsi="Calibri" w:cs="Calibri"/>
          <w:b/>
          <w:bCs/>
        </w:rPr>
      </w:pPr>
      <w:r w:rsidRPr="00C76AE5">
        <w:rPr>
          <w:rFonts w:ascii="Calibri" w:hAnsi="Calibri" w:cs="Calibri"/>
          <w:b/>
          <w:bCs/>
        </w:rPr>
        <w:t>To what extent are local communities aware of the role that serious and organised crime plays in driving local crime?</w:t>
      </w:r>
    </w:p>
    <w:p w:rsidR="005B08DC" w:rsidRPr="00C76AE5" w:rsidP="0036292B">
      <w:pPr>
        <w:pStyle w:val="ListParagraph"/>
        <w:numPr>
          <w:ilvl w:val="0"/>
          <w:numId w:val="28"/>
        </w:numPr>
        <w:ind w:left="77"/>
        <w:rPr>
          <w:rFonts w:ascii="Calibri" w:hAnsi="Calibri" w:cs="Calibri"/>
        </w:rPr>
      </w:pPr>
      <w:r w:rsidRPr="00C76AE5">
        <w:rPr>
          <w:rFonts w:ascii="Calibri" w:hAnsi="Calibri" w:cs="Calibri"/>
        </w:rPr>
        <w:t xml:space="preserve">Convenience retailers report that the indicators of organised criminal activity have become increasingly visible within local communities. Our 2026 Crime Report found that 52% of retailers believe incidents involving organised crime groups have increased over the last year, while 85% believe illicit trade has become more visible in their local area. </w:t>
      </w:r>
      <w:r w:rsidRPr="00C76AE5" w:rsidR="00AD0CBE">
        <w:rPr>
          <w:rFonts w:ascii="Calibri" w:hAnsi="Calibri" w:cs="Calibri"/>
        </w:rPr>
        <w:t>As set out above, r</w:t>
      </w:r>
      <w:r w:rsidRPr="00C76AE5">
        <w:rPr>
          <w:rFonts w:ascii="Calibri" w:hAnsi="Calibri" w:cs="Calibri"/>
        </w:rPr>
        <w:t>etailers are increasingly identifying the local resale of stolen goods, the operation of rogue businesses selling illicit products, and repeat offending by individuals and groups operating across multiple locations.</w:t>
      </w:r>
    </w:p>
    <w:p w:rsidR="006A5157" w:rsidRPr="00C76AE5" w:rsidP="0036292B">
      <w:pPr>
        <w:jc w:val="center"/>
        <w:rPr>
          <w:rFonts w:ascii="Calibri" w:hAnsi="Calibri" w:cs="Calibri"/>
          <w:b/>
          <w:bCs/>
        </w:rPr>
      </w:pPr>
      <w:r w:rsidRPr="00C76AE5">
        <w:rPr>
          <w:rFonts w:ascii="Calibri" w:hAnsi="Calibri" w:cs="Calibri"/>
          <w:b/>
          <w:bCs/>
        </w:rPr>
        <w:t>To what extent is the police response to serious and organised crime prioritised at a local level, for example by Police and Crime Commissioners?</w:t>
      </w:r>
    </w:p>
    <w:p w:rsidR="00345D78" w:rsidRPr="00C76AE5" w:rsidP="008C241F">
      <w:pPr>
        <w:pStyle w:val="ListParagraph"/>
        <w:numPr>
          <w:ilvl w:val="0"/>
          <w:numId w:val="28"/>
        </w:numPr>
        <w:ind w:left="20"/>
        <w:rPr>
          <w:rFonts w:ascii="Calibri" w:hAnsi="Calibri" w:cs="Calibri"/>
        </w:rPr>
      </w:pPr>
      <w:r w:rsidRPr="00C76AE5">
        <w:rPr>
          <w:rFonts w:ascii="Calibri" w:hAnsi="Calibri" w:cs="Calibri"/>
        </w:rPr>
        <w:t>Retail crime is now recognised as a priority by almost all Police and Crime Commissioners, with many PCC Police and Crime Plans including specific commitments on shop theft and business crime. While this is welcome, retailers continue to report a significant gap between national commitments and operational delivery at a local level. ACS’ Crime Report highlights a disparity between the volume of shop theft experienced by retailers and the number of incidents formally reported to police, largely because many retailers remain unconvinced that reporting will result in attendance, investigation or meaningful outcomes for prolific offenders.</w:t>
      </w:r>
    </w:p>
    <w:p w:rsidR="008F5B81" w:rsidRPr="00C76AE5" w:rsidP="008F5B81">
      <w:pPr>
        <w:pStyle w:val="ListParagraph"/>
        <w:ind w:left="20"/>
        <w:rPr>
          <w:rFonts w:ascii="Calibri" w:hAnsi="Calibri" w:cs="Calibri"/>
        </w:rPr>
      </w:pPr>
    </w:p>
    <w:p w:rsidR="00345D78" w:rsidRPr="00C76AE5" w:rsidP="00F23656">
      <w:pPr>
        <w:pStyle w:val="ListParagraph"/>
        <w:numPr>
          <w:ilvl w:val="0"/>
          <w:numId w:val="28"/>
        </w:numPr>
        <w:ind w:left="57"/>
        <w:rPr>
          <w:rFonts w:ascii="Calibri" w:hAnsi="Calibri" w:cs="Calibri"/>
        </w:rPr>
      </w:pPr>
      <w:r w:rsidRPr="00C76AE5">
        <w:rPr>
          <w:rFonts w:ascii="Calibri" w:hAnsi="Calibri" w:cs="Calibri"/>
        </w:rPr>
        <w:t>There have been encouraging improvements in retailer engagement with neighbourhood policing over the last year, with 62% of retailers rating their relationship with neighbourhood police as good or very good and 64% reporting more crime than the previous year. The next stage is ensuring that improved engagement leads to visible enforcement outcomes and disruption of repeat offending.</w:t>
      </w:r>
      <w:r>
        <w:rPr>
          <w:rStyle w:val="FootnoteReference"/>
          <w:rFonts w:ascii="Calibri" w:hAnsi="Calibri" w:cs="Calibri"/>
        </w:rPr>
        <w:footnoteReference w:id="9"/>
      </w:r>
    </w:p>
    <w:p w:rsidR="00F23656" w:rsidRPr="00C76AE5" w:rsidP="00F23656">
      <w:pPr>
        <w:pStyle w:val="ListParagraph"/>
        <w:ind w:left="57"/>
        <w:rPr>
          <w:rFonts w:ascii="Calibri" w:hAnsi="Calibri" w:cs="Calibri"/>
        </w:rPr>
      </w:pPr>
    </w:p>
    <w:p w:rsidR="00F23656" w:rsidRPr="00C76AE5" w:rsidP="00F23656">
      <w:pPr>
        <w:pStyle w:val="ListParagraph"/>
        <w:numPr>
          <w:ilvl w:val="0"/>
          <w:numId w:val="28"/>
        </w:numPr>
        <w:ind w:left="57"/>
        <w:rPr>
          <w:rFonts w:ascii="Calibri" w:hAnsi="Calibri" w:cs="Calibri"/>
        </w:rPr>
      </w:pPr>
      <w:r w:rsidRPr="00C76AE5">
        <w:rPr>
          <w:rFonts w:ascii="Calibri" w:hAnsi="Calibri" w:cs="Calibri"/>
        </w:rPr>
        <w:t>In relation to rogue operators and illicit trade, enforcement is primarily led by local Trading Standards teams. However, Trading Standards services have seen their responsibilities increase significantly over many years without a corresponding increase in funding or resource. This has limited their ability to undertake proactive enforcement activity and contributed to the proliferation of rogue businesses selling illicit products.</w:t>
      </w:r>
      <w:r w:rsidRPr="00C76AE5" w:rsidR="003B4811">
        <w:rPr>
          <w:rFonts w:ascii="Calibri" w:hAnsi="Calibri" w:cs="Calibri"/>
        </w:rPr>
        <w:t xml:space="preserve"> </w:t>
      </w:r>
      <w:r w:rsidRPr="00C76AE5" w:rsidR="00B03A60">
        <w:rPr>
          <w:rFonts w:ascii="Calibri" w:hAnsi="Calibri" w:cs="Calibri"/>
        </w:rPr>
        <w:t>A report we commissioned by Trading Standards experts which provided</w:t>
      </w:r>
      <w:r w:rsidRPr="00C76AE5">
        <w:rPr>
          <w:rFonts w:ascii="Calibri" w:hAnsi="Calibri" w:cs="Calibri"/>
        </w:rPr>
        <w:t xml:space="preserve"> analysis on vape enforcement alone estimated that local enforcement services would require an additional £140 million</w:t>
      </w:r>
      <w:r w:rsidRPr="00C76AE5" w:rsidR="006A5157">
        <w:rPr>
          <w:rFonts w:ascii="Calibri" w:hAnsi="Calibri" w:cs="Calibri"/>
        </w:rPr>
        <w:t xml:space="preserve"> over five years</w:t>
      </w:r>
      <w:r w:rsidRPr="00C76AE5">
        <w:rPr>
          <w:rFonts w:ascii="Calibri" w:hAnsi="Calibri" w:cs="Calibri"/>
        </w:rPr>
        <w:t xml:space="preserve"> to effectively regulate the market.</w:t>
      </w:r>
      <w:r>
        <w:rPr>
          <w:rStyle w:val="FootnoteReference"/>
          <w:rFonts w:ascii="Calibri" w:hAnsi="Calibri" w:cs="Calibri"/>
        </w:rPr>
        <w:footnoteReference w:id="10"/>
      </w:r>
      <w:r w:rsidRPr="00C76AE5">
        <w:rPr>
          <w:rFonts w:ascii="Calibri" w:hAnsi="Calibri" w:cs="Calibri"/>
        </w:rPr>
        <w:t xml:space="preserve"> The challenge is therefore not </w:t>
      </w:r>
      <w:r w:rsidRPr="00C76AE5" w:rsidR="00631D91">
        <w:rPr>
          <w:rFonts w:ascii="Calibri" w:hAnsi="Calibri" w:cs="Calibri"/>
        </w:rPr>
        <w:t>just about</w:t>
      </w:r>
      <w:r w:rsidRPr="00C76AE5">
        <w:rPr>
          <w:rFonts w:ascii="Calibri" w:hAnsi="Calibri" w:cs="Calibri"/>
        </w:rPr>
        <w:t xml:space="preserve"> </w:t>
      </w:r>
      <w:r w:rsidRPr="00C76AE5">
        <w:rPr>
          <w:rFonts w:ascii="Calibri" w:hAnsi="Calibri" w:cs="Calibri"/>
        </w:rPr>
        <w:t>prioritisation, but</w:t>
      </w:r>
      <w:r w:rsidRPr="00C76AE5">
        <w:rPr>
          <w:rFonts w:ascii="Calibri" w:hAnsi="Calibri" w:cs="Calibri"/>
        </w:rPr>
        <w:t xml:space="preserve"> ensuring that enforcement agencies have the resources required to deliver against those priorities.</w:t>
      </w:r>
    </w:p>
    <w:p w:rsidR="00F23656" w:rsidRPr="00C76AE5" w:rsidP="00F23656">
      <w:pPr>
        <w:pStyle w:val="ListParagraph"/>
        <w:ind w:left="57"/>
        <w:rPr>
          <w:rFonts w:ascii="Calibri" w:hAnsi="Calibri" w:cs="Calibri"/>
        </w:rPr>
      </w:pPr>
    </w:p>
    <w:p w:rsidR="00F23656" w:rsidRPr="00C76AE5" w:rsidP="00F23656">
      <w:pPr>
        <w:pStyle w:val="ListParagraph"/>
        <w:numPr>
          <w:ilvl w:val="0"/>
          <w:numId w:val="28"/>
        </w:numPr>
        <w:ind w:left="57"/>
        <w:rPr>
          <w:rFonts w:ascii="Calibri" w:hAnsi="Calibri" w:cs="Calibri"/>
        </w:rPr>
      </w:pPr>
      <w:r w:rsidRPr="00C76AE5">
        <w:rPr>
          <w:rFonts w:ascii="Calibri" w:hAnsi="Calibri" w:cs="Calibri"/>
        </w:rPr>
        <w:t xml:space="preserve">It is also clear from ACS’ engagement with police, Trading Standards and other local partners that tackling rogue operators and organised criminality requires a coordinated cross-departmental response. These businesses are often not solely engaged in the sale of illicit </w:t>
      </w:r>
      <w:r w:rsidRPr="00C76AE5">
        <w:rPr>
          <w:rFonts w:ascii="Calibri" w:hAnsi="Calibri" w:cs="Calibri"/>
        </w:rPr>
        <w:t>goods, but</w:t>
      </w:r>
      <w:r w:rsidRPr="00C76AE5">
        <w:rPr>
          <w:rFonts w:ascii="Calibri" w:hAnsi="Calibri" w:cs="Calibri"/>
        </w:rPr>
        <w:t xml:space="preserve"> linked to a wider range of criminal activity including money laundering, labour exploitation, immigration offences and organised resale networks. As a result, enforcement action cannot rely on police or Trading Standards alone. Effective disruption requires a whole-system approach involving local authorities, HMRC, Border Force, Trading Standards and policing bodies working together across the supply chain</w:t>
      </w:r>
      <w:r w:rsidRPr="00C76AE5" w:rsidR="00B368A2">
        <w:rPr>
          <w:rFonts w:ascii="Calibri" w:hAnsi="Calibri" w:cs="Calibri"/>
        </w:rPr>
        <w:t>.</w:t>
      </w:r>
    </w:p>
    <w:p w:rsidR="00A101E7" w:rsidRPr="00C76AE5" w:rsidP="00BC5C59">
      <w:pPr>
        <w:jc w:val="center"/>
        <w:rPr>
          <w:rFonts w:ascii="Calibri" w:hAnsi="Calibri" w:cs="Calibri"/>
          <w:b/>
          <w:bCs/>
        </w:rPr>
      </w:pPr>
      <w:r w:rsidRPr="00C76AE5">
        <w:rPr>
          <w:rFonts w:ascii="Calibri" w:hAnsi="Calibri" w:cs="Calibri"/>
          <w:b/>
          <w:bCs/>
        </w:rPr>
        <w:t>What role does neighbourhood policing currently play in preventing and tackling serious and organised crime?</w:t>
      </w:r>
    </w:p>
    <w:p w:rsidR="003D45C6" w:rsidRPr="00C76AE5" w:rsidP="00F23656">
      <w:pPr>
        <w:pStyle w:val="ListParagraph"/>
        <w:numPr>
          <w:ilvl w:val="0"/>
          <w:numId w:val="28"/>
        </w:numPr>
        <w:ind w:left="0"/>
        <w:rPr>
          <w:rFonts w:ascii="Calibri" w:hAnsi="Calibri" w:cs="Calibri"/>
        </w:rPr>
      </w:pPr>
      <w:r w:rsidRPr="00C76AE5">
        <w:rPr>
          <w:rFonts w:ascii="Calibri" w:hAnsi="Calibri" w:cs="Calibri"/>
        </w:rPr>
        <w:t>Neighbourhood policing plays an important role in providing a visible and accessible point of contact for local businesses and communities. For convenience retailers, neighbourhood officers are often the primary route for sharing intelligence on prolific offenders, organised shop theft, anti-social behaviour and rogue operators. Strong local policing relationships can help identify repeat offenders, build intelligence on organised criminal activity and coordinate enforcement action with other agencies, including Trading Standards and local authorities.</w:t>
      </w:r>
    </w:p>
    <w:p w:rsidR="00F23656" w:rsidRPr="00C76AE5" w:rsidP="00F23656">
      <w:pPr>
        <w:pStyle w:val="ListParagraph"/>
        <w:ind w:left="0"/>
        <w:rPr>
          <w:rFonts w:ascii="Calibri" w:hAnsi="Calibri" w:cs="Calibri"/>
        </w:rPr>
      </w:pPr>
    </w:p>
    <w:p w:rsidR="003D45C6" w:rsidRPr="00C76AE5" w:rsidP="00F23656">
      <w:pPr>
        <w:pStyle w:val="ListParagraph"/>
        <w:numPr>
          <w:ilvl w:val="0"/>
          <w:numId w:val="28"/>
        </w:numPr>
        <w:ind w:left="0"/>
        <w:rPr>
          <w:rFonts w:ascii="Calibri" w:hAnsi="Calibri" w:cs="Calibri"/>
        </w:rPr>
      </w:pPr>
      <w:r w:rsidRPr="00C76AE5">
        <w:rPr>
          <w:rFonts w:ascii="Calibri" w:hAnsi="Calibri" w:cs="Calibri"/>
        </w:rPr>
        <w:t>This role is particularly important for convenience stores operating in neighbourhood and residential areas outside major town centres, where retailers may otherwise have limited day-to-day engagement with policing. A visible neighbourhood policing presence can have a significant impact on retailer confidence, staff safety and wider community reassurance. ACS has therefore welcomed the Government’s Neighbourhood Policing Guarantee and the progress made to strengthen engagement between retailers and local policing teams.</w:t>
      </w:r>
      <w:r>
        <w:rPr>
          <w:rStyle w:val="FootnoteReference"/>
          <w:rFonts w:ascii="Calibri" w:hAnsi="Calibri" w:cs="Calibri"/>
        </w:rPr>
        <w:footnoteReference w:id="11"/>
      </w:r>
    </w:p>
    <w:p w:rsidR="00F23656" w:rsidRPr="00C76AE5" w:rsidP="00F23656">
      <w:pPr>
        <w:pStyle w:val="ListParagraph"/>
        <w:ind w:left="0"/>
        <w:rPr>
          <w:rFonts w:ascii="Calibri" w:hAnsi="Calibri" w:cs="Calibri"/>
        </w:rPr>
      </w:pPr>
    </w:p>
    <w:p w:rsidR="001E63B6" w:rsidRPr="00C76AE5" w:rsidP="00F23656">
      <w:pPr>
        <w:pStyle w:val="ListParagraph"/>
        <w:numPr>
          <w:ilvl w:val="0"/>
          <w:numId w:val="28"/>
        </w:numPr>
        <w:ind w:left="0"/>
        <w:rPr>
          <w:rFonts w:ascii="Calibri" w:hAnsi="Calibri" w:cs="Calibri"/>
        </w:rPr>
      </w:pPr>
      <w:r w:rsidRPr="00C76AE5">
        <w:rPr>
          <w:rFonts w:ascii="Calibri" w:hAnsi="Calibri" w:cs="Calibri"/>
        </w:rPr>
        <w:t>There is, however, a need to improve crime reporting systems and intelligence sharing processes for businesses. Many retailers continue to find existing reporting mechanisms</w:t>
      </w:r>
      <w:r w:rsidRPr="00C76AE5" w:rsidR="00864527">
        <w:rPr>
          <w:rFonts w:ascii="Calibri" w:hAnsi="Calibri" w:cs="Calibri"/>
        </w:rPr>
        <w:t xml:space="preserve"> for reporting shop theft</w:t>
      </w:r>
      <w:r w:rsidRPr="00C76AE5">
        <w:rPr>
          <w:rFonts w:ascii="Calibri" w:hAnsi="Calibri" w:cs="Calibri"/>
        </w:rPr>
        <w:t xml:space="preserve"> time-consuming and difficult to use, particularly when dealing with persistent repeat offending. More effective local retail crime partnerships and reporting platforms, where businesses can securely share standardised intelligence, CCTV images and information on prolific offenders with police and neighbouring retailers, have delivered positive results in </w:t>
      </w:r>
      <w:r w:rsidRPr="00C76AE5">
        <w:rPr>
          <w:rFonts w:ascii="Calibri" w:hAnsi="Calibri" w:cs="Calibri"/>
        </w:rPr>
        <w:t>a number of</w:t>
      </w:r>
      <w:r w:rsidRPr="00C76AE5">
        <w:rPr>
          <w:rFonts w:ascii="Calibri" w:hAnsi="Calibri" w:cs="Calibri"/>
        </w:rPr>
        <w:t xml:space="preserve"> areas and should be encouraged further</w:t>
      </w:r>
      <w:r w:rsidRPr="00C76AE5" w:rsidR="003242F8">
        <w:rPr>
          <w:rFonts w:ascii="Calibri" w:hAnsi="Calibri" w:cs="Calibri"/>
        </w:rPr>
        <w:t xml:space="preserve"> (see</w:t>
      </w:r>
      <w:r w:rsidRPr="00C76AE5" w:rsidR="0032579D">
        <w:rPr>
          <w:rFonts w:ascii="Calibri" w:hAnsi="Calibri" w:cs="Calibri"/>
        </w:rPr>
        <w:t xml:space="preserve"> Northumbria example</w:t>
      </w:r>
      <w:r w:rsidRPr="00C76AE5" w:rsidR="003242F8">
        <w:rPr>
          <w:rFonts w:ascii="Calibri" w:hAnsi="Calibri" w:cs="Calibri"/>
        </w:rPr>
        <w:t xml:space="preserve"> further below)</w:t>
      </w:r>
      <w:r w:rsidRPr="00C76AE5">
        <w:rPr>
          <w:rFonts w:ascii="Calibri" w:hAnsi="Calibri" w:cs="Calibri"/>
        </w:rPr>
        <w:t>.</w:t>
      </w:r>
    </w:p>
    <w:p w:rsidR="00F23656" w:rsidRPr="00C76AE5" w:rsidP="00F23656">
      <w:pPr>
        <w:pStyle w:val="ListParagraph"/>
        <w:ind w:left="0"/>
        <w:rPr>
          <w:rFonts w:ascii="Calibri" w:hAnsi="Calibri" w:cs="Calibri"/>
        </w:rPr>
      </w:pPr>
    </w:p>
    <w:p w:rsidR="00162CCF" w:rsidRPr="00C76AE5" w:rsidP="00F23656">
      <w:pPr>
        <w:pStyle w:val="ListParagraph"/>
        <w:numPr>
          <w:ilvl w:val="0"/>
          <w:numId w:val="28"/>
        </w:numPr>
        <w:ind w:left="0"/>
        <w:rPr>
          <w:rFonts w:ascii="Calibri" w:hAnsi="Calibri" w:cs="Calibri"/>
        </w:rPr>
      </w:pPr>
      <w:r w:rsidRPr="00C76AE5">
        <w:rPr>
          <w:rFonts w:ascii="Calibri" w:hAnsi="Calibri" w:cs="Calibri"/>
        </w:rPr>
        <w:t xml:space="preserve">There are even greater challenges in reporting rogue operators and illicit trade. In many areas, businesses are no longer able to report concerns directly to local Trading Standards teams and are instead directed through the Citizens Advice consumer reporting system, which acts primarily as a national data collection and referral service. Retailers frequently report that this system is not well understood as a route for reporting organised criminal activity and lacks the visibility, responsiveness and feedback needed when businesses are reporting the open sale of illicit products within their communities. </w:t>
      </w:r>
    </w:p>
    <w:p w:rsidR="00F23656" w:rsidRPr="00C76AE5" w:rsidP="00F23656">
      <w:pPr>
        <w:pStyle w:val="ListParagraph"/>
        <w:ind w:left="0"/>
        <w:rPr>
          <w:rFonts w:ascii="Calibri" w:hAnsi="Calibri" w:cs="Calibri"/>
        </w:rPr>
      </w:pPr>
    </w:p>
    <w:p w:rsidR="00F23656" w:rsidRPr="00C76AE5" w:rsidP="00901C56">
      <w:pPr>
        <w:pStyle w:val="ListParagraph"/>
        <w:numPr>
          <w:ilvl w:val="0"/>
          <w:numId w:val="28"/>
        </w:numPr>
        <w:ind w:left="20"/>
        <w:rPr>
          <w:rFonts w:ascii="Calibri" w:hAnsi="Calibri" w:cs="Calibri"/>
        </w:rPr>
      </w:pPr>
      <w:r w:rsidRPr="00C76AE5">
        <w:rPr>
          <w:rFonts w:ascii="Calibri" w:hAnsi="Calibri" w:cs="Calibri"/>
        </w:rPr>
        <w:t xml:space="preserve">There are also accessibility concerns with the current Citizens Advice reporting process, including the fact that the online reporting form is only available during </w:t>
      </w:r>
      <w:r w:rsidRPr="00C76AE5" w:rsidR="004D4C12">
        <w:rPr>
          <w:rFonts w:ascii="Calibri" w:hAnsi="Calibri" w:cs="Calibri"/>
        </w:rPr>
        <w:t>the weekend</w:t>
      </w:r>
      <w:r w:rsidRPr="00C76AE5">
        <w:rPr>
          <w:rFonts w:ascii="Calibri" w:hAnsi="Calibri" w:cs="Calibri"/>
        </w:rPr>
        <w:t>, limiting the ability of retailers to report incidents at the point they occur. The lack of accessible local reporting routes and direct engagement with enforcement teams risks reducing business confidence in reporting and limits the intelligence available to local partners tackling organised criminality.</w:t>
      </w:r>
      <w:r w:rsidRPr="00C76AE5" w:rsidR="00455784">
        <w:rPr>
          <w:rFonts w:ascii="Calibri" w:hAnsi="Calibri" w:cs="Calibri"/>
        </w:rPr>
        <w:t xml:space="preserve"> </w:t>
      </w:r>
    </w:p>
    <w:p w:rsidR="00A101E7" w:rsidRPr="00C76AE5" w:rsidP="00901C56">
      <w:pPr>
        <w:jc w:val="center"/>
        <w:rPr>
          <w:rFonts w:ascii="Calibri" w:hAnsi="Calibri" w:cs="Calibri"/>
          <w:b/>
          <w:bCs/>
        </w:rPr>
      </w:pPr>
      <w:r w:rsidRPr="00C76AE5">
        <w:rPr>
          <w:rFonts w:ascii="Calibri" w:hAnsi="Calibri" w:cs="Calibri"/>
          <w:b/>
          <w:bCs/>
        </w:rPr>
        <w:t>How effective is cooperation across the serious and organised crime system, including: neighbourhood teams; local forces; regional organised crime units; national policing bodies; the UK intelligence communities; and international policing bodies?</w:t>
      </w:r>
    </w:p>
    <w:p w:rsidR="008758F1" w:rsidRPr="00C76AE5" w:rsidP="00E167F3">
      <w:pPr>
        <w:pStyle w:val="ListParagraph"/>
        <w:numPr>
          <w:ilvl w:val="0"/>
          <w:numId w:val="28"/>
        </w:numPr>
        <w:ind w:left="20"/>
        <w:rPr>
          <w:rFonts w:ascii="Calibri" w:hAnsi="Calibri" w:cs="Calibri"/>
        </w:rPr>
      </w:pPr>
      <w:r w:rsidRPr="00C76AE5">
        <w:rPr>
          <w:rFonts w:ascii="Calibri" w:hAnsi="Calibri" w:cs="Calibri"/>
        </w:rPr>
        <w:t xml:space="preserve">There is evidence of effective partnership working in tackling organised criminality linked to illicit trade and rogue operators, including through multi-agency operations such as Operation </w:t>
      </w:r>
      <w:r w:rsidRPr="00C76AE5">
        <w:rPr>
          <w:rFonts w:ascii="Calibri" w:hAnsi="Calibri" w:cs="Calibri"/>
        </w:rPr>
        <w:t>Machinize</w:t>
      </w:r>
      <w:r w:rsidRPr="00C76AE5">
        <w:rPr>
          <w:rFonts w:ascii="Calibri" w:hAnsi="Calibri" w:cs="Calibri"/>
        </w:rPr>
        <w:t xml:space="preserve"> and Operation </w:t>
      </w:r>
      <w:r w:rsidRPr="00C76AE5">
        <w:rPr>
          <w:rFonts w:ascii="Calibri" w:hAnsi="Calibri" w:cs="Calibri"/>
        </w:rPr>
        <w:t>Zoridon</w:t>
      </w:r>
      <w:r w:rsidRPr="00C76AE5">
        <w:rPr>
          <w:rFonts w:ascii="Calibri" w:hAnsi="Calibri" w:cs="Calibri"/>
        </w:rPr>
        <w:t>. These operations demonstrate the value of coordinated activity between police, Trading Standards, HMRC and other enforcement bodies in disrupting organised criminal networks.</w:t>
      </w:r>
      <w:r w:rsidRPr="00C76AE5" w:rsidR="00E167F3">
        <w:rPr>
          <w:rFonts w:ascii="Calibri" w:hAnsi="Calibri" w:cs="Calibri"/>
        </w:rPr>
        <w:t xml:space="preserve"> </w:t>
      </w:r>
      <w:r w:rsidRPr="00C76AE5">
        <w:rPr>
          <w:rFonts w:ascii="Calibri" w:hAnsi="Calibri" w:cs="Calibri"/>
        </w:rPr>
        <w:t>However, retailers believe there is scope for significantly greater coordination and intelligence sharing across agencies. Businesses themselves hold valuable information and evidence on prolific offenders, organised shop theft patterns and rogue operators, but there is often inconsistency in how this intelligence is collected, shared and acted upon. Greater use of shared intelligence systems, hotspot mapping and coordinated enforcement activity would strengthen the response to organised criminality affecting local communities.</w:t>
      </w:r>
    </w:p>
    <w:p w:rsidR="00A101E7" w:rsidRPr="00C76AE5" w:rsidP="00901C56">
      <w:pPr>
        <w:jc w:val="center"/>
        <w:rPr>
          <w:rFonts w:ascii="Calibri" w:hAnsi="Calibri" w:cs="Calibri"/>
          <w:b/>
          <w:bCs/>
        </w:rPr>
      </w:pPr>
      <w:r w:rsidRPr="00C76AE5">
        <w:rPr>
          <w:rFonts w:ascii="Calibri" w:hAnsi="Calibri" w:cs="Calibri"/>
          <w:b/>
          <w:bCs/>
        </w:rPr>
        <w:t>How effective is co-operation between policing and outside agencies, such as local authorities?</w:t>
      </w:r>
    </w:p>
    <w:p w:rsidR="0054356E" w:rsidRPr="00C76AE5" w:rsidP="00C554F3">
      <w:pPr>
        <w:pStyle w:val="ListParagraph"/>
        <w:numPr>
          <w:ilvl w:val="0"/>
          <w:numId w:val="28"/>
        </w:numPr>
        <w:ind w:left="0"/>
        <w:rPr>
          <w:rFonts w:ascii="Calibri" w:hAnsi="Calibri" w:cs="Calibri"/>
        </w:rPr>
      </w:pPr>
      <w:r w:rsidRPr="00C76AE5">
        <w:rPr>
          <w:rFonts w:ascii="Calibri" w:hAnsi="Calibri" w:cs="Calibri"/>
        </w:rPr>
        <w:t>ACS believes cooperation can be highly effective where it happens. Many of the offences seen in local communities span multiple areas of enforcement, for example policing powers relating to theft and organised crime, Trading Standards powers relating to product safety and illicit trade, and local authority powers relating to licensing and anti-</w:t>
      </w:r>
      <w:r w:rsidRPr="00C76AE5">
        <w:rPr>
          <w:rFonts w:ascii="Calibri" w:hAnsi="Calibri" w:cs="Calibri"/>
        </w:rPr>
        <w:t>social behaviour. Because these powers are often siloed, effective action against rogue operators and organised criminality frequently depends on strong coordination between agencies rather than any single body being able to resolve the issue alone.</w:t>
      </w:r>
    </w:p>
    <w:p w:rsidR="00E167F3" w:rsidRPr="00C76AE5" w:rsidP="00C554F3">
      <w:pPr>
        <w:pStyle w:val="ListParagraph"/>
        <w:ind w:left="0"/>
        <w:rPr>
          <w:rFonts w:ascii="Calibri" w:hAnsi="Calibri" w:cs="Calibri"/>
        </w:rPr>
      </w:pPr>
    </w:p>
    <w:p w:rsidR="00E167F3" w:rsidRPr="00C76AE5" w:rsidP="00C554F3">
      <w:pPr>
        <w:pStyle w:val="ListParagraph"/>
        <w:numPr>
          <w:ilvl w:val="0"/>
          <w:numId w:val="28"/>
        </w:numPr>
        <w:ind w:left="0"/>
        <w:rPr>
          <w:rFonts w:ascii="Calibri" w:hAnsi="Calibri" w:cs="Calibri"/>
        </w:rPr>
      </w:pPr>
      <w:r w:rsidRPr="00C76AE5">
        <w:rPr>
          <w:rFonts w:ascii="Calibri" w:hAnsi="Calibri" w:cs="Calibri"/>
        </w:rPr>
        <w:t>This is particularly relevant for high street rogue traders, where the same premises may be involved in illicit tobacco sales, counterfeit goods, tax evasion and wider criminal activity. In these cases, no single enforcement route is sufficient on its own, and outcomes tend to be strongest where police, Trading Standards, HMRC and local authorities work jointly and share intelligence.</w:t>
      </w:r>
    </w:p>
    <w:p w:rsidR="00E167F3" w:rsidRPr="00C76AE5" w:rsidP="00C554F3">
      <w:pPr>
        <w:pStyle w:val="ListParagraph"/>
        <w:ind w:left="0"/>
        <w:rPr>
          <w:rFonts w:ascii="Calibri" w:hAnsi="Calibri" w:cs="Calibri"/>
        </w:rPr>
      </w:pPr>
    </w:p>
    <w:p w:rsidR="00C554F3" w:rsidRPr="00C76AE5" w:rsidP="00C554F3">
      <w:pPr>
        <w:pStyle w:val="ListParagraph"/>
        <w:numPr>
          <w:ilvl w:val="0"/>
          <w:numId w:val="28"/>
        </w:numPr>
        <w:ind w:left="0"/>
        <w:rPr>
          <w:rFonts w:ascii="Calibri" w:hAnsi="Calibri" w:cs="Calibri"/>
        </w:rPr>
      </w:pPr>
      <w:r w:rsidRPr="00C76AE5">
        <w:rPr>
          <w:rFonts w:ascii="Calibri" w:hAnsi="Calibri" w:cs="Calibri"/>
        </w:rPr>
        <w:t>ACS strongly welcomes the Government’s High Street Organised Crime Taskforce as a step towards improving this coordination</w:t>
      </w:r>
      <w:r w:rsidRPr="00C76AE5" w:rsidR="00420C20">
        <w:rPr>
          <w:rFonts w:ascii="Calibri" w:hAnsi="Calibri" w:cs="Calibri"/>
        </w:rPr>
        <w:t xml:space="preserve"> and has been engaging with the taskforce to deliver more action to support responsible businesses</w:t>
      </w:r>
      <w:r w:rsidRPr="00C76AE5">
        <w:rPr>
          <w:rFonts w:ascii="Calibri" w:hAnsi="Calibri" w:cs="Calibri"/>
        </w:rPr>
        <w:t xml:space="preserve">. We also support </w:t>
      </w:r>
      <w:r w:rsidRPr="00C76AE5" w:rsidR="009E774B">
        <w:rPr>
          <w:rFonts w:ascii="Calibri" w:hAnsi="Calibri" w:cs="Calibri"/>
        </w:rPr>
        <w:t>provisions in the</w:t>
      </w:r>
      <w:r w:rsidRPr="00C76AE5">
        <w:rPr>
          <w:rFonts w:ascii="Calibri" w:hAnsi="Calibri" w:cs="Calibri"/>
        </w:rPr>
        <w:t xml:space="preserve"> Crime and Policing Act</w:t>
      </w:r>
      <w:r w:rsidRPr="00C76AE5" w:rsidR="009E774B">
        <w:rPr>
          <w:rFonts w:ascii="Calibri" w:hAnsi="Calibri" w:cs="Calibri"/>
        </w:rPr>
        <w:t xml:space="preserve"> to extend the duration of closure orders and notices</w:t>
      </w:r>
      <w:r w:rsidRPr="00C76AE5">
        <w:rPr>
          <w:rFonts w:ascii="Calibri" w:hAnsi="Calibri" w:cs="Calibri"/>
        </w:rPr>
        <w:t>. However, current closure order tools are often rooted in anti-social behaviour legislation, which does not always align with the nature of organised and commercially driven offending. There is therefore a clear opportunity to ensure enforcement powers are better aligned and more flexible, so they can be used effectively across different types of serious and organised criminal activity without being constrained by agency-specific or offence-specific thresholds.</w:t>
      </w:r>
    </w:p>
    <w:p w:rsidR="00A101E7" w:rsidRPr="00C76AE5" w:rsidP="00901C56">
      <w:pPr>
        <w:jc w:val="center"/>
        <w:rPr>
          <w:rFonts w:ascii="Calibri" w:hAnsi="Calibri" w:cs="Calibri"/>
        </w:rPr>
      </w:pPr>
      <w:r w:rsidRPr="00C76AE5">
        <w:rPr>
          <w:rFonts w:ascii="Calibri" w:hAnsi="Calibri" w:cs="Calibri"/>
          <w:b/>
          <w:bCs/>
        </w:rPr>
        <w:t>What good practice examples exist where neighbourhood policing has played an effective role in tackling serious and organised crime?</w:t>
      </w:r>
    </w:p>
    <w:p w:rsidR="00712222" w:rsidRPr="00C76AE5" w:rsidP="005E54C2">
      <w:pPr>
        <w:pStyle w:val="ListParagraph"/>
        <w:numPr>
          <w:ilvl w:val="0"/>
          <w:numId w:val="28"/>
        </w:numPr>
        <w:ind w:left="0"/>
        <w:rPr>
          <w:rFonts w:ascii="Calibri" w:hAnsi="Calibri" w:cs="Calibri"/>
        </w:rPr>
      </w:pPr>
      <w:r w:rsidRPr="00C76AE5">
        <w:rPr>
          <w:rFonts w:ascii="Calibri" w:hAnsi="Calibri" w:cs="Calibri"/>
        </w:rPr>
        <w:t xml:space="preserve">There are </w:t>
      </w:r>
      <w:r w:rsidRPr="00C76AE5">
        <w:rPr>
          <w:rFonts w:ascii="Calibri" w:hAnsi="Calibri" w:cs="Calibri"/>
        </w:rPr>
        <w:t>a number of</w:t>
      </w:r>
      <w:r w:rsidRPr="00C76AE5">
        <w:rPr>
          <w:rFonts w:ascii="Calibri" w:hAnsi="Calibri" w:cs="Calibri"/>
        </w:rPr>
        <w:t xml:space="preserve"> positive examples where neighbourhood policing, working in partnership with local businesses and other agencies, has helped to improve the response to organised shop theft and associated offending.</w:t>
      </w:r>
    </w:p>
    <w:p w:rsidR="00DD5655" w:rsidRPr="00C76AE5" w:rsidP="005E54C2">
      <w:pPr>
        <w:pStyle w:val="ListParagraph"/>
        <w:ind w:left="0"/>
        <w:rPr>
          <w:rFonts w:ascii="Calibri" w:hAnsi="Calibri" w:cs="Calibri"/>
        </w:rPr>
      </w:pPr>
    </w:p>
    <w:p w:rsidR="00DD5655" w:rsidRPr="00C76AE5" w:rsidP="005E54C2">
      <w:pPr>
        <w:pStyle w:val="ListParagraph"/>
        <w:numPr>
          <w:ilvl w:val="0"/>
          <w:numId w:val="28"/>
        </w:numPr>
        <w:ind w:left="0"/>
        <w:rPr>
          <w:rFonts w:ascii="Calibri" w:hAnsi="Calibri" w:cs="Calibri"/>
        </w:rPr>
      </w:pPr>
      <w:r w:rsidRPr="00C76AE5">
        <w:rPr>
          <w:rFonts w:ascii="Calibri" w:hAnsi="Calibri" w:cs="Calibri"/>
        </w:rPr>
        <w:t xml:space="preserve">One example </w:t>
      </w:r>
      <w:r w:rsidRPr="00C76AE5" w:rsidR="00DE0D10">
        <w:rPr>
          <w:rFonts w:ascii="Calibri" w:hAnsi="Calibri" w:cs="Calibri"/>
        </w:rPr>
        <w:t>is the</w:t>
      </w:r>
      <w:r w:rsidRPr="00C76AE5">
        <w:rPr>
          <w:rFonts w:ascii="Calibri" w:hAnsi="Calibri" w:cs="Calibri"/>
        </w:rPr>
        <w:t xml:space="preserve"> development of dedicated retail crime reporting routes and local intelligence systems</w:t>
      </w:r>
      <w:r w:rsidRPr="00C76AE5" w:rsidR="003C2CE6">
        <w:rPr>
          <w:rFonts w:ascii="Calibri" w:hAnsi="Calibri" w:cs="Calibri"/>
        </w:rPr>
        <w:t xml:space="preserve"> managed by neighbourhood policing teams</w:t>
      </w:r>
      <w:r w:rsidRPr="00C76AE5">
        <w:rPr>
          <w:rFonts w:ascii="Calibri" w:hAnsi="Calibri" w:cs="Calibri"/>
        </w:rPr>
        <w:t xml:space="preserve"> in </w:t>
      </w:r>
      <w:r w:rsidRPr="00C76AE5" w:rsidR="00DE0D10">
        <w:rPr>
          <w:rFonts w:ascii="Calibri" w:hAnsi="Calibri" w:cs="Calibri"/>
        </w:rPr>
        <w:t>Northumbria Police</w:t>
      </w:r>
      <w:r w:rsidRPr="00C76AE5">
        <w:rPr>
          <w:rFonts w:ascii="Calibri" w:hAnsi="Calibri" w:cs="Calibri"/>
        </w:rPr>
        <w:t xml:space="preserve">, </w:t>
      </w:r>
      <w:r w:rsidRPr="00C76AE5" w:rsidR="00DE0D10">
        <w:rPr>
          <w:rFonts w:ascii="Calibri" w:hAnsi="Calibri" w:cs="Calibri"/>
        </w:rPr>
        <w:t xml:space="preserve">which </w:t>
      </w:r>
      <w:r w:rsidRPr="00C76AE5">
        <w:rPr>
          <w:rFonts w:ascii="Calibri" w:hAnsi="Calibri" w:cs="Calibri"/>
        </w:rPr>
        <w:t>have introduced more streamlined ways for businesses to report shop theft and share intelligence on prolific offenders.</w:t>
      </w:r>
      <w:r>
        <w:rPr>
          <w:rStyle w:val="FootnoteReference"/>
          <w:rFonts w:ascii="Calibri" w:hAnsi="Calibri" w:cs="Calibri"/>
        </w:rPr>
        <w:footnoteReference w:id="12"/>
      </w:r>
      <w:r w:rsidRPr="00C76AE5">
        <w:rPr>
          <w:rFonts w:ascii="Calibri" w:hAnsi="Calibri" w:cs="Calibri"/>
        </w:rPr>
        <w:t xml:space="preserve"> These approaches help improve consistency of reporting, reduce administrative burden on retailers, and enable police to identify repeat offenders and emerging hotspot locations more quickly</w:t>
      </w:r>
      <w:r w:rsidRPr="00C76AE5">
        <w:rPr>
          <w:rFonts w:ascii="Calibri" w:hAnsi="Calibri" w:cs="Calibri"/>
        </w:rPr>
        <w:t>.</w:t>
      </w:r>
    </w:p>
    <w:p w:rsidR="00DD5655" w:rsidRPr="00C76AE5" w:rsidP="005E54C2">
      <w:pPr>
        <w:pStyle w:val="ListParagraph"/>
        <w:ind w:left="0"/>
        <w:rPr>
          <w:rFonts w:ascii="Calibri" w:hAnsi="Calibri" w:cs="Calibri"/>
        </w:rPr>
      </w:pPr>
    </w:p>
    <w:p w:rsidR="00DD5655" w:rsidRPr="00C76AE5" w:rsidP="005E54C2">
      <w:pPr>
        <w:pStyle w:val="ListParagraph"/>
        <w:numPr>
          <w:ilvl w:val="0"/>
          <w:numId w:val="28"/>
        </w:numPr>
        <w:ind w:left="0"/>
        <w:rPr>
          <w:rFonts w:ascii="Calibri" w:hAnsi="Calibri" w:cs="Calibri"/>
        </w:rPr>
      </w:pPr>
      <w:r w:rsidRPr="00C76AE5">
        <w:rPr>
          <w:rFonts w:ascii="Calibri" w:hAnsi="Calibri" w:cs="Calibri"/>
        </w:rPr>
        <w:t>Other community examples include informal but valuable relationship-building initiatives such as retailers hosting police officers in-store, supporting regular engagement through local visits, and participating in community events. While simple in nature, these interactions help build trust and familiarity between officers and local businesses, which in turn improves the flow of intelligence on issues such as prolific offenders and organised shop theft. Over time, this stronger day-to-day relationship can make it easier for retailers to report concerns early and for police to act more quickly on emerging patterns of offending.</w:t>
      </w:r>
    </w:p>
    <w:p w:rsidR="00DD5655" w:rsidRPr="00C76AE5" w:rsidP="005E54C2">
      <w:pPr>
        <w:pStyle w:val="ListParagraph"/>
        <w:ind w:left="0"/>
        <w:rPr>
          <w:rFonts w:ascii="Calibri" w:hAnsi="Calibri" w:cs="Calibri"/>
        </w:rPr>
      </w:pPr>
    </w:p>
    <w:p w:rsidR="00712222" w:rsidRPr="00C76AE5" w:rsidP="005E54C2">
      <w:pPr>
        <w:pStyle w:val="ListParagraph"/>
        <w:numPr>
          <w:ilvl w:val="0"/>
          <w:numId w:val="28"/>
        </w:numPr>
        <w:ind w:left="0"/>
        <w:rPr>
          <w:rFonts w:ascii="Calibri" w:hAnsi="Calibri" w:cs="Calibri"/>
        </w:rPr>
      </w:pPr>
      <w:r w:rsidRPr="00C76AE5">
        <w:rPr>
          <w:rFonts w:ascii="Calibri" w:hAnsi="Calibri" w:cs="Calibri"/>
        </w:rPr>
        <w:t>More broadly, where neighbourhood policing teams are resourced and closely connected with local businesses, there is evidence of improved outcomes through:</w:t>
      </w:r>
    </w:p>
    <w:p w:rsidR="00712222" w:rsidRPr="00C76AE5" w:rsidP="002F164A">
      <w:pPr>
        <w:pStyle w:val="ListParagraph"/>
        <w:numPr>
          <w:ilvl w:val="0"/>
          <w:numId w:val="10"/>
        </w:numPr>
        <w:ind w:left="360"/>
        <w:rPr>
          <w:rFonts w:ascii="Calibri" w:hAnsi="Calibri" w:cs="Calibri"/>
        </w:rPr>
      </w:pPr>
      <w:r w:rsidRPr="00C76AE5">
        <w:rPr>
          <w:rFonts w:ascii="Calibri" w:hAnsi="Calibri" w:cs="Calibri"/>
        </w:rPr>
        <w:t>Dedicated business crime or retail crime officers acting as a single point of contact;</w:t>
      </w:r>
    </w:p>
    <w:p w:rsidR="00712222" w:rsidRPr="00C76AE5" w:rsidP="002F164A">
      <w:pPr>
        <w:pStyle w:val="ListParagraph"/>
        <w:numPr>
          <w:ilvl w:val="0"/>
          <w:numId w:val="10"/>
        </w:numPr>
        <w:ind w:left="360"/>
        <w:rPr>
          <w:rFonts w:ascii="Calibri" w:hAnsi="Calibri" w:cs="Calibri"/>
        </w:rPr>
      </w:pPr>
      <w:r w:rsidRPr="00C76AE5">
        <w:rPr>
          <w:rFonts w:ascii="Calibri" w:hAnsi="Calibri" w:cs="Calibri"/>
        </w:rPr>
        <w:t>Local shop theft or business crime reporting portals that allow structured reporting of incidents and evidence;</w:t>
      </w:r>
    </w:p>
    <w:p w:rsidR="00712222" w:rsidRPr="00C76AE5" w:rsidP="002F164A">
      <w:pPr>
        <w:pStyle w:val="ListParagraph"/>
        <w:numPr>
          <w:ilvl w:val="0"/>
          <w:numId w:val="10"/>
        </w:numPr>
        <w:ind w:left="360"/>
        <w:rPr>
          <w:rFonts w:ascii="Calibri" w:hAnsi="Calibri" w:cs="Calibri"/>
        </w:rPr>
      </w:pPr>
      <w:r w:rsidRPr="00C76AE5">
        <w:rPr>
          <w:rFonts w:ascii="Calibri" w:hAnsi="Calibri" w:cs="Calibri"/>
        </w:rPr>
        <w:t>Regular information-sharing meetings between retailers, police and local authorities;</w:t>
      </w:r>
    </w:p>
    <w:p w:rsidR="00712222" w:rsidRPr="00C76AE5" w:rsidP="002F164A">
      <w:pPr>
        <w:pStyle w:val="ListParagraph"/>
        <w:numPr>
          <w:ilvl w:val="0"/>
          <w:numId w:val="10"/>
        </w:numPr>
        <w:ind w:left="360"/>
        <w:rPr>
          <w:rFonts w:ascii="Calibri" w:hAnsi="Calibri" w:cs="Calibri"/>
        </w:rPr>
      </w:pPr>
      <w:r w:rsidRPr="00C76AE5">
        <w:rPr>
          <w:rFonts w:ascii="Calibri" w:hAnsi="Calibri" w:cs="Calibri"/>
        </w:rPr>
        <w:t>Use of local exclusion or banning schemes for prolific offenders;</w:t>
      </w:r>
    </w:p>
    <w:p w:rsidR="005E54C2" w:rsidRPr="00C76AE5" w:rsidP="002F164A">
      <w:pPr>
        <w:pStyle w:val="ListParagraph"/>
        <w:numPr>
          <w:ilvl w:val="0"/>
          <w:numId w:val="10"/>
        </w:numPr>
        <w:ind w:left="360"/>
        <w:rPr>
          <w:rFonts w:ascii="Calibri" w:hAnsi="Calibri" w:cs="Calibri"/>
        </w:rPr>
      </w:pPr>
      <w:r w:rsidRPr="00C76AE5">
        <w:rPr>
          <w:rFonts w:ascii="Calibri" w:hAnsi="Calibri" w:cs="Calibri"/>
        </w:rPr>
        <w:t>Joint operations targeting repeat offenders and organised shop theft groups.</w:t>
      </w:r>
    </w:p>
    <w:p w:rsidR="005E54C2" w:rsidRPr="00C76AE5" w:rsidP="005E54C2">
      <w:pPr>
        <w:pStyle w:val="ListParagraph"/>
        <w:ind w:left="0"/>
        <w:rPr>
          <w:rFonts w:ascii="Calibri" w:hAnsi="Calibri" w:cs="Calibri"/>
        </w:rPr>
      </w:pPr>
    </w:p>
    <w:p w:rsidR="005E54C2" w:rsidRPr="00C76AE5" w:rsidP="008F5B81">
      <w:pPr>
        <w:pStyle w:val="ListParagraph"/>
        <w:numPr>
          <w:ilvl w:val="0"/>
          <w:numId w:val="28"/>
        </w:numPr>
        <w:ind w:left="0"/>
        <w:rPr>
          <w:rFonts w:ascii="Calibri" w:hAnsi="Calibri" w:cs="Calibri"/>
        </w:rPr>
      </w:pPr>
      <w:r w:rsidRPr="00C76AE5">
        <w:rPr>
          <w:rFonts w:ascii="Calibri" w:hAnsi="Calibri" w:cs="Calibri"/>
        </w:rPr>
        <w:t>Retailers consistently report that these approaches are most effective when they enable faster intelligence sharing and visible follow-up action, particularly in relation to repeat offenders who operate across multiple stores and locations.</w:t>
      </w:r>
    </w:p>
    <w:p w:rsidR="00A101E7" w:rsidRPr="00C76AE5" w:rsidP="00901C56">
      <w:pPr>
        <w:jc w:val="center"/>
        <w:rPr>
          <w:rFonts w:ascii="Calibri" w:hAnsi="Calibri" w:cs="Calibri"/>
          <w:b/>
          <w:bCs/>
        </w:rPr>
      </w:pPr>
      <w:r w:rsidRPr="00C76AE5">
        <w:rPr>
          <w:rFonts w:ascii="Calibri" w:hAnsi="Calibri" w:cs="Calibri"/>
          <w:b/>
          <w:bCs/>
        </w:rPr>
        <w:t>What barriers, if any, exist to the effective prevention and tackling of serious and organised crime at a neighbourhood level?</w:t>
      </w:r>
    </w:p>
    <w:p w:rsidR="00C5499D" w:rsidRPr="00C76AE5" w:rsidP="002F164A">
      <w:pPr>
        <w:pStyle w:val="ListParagraph"/>
        <w:numPr>
          <w:ilvl w:val="0"/>
          <w:numId w:val="28"/>
        </w:numPr>
        <w:ind w:left="-37"/>
        <w:rPr>
          <w:rFonts w:ascii="Calibri" w:hAnsi="Calibri" w:cs="Calibri"/>
        </w:rPr>
      </w:pPr>
      <w:r w:rsidRPr="00C76AE5">
        <w:rPr>
          <w:rFonts w:ascii="Calibri" w:hAnsi="Calibri" w:cs="Calibri"/>
        </w:rPr>
        <w:t>Retailers consistently report that a key barrier is not simply the availability of enforcement tools, but the friction in how intelligence moves through the system. Information and evidence provided by businesses to police or other enforcement agencies does not always translate into visible action, feedback, or case progression. This weakens confidence in reporting and reduces the flow of intelligence that is essential to tackling repeat and organised offending effectively.</w:t>
      </w:r>
      <w:r w:rsidRPr="00C76AE5" w:rsidR="00F61988">
        <w:rPr>
          <w:rFonts w:ascii="Calibri" w:hAnsi="Calibri" w:cs="Calibri"/>
        </w:rPr>
        <w:t xml:space="preserve"> Improving individual parts to policing and Trading Standards is important but </w:t>
      </w:r>
      <w:r w:rsidRPr="00C76AE5" w:rsidR="00A4216A">
        <w:rPr>
          <w:rFonts w:ascii="Calibri" w:hAnsi="Calibri" w:cs="Calibri"/>
        </w:rPr>
        <w:t>without enabling and accelerating the processing of intelligence and active cases, it will be difficult to gain an accurate account of the challenge facing legitimate businesses</w:t>
      </w:r>
      <w:r w:rsidRPr="00C76AE5" w:rsidR="00626066">
        <w:rPr>
          <w:rFonts w:ascii="Calibri" w:hAnsi="Calibri" w:cs="Calibri"/>
        </w:rPr>
        <w:t xml:space="preserve"> and deliver tangible outcomes.</w:t>
      </w:r>
    </w:p>
    <w:p w:rsidR="002F164A" w:rsidRPr="00C76AE5" w:rsidP="002F164A">
      <w:pPr>
        <w:pStyle w:val="ListParagraph"/>
        <w:ind w:left="-37"/>
        <w:rPr>
          <w:rFonts w:ascii="Calibri" w:hAnsi="Calibri" w:cs="Calibri"/>
        </w:rPr>
      </w:pPr>
    </w:p>
    <w:p w:rsidR="002F164A" w:rsidRPr="00C76AE5" w:rsidP="002F164A">
      <w:pPr>
        <w:pStyle w:val="ListParagraph"/>
        <w:numPr>
          <w:ilvl w:val="0"/>
          <w:numId w:val="28"/>
        </w:numPr>
        <w:ind w:left="-37"/>
        <w:rPr>
          <w:rFonts w:ascii="Calibri" w:hAnsi="Calibri" w:cs="Calibri"/>
        </w:rPr>
      </w:pPr>
      <w:r w:rsidRPr="00C76AE5">
        <w:rPr>
          <w:rFonts w:ascii="Calibri" w:hAnsi="Calibri" w:cs="Calibri"/>
        </w:rPr>
        <w:t>A further weakness in intelligence sharing, which could significantly improve the disruption of rogue businesses, is the absence of a consistently maintained, accessible national database of Trading Standards enforcement outcomes. As a result, intelligence on rogue operators is often held at a local level and is not routinely visible across local authority boundaries, limiting the ability to identify repeat offenders or prevent them relocating and reopening elsewhere.</w:t>
      </w:r>
    </w:p>
    <w:p w:rsidR="002F164A" w:rsidRPr="00C76AE5" w:rsidP="002F164A">
      <w:pPr>
        <w:pStyle w:val="ListParagraph"/>
        <w:ind w:left="-37"/>
        <w:rPr>
          <w:rFonts w:ascii="Calibri" w:hAnsi="Calibri" w:cs="Calibri"/>
        </w:rPr>
      </w:pPr>
    </w:p>
    <w:p w:rsidR="002F164A" w:rsidRPr="00C76AE5" w:rsidP="00755294">
      <w:pPr>
        <w:pStyle w:val="ListParagraph"/>
        <w:numPr>
          <w:ilvl w:val="0"/>
          <w:numId w:val="28"/>
        </w:numPr>
        <w:ind w:left="-37"/>
        <w:rPr>
          <w:rFonts w:ascii="Calibri" w:hAnsi="Calibri" w:cs="Calibri"/>
        </w:rPr>
      </w:pPr>
      <w:r w:rsidRPr="00C76AE5">
        <w:rPr>
          <w:rFonts w:ascii="Calibri" w:hAnsi="Calibri" w:cs="Calibri"/>
        </w:rPr>
        <w:t>While there are existing tools such as tobacco track-and-trace, and potential future licensing schemes for tobacco and vaping retailers, these do not currently provide a comprehensive, shared enforcement record across Trading Standards teams. A more effective approach would be the development of a national, searchable database where Trading Standards can record premises-level enforcement action and share this intelligence securely across local authorities. This would support earlier intervention, improve coordination between enforcement bodies, and help prevent rogue operators from re-establishing themselves in new locations without scrutiny of their prior history.</w:t>
      </w:r>
    </w:p>
    <w:p w:rsidR="002F164A" w:rsidRPr="00C76AE5" w:rsidP="002F164A">
      <w:pPr>
        <w:pStyle w:val="ListParagraph"/>
        <w:ind w:left="-37"/>
        <w:rPr>
          <w:rFonts w:ascii="Calibri" w:hAnsi="Calibri" w:cs="Calibri"/>
        </w:rPr>
      </w:pPr>
    </w:p>
    <w:p w:rsidR="008F5B81" w:rsidRPr="00C76AE5" w:rsidP="008F5B81">
      <w:pPr>
        <w:pStyle w:val="ListParagraph"/>
        <w:numPr>
          <w:ilvl w:val="0"/>
          <w:numId w:val="28"/>
        </w:numPr>
        <w:ind w:left="-37"/>
        <w:rPr>
          <w:rFonts w:ascii="Calibri" w:hAnsi="Calibri" w:cs="Calibri"/>
        </w:rPr>
      </w:pPr>
      <w:r w:rsidRPr="00C76AE5">
        <w:rPr>
          <w:rFonts w:ascii="Calibri" w:hAnsi="Calibri" w:cs="Calibri"/>
        </w:rPr>
        <w:t>Retailers continue to invest heavily in crime prevention measures, including CCTV systems, but current business rates rules mean that businesses can effectively be penalised for investing in security infrastructure. ACS continues to call for CCTV systems to be exempt from business rates.</w:t>
      </w:r>
    </w:p>
    <w:p w:rsidR="008F5B81" w:rsidRPr="00C76AE5" w:rsidP="008F5B81">
      <w:pPr>
        <w:pStyle w:val="ListParagraph"/>
        <w:ind w:left="-37"/>
        <w:rPr>
          <w:rFonts w:ascii="Calibri" w:hAnsi="Calibri" w:cs="Calibri"/>
        </w:rPr>
      </w:pPr>
    </w:p>
    <w:p w:rsidR="00B453E2" w:rsidRPr="00C76AE5" w:rsidP="002F164A">
      <w:pPr>
        <w:pStyle w:val="ListParagraph"/>
        <w:numPr>
          <w:ilvl w:val="0"/>
          <w:numId w:val="28"/>
        </w:numPr>
        <w:ind w:left="-37"/>
        <w:rPr>
          <w:rFonts w:ascii="Calibri" w:hAnsi="Calibri" w:cs="Calibri"/>
        </w:rPr>
      </w:pPr>
      <w:r w:rsidRPr="00C76AE5">
        <w:rPr>
          <w:rFonts w:ascii="Calibri" w:hAnsi="Calibri" w:cs="Calibri"/>
        </w:rPr>
        <w:t xml:space="preserve">Although this isn’t neighbourhood specific, it is relevant for many local retailers trading in communities. </w:t>
      </w:r>
      <w:r w:rsidRPr="00C76AE5" w:rsidR="00612B0D">
        <w:rPr>
          <w:rFonts w:ascii="Calibri" w:hAnsi="Calibri" w:cs="Calibri"/>
        </w:rPr>
        <w:t>There is a need for clearer guidance for retailers on the responsible use of facial recognition technology to identify prolific offenders who repeatedly target stores. Clearer guidance from the Information Commissioner’s Office and a review of the relevant legal frameworks would help support appropriate deployment while maintaining strong privacy safeguards.</w:t>
      </w:r>
    </w:p>
    <w:p w:rsidR="00755294" w:rsidRPr="00C76AE5" w:rsidP="00755294">
      <w:pPr>
        <w:pStyle w:val="ListParagraph"/>
        <w:ind w:left="-37"/>
        <w:rPr>
          <w:rFonts w:ascii="Calibri" w:hAnsi="Calibri" w:cs="Calibri"/>
        </w:rPr>
      </w:pPr>
    </w:p>
    <w:p w:rsidR="00A101E7" w:rsidRPr="00C76AE5" w:rsidP="00901C56">
      <w:pPr>
        <w:jc w:val="center"/>
        <w:rPr>
          <w:rFonts w:ascii="Calibri" w:hAnsi="Calibri" w:cs="Calibri"/>
          <w:b/>
          <w:bCs/>
        </w:rPr>
      </w:pPr>
      <w:r w:rsidRPr="00C76AE5">
        <w:rPr>
          <w:rFonts w:ascii="Calibri" w:hAnsi="Calibri" w:cs="Calibri"/>
          <w:b/>
          <w:bCs/>
        </w:rPr>
        <w:t>To what extent do those working in neighbourhood policing have the knowledge, skills, technology and resources they need to best support the prevention and tackling of serious and organised crime?</w:t>
      </w:r>
    </w:p>
    <w:p w:rsidR="00A101E7" w:rsidRPr="00C76AE5" w:rsidP="00755294">
      <w:pPr>
        <w:pStyle w:val="ListParagraph"/>
        <w:numPr>
          <w:ilvl w:val="0"/>
          <w:numId w:val="28"/>
        </w:numPr>
        <w:ind w:left="20"/>
        <w:rPr>
          <w:rFonts w:ascii="Calibri" w:hAnsi="Calibri" w:cs="Calibri"/>
        </w:rPr>
      </w:pPr>
      <w:r w:rsidRPr="00C76AE5">
        <w:rPr>
          <w:rFonts w:ascii="Calibri" w:hAnsi="Calibri" w:cs="Calibri"/>
        </w:rPr>
        <w:t>This is best answered by a neighbourhood police officer</w:t>
      </w:r>
      <w:r w:rsidRPr="00C76AE5" w:rsidR="00341A1D">
        <w:rPr>
          <w:rFonts w:ascii="Calibri" w:hAnsi="Calibri" w:cs="Calibri"/>
        </w:rPr>
        <w:t xml:space="preserve"> working in the role.</w:t>
      </w:r>
    </w:p>
    <w:p w:rsidR="00A101E7" w:rsidRPr="00C76AE5" w:rsidP="00901C56">
      <w:pPr>
        <w:jc w:val="center"/>
        <w:rPr>
          <w:rFonts w:ascii="Calibri" w:hAnsi="Calibri" w:cs="Calibri"/>
          <w:b/>
          <w:bCs/>
        </w:rPr>
      </w:pPr>
      <w:r w:rsidRPr="00C76AE5">
        <w:rPr>
          <w:rFonts w:ascii="Calibri" w:hAnsi="Calibri" w:cs="Calibri"/>
          <w:b/>
          <w:bCs/>
        </w:rPr>
        <w:t>What impact might the proposals in the White Paper, From Local to National: A New Model for Policing, have on the response to serious and organised crime, especially at a local level?</w:t>
      </w:r>
    </w:p>
    <w:p w:rsidR="002F2C4A" w:rsidRPr="00C76AE5" w:rsidP="00901C56">
      <w:pPr>
        <w:pStyle w:val="ListParagraph"/>
        <w:numPr>
          <w:ilvl w:val="0"/>
          <w:numId w:val="28"/>
        </w:numPr>
        <w:ind w:left="20"/>
        <w:rPr>
          <w:rFonts w:ascii="Calibri" w:hAnsi="Calibri" w:cs="Calibri"/>
        </w:rPr>
      </w:pPr>
      <w:r w:rsidRPr="00C76AE5">
        <w:rPr>
          <w:rFonts w:ascii="Calibri" w:hAnsi="Calibri" w:cs="Calibri"/>
        </w:rPr>
        <w:t>The proposals in the White Paper have the potential to strengthen coordination between local policing and national capabilities, which is particularly important given the increasingly organised and cross-border nature of offences such as shop theft, illicit trade and organised acquisitive crime. Greater intelligence sharing, improved use of data and stronger coordination across police forces could help identify and disrupt prolific offenders and organised criminal networks operating across multiple areas.</w:t>
      </w:r>
      <w:r w:rsidRPr="00C76AE5" w:rsidR="00755294">
        <w:rPr>
          <w:rFonts w:ascii="Calibri" w:hAnsi="Calibri" w:cs="Calibri"/>
        </w:rPr>
        <w:t xml:space="preserve"> </w:t>
      </w:r>
      <w:r w:rsidRPr="00C76AE5">
        <w:rPr>
          <w:rFonts w:ascii="Calibri" w:hAnsi="Calibri" w:cs="Calibri"/>
        </w:rPr>
        <w:t>From a retail perspective, it will be important that any reforms maintain strong neighbourhood policing links and local engagement with businesses. Retailers value having accessible local contacts who understand the specific issues affecting their communities and can coordinate responses with other agencies.</w:t>
      </w:r>
    </w:p>
    <w:p w:rsidR="00A101E7" w:rsidRPr="00C76AE5" w:rsidP="00901C56">
      <w:pPr>
        <w:jc w:val="center"/>
        <w:rPr>
          <w:rFonts w:ascii="Calibri" w:hAnsi="Calibri" w:cs="Calibri"/>
          <w:b/>
          <w:bCs/>
        </w:rPr>
      </w:pPr>
      <w:r w:rsidRPr="00C76AE5">
        <w:rPr>
          <w:rFonts w:ascii="Calibri" w:hAnsi="Calibri" w:cs="Calibri"/>
          <w:b/>
          <w:bCs/>
        </w:rPr>
        <w:t>What further measures, if any, are needed?</w:t>
      </w:r>
    </w:p>
    <w:p w:rsidR="00756C3C" w:rsidRPr="00C76AE5" w:rsidP="002F2C4A">
      <w:pPr>
        <w:pStyle w:val="ListParagraph"/>
        <w:numPr>
          <w:ilvl w:val="0"/>
          <w:numId w:val="28"/>
        </w:numPr>
        <w:ind w:left="20"/>
        <w:rPr>
          <w:rFonts w:ascii="Calibri" w:hAnsi="Calibri" w:cs="Calibri"/>
          <w:b/>
          <w:bCs/>
          <w:i/>
          <w:iCs/>
        </w:rPr>
      </w:pPr>
      <w:r w:rsidRPr="00C76AE5">
        <w:rPr>
          <w:rFonts w:ascii="Calibri" w:hAnsi="Calibri" w:cs="Calibri"/>
          <w:b/>
          <w:bCs/>
          <w:i/>
          <w:iCs/>
        </w:rPr>
        <w:t>Increased investment in Trading Standards</w:t>
      </w:r>
    </w:p>
    <w:p w:rsidR="00756C3C" w:rsidRPr="00C76AE5" w:rsidP="00756C3C">
      <w:pPr>
        <w:rPr>
          <w:rFonts w:ascii="Calibri" w:hAnsi="Calibri" w:cs="Calibri"/>
        </w:rPr>
      </w:pPr>
      <w:r w:rsidRPr="00C76AE5">
        <w:rPr>
          <w:rFonts w:ascii="Calibri" w:hAnsi="Calibri" w:cs="Calibri"/>
        </w:rPr>
        <w:t xml:space="preserve">Trading Standards services remain significantly under-resourced, which limits their ability to respond effectively to the growing scale of illicit trade in local communities. ACS’ 2026 Crime Report shows that 85% of retailers believe the sale of illicit products has increased around their businesses, underlining the scale of the challenge. Additional </w:t>
      </w:r>
      <w:r w:rsidRPr="00C76AE5">
        <w:rPr>
          <w:rFonts w:ascii="Calibri" w:hAnsi="Calibri" w:cs="Calibri"/>
        </w:rPr>
        <w:t>funding is needed to strengthen enforcement capacity, support proactive disruption of organised criminal activity, and ensure effective implementation of existing and forthcoming regulations. ACS estimates that at least £140 million in additional funding will be required over the next five years to meet enforcement demands linked to vaping regulation alone.</w:t>
      </w:r>
    </w:p>
    <w:p w:rsidR="00AB717E" w:rsidRPr="00C76AE5" w:rsidP="00756C3C">
      <w:pPr>
        <w:rPr>
          <w:rFonts w:ascii="Calibri" w:hAnsi="Calibri" w:cs="Calibri"/>
        </w:rPr>
      </w:pPr>
      <w:r w:rsidRPr="00C76AE5">
        <w:rPr>
          <w:rFonts w:ascii="Calibri" w:hAnsi="Calibri" w:cs="Calibri"/>
        </w:rPr>
        <w:t>As set out in the previous question, the Government will introduce a new Vaping Products Duty from 1 October, which HM Treasury estimated in its 2024 consultation response could raise approximately £525 million.</w:t>
      </w:r>
      <w:r>
        <w:rPr>
          <w:rStyle w:val="FootnoteReference"/>
          <w:rFonts w:ascii="Calibri" w:hAnsi="Calibri" w:cs="Calibri"/>
        </w:rPr>
        <w:footnoteReference w:id="13"/>
      </w:r>
      <w:r w:rsidRPr="00C76AE5">
        <w:rPr>
          <w:rFonts w:ascii="Calibri" w:hAnsi="Calibri" w:cs="Calibri"/>
        </w:rPr>
        <w:t xml:space="preserve"> </w:t>
      </w:r>
      <w:r w:rsidRPr="00C76AE5" w:rsidR="00E20AF0">
        <w:rPr>
          <w:rFonts w:ascii="Calibri" w:hAnsi="Calibri" w:cs="Calibri"/>
        </w:rPr>
        <w:t>C</w:t>
      </w:r>
      <w:r w:rsidRPr="00C76AE5">
        <w:rPr>
          <w:rFonts w:ascii="Calibri" w:hAnsi="Calibri" w:cs="Calibri"/>
        </w:rPr>
        <w:t xml:space="preserve">onsideration should be given to </w:t>
      </w:r>
      <w:r w:rsidRPr="00C76AE5" w:rsidR="00E20AF0">
        <w:rPr>
          <w:rFonts w:ascii="Calibri" w:hAnsi="Calibri" w:cs="Calibri"/>
        </w:rPr>
        <w:t>giving a</w:t>
      </w:r>
      <w:r w:rsidRPr="00C76AE5">
        <w:rPr>
          <w:rFonts w:ascii="Calibri" w:hAnsi="Calibri" w:cs="Calibri"/>
        </w:rPr>
        <w:t xml:space="preserve"> proportion of this revenue to strengthen frontline enforcement capacity, particularly within Trading Standards. </w:t>
      </w:r>
    </w:p>
    <w:p w:rsidR="00756C3C" w:rsidRPr="00C76AE5" w:rsidP="002F2C4A">
      <w:pPr>
        <w:pStyle w:val="ListParagraph"/>
        <w:numPr>
          <w:ilvl w:val="0"/>
          <w:numId w:val="28"/>
        </w:numPr>
        <w:ind w:left="20"/>
        <w:rPr>
          <w:rFonts w:ascii="Calibri" w:hAnsi="Calibri" w:cs="Calibri"/>
          <w:b/>
          <w:bCs/>
          <w:i/>
          <w:iCs/>
        </w:rPr>
      </w:pPr>
      <w:r w:rsidRPr="00C76AE5">
        <w:rPr>
          <w:rFonts w:ascii="Calibri" w:hAnsi="Calibri" w:cs="Calibri"/>
          <w:b/>
          <w:bCs/>
          <w:i/>
          <w:iCs/>
        </w:rPr>
        <w:t>Improved reporting of illicit trade</w:t>
      </w:r>
    </w:p>
    <w:p w:rsidR="00756C3C" w:rsidRPr="00C76AE5" w:rsidP="00756C3C">
      <w:pPr>
        <w:rPr>
          <w:rFonts w:ascii="Calibri" w:hAnsi="Calibri" w:cs="Calibri"/>
        </w:rPr>
      </w:pPr>
      <w:r w:rsidRPr="00C76AE5">
        <w:rPr>
          <w:rFonts w:ascii="Calibri" w:hAnsi="Calibri" w:cs="Calibri"/>
        </w:rPr>
        <w:t xml:space="preserve">Reporting systems for illicit trade should be modernised to ensure they are accessible, responsive and available </w:t>
      </w:r>
      <w:r w:rsidRPr="00C76AE5">
        <w:rPr>
          <w:rFonts w:ascii="Calibri" w:hAnsi="Calibri" w:cs="Calibri"/>
        </w:rPr>
        <w:t>at all times</w:t>
      </w:r>
      <w:r w:rsidRPr="00C76AE5">
        <w:rPr>
          <w:rFonts w:ascii="Calibri" w:hAnsi="Calibri" w:cs="Calibri"/>
        </w:rPr>
        <w:t>. At present, the Citizens Advice reporting system used for intelligence gathering is not fully accessible throughout the week, creating unnecessary barriers for businesses and the public reporting real-time criminal activity. A more accessible, user-friendly system would improve intelligence collection, help identify hotspots more quickly, and enable more targeted enforcement activity.</w:t>
      </w:r>
    </w:p>
    <w:p w:rsidR="00756C3C" w:rsidRPr="00C76AE5" w:rsidP="002F2C4A">
      <w:pPr>
        <w:pStyle w:val="ListParagraph"/>
        <w:numPr>
          <w:ilvl w:val="0"/>
          <w:numId w:val="28"/>
        </w:numPr>
        <w:ind w:left="20"/>
        <w:rPr>
          <w:rFonts w:ascii="Calibri" w:hAnsi="Calibri" w:cs="Calibri"/>
          <w:b/>
          <w:bCs/>
          <w:i/>
          <w:iCs/>
        </w:rPr>
      </w:pPr>
      <w:r w:rsidRPr="00C76AE5">
        <w:rPr>
          <w:rFonts w:ascii="Calibri" w:hAnsi="Calibri" w:cs="Calibri"/>
          <w:b/>
          <w:bCs/>
          <w:i/>
          <w:iCs/>
        </w:rPr>
        <w:t>Improved access to enforcement intelligence</w:t>
      </w:r>
    </w:p>
    <w:p w:rsidR="00756C3C" w:rsidRPr="00C76AE5" w:rsidP="00756C3C">
      <w:pPr>
        <w:rPr>
          <w:rFonts w:ascii="Calibri" w:hAnsi="Calibri" w:cs="Calibri"/>
        </w:rPr>
      </w:pPr>
      <w:r w:rsidRPr="00C76AE5">
        <w:rPr>
          <w:rFonts w:ascii="Calibri" w:hAnsi="Calibri" w:cs="Calibri"/>
        </w:rPr>
        <w:t>More effective enforcement against illicit trade requires better information sharing between agencies. Currently, police do not have access to tobacco track-and-trace data, limiting their ability to identify supply chains and link seizures to wider organised criminal networks. Providing appropriate access to this data would significantly improve intelligence-led enforcement and strengthen coordination between police, HMRC, Trading Standards and other partners.</w:t>
      </w:r>
    </w:p>
    <w:p w:rsidR="00756C3C" w:rsidRPr="00C76AE5" w:rsidP="002F2C4A">
      <w:pPr>
        <w:pStyle w:val="ListParagraph"/>
        <w:numPr>
          <w:ilvl w:val="0"/>
          <w:numId w:val="28"/>
        </w:numPr>
        <w:ind w:left="20"/>
        <w:rPr>
          <w:rFonts w:ascii="Calibri" w:hAnsi="Calibri" w:cs="Calibri"/>
          <w:b/>
          <w:bCs/>
          <w:i/>
          <w:iCs/>
        </w:rPr>
      </w:pPr>
      <w:r w:rsidRPr="00C76AE5">
        <w:rPr>
          <w:rFonts w:ascii="Calibri" w:hAnsi="Calibri" w:cs="Calibri"/>
          <w:b/>
          <w:bCs/>
          <w:i/>
          <w:iCs/>
        </w:rPr>
        <w:t>Closure orders</w:t>
      </w:r>
    </w:p>
    <w:p w:rsidR="00033285" w:rsidP="00756C3C">
      <w:pPr>
        <w:rPr>
          <w:rFonts w:ascii="Calibri" w:hAnsi="Calibri" w:cs="Calibri"/>
        </w:rPr>
      </w:pPr>
      <w:r w:rsidRPr="00C76AE5">
        <w:rPr>
          <w:rFonts w:ascii="Calibri" w:hAnsi="Calibri" w:cs="Calibri"/>
        </w:rPr>
        <w:t xml:space="preserve">ACS supports the strengthening of closure order powers to tackle persistent and </w:t>
      </w:r>
      <w:r w:rsidRPr="00C76AE5">
        <w:rPr>
          <w:rFonts w:ascii="Calibri" w:hAnsi="Calibri" w:cs="Calibri"/>
        </w:rPr>
        <w:t>bad-faith</w:t>
      </w:r>
      <w:r w:rsidRPr="00C76AE5">
        <w:rPr>
          <w:rFonts w:ascii="Calibri" w:hAnsi="Calibri" w:cs="Calibri"/>
        </w:rPr>
        <w:t xml:space="preserve"> </w:t>
      </w:r>
      <w:r w:rsidRPr="00C76AE5">
        <w:rPr>
          <w:rFonts w:ascii="Calibri" w:hAnsi="Calibri" w:cs="Calibri"/>
        </w:rPr>
        <w:t>offenders, and</w:t>
      </w:r>
      <w:r w:rsidRPr="00C76AE5">
        <w:rPr>
          <w:rFonts w:ascii="Calibri" w:hAnsi="Calibri" w:cs="Calibri"/>
        </w:rPr>
        <w:t xml:space="preserve"> recognises their value in disrupting criminal activity and protecting communities. However, it is important that any extension of these powers is accompanied by clear safeguards to ensure consistent and proportionate use. Enhanced powers must be applied </w:t>
      </w:r>
      <w:r w:rsidRPr="00C76AE5">
        <w:rPr>
          <w:rFonts w:ascii="Calibri" w:hAnsi="Calibri" w:cs="Calibri"/>
        </w:rPr>
        <w:t>on the basis of</w:t>
      </w:r>
      <w:r w:rsidRPr="00C76AE5">
        <w:rPr>
          <w:rFonts w:ascii="Calibri" w:hAnsi="Calibri" w:cs="Calibri"/>
        </w:rPr>
        <w:t xml:space="preserve"> strong evidence to avoid unintended impacts on legitimate businesses and to maintain confidence in enforcement decisions.</w:t>
      </w:r>
    </w:p>
    <w:p w:rsidR="00C76AE5" w:rsidP="00756C3C">
      <w:pPr>
        <w:rPr>
          <w:rFonts w:ascii="Calibri" w:hAnsi="Calibri" w:cs="Calibri"/>
        </w:rPr>
      </w:pPr>
    </w:p>
    <w:p w:rsidR="00C76AE5" w:rsidRPr="00C76AE5" w:rsidP="00C76AE5">
      <w:pPr>
        <w:jc w:val="right"/>
        <w:rPr>
          <w:rFonts w:ascii="Calibri" w:hAnsi="Calibri" w:cs="Calibri"/>
          <w:b/>
          <w:bCs/>
          <w:i/>
          <w:iCs/>
        </w:rPr>
      </w:pPr>
      <w:r w:rsidRPr="00C76AE5">
        <w:rPr>
          <w:rFonts w:ascii="Calibri" w:hAnsi="Calibri" w:cs="Calibri"/>
          <w:b/>
          <w:bCs/>
          <w:i/>
          <w:iCs/>
        </w:rPr>
        <w:t>June 2026</w:t>
      </w:r>
    </w:p>
    <w:sectPr w:rsidSect="00B34C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00619" w:rsidP="0083458E">
      <w:pPr>
        <w:spacing w:after="0" w:line="240" w:lineRule="auto"/>
      </w:pPr>
      <w:r>
        <w:separator/>
      </w:r>
    </w:p>
  </w:footnote>
  <w:footnote w:type="continuationSeparator" w:id="1">
    <w:p w:rsidR="00F00619" w:rsidP="0083458E">
      <w:pPr>
        <w:spacing w:after="0" w:line="240" w:lineRule="auto"/>
      </w:pPr>
      <w:r>
        <w:continuationSeparator/>
      </w:r>
    </w:p>
  </w:footnote>
  <w:footnote w:id="2">
    <w:p w:rsidR="00044A15">
      <w:pPr>
        <w:pStyle w:val="FootnoteText"/>
      </w:pPr>
      <w:r>
        <w:rPr>
          <w:rStyle w:val="FootnoteReference"/>
        </w:rPr>
        <w:footnoteRef/>
      </w:r>
      <w:r>
        <w:t xml:space="preserve"> </w:t>
      </w:r>
      <w:r>
        <w:fldChar w:fldCharType="begin"/>
      </w:r>
      <w:r>
        <w:instrText xml:space="preserve"> HYPERLINK "https://www.acs.org.uk/research/crime-report-2026" </w:instrText>
      </w:r>
      <w:r>
        <w:fldChar w:fldCharType="separate"/>
      </w:r>
      <w:r w:rsidRPr="00637BD2">
        <w:rPr>
          <w:rStyle w:val="Hyperlink"/>
        </w:rPr>
        <w:t>ACS 2026 Crime Report</w:t>
      </w:r>
      <w:r>
        <w:fldChar w:fldCharType="end"/>
      </w:r>
    </w:p>
  </w:footnote>
  <w:footnote w:id="3">
    <w:p w:rsidR="002026E1">
      <w:pPr>
        <w:pStyle w:val="FootnoteText"/>
      </w:pPr>
      <w:r>
        <w:rPr>
          <w:rStyle w:val="FootnoteReference"/>
        </w:rPr>
        <w:footnoteRef/>
      </w:r>
      <w:r>
        <w:t xml:space="preserve"> </w:t>
      </w:r>
      <w:r>
        <w:fldChar w:fldCharType="begin"/>
      </w:r>
      <w:r>
        <w:instrText xml:space="preserve"> HYPERLINK "https://cdn.acs.org.uk/public/ACS%20Crime%20Report%202026.pdf" </w:instrText>
      </w:r>
      <w:r>
        <w:fldChar w:fldCharType="separate"/>
      </w:r>
      <w:r w:rsidRPr="002026E1">
        <w:rPr>
          <w:rStyle w:val="Hyperlink"/>
        </w:rPr>
        <w:t>ACS Crime Report 2026</w:t>
      </w:r>
      <w:r>
        <w:fldChar w:fldCharType="end"/>
      </w:r>
    </w:p>
  </w:footnote>
  <w:footnote w:id="4">
    <w:p w:rsidR="00006D79">
      <w:pPr>
        <w:pStyle w:val="FootnoteText"/>
      </w:pPr>
      <w:r>
        <w:rPr>
          <w:rStyle w:val="FootnoteReference"/>
        </w:rPr>
        <w:footnoteRef/>
      </w:r>
      <w:r>
        <w:t xml:space="preserve"> </w:t>
      </w:r>
      <w:r>
        <w:fldChar w:fldCharType="begin"/>
      </w:r>
      <w:r>
        <w:instrText xml:space="preserve"> HYPERLINK "https://www.acs.org.uk/research/crime-report-2026" </w:instrText>
      </w:r>
      <w:r>
        <w:fldChar w:fldCharType="separate"/>
      </w:r>
      <w:r w:rsidRPr="00006D79">
        <w:rPr>
          <w:rStyle w:val="Hyperlink"/>
        </w:rPr>
        <w:t>ACS Crime Report 2026</w:t>
      </w:r>
      <w:r>
        <w:fldChar w:fldCharType="end"/>
      </w:r>
    </w:p>
  </w:footnote>
  <w:footnote w:id="5">
    <w:p w:rsidR="00536E12" w:rsidP="00536E12">
      <w:pPr>
        <w:pStyle w:val="FootnoteText"/>
      </w:pPr>
      <w:r>
        <w:rPr>
          <w:rStyle w:val="FootnoteReference"/>
        </w:rPr>
        <w:footnoteRef/>
      </w:r>
      <w:r>
        <w:t xml:space="preserve"> </w:t>
      </w:r>
      <w:r>
        <w:fldChar w:fldCharType="begin"/>
      </w:r>
      <w:r>
        <w:instrText xml:space="preserve"> HYPERLINK "https://www.gov.uk/government/collections/proven-reoffending-statistics" </w:instrText>
      </w:r>
      <w:r>
        <w:fldChar w:fldCharType="separate"/>
      </w:r>
      <w:r w:rsidRPr="003666BA">
        <w:rPr>
          <w:rStyle w:val="Hyperlink"/>
        </w:rPr>
        <w:t>Proven reoffending statistics</w:t>
      </w:r>
      <w:r>
        <w:fldChar w:fldCharType="end"/>
      </w:r>
    </w:p>
  </w:footnote>
  <w:footnote w:id="6">
    <w:p w:rsidR="00D72D0A">
      <w:pPr>
        <w:pStyle w:val="FootnoteText"/>
      </w:pPr>
      <w:r>
        <w:rPr>
          <w:rStyle w:val="FootnoteReference"/>
        </w:rPr>
        <w:footnoteRef/>
      </w:r>
      <w:r>
        <w:t xml:space="preserve"> </w:t>
      </w:r>
      <w:r>
        <w:fldChar w:fldCharType="begin"/>
      </w:r>
      <w:r>
        <w:instrText xml:space="preserve"> HYPERLINK "https://www.gov.uk/government/statistics/measuring-tax-gaps/3-tax-gaps-excise-including-alcohol-tobacco-and-oils" </w:instrText>
      </w:r>
      <w:r>
        <w:fldChar w:fldCharType="separate"/>
      </w:r>
      <w:r w:rsidRPr="00D72D0A">
        <w:rPr>
          <w:rStyle w:val="Hyperlink"/>
        </w:rPr>
        <w:t>Tax gaps: Excise (including alcohol, tobacco and oils) 2025</w:t>
      </w:r>
      <w:r>
        <w:fldChar w:fldCharType="end"/>
      </w:r>
    </w:p>
  </w:footnote>
  <w:footnote w:id="7">
    <w:p w:rsidR="00FB42C0">
      <w:pPr>
        <w:pStyle w:val="FootnoteText"/>
      </w:pPr>
      <w:r>
        <w:rPr>
          <w:rStyle w:val="FootnoteReference"/>
        </w:rPr>
        <w:footnoteRef/>
      </w:r>
      <w:r>
        <w:t xml:space="preserve"> </w:t>
      </w:r>
      <w:r>
        <w:fldChar w:fldCharType="begin"/>
      </w:r>
      <w:r>
        <w:instrText xml:space="preserve"> HYPERLINK "https://www.gov.uk/government/statistics/measuring-tax-gaps/3-tax-gaps-excise-including-alcohol-tobacco-and-oils" </w:instrText>
      </w:r>
      <w:r>
        <w:fldChar w:fldCharType="separate"/>
      </w:r>
      <w:r w:rsidRPr="00D72D0A">
        <w:rPr>
          <w:rStyle w:val="Hyperlink"/>
        </w:rPr>
        <w:t>Tax gaps: Excise (including alcohol, tobacco and oils) 2025</w:t>
      </w:r>
      <w:r>
        <w:fldChar w:fldCharType="end"/>
      </w:r>
    </w:p>
  </w:footnote>
  <w:footnote w:id="8">
    <w:p w:rsidR="00FB42C0">
      <w:pPr>
        <w:pStyle w:val="FootnoteText"/>
      </w:pPr>
      <w:r>
        <w:rPr>
          <w:rStyle w:val="FootnoteReference"/>
        </w:rPr>
        <w:footnoteRef/>
      </w:r>
      <w:r>
        <w:t xml:space="preserve"> </w:t>
      </w:r>
      <w:r>
        <w:fldChar w:fldCharType="begin"/>
      </w:r>
      <w:r>
        <w:instrText xml:space="preserve"> HYPERLINK "https://cdn.acs.org.uk/public/ACS%20Crime%20Report%202026.pdf" </w:instrText>
      </w:r>
      <w:r>
        <w:fldChar w:fldCharType="separate"/>
      </w:r>
      <w:r w:rsidRPr="002947F8">
        <w:rPr>
          <w:rStyle w:val="Hyperlink"/>
        </w:rPr>
        <w:t>ACS Crime Report 2026.</w:t>
      </w:r>
      <w:r>
        <w:fldChar w:fldCharType="end"/>
      </w:r>
    </w:p>
  </w:footnote>
  <w:footnote w:id="9">
    <w:p w:rsidR="00EE6F9A">
      <w:pPr>
        <w:pStyle w:val="FootnoteText"/>
      </w:pPr>
      <w:r>
        <w:rPr>
          <w:rStyle w:val="FootnoteReference"/>
        </w:rPr>
        <w:footnoteRef/>
      </w:r>
      <w:r>
        <w:t xml:space="preserve"> </w:t>
      </w:r>
      <w:r>
        <w:fldChar w:fldCharType="begin"/>
      </w:r>
      <w:r>
        <w:instrText xml:space="preserve"> HYPERLINK "https://cdn.acs.org.uk/public/ACS%20Crime%20Report%202026.pdf" </w:instrText>
      </w:r>
      <w:r>
        <w:fldChar w:fldCharType="separate"/>
      </w:r>
      <w:r w:rsidRPr="00581788">
        <w:rPr>
          <w:rStyle w:val="Hyperlink"/>
        </w:rPr>
        <w:t>ACS Crime Report 2026</w:t>
      </w:r>
      <w:r>
        <w:fldChar w:fldCharType="end"/>
      </w:r>
    </w:p>
  </w:footnote>
  <w:footnote w:id="10">
    <w:p w:rsidR="00517AEB">
      <w:pPr>
        <w:pStyle w:val="FootnoteText"/>
      </w:pPr>
      <w:r>
        <w:rPr>
          <w:rStyle w:val="FootnoteReference"/>
        </w:rPr>
        <w:footnoteRef/>
      </w:r>
      <w:r>
        <w:t xml:space="preserve"> </w:t>
      </w:r>
      <w:r>
        <w:fldChar w:fldCharType="begin"/>
      </w:r>
      <w:r>
        <w:instrText xml:space="preserve"> HYPERLINK "https://cdn.acs.org.uk/public/Resource%20Analysis%20for%20Vape%20Enforcement%20in%20England.pdf" </w:instrText>
      </w:r>
      <w:r>
        <w:fldChar w:fldCharType="separate"/>
      </w:r>
      <w:r w:rsidRPr="00951255">
        <w:rPr>
          <w:rStyle w:val="Hyperlink"/>
        </w:rPr>
        <w:t>ACS Resource Analysis for Vape Enforcement 2024</w:t>
      </w:r>
      <w:r>
        <w:fldChar w:fldCharType="end"/>
      </w:r>
    </w:p>
  </w:footnote>
  <w:footnote w:id="11">
    <w:p w:rsidR="00102E01">
      <w:pPr>
        <w:pStyle w:val="FootnoteText"/>
      </w:pPr>
      <w:r>
        <w:rPr>
          <w:rStyle w:val="FootnoteReference"/>
        </w:rPr>
        <w:footnoteRef/>
      </w:r>
      <w:r>
        <w:t xml:space="preserve"> </w:t>
      </w:r>
      <w:r>
        <w:fldChar w:fldCharType="begin"/>
      </w:r>
      <w:r>
        <w:instrText xml:space="preserve"> HYPERLINK "https://www.acs.org.uk/news/acs-welcomes-progress-neighbourhood-police-presence-communities" </w:instrText>
      </w:r>
      <w:r>
        <w:fldChar w:fldCharType="separate"/>
      </w:r>
      <w:r w:rsidRPr="00B051BC">
        <w:rPr>
          <w:rStyle w:val="Hyperlink"/>
        </w:rPr>
        <w:t>ACS Welcomes Progress on Neighbourhood Police Presence in Communities</w:t>
      </w:r>
      <w:r>
        <w:fldChar w:fldCharType="end"/>
      </w:r>
    </w:p>
  </w:footnote>
  <w:footnote w:id="12">
    <w:p w:rsidR="00654950">
      <w:pPr>
        <w:pStyle w:val="FootnoteText"/>
      </w:pPr>
      <w:r>
        <w:rPr>
          <w:rStyle w:val="FootnoteReference"/>
        </w:rPr>
        <w:footnoteRef/>
      </w:r>
      <w:r>
        <w:t xml:space="preserve"> </w:t>
      </w:r>
      <w:r>
        <w:fldChar w:fldCharType="begin"/>
      </w:r>
      <w:r>
        <w:instrText xml:space="preserve"> HYPERLINK "https://www.northumbria.police.uk/news/northumbria/news/gateshead-and-newcastle/partnership-operation-sees-60-repeat-shoplifters-convicted/" </w:instrText>
      </w:r>
      <w:r>
        <w:fldChar w:fldCharType="separate"/>
      </w:r>
      <w:r w:rsidRPr="00BF6805">
        <w:rPr>
          <w:rStyle w:val="Hyperlink"/>
        </w:rPr>
        <w:t>Operation Canvas Reporting Success.</w:t>
      </w:r>
      <w:r>
        <w:fldChar w:fldCharType="end"/>
      </w:r>
    </w:p>
  </w:footnote>
  <w:footnote w:id="13">
    <w:p w:rsidR="00AB717E">
      <w:pPr>
        <w:pStyle w:val="FootnoteText"/>
      </w:pPr>
      <w:r>
        <w:rPr>
          <w:rStyle w:val="FootnoteReference"/>
        </w:rPr>
        <w:footnoteRef/>
      </w:r>
      <w:r>
        <w:t xml:space="preserve"> </w:t>
      </w:r>
      <w:r>
        <w:fldChar w:fldCharType="begin"/>
      </w:r>
      <w:r>
        <w:instrText xml:space="preserve"> HYPERLINK "https://assets.publishing.service.gov.uk/media/6756bef7f1e6b277c4f799fd/Vaping_Products_Duty_consultation_response.pdf" </w:instrText>
      </w:r>
      <w:r>
        <w:fldChar w:fldCharType="separate"/>
      </w:r>
      <w:r w:rsidRPr="00E20AF0" w:rsidR="00E20AF0">
        <w:rPr>
          <w:rStyle w:val="Hyperlink"/>
        </w:rPr>
        <w:t>Vaping Products Duty: Consultation response</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22305C"/>
    <w:multiLevelType w:val="hybridMultilevel"/>
    <w:tmpl w:val="A7305C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5FC3565"/>
    <w:multiLevelType w:val="hybridMultilevel"/>
    <w:tmpl w:val="7B9EE864"/>
    <w:lvl w:ilvl="0">
      <w:start w:val="1"/>
      <w:numFmt w:val="bullet"/>
      <w:lvlText w:val=""/>
      <w:lvlJc w:val="left"/>
      <w:pPr>
        <w:ind w:left="2160" w:hanging="360"/>
      </w:pPr>
      <w:rPr>
        <w:rFonts w:ascii="Symbol" w:hAnsi="Symbol" w:hint="default"/>
      </w:rPr>
    </w:lvl>
    <w:lvl w:ilvl="1">
      <w:start w:val="2209"/>
      <w:numFmt w:val="bullet"/>
      <w:lvlText w:val="-"/>
      <w:lvlJc w:val="left"/>
      <w:pPr>
        <w:ind w:left="2880" w:hanging="360"/>
      </w:pPr>
      <w:rPr>
        <w:rFonts w:ascii="Aptos" w:hAnsi="Aptos" w:eastAsiaTheme="minorHAnsi" w:cstheme="minorBidi"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2">
    <w:nsid w:val="066031E9"/>
    <w:multiLevelType w:val="hybridMultilevel"/>
    <w:tmpl w:val="94305E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8FF61E2"/>
    <w:multiLevelType w:val="hybridMultilevel"/>
    <w:tmpl w:val="CB10D6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9274263"/>
    <w:multiLevelType w:val="hybridMultilevel"/>
    <w:tmpl w:val="828A46CE"/>
    <w:lvl w:ilvl="0">
      <w:start w:val="1"/>
      <w:numFmt w:val="decimal"/>
      <w:lvlText w:val="%1."/>
      <w:lvlJc w:val="left"/>
      <w:pPr>
        <w:ind w:left="360" w:hanging="360"/>
      </w:pPr>
      <w:rPr>
        <w:rFonts w:hint="default"/>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D8F6543"/>
    <w:multiLevelType w:val="hybridMultilevel"/>
    <w:tmpl w:val="EADA32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4C450F0"/>
    <w:multiLevelType w:val="hybridMultilevel"/>
    <w:tmpl w:val="9038484C"/>
    <w:lvl w:ilvl="0">
      <w:start w:val="2209"/>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5A336AF"/>
    <w:multiLevelType w:val="hybridMultilevel"/>
    <w:tmpl w:val="0B46F2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84F4AE0"/>
    <w:multiLevelType w:val="multilevel"/>
    <w:tmpl w:val="5962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878648F"/>
    <w:multiLevelType w:val="hybridMultilevel"/>
    <w:tmpl w:val="2A4C02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8BC225A"/>
    <w:multiLevelType w:val="hybridMultilevel"/>
    <w:tmpl w:val="FB3247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D131900"/>
    <w:multiLevelType w:val="hybridMultilevel"/>
    <w:tmpl w:val="97ECDEAC"/>
    <w:lvl w:ilvl="0">
      <w:start w:val="1"/>
      <w:numFmt w:val="bullet"/>
      <w:lvlText w:val="-"/>
      <w:lvlJc w:val="left"/>
      <w:pPr>
        <w:ind w:left="1080" w:hanging="360"/>
      </w:pPr>
      <w:rPr>
        <w:rFonts w:ascii="Arial" w:hAnsi="Arial" w:eastAsiaTheme="minorHAnsi"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1DB5722F"/>
    <w:multiLevelType w:val="hybridMultilevel"/>
    <w:tmpl w:val="669E3780"/>
    <w:lvl w:ilvl="0">
      <w:start w:val="2209"/>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F41386C"/>
    <w:multiLevelType w:val="hybridMultilevel"/>
    <w:tmpl w:val="7DE65F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4C96F49"/>
    <w:multiLevelType w:val="hybridMultilevel"/>
    <w:tmpl w:val="2F3C96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52077C9"/>
    <w:multiLevelType w:val="hybridMultilevel"/>
    <w:tmpl w:val="5F6C2EC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2A0E0DBB"/>
    <w:multiLevelType w:val="hybridMultilevel"/>
    <w:tmpl w:val="C8F28BD2"/>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7207833"/>
    <w:multiLevelType w:val="multilevel"/>
    <w:tmpl w:val="2B1E6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A448AC"/>
    <w:multiLevelType w:val="hybridMultilevel"/>
    <w:tmpl w:val="7FC05344"/>
    <w:lvl w:ilvl="0">
      <w:start w:val="1"/>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9A24E66"/>
    <w:multiLevelType w:val="hybridMultilevel"/>
    <w:tmpl w:val="EC2270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C815F37"/>
    <w:multiLevelType w:val="hybridMultilevel"/>
    <w:tmpl w:val="36BE8700"/>
    <w:lvl w:ilvl="0">
      <w:start w:val="2209"/>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D036193"/>
    <w:multiLevelType w:val="hybridMultilevel"/>
    <w:tmpl w:val="2884BE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84D5C07"/>
    <w:multiLevelType w:val="hybridMultilevel"/>
    <w:tmpl w:val="751EA1E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5B53507E"/>
    <w:multiLevelType w:val="hybridMultilevel"/>
    <w:tmpl w:val="79CE3F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B5A643B"/>
    <w:multiLevelType w:val="multilevel"/>
    <w:tmpl w:val="D250C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4C5438"/>
    <w:multiLevelType w:val="hybridMultilevel"/>
    <w:tmpl w:val="5ADE93B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4611B59"/>
    <w:multiLevelType w:val="hybridMultilevel"/>
    <w:tmpl w:val="B02280C2"/>
    <w:lvl w:ilvl="0">
      <w:start w:val="1"/>
      <w:numFmt w:val="decimal"/>
      <w:lvlText w:val="%1."/>
      <w:lvlJc w:val="left"/>
      <w:pPr>
        <w:ind w:left="720" w:hanging="360"/>
      </w:pPr>
      <w:rPr>
        <w:rFonts w:hint="default"/>
        <w:b w:val="0"/>
        <w:b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6F5090E"/>
    <w:multiLevelType w:val="multilevel"/>
    <w:tmpl w:val="2BBE9C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C4B483D"/>
    <w:multiLevelType w:val="hybridMultilevel"/>
    <w:tmpl w:val="0E54FE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09F6545"/>
    <w:multiLevelType w:val="hybridMultilevel"/>
    <w:tmpl w:val="EB667156"/>
    <w:lvl w:ilvl="0">
      <w:start w:val="1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786A3C39"/>
    <w:multiLevelType w:val="multilevel"/>
    <w:tmpl w:val="10D66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462343"/>
    <w:multiLevelType w:val="hybridMultilevel"/>
    <w:tmpl w:val="EAE0198A"/>
    <w:lvl w:ilvl="0">
      <w:start w:val="2209"/>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7D3A7AFD"/>
    <w:multiLevelType w:val="hybridMultilevel"/>
    <w:tmpl w:val="3B6852D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5"/>
  </w:num>
  <w:num w:numId="3">
    <w:abstractNumId w:val="24"/>
  </w:num>
  <w:num w:numId="4">
    <w:abstractNumId w:val="28"/>
  </w:num>
  <w:num w:numId="5">
    <w:abstractNumId w:val="23"/>
  </w:num>
  <w:num w:numId="6">
    <w:abstractNumId w:val="3"/>
  </w:num>
  <w:num w:numId="7">
    <w:abstractNumId w:val="19"/>
  </w:num>
  <w:num w:numId="8">
    <w:abstractNumId w:val="9"/>
  </w:num>
  <w:num w:numId="9">
    <w:abstractNumId w:val="13"/>
  </w:num>
  <w:num w:numId="10">
    <w:abstractNumId w:val="1"/>
  </w:num>
  <w:num w:numId="11">
    <w:abstractNumId w:val="31"/>
  </w:num>
  <w:num w:numId="12">
    <w:abstractNumId w:val="20"/>
  </w:num>
  <w:num w:numId="13">
    <w:abstractNumId w:val="6"/>
  </w:num>
  <w:num w:numId="14">
    <w:abstractNumId w:val="0"/>
  </w:num>
  <w:num w:numId="15">
    <w:abstractNumId w:val="12"/>
  </w:num>
  <w:num w:numId="16">
    <w:abstractNumId w:val="14"/>
  </w:num>
  <w:num w:numId="17">
    <w:abstractNumId w:val="7"/>
  </w:num>
  <w:num w:numId="18">
    <w:abstractNumId w:val="5"/>
  </w:num>
  <w:num w:numId="19">
    <w:abstractNumId w:val="17"/>
  </w:num>
  <w:num w:numId="20">
    <w:abstractNumId w:val="27"/>
  </w:num>
  <w:num w:numId="21">
    <w:abstractNumId w:val="8"/>
  </w:num>
  <w:num w:numId="22">
    <w:abstractNumId w:val="30"/>
  </w:num>
  <w:num w:numId="23">
    <w:abstractNumId w:val="21"/>
  </w:num>
  <w:num w:numId="24">
    <w:abstractNumId w:val="10"/>
  </w:num>
  <w:num w:numId="25">
    <w:abstractNumId w:val="32"/>
  </w:num>
  <w:num w:numId="26">
    <w:abstractNumId w:val="11"/>
  </w:num>
  <w:num w:numId="27">
    <w:abstractNumId w:val="18"/>
  </w:num>
  <w:num w:numId="28">
    <w:abstractNumId w:val="4"/>
  </w:num>
  <w:num w:numId="29">
    <w:abstractNumId w:val="22"/>
  </w:num>
  <w:num w:numId="30">
    <w:abstractNumId w:val="16"/>
  </w:num>
  <w:num w:numId="31">
    <w:abstractNumId w:val="26"/>
  </w:num>
  <w:num w:numId="32">
    <w:abstractNumId w:val="29"/>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A101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01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1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1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1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1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1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1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1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1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1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1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1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1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1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1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1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1E7"/>
    <w:rPr>
      <w:rFonts w:eastAsiaTheme="majorEastAsia" w:cstheme="majorBidi"/>
      <w:color w:val="272727" w:themeColor="text1" w:themeTint="D8"/>
    </w:rPr>
  </w:style>
  <w:style w:type="paragraph" w:styleId="Title">
    <w:name w:val="Title"/>
    <w:basedOn w:val="Normal"/>
    <w:next w:val="Normal"/>
    <w:link w:val="TitleChar"/>
    <w:uiPriority w:val="10"/>
    <w:qFormat/>
    <w:rsid w:val="00A101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1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1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1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1E7"/>
    <w:pPr>
      <w:spacing w:before="160"/>
      <w:jc w:val="center"/>
    </w:pPr>
    <w:rPr>
      <w:i/>
      <w:iCs/>
      <w:color w:val="404040" w:themeColor="text1" w:themeTint="BF"/>
    </w:rPr>
  </w:style>
  <w:style w:type="character" w:customStyle="1" w:styleId="QuoteChar">
    <w:name w:val="Quote Char"/>
    <w:basedOn w:val="DefaultParagraphFont"/>
    <w:link w:val="Quote"/>
    <w:uiPriority w:val="29"/>
    <w:rsid w:val="00A101E7"/>
    <w:rPr>
      <w:i/>
      <w:iCs/>
      <w:color w:val="404040" w:themeColor="text1" w:themeTint="BF"/>
    </w:rPr>
  </w:style>
  <w:style w:type="paragraph" w:styleId="ListParagraph">
    <w:name w:val="List Paragraph"/>
    <w:basedOn w:val="Normal"/>
    <w:uiPriority w:val="34"/>
    <w:qFormat/>
    <w:rsid w:val="00A101E7"/>
    <w:pPr>
      <w:ind w:left="720"/>
      <w:contextualSpacing/>
    </w:pPr>
  </w:style>
  <w:style w:type="character" w:styleId="IntenseEmphasis">
    <w:name w:val="Intense Emphasis"/>
    <w:basedOn w:val="DefaultParagraphFont"/>
    <w:uiPriority w:val="21"/>
    <w:qFormat/>
    <w:rsid w:val="00A101E7"/>
    <w:rPr>
      <w:i/>
      <w:iCs/>
      <w:color w:val="0F4761" w:themeColor="accent1" w:themeShade="BF"/>
    </w:rPr>
  </w:style>
  <w:style w:type="paragraph" w:styleId="IntenseQuote">
    <w:name w:val="Intense Quote"/>
    <w:basedOn w:val="Normal"/>
    <w:next w:val="Normal"/>
    <w:link w:val="IntenseQuoteChar"/>
    <w:uiPriority w:val="30"/>
    <w:qFormat/>
    <w:rsid w:val="00A101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1E7"/>
    <w:rPr>
      <w:i/>
      <w:iCs/>
      <w:color w:val="0F4761" w:themeColor="accent1" w:themeShade="BF"/>
    </w:rPr>
  </w:style>
  <w:style w:type="character" w:styleId="IntenseReference">
    <w:name w:val="Intense Reference"/>
    <w:basedOn w:val="DefaultParagraphFont"/>
    <w:uiPriority w:val="32"/>
    <w:qFormat/>
    <w:rsid w:val="00A101E7"/>
    <w:rPr>
      <w:b/>
      <w:bCs/>
      <w:smallCaps/>
      <w:color w:val="0F4761" w:themeColor="accent1" w:themeShade="BF"/>
      <w:spacing w:val="5"/>
    </w:rPr>
  </w:style>
  <w:style w:type="character" w:styleId="CommentReference">
    <w:name w:val="annotation reference"/>
    <w:basedOn w:val="DefaultParagraphFont"/>
    <w:uiPriority w:val="99"/>
    <w:semiHidden/>
    <w:unhideWhenUsed/>
    <w:rsid w:val="0088345E"/>
    <w:rPr>
      <w:sz w:val="16"/>
      <w:szCs w:val="16"/>
    </w:rPr>
  </w:style>
  <w:style w:type="paragraph" w:styleId="CommentText">
    <w:name w:val="annotation text"/>
    <w:basedOn w:val="Normal"/>
    <w:link w:val="CommentTextChar"/>
    <w:uiPriority w:val="99"/>
    <w:unhideWhenUsed/>
    <w:rsid w:val="0088345E"/>
    <w:pPr>
      <w:spacing w:line="240" w:lineRule="auto"/>
    </w:pPr>
    <w:rPr>
      <w:sz w:val="20"/>
      <w:szCs w:val="20"/>
    </w:rPr>
  </w:style>
  <w:style w:type="character" w:customStyle="1" w:styleId="CommentTextChar">
    <w:name w:val="Comment Text Char"/>
    <w:basedOn w:val="DefaultParagraphFont"/>
    <w:link w:val="CommentText"/>
    <w:uiPriority w:val="99"/>
    <w:rsid w:val="0088345E"/>
    <w:rPr>
      <w:sz w:val="20"/>
      <w:szCs w:val="20"/>
    </w:rPr>
  </w:style>
  <w:style w:type="paragraph" w:styleId="CommentSubject">
    <w:name w:val="annotation subject"/>
    <w:basedOn w:val="CommentText"/>
    <w:next w:val="CommentText"/>
    <w:link w:val="CommentSubjectChar"/>
    <w:uiPriority w:val="99"/>
    <w:semiHidden/>
    <w:unhideWhenUsed/>
    <w:rsid w:val="0088345E"/>
    <w:rPr>
      <w:b/>
      <w:bCs/>
    </w:rPr>
  </w:style>
  <w:style w:type="character" w:customStyle="1" w:styleId="CommentSubjectChar">
    <w:name w:val="Comment Subject Char"/>
    <w:basedOn w:val="CommentTextChar"/>
    <w:link w:val="CommentSubject"/>
    <w:uiPriority w:val="99"/>
    <w:semiHidden/>
    <w:rsid w:val="0088345E"/>
    <w:rPr>
      <w:b/>
      <w:bCs/>
      <w:sz w:val="20"/>
      <w:szCs w:val="20"/>
    </w:rPr>
  </w:style>
  <w:style w:type="paragraph" w:styleId="FootnoteText">
    <w:name w:val="footnote text"/>
    <w:basedOn w:val="Normal"/>
    <w:link w:val="FootnoteTextChar"/>
    <w:uiPriority w:val="99"/>
    <w:semiHidden/>
    <w:unhideWhenUsed/>
    <w:rsid w:val="008345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458E"/>
    <w:rPr>
      <w:sz w:val="20"/>
      <w:szCs w:val="20"/>
    </w:rPr>
  </w:style>
  <w:style w:type="character" w:styleId="FootnoteReference">
    <w:name w:val="footnote reference"/>
    <w:basedOn w:val="DefaultParagraphFont"/>
    <w:uiPriority w:val="99"/>
    <w:semiHidden/>
    <w:unhideWhenUsed/>
    <w:rsid w:val="0083458E"/>
    <w:rPr>
      <w:vertAlign w:val="superscript"/>
    </w:rPr>
  </w:style>
  <w:style w:type="character" w:styleId="Hyperlink">
    <w:name w:val="Hyperlink"/>
    <w:basedOn w:val="DefaultParagraphFont"/>
    <w:uiPriority w:val="99"/>
    <w:unhideWhenUsed/>
    <w:rsid w:val="00C42FDB"/>
    <w:rPr>
      <w:color w:val="467886" w:themeColor="hyperlink"/>
      <w:u w:val="single"/>
    </w:rPr>
  </w:style>
  <w:style w:type="character" w:customStyle="1" w:styleId="UnresolvedMention">
    <w:name w:val="Unresolved Mention"/>
    <w:basedOn w:val="DefaultParagraphFont"/>
    <w:uiPriority w:val="99"/>
    <w:semiHidden/>
    <w:unhideWhenUsed/>
    <w:rsid w:val="00C42FDB"/>
    <w:rPr>
      <w:color w:val="605E5C"/>
      <w:shd w:val="clear" w:color="auto" w:fill="E1DFDD"/>
    </w:rPr>
  </w:style>
  <w:style w:type="paragraph" w:styleId="Header">
    <w:name w:val="header"/>
    <w:basedOn w:val="Normal"/>
    <w:link w:val="HeaderChar"/>
    <w:uiPriority w:val="99"/>
    <w:unhideWhenUsed/>
    <w:rsid w:val="004416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F49"/>
  </w:style>
  <w:style w:type="paragraph" w:styleId="Footer">
    <w:name w:val="footer"/>
    <w:basedOn w:val="Normal"/>
    <w:link w:val="FooterChar"/>
    <w:uiPriority w:val="99"/>
    <w:unhideWhenUsed/>
    <w:rsid w:val="004416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F49"/>
  </w:style>
  <w:style w:type="character" w:customStyle="1" w:styleId="Mention">
    <w:name w:val="Mention"/>
    <w:basedOn w:val="DefaultParagraphFont"/>
    <w:uiPriority w:val="99"/>
    <w:unhideWhenUsed/>
    <w:rsid w:val="000D7D1C"/>
    <w:rPr>
      <w:color w:val="2B579A"/>
      <w:shd w:val="clear" w:color="auto" w:fill="E1DFDD"/>
    </w:rPr>
  </w:style>
  <w:style w:type="paragraph" w:styleId="Revision">
    <w:name w:val="Revision"/>
    <w:hidden/>
    <w:uiPriority w:val="99"/>
    <w:semiHidden/>
    <w:rsid w:val="00543D1B"/>
    <w:pPr>
      <w:spacing w:after="0" w:line="240" w:lineRule="auto"/>
    </w:pPr>
  </w:style>
  <w:style w:type="character" w:styleId="FollowedHyperlink">
    <w:name w:val="FollowedHyperlink"/>
    <w:basedOn w:val="DefaultParagraphFont"/>
    <w:uiPriority w:val="99"/>
    <w:semiHidden/>
    <w:unhideWhenUsed/>
    <w:rsid w:val="00CE3A8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SOC0052</dc:title>
  <cp:revision>0</cp:revision>
</cp:coreProperties>
</file>