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45D5F" w:rsidRPr="00D56DC6" w:rsidP="00D56DC6">
      <w:pPr>
        <w:spacing w:line="480" w:lineRule="auto"/>
        <w:rPr>
          <w:rFonts w:ascii="Verdana" w:hAnsi="Verdana"/>
          <w:b/>
          <w:bCs/>
          <w:sz w:val="28"/>
          <w:szCs w:val="28"/>
        </w:rPr>
      </w:pPr>
      <w:r w:rsidRPr="00D56DC6">
        <w:rPr>
          <w:rFonts w:ascii="Verdana" w:hAnsi="Verdana"/>
          <w:b/>
          <w:bCs/>
          <w:sz w:val="28"/>
          <w:szCs w:val="28"/>
        </w:rPr>
        <w:t>Professor Peter Murphy,</w:t>
      </w:r>
      <w:r>
        <w:rPr>
          <w:rFonts w:ascii="Verdana" w:hAnsi="Verdana"/>
          <w:b/>
          <w:bCs/>
          <w:sz w:val="28"/>
          <w:szCs w:val="28"/>
        </w:rPr>
        <w:t xml:space="preserve"> Emeritus Professor</w:t>
      </w:r>
      <w:r w:rsidRPr="00D56DC6">
        <w:rPr>
          <w:rFonts w:ascii="Verdana" w:hAnsi="Verdana"/>
          <w:b/>
          <w:bCs/>
          <w:sz w:val="28"/>
          <w:szCs w:val="28"/>
        </w:rPr>
        <w:t xml:space="preserve"> </w:t>
      </w:r>
      <w:r w:rsidRPr="00D56DC6">
        <w:rPr>
          <w:rFonts w:ascii="Verdana" w:hAnsi="Verdana"/>
          <w:b/>
          <w:bCs/>
          <w:sz w:val="28"/>
          <w:szCs w:val="28"/>
        </w:rPr>
        <w:t>at Nottingham Trent University</w:t>
      </w:r>
      <w:r w:rsidRPr="00D56DC6">
        <w:rPr>
          <w:rFonts w:ascii="Verdana" w:hAnsi="Verdana"/>
          <w:b/>
          <w:bCs/>
          <w:sz w:val="28"/>
          <w:szCs w:val="28"/>
        </w:rPr>
        <w:t xml:space="preserve">, Dr Peter Eckersley, </w:t>
      </w:r>
      <w:r w:rsidRPr="00D56DC6">
        <w:rPr>
          <w:rFonts w:ascii="Verdana" w:hAnsi="Verdana"/>
          <w:b/>
          <w:bCs/>
          <w:sz w:val="28"/>
          <w:szCs w:val="28"/>
        </w:rPr>
        <w:t xml:space="preserve">Associate Professor at Nottingham Trent University, </w:t>
      </w:r>
      <w:r w:rsidRPr="00D56DC6">
        <w:rPr>
          <w:rFonts w:ascii="Verdana" w:hAnsi="Verdana"/>
          <w:b/>
          <w:bCs/>
          <w:sz w:val="28"/>
          <w:szCs w:val="28"/>
        </w:rPr>
        <w:t>Dr Bernard K. Dom</w:t>
      </w:r>
      <w:r w:rsidRPr="00D56DC6">
        <w:rPr>
          <w:rFonts w:ascii="Verdana" w:hAnsi="Verdana"/>
          <w:b/>
          <w:bCs/>
          <w:sz w:val="28"/>
          <w:szCs w:val="28"/>
        </w:rPr>
        <w:t>, Senior Lecturer at Nottingham Trent University,</w:t>
      </w:r>
      <w:r w:rsidRPr="00D56DC6">
        <w:rPr>
          <w:rFonts w:ascii="Verdana" w:hAnsi="Verdana"/>
          <w:b/>
          <w:bCs/>
          <w:sz w:val="28"/>
          <w:szCs w:val="28"/>
        </w:rPr>
        <w:t xml:space="preserve"> and Dr Katarzyna Lakoma</w:t>
      </w:r>
      <w:r w:rsidRPr="00D56DC6">
        <w:rPr>
          <w:rFonts w:ascii="Verdana" w:hAnsi="Verdana"/>
          <w:b/>
          <w:bCs/>
          <w:sz w:val="28"/>
          <w:szCs w:val="28"/>
        </w:rPr>
        <w:t>, Senior Research Fellow at Nottingham Trent University – Written evidence FDE0016</w:t>
      </w:r>
    </w:p>
    <w:p w:rsidR="00D45D5F" w:rsidRPr="00D56DC6" w:rsidP="00D56DC6">
      <w:pPr>
        <w:spacing w:line="480" w:lineRule="auto"/>
        <w:rPr>
          <w:rFonts w:ascii="Verdana" w:hAnsi="Verdana"/>
          <w:b/>
          <w:bCs/>
        </w:rPr>
      </w:pPr>
      <w:r w:rsidRPr="00D56DC6">
        <w:rPr>
          <w:rFonts w:ascii="Verdana" w:hAnsi="Verdana"/>
          <w:b/>
          <w:bCs/>
        </w:rPr>
        <w:t>Summary</w:t>
      </w:r>
    </w:p>
    <w:p w:rsidR="00D45D5F" w:rsidRPr="00D56DC6" w:rsidP="00D56DC6">
      <w:pPr>
        <w:spacing w:line="480" w:lineRule="auto"/>
        <w:rPr>
          <w:rFonts w:ascii="Verdana" w:hAnsi="Verdana"/>
        </w:rPr>
      </w:pPr>
      <w:r w:rsidRPr="00D56DC6">
        <w:rPr>
          <w:rFonts w:ascii="Verdana" w:hAnsi="Verdana"/>
        </w:rPr>
        <w:t>This evidence responds to all 12 issues listed in the call for evidence.</w:t>
      </w:r>
    </w:p>
    <w:p w:rsidR="00D45D5F" w:rsidRPr="00D56DC6" w:rsidP="00D56DC6">
      <w:pPr>
        <w:spacing w:line="480" w:lineRule="auto"/>
        <w:rPr>
          <w:rFonts w:ascii="Verdana" w:hAnsi="Verdana"/>
        </w:rPr>
      </w:pPr>
      <w:r w:rsidRPr="00D56DC6">
        <w:rPr>
          <w:rFonts w:ascii="Verdana" w:hAnsi="Verdana"/>
        </w:rPr>
        <w:t>It generally supports the case for fiscal devolution which could strengthen local democracy and accountability, provide incentives for local economic development, and enable more place-based approaches to public service delivery. In contends that economic, efficient and effective decisions on the distribution of public resources and the disposition of public services and assets should be taken by representative public bodies that are close to the public and local communities, as this will generate better more informed decisions and greater ownership by local communities.</w:t>
      </w:r>
    </w:p>
    <w:p w:rsidR="00D45D5F" w:rsidRPr="00D56DC6" w:rsidP="00D56DC6">
      <w:pPr>
        <w:spacing w:line="480" w:lineRule="auto"/>
        <w:rPr>
          <w:rFonts w:ascii="Verdana" w:hAnsi="Verdana"/>
        </w:rPr>
      </w:pPr>
      <w:r w:rsidRPr="00D56DC6">
        <w:rPr>
          <w:rFonts w:ascii="Verdana" w:hAnsi="Verdana"/>
        </w:rPr>
        <w:t xml:space="preserve">It shows how the current system is complex and that devolution and local government reforms and fiscal devolution and local government financial reform are two areas that effectively overlap in many places with many interdependent dynamic parts. It focusses primarily on revenue issues but also has suggests improvements to the prudential code that currently </w:t>
      </w:r>
      <w:r w:rsidRPr="00D56DC6">
        <w:rPr>
          <w:rFonts w:ascii="Verdana" w:hAnsi="Verdana"/>
        </w:rPr>
        <w:t>guides local authorities’ capital expenditure. However, if fiscal devolution is to become embedded in the governance and organisational landscape of the UK, and extended in England, then it should be based on a more permanent statutory based model.</w:t>
      </w:r>
    </w:p>
    <w:p w:rsidR="00D45D5F" w:rsidRPr="00D56DC6" w:rsidP="00D56DC6">
      <w:pPr>
        <w:spacing w:line="480" w:lineRule="auto"/>
        <w:rPr>
          <w:rFonts w:ascii="Verdana" w:hAnsi="Verdana"/>
        </w:rPr>
      </w:pPr>
    </w:p>
    <w:p w:rsidR="00D45D5F" w:rsidRPr="00D56DC6" w:rsidP="00D56DC6">
      <w:pPr>
        <w:numPr>
          <w:ilvl w:val="0"/>
          <w:numId w:val="1"/>
        </w:numPr>
        <w:spacing w:line="480" w:lineRule="auto"/>
        <w:rPr>
          <w:rFonts w:ascii="Verdana" w:hAnsi="Verdana"/>
          <w:b/>
          <w:bCs/>
        </w:rPr>
      </w:pPr>
      <w:r w:rsidRPr="00D56DC6">
        <w:rPr>
          <w:rFonts w:ascii="Verdana" w:hAnsi="Verdana"/>
          <w:b/>
          <w:bCs/>
        </w:rPr>
        <w:t>What are the general aims of fiscal devolution? What can it achieve?</w:t>
      </w:r>
    </w:p>
    <w:p w:rsidR="00D45D5F" w:rsidRPr="00D56DC6" w:rsidP="00D56DC6">
      <w:pPr>
        <w:spacing w:line="480" w:lineRule="auto"/>
        <w:rPr>
          <w:rFonts w:ascii="Verdana" w:hAnsi="Verdana"/>
        </w:rPr>
      </w:pPr>
    </w:p>
    <w:p w:rsidR="00D45D5F" w:rsidRPr="00D56DC6" w:rsidP="00D56DC6">
      <w:pPr>
        <w:spacing w:line="480" w:lineRule="auto"/>
        <w:rPr>
          <w:rFonts w:ascii="Verdana" w:hAnsi="Verdana"/>
        </w:rPr>
      </w:pPr>
      <w:r w:rsidRPr="00D56DC6">
        <w:rPr>
          <w:rFonts w:ascii="Verdana" w:hAnsi="Verdana"/>
        </w:rPr>
        <w:t>For the purposes of this response, we understand ‘fiscal devolution’ to encompass (a) transferring a greater proportion of central funds to subnational bodies, and (b) empowering subnational bodies to generate a greater share of their own revenues through new or reformed taxes, fees and charges. The latter is particularly associated with local democracy and accountability; on the basis that local people pay local taxes and elect local representatives to take decisions about how this money is spent.</w:t>
      </w:r>
    </w:p>
    <w:p w:rsidR="00D45D5F" w:rsidRPr="00D56DC6" w:rsidP="00D56DC6">
      <w:pPr>
        <w:spacing w:line="480" w:lineRule="auto"/>
        <w:rPr>
          <w:rFonts w:ascii="Verdana" w:hAnsi="Verdana"/>
        </w:rPr>
      </w:pPr>
      <w:r w:rsidRPr="00D56DC6">
        <w:rPr>
          <w:rFonts w:ascii="Verdana" w:hAnsi="Verdana"/>
        </w:rPr>
        <w:t xml:space="preserve">In general terms, economic, efficient and effective decisions on the distribution of public resources and the distribution or disposition of public services and assets should be taken by representative public bodies that are as close to the public and local communities as feasible and realistic, as this will generate better more informed decisions and greater ownership by local communities. This is subject to the representative bodies’ anticipatory capacity but also its “absorbative capacity” (the councils’ ability to recognize the value of new knowledge, information and </w:t>
      </w:r>
      <w:r w:rsidRPr="00D56DC6">
        <w:rPr>
          <w:rFonts w:ascii="Verdana" w:hAnsi="Verdana"/>
        </w:rPr>
        <w:t>responsibilities and apply them to the benefit of the local community or the relevant sections of its community). It is also subject to decisions being taken at the most appropriate level or scale of government (e.g. parish, local, sub-regional, regional, national, or international). These decisions relate to both revenue-raising (i.e. local taxation), and local public spending.</w:t>
      </w:r>
    </w:p>
    <w:p w:rsidR="00D45D5F" w:rsidRPr="00D56DC6" w:rsidP="00D56DC6">
      <w:pPr>
        <w:spacing w:line="480" w:lineRule="auto"/>
        <w:rPr>
          <w:rFonts w:ascii="Verdana" w:hAnsi="Verdana"/>
        </w:rPr>
      </w:pPr>
      <w:r w:rsidRPr="00D56DC6">
        <w:rPr>
          <w:rFonts w:ascii="Verdana" w:hAnsi="Verdana"/>
        </w:rPr>
        <w:t xml:space="preserve"> Fiscal devolution is similar (but not identical) to two other well-known concepts in public administration, namely ‘delegation’ and ‘subsidiarity’. The first is the transfer of responsibility and authority to a subgroup of the authority or to an individual within an authority (be it a public servant or an individual politician) to take certain decisions on behalf of the responsible authority.  The other is the concept or principle of subsidiarity that suggests that central or higher authorities should only take decisions and perform tasks that cannot be better performed at a lower or local level. In all cases the general aim is to ensure that public bodies take quicker, more economic, efficient and effective decisions that are in the public interest. </w:t>
      </w:r>
    </w:p>
    <w:p w:rsidR="00D45D5F" w:rsidRPr="00D56DC6" w:rsidP="00D56DC6">
      <w:pPr>
        <w:spacing w:line="480" w:lineRule="auto"/>
        <w:rPr>
          <w:rFonts w:ascii="Verdana" w:hAnsi="Verdana"/>
        </w:rPr>
      </w:pPr>
      <w:r w:rsidRPr="00D56DC6">
        <w:rPr>
          <w:rFonts w:ascii="Verdana" w:hAnsi="Verdana"/>
        </w:rPr>
        <w:t xml:space="preserve"> </w:t>
      </w:r>
    </w:p>
    <w:p w:rsidR="00D45D5F" w:rsidRPr="00D56DC6" w:rsidP="00D56DC6">
      <w:pPr>
        <w:numPr>
          <w:ilvl w:val="0"/>
          <w:numId w:val="1"/>
        </w:numPr>
        <w:spacing w:line="480" w:lineRule="auto"/>
        <w:rPr>
          <w:rFonts w:ascii="Verdana" w:hAnsi="Verdana"/>
          <w:b/>
          <w:bCs/>
        </w:rPr>
      </w:pPr>
      <w:r w:rsidRPr="00D56DC6">
        <w:rPr>
          <w:rFonts w:ascii="Verdana" w:hAnsi="Verdana"/>
          <w:b/>
          <w:bCs/>
        </w:rPr>
        <w:t>At what level – combined or local authority – should devolution take place and should the nature of the devolution vary by type of authority?</w:t>
      </w:r>
    </w:p>
    <w:p w:rsidR="00D45D5F" w:rsidRPr="00D56DC6" w:rsidP="00D56DC6">
      <w:pPr>
        <w:spacing w:line="480" w:lineRule="auto"/>
        <w:rPr>
          <w:rFonts w:ascii="Verdana" w:hAnsi="Verdana"/>
        </w:rPr>
      </w:pPr>
      <w:r w:rsidRPr="00D56DC6">
        <w:rPr>
          <w:rFonts w:ascii="Verdana" w:hAnsi="Verdana"/>
        </w:rPr>
        <w:t xml:space="preserve">In England, the case for fiscal devolution is particularly strong because local authorities have limited fiscal autonomy (Muldoon-Smith et al. 2024, </w:t>
      </w:r>
      <w:r w:rsidRPr="00D56DC6">
        <w:rPr>
          <w:rFonts w:ascii="Verdana" w:hAnsi="Verdana"/>
        </w:rPr>
        <w:t xml:space="preserve">Paun and Cheung 2018). Council tax and business rates provide a relatively small local revenue base by international standards, while a significant proportion of local government funding continues to depend on central government grants and nationally determined funding arrangements. Greater fiscal devolution could strengthen local democracy and accountability, provide incentives for local economic development, and enable more place-based approaches to public service delivery. Although the current system of Council tax and business rates undoubtedly require urgent and radical changes as part of fiscal devolution, we need first to consider its’ context and look at the overall financial envelope for local authority spending. </w:t>
      </w:r>
    </w:p>
    <w:p w:rsidR="00D45D5F" w:rsidRPr="00D56DC6" w:rsidP="00D56DC6">
      <w:pPr>
        <w:spacing w:line="480" w:lineRule="auto"/>
        <w:rPr>
          <w:rFonts w:ascii="Verdana" w:hAnsi="Verdana"/>
          <w:b/>
          <w:bCs/>
        </w:rPr>
      </w:pPr>
      <w:r w:rsidRPr="00D56DC6">
        <w:rPr>
          <w:rFonts w:ascii="Verdana" w:hAnsi="Verdana"/>
          <w:b/>
          <w:bCs/>
        </w:rPr>
        <w:t>2.1. Fiscal devolution at the regional scale.</w:t>
      </w:r>
    </w:p>
    <w:p w:rsidR="00D45D5F" w:rsidRPr="00D56DC6" w:rsidP="00D56DC6">
      <w:pPr>
        <w:spacing w:line="480" w:lineRule="auto"/>
        <w:rPr>
          <w:rFonts w:ascii="Verdana" w:hAnsi="Verdana"/>
        </w:rPr>
      </w:pPr>
      <w:r w:rsidRPr="00D56DC6">
        <w:rPr>
          <w:rFonts w:ascii="Verdana" w:hAnsi="Verdana"/>
        </w:rPr>
        <w:t xml:space="preserve">In the long term, the first level of fiscal devolution should be at the regional scale. Fiscal devolution was initially implemented in Scotland, and to a lesser extent in Wales and Northern Ireland, with a single budget ‘pot’ currently covering (almost) all public services that are devolved to the respective countries. These are in the form of a block grant, which is by far the largest grant the devolved administrations receive from UK government central funds. The block grant is calculated in accordance with the Barnett formula (Keep 2026): all other grants sit outside this formula and are generally negotiated between the UK government or its departments and the devolved administrations. </w:t>
      </w:r>
    </w:p>
    <w:p w:rsidR="00D45D5F" w:rsidRPr="00D56DC6" w:rsidP="00D56DC6">
      <w:pPr>
        <w:spacing w:line="480" w:lineRule="auto"/>
        <w:rPr>
          <w:rFonts w:ascii="Verdana" w:hAnsi="Verdana"/>
        </w:rPr>
      </w:pPr>
      <w:r w:rsidRPr="00D56DC6">
        <w:rPr>
          <w:rFonts w:ascii="Verdana" w:hAnsi="Verdana"/>
        </w:rPr>
        <w:t xml:space="preserve">However, the Barnett formula was introduced in 1979 as a temporary measure and only applies to changes in spending rather than being based upon a calculation of absolute spending and spending needs. Despite multiple minor adjustments over the years, it has never been rebased on a needs-based basis (Paun 2015, Cheung </w:t>
      </w:r>
      <w:r w:rsidRPr="00D56DC6">
        <w:rPr>
          <w:rFonts w:ascii="Verdana" w:hAnsi="Verdana"/>
          <w:i/>
          <w:iCs/>
        </w:rPr>
        <w:t>et al.</w:t>
      </w:r>
      <w:r w:rsidRPr="00D56DC6">
        <w:rPr>
          <w:rFonts w:ascii="Verdana" w:hAnsi="Verdana"/>
        </w:rPr>
        <w:t xml:space="preserve"> 2025, Keep 2026). It is also non statutory, meaning HMT can and has by-passed it entirely, and (more often) parts of its calculations have been subject to renegotiations and bypasses. </w:t>
      </w:r>
    </w:p>
    <w:p w:rsidR="00D45D5F" w:rsidRPr="00D56DC6" w:rsidP="00D56DC6">
      <w:pPr>
        <w:spacing w:line="480" w:lineRule="auto"/>
        <w:rPr>
          <w:rFonts w:ascii="Verdana" w:hAnsi="Verdana"/>
        </w:rPr>
      </w:pPr>
      <w:r w:rsidRPr="00D56DC6">
        <w:rPr>
          <w:rFonts w:ascii="Verdana" w:hAnsi="Verdana"/>
        </w:rPr>
        <w:t>More recent powers for Scotland and Wales over Council Tax and Income Tax (for example) have institutionalised fiscal devolution to a much greater extent in these parts of the UK and provided the devolved administrations with more control over their revenues. On that basis, if fiscal devolution is to be a permanent part of the governance and organisational landscape of the UK, and extended in England, then it should be based on a more permanent statutory model. This would need to be complemented by and based upon by a calculation of contemporary needs to prevent the exacerbation of existing spatial inequalities. Statutory underpinning and a robust, transparent model would then provide the level of certainty that is essential for medium and long-term public service delivery planning in the nations and regions of the UK.</w:t>
      </w:r>
    </w:p>
    <w:p w:rsidR="00D45D5F" w:rsidRPr="00D56DC6" w:rsidP="00D56DC6">
      <w:pPr>
        <w:spacing w:line="480" w:lineRule="auto"/>
        <w:rPr>
          <w:rFonts w:ascii="Verdana" w:hAnsi="Verdana"/>
        </w:rPr>
      </w:pPr>
      <w:r w:rsidRPr="00D56DC6">
        <w:rPr>
          <w:rFonts w:ascii="Verdana" w:hAnsi="Verdana"/>
        </w:rPr>
        <w:t xml:space="preserve">In Scotland council tax and business rates have been devolved since 1999 and although Scotland has the powers to redesign these taxes it has not, (as yet) addressed such a change (Paun and Cheung 2018). Scotland also </w:t>
      </w:r>
      <w:r w:rsidRPr="00D56DC6">
        <w:rPr>
          <w:rFonts w:ascii="Verdana" w:hAnsi="Verdana"/>
        </w:rPr>
        <w:t xml:space="preserve">has the widest range of devolved services, and it has complete discretion to allocate money across its devolved services (Keep 2026). The block grant is however, adjusted each year as the Barnett formula takes the annual change in the UK government department’s budgets and multiplies it by the population proportion and the comparability percentage. </w:t>
      </w:r>
    </w:p>
    <w:p w:rsidR="00D45D5F" w:rsidRPr="00D56DC6" w:rsidP="00D56DC6">
      <w:pPr>
        <w:spacing w:line="480" w:lineRule="auto"/>
        <w:rPr>
          <w:rFonts w:ascii="Verdana" w:hAnsi="Verdana"/>
        </w:rPr>
      </w:pPr>
      <w:r w:rsidRPr="00D56DC6">
        <w:rPr>
          <w:rFonts w:ascii="Verdana" w:hAnsi="Verdana"/>
        </w:rPr>
        <w:t xml:space="preserve">In our view, the future model of funding should calculate a single pot (covering all government revenue grants, not just the block grant) for the nine standard English Regions and the 3 devolved nations and allow the nations and regions complete discretion to ‘vire’ (transfer) expenditure across all devolved services. This would allow devolved authorities to shape or align the pattern of their expenditures to the pattern of their local needs and priorities. </w:t>
      </w:r>
    </w:p>
    <w:p w:rsidR="00D45D5F" w:rsidRPr="00D56DC6" w:rsidP="00D56DC6">
      <w:pPr>
        <w:spacing w:line="480" w:lineRule="auto"/>
        <w:rPr>
          <w:rFonts w:ascii="Verdana" w:hAnsi="Verdana"/>
        </w:rPr>
      </w:pPr>
      <w:r w:rsidRPr="00D56DC6">
        <w:rPr>
          <w:rFonts w:ascii="Verdana" w:hAnsi="Verdana"/>
        </w:rPr>
        <w:t>As regional administrations for the standard English regions do not exist and are not proposed by the current devolution legislation, the relevant amounts will need to be calculated for each standard region and then sub-divided by HMT into the sub-regional pattern of strategic authorities that emerges from the current Local Government Review process. The English Devolution Act is intended to provide for universal coverage of regional and sub-regional strategic authorities and mayors. Fiscal devolution will therefore have to be adjusted annually as combined authorities progress through their development from Foundation Strategic Authorities to Mayoral Strategic Authorities as they take on greater functions and powers in the process.</w:t>
      </w:r>
    </w:p>
    <w:p w:rsidR="00D45D5F" w:rsidRPr="00D56DC6" w:rsidP="00D56DC6">
      <w:pPr>
        <w:spacing w:line="480" w:lineRule="auto"/>
        <w:rPr>
          <w:rFonts w:ascii="Verdana" w:hAnsi="Verdana"/>
        </w:rPr>
      </w:pPr>
      <w:r w:rsidRPr="00D56DC6">
        <w:rPr>
          <w:rFonts w:ascii="Verdana" w:hAnsi="Verdana"/>
        </w:rPr>
        <w:t xml:space="preserve">There are however, two principles we would recommend be adopted from the current Scottish arrangements and applied more generally going forward. </w:t>
      </w:r>
    </w:p>
    <w:p w:rsidR="00D45D5F" w:rsidRPr="00D56DC6" w:rsidP="00D56DC6">
      <w:pPr>
        <w:pStyle w:val="ListParagraph"/>
        <w:numPr>
          <w:ilvl w:val="0"/>
          <w:numId w:val="5"/>
        </w:numPr>
        <w:spacing w:after="360" w:line="480" w:lineRule="auto"/>
        <w:ind w:right="340"/>
        <w:rPr>
          <w:rFonts w:ascii="Verdana" w:hAnsi="Verdana"/>
        </w:rPr>
      </w:pPr>
      <w:r w:rsidRPr="00D56DC6">
        <w:rPr>
          <w:rFonts w:ascii="Verdana" w:hAnsi="Verdana"/>
        </w:rPr>
        <w:t xml:space="preserve">The UK government determines the range of devolved services in all areas at the current time, but the aim should be to extend the range to its optimum as soon as is practical and realistic, and ultimately implement it in all nations, regions and strategic authorities; </w:t>
      </w:r>
    </w:p>
    <w:p w:rsidR="00D45D5F" w:rsidRPr="00D56DC6" w:rsidP="00D56DC6">
      <w:pPr>
        <w:pStyle w:val="ListParagraph"/>
        <w:numPr>
          <w:ilvl w:val="0"/>
          <w:numId w:val="5"/>
        </w:numPr>
        <w:spacing w:after="360" w:line="480" w:lineRule="auto"/>
        <w:ind w:right="340"/>
        <w:rPr>
          <w:rFonts w:ascii="Verdana" w:hAnsi="Verdana"/>
        </w:rPr>
      </w:pPr>
      <w:r w:rsidRPr="00D56DC6">
        <w:rPr>
          <w:rFonts w:ascii="Verdana" w:hAnsi="Verdana"/>
        </w:rPr>
        <w:t xml:space="preserve">Secondly, and (as we say above) All devolved and regional/sub-regional strategic administrations should have much wider discretion to allocate and ‘vire’ money across their devolved services. Fiscal devolution hands power over to authorities in terms of what to tax and how much to tax. It should not be ‘tax assignment’ which is handing over the revenues from certain taxes (such as central government taxes) to certain geographical areas, which could be one interpretation of the chancellors’ announcement in her Mais speech. </w:t>
      </w:r>
    </w:p>
    <w:p w:rsidR="00D45D5F" w:rsidRPr="00D56DC6" w:rsidP="00D56DC6">
      <w:pPr>
        <w:spacing w:line="480" w:lineRule="auto"/>
        <w:rPr>
          <w:rFonts w:ascii="Verdana" w:hAnsi="Verdana"/>
        </w:rPr>
      </w:pPr>
      <w:r w:rsidRPr="00D56DC6">
        <w:rPr>
          <w:rFonts w:ascii="Verdana" w:hAnsi="Verdana"/>
        </w:rPr>
        <w:t xml:space="preserve">In the regional and sub-regional mayoral administrations proposed by the 2026 Devolution Act, a block grant or single pot fiscal devolution is currently neither feasible nor fair in the immediate future as different administrations will have different responsibilities and activities. England will therefore, for a time, have to adopt a transitional fiscal devolution system more akin to the former two-tier local government financial </w:t>
      </w:r>
      <w:r w:rsidRPr="00D56DC6">
        <w:rPr>
          <w:rFonts w:ascii="Verdana" w:hAnsi="Verdana"/>
        </w:rPr>
        <w:t xml:space="preserve">settlement, with the range of individually devolved services in any individual area determining the proportion of the financial support provided.   </w:t>
      </w:r>
    </w:p>
    <w:p w:rsidR="00D45D5F" w:rsidRPr="00D56DC6" w:rsidP="00D56DC6">
      <w:pPr>
        <w:spacing w:line="480" w:lineRule="auto"/>
        <w:rPr>
          <w:rFonts w:ascii="Verdana" w:hAnsi="Verdana"/>
        </w:rPr>
      </w:pPr>
      <w:r w:rsidRPr="00D56DC6">
        <w:rPr>
          <w:rFonts w:ascii="Verdana" w:hAnsi="Verdana"/>
        </w:rPr>
        <w:t xml:space="preserve">Most of the nine English regional ‘pots’ would have to be subdivided on the basis of a new mechanism according to the regional geography and the range of services in the Mayoral/Combined Authorities and in the Unitary tier at local level. In these interim arrangements the fiscal support provided at sub-regional and local authority levels will need to be calculated according to the range and extent of devolved services until all strategic authorities become responsible for the full range of responsibilities outlined in response to question 3 below.   </w:t>
      </w:r>
    </w:p>
    <w:p w:rsidR="00D45D5F" w:rsidRPr="00D56DC6" w:rsidP="00D56DC6">
      <w:pPr>
        <w:spacing w:line="480" w:lineRule="auto"/>
        <w:rPr>
          <w:rFonts w:ascii="Verdana" w:hAnsi="Verdana"/>
          <w:b/>
          <w:bCs/>
        </w:rPr>
      </w:pPr>
      <w:r w:rsidRPr="00D56DC6">
        <w:rPr>
          <w:rFonts w:ascii="Verdana" w:hAnsi="Verdana"/>
          <w:b/>
          <w:bCs/>
        </w:rPr>
        <w:t>2.2 The devolution of revenue-raising powers.</w:t>
      </w:r>
    </w:p>
    <w:p w:rsidR="00D45D5F" w:rsidRPr="00D56DC6" w:rsidP="00D56DC6">
      <w:pPr>
        <w:spacing w:line="480" w:lineRule="auto"/>
        <w:rPr>
          <w:rFonts w:ascii="Verdana" w:hAnsi="Verdana"/>
        </w:rPr>
      </w:pPr>
      <w:r w:rsidRPr="00D56DC6">
        <w:rPr>
          <w:rFonts w:ascii="Verdana" w:hAnsi="Verdana"/>
        </w:rPr>
        <w:t>The devolution of revenue-raising powers to regional subnational bodies (i.e. strategic authorities) is what many people primarily understand as fiscal devolution, rather than central govt providing more substantial or more predictable revenue streams to fund local spending. Its primary features are Council Tax and Non-Domestic (previously Business) Rates. Council Tax in the UK is both regressive and outdated, utilising property bands based on 1991 valuations, which has led to significant and increasing regional disparities. </w:t>
      </w:r>
    </w:p>
    <w:p w:rsidR="00D45D5F" w:rsidRPr="00D56DC6" w:rsidP="00D56DC6">
      <w:pPr>
        <w:spacing w:line="480" w:lineRule="auto"/>
        <w:rPr>
          <w:rFonts w:ascii="Verdana" w:hAnsi="Verdana"/>
        </w:rPr>
      </w:pPr>
      <w:r w:rsidRPr="00D56DC6">
        <w:rPr>
          <w:rFonts w:ascii="Verdana" w:hAnsi="Verdana"/>
        </w:rPr>
        <w:t xml:space="preserve">Successive calls for a comprehensive and systematic review of local government finance have been ignored while frequent ad hoc piecemeal reforms, have persisted since the introduction of Council Tax (Eckersley et </w:t>
      </w:r>
      <w:r w:rsidRPr="00D56DC6">
        <w:rPr>
          <w:rFonts w:ascii="Verdana" w:hAnsi="Verdana"/>
        </w:rPr>
        <w:t xml:space="preserve">al 2019). Recent attempts by previous governments to accelerate the overall shift away from central support (including the business rates retention plan) have not been complemented with any realistic parallel scheme to ensures financially vulnerable areas are not left behind. Consequently, it is widely regarded as unfair and the number of authorities in financial distress or with significant off-balance sheet debts have spiralled (MHCLG 2026, Institute of Fiscal Studies 2024). The system has needed strategic reform for many years. We favour a two-stage approach to this reform. </w:t>
      </w:r>
    </w:p>
    <w:p w:rsidR="00D45D5F" w:rsidRPr="00D56DC6" w:rsidP="00D56DC6">
      <w:pPr>
        <w:spacing w:line="480" w:lineRule="auto"/>
        <w:rPr>
          <w:rFonts w:ascii="Verdana" w:hAnsi="Verdana"/>
        </w:rPr>
      </w:pPr>
      <w:r w:rsidRPr="00D56DC6">
        <w:rPr>
          <w:rFonts w:ascii="Verdana" w:hAnsi="Verdana"/>
        </w:rPr>
        <w:t>The Government should announce a comprehensive, independent review of the local government finance system underpinned by a proper examination and recommendations that articulate the role of English local government within the UK public sector. The new system should incorporate a blend of both central and local funding and ensure that some parts of the country are not left behind whilst retaining the important link between local revenue and local services.</w:t>
      </w:r>
    </w:p>
    <w:p w:rsidR="00D45D5F" w:rsidRPr="00D56DC6" w:rsidP="00D56DC6">
      <w:pPr>
        <w:spacing w:line="480" w:lineRule="auto"/>
        <w:rPr>
          <w:rFonts w:ascii="Verdana" w:hAnsi="Verdana"/>
        </w:rPr>
      </w:pPr>
      <w:r w:rsidRPr="00D56DC6">
        <w:rPr>
          <w:rFonts w:ascii="Verdana" w:hAnsi="Verdana"/>
        </w:rPr>
        <w:t>In the interim the government should both review the cap on council tax increases and introduce additional council tax property bands to reflect the broader range of property values across the country.</w:t>
      </w:r>
    </w:p>
    <w:p w:rsidR="00D45D5F" w:rsidRPr="00D56DC6" w:rsidP="00D56DC6">
      <w:pPr>
        <w:spacing w:line="480" w:lineRule="auto"/>
        <w:rPr>
          <w:rFonts w:ascii="Verdana" w:hAnsi="Verdana"/>
        </w:rPr>
      </w:pPr>
      <w:r w:rsidRPr="00D56DC6">
        <w:rPr>
          <w:rFonts w:ascii="Verdana" w:hAnsi="Verdana"/>
        </w:rPr>
        <w:t xml:space="preserve">National Non-Domestic Rates have gone through numerous (annual) changes and more have been announced by the government for forthcoming years, including the Supporting Small Businesses scheme extension. NNDRs should be reconsidered as part of the independent </w:t>
      </w:r>
      <w:r w:rsidRPr="00D56DC6">
        <w:rPr>
          <w:rFonts w:ascii="Verdana" w:hAnsi="Verdana"/>
        </w:rPr>
        <w:t>review referred to above and form part of fiscal devolution to local authorities but further immediate or short-term changes would unfortunately lead to further confusion and resistance from key stakeholders.</w:t>
      </w:r>
    </w:p>
    <w:p w:rsidR="00D45D5F" w:rsidRPr="00D56DC6" w:rsidP="00D56DC6">
      <w:pPr>
        <w:spacing w:line="480" w:lineRule="auto"/>
        <w:rPr>
          <w:rFonts w:ascii="Verdana" w:hAnsi="Verdana"/>
        </w:rPr>
      </w:pPr>
    </w:p>
    <w:p w:rsidR="00D45D5F" w:rsidRPr="00D56DC6" w:rsidP="00D56DC6">
      <w:pPr>
        <w:numPr>
          <w:ilvl w:val="0"/>
          <w:numId w:val="1"/>
        </w:numPr>
        <w:spacing w:line="480" w:lineRule="auto"/>
        <w:rPr>
          <w:rFonts w:ascii="Verdana" w:hAnsi="Verdana"/>
          <w:b/>
          <w:bCs/>
        </w:rPr>
      </w:pPr>
      <w:r w:rsidRPr="00D56DC6">
        <w:rPr>
          <w:rFonts w:ascii="Verdana" w:hAnsi="Verdana"/>
          <w:b/>
          <w:bCs/>
        </w:rPr>
        <w:t>What spending powers should be devolved to local areas?</w:t>
      </w:r>
    </w:p>
    <w:p w:rsidR="00D45D5F" w:rsidRPr="00D56DC6" w:rsidP="00D56DC6">
      <w:pPr>
        <w:spacing w:line="480" w:lineRule="auto"/>
        <w:rPr>
          <w:rFonts w:ascii="Verdana" w:hAnsi="Verdana"/>
        </w:rPr>
      </w:pPr>
      <w:r w:rsidRPr="00D56DC6">
        <w:rPr>
          <w:rFonts w:ascii="Verdana" w:hAnsi="Verdana"/>
        </w:rPr>
        <w:t>Ultimately there are two types of spending powers that should be devolved to nations, regions and local authorities; namely revenue expenditure and capital expenditure. Although the debate to-date has largely been framed in terms of revenue expenditure, there are three inadequacies in the Prudential Framework for capital expenditure that we believe should be addressed as part of the current review. First, however, we will deal with revenue expenditure.</w:t>
      </w:r>
    </w:p>
    <w:p w:rsidR="00D45D5F" w:rsidRPr="00D56DC6" w:rsidP="00D56DC6">
      <w:pPr>
        <w:spacing w:line="480" w:lineRule="auto"/>
        <w:rPr>
          <w:rFonts w:ascii="Verdana" w:hAnsi="Verdana"/>
          <w:b/>
          <w:bCs/>
        </w:rPr>
      </w:pPr>
      <w:r w:rsidRPr="00D56DC6">
        <w:rPr>
          <w:rFonts w:ascii="Verdana" w:hAnsi="Verdana"/>
          <w:b/>
          <w:bCs/>
        </w:rPr>
        <w:t xml:space="preserve">3.1 Revenue Expenditure </w:t>
      </w:r>
    </w:p>
    <w:p w:rsidR="00D45D5F" w:rsidRPr="00D56DC6" w:rsidP="00D56DC6">
      <w:pPr>
        <w:spacing w:line="480" w:lineRule="auto"/>
        <w:rPr>
          <w:rFonts w:ascii="Verdana" w:hAnsi="Verdana"/>
        </w:rPr>
      </w:pPr>
      <w:r w:rsidRPr="00D56DC6">
        <w:rPr>
          <w:rFonts w:ascii="Verdana" w:hAnsi="Verdana"/>
        </w:rPr>
        <w:t xml:space="preserve"> The English Devolution and Community Empowerment Act 2026 (as amended by Parliament) lists the potential range of competencies of strategic authorities and also identifies those responsibilities that are concurrent with local authorities in the Devolution Framework Explainers (MHCLG 2025), last updated ahead of the Bills introduction to the Lords. These are now</w:t>
      </w:r>
    </w:p>
    <w:p w:rsidR="00D45D5F" w:rsidRPr="00D56DC6" w:rsidP="00D56DC6">
      <w:pPr>
        <w:pStyle w:val="ListParagraph"/>
        <w:numPr>
          <w:ilvl w:val="0"/>
          <w:numId w:val="3"/>
        </w:numPr>
        <w:spacing w:line="480" w:lineRule="auto"/>
        <w:rPr>
          <w:rFonts w:ascii="Verdana" w:hAnsi="Verdana"/>
        </w:rPr>
      </w:pPr>
      <w:r w:rsidRPr="00D56DC6">
        <w:rPr>
          <w:rFonts w:ascii="Verdana" w:hAnsi="Verdana"/>
        </w:rPr>
        <w:t>Transport and Infrastructure</w:t>
      </w:r>
    </w:p>
    <w:p w:rsidR="00D45D5F" w:rsidRPr="00D56DC6" w:rsidP="00D56DC6">
      <w:pPr>
        <w:pStyle w:val="ListParagraph"/>
        <w:numPr>
          <w:ilvl w:val="0"/>
          <w:numId w:val="3"/>
        </w:numPr>
        <w:spacing w:line="480" w:lineRule="auto"/>
        <w:rPr>
          <w:rFonts w:ascii="Verdana" w:hAnsi="Verdana"/>
        </w:rPr>
      </w:pPr>
      <w:r w:rsidRPr="00D56DC6">
        <w:rPr>
          <w:rFonts w:ascii="Verdana" w:hAnsi="Verdana"/>
        </w:rPr>
        <w:t>Skills and Employment Support</w:t>
      </w:r>
    </w:p>
    <w:p w:rsidR="00D45D5F" w:rsidRPr="00D56DC6" w:rsidP="00D56DC6">
      <w:pPr>
        <w:pStyle w:val="ListParagraph"/>
        <w:numPr>
          <w:ilvl w:val="0"/>
          <w:numId w:val="3"/>
        </w:numPr>
        <w:spacing w:line="480" w:lineRule="auto"/>
        <w:rPr>
          <w:rFonts w:ascii="Verdana" w:hAnsi="Verdana"/>
        </w:rPr>
      </w:pPr>
      <w:r w:rsidRPr="00D56DC6">
        <w:rPr>
          <w:rFonts w:ascii="Verdana" w:hAnsi="Verdana"/>
        </w:rPr>
        <w:t>Housing and Strategic Planning</w:t>
      </w:r>
    </w:p>
    <w:p w:rsidR="00D45D5F" w:rsidRPr="00D56DC6" w:rsidP="00D56DC6">
      <w:pPr>
        <w:pStyle w:val="ListParagraph"/>
        <w:numPr>
          <w:ilvl w:val="0"/>
          <w:numId w:val="3"/>
        </w:numPr>
        <w:spacing w:line="480" w:lineRule="auto"/>
        <w:rPr>
          <w:rFonts w:ascii="Verdana" w:hAnsi="Verdana"/>
        </w:rPr>
      </w:pPr>
      <w:r w:rsidRPr="00D56DC6">
        <w:rPr>
          <w:rFonts w:ascii="Verdana" w:hAnsi="Verdana"/>
        </w:rPr>
        <w:t>Economic Development and Regeneration</w:t>
      </w:r>
    </w:p>
    <w:p w:rsidR="00D45D5F" w:rsidRPr="00D56DC6" w:rsidP="00D56DC6">
      <w:pPr>
        <w:pStyle w:val="ListParagraph"/>
        <w:numPr>
          <w:ilvl w:val="0"/>
          <w:numId w:val="3"/>
        </w:numPr>
        <w:spacing w:line="480" w:lineRule="auto"/>
        <w:rPr>
          <w:rFonts w:ascii="Verdana" w:hAnsi="Verdana"/>
        </w:rPr>
      </w:pPr>
      <w:r w:rsidRPr="00D56DC6">
        <w:rPr>
          <w:rFonts w:ascii="Verdana" w:hAnsi="Verdana"/>
        </w:rPr>
        <w:t>Environment and Net Zero</w:t>
      </w:r>
    </w:p>
    <w:p w:rsidR="00D45D5F" w:rsidRPr="00D56DC6" w:rsidP="00D56DC6">
      <w:pPr>
        <w:pStyle w:val="ListParagraph"/>
        <w:numPr>
          <w:ilvl w:val="0"/>
          <w:numId w:val="3"/>
        </w:numPr>
        <w:spacing w:line="480" w:lineRule="auto"/>
        <w:rPr>
          <w:rFonts w:ascii="Verdana" w:hAnsi="Verdana"/>
        </w:rPr>
      </w:pPr>
      <w:r w:rsidRPr="00D56DC6">
        <w:rPr>
          <w:rFonts w:ascii="Verdana" w:hAnsi="Verdana"/>
        </w:rPr>
        <w:t>Health, Wellbeing and Public Service Reform</w:t>
      </w:r>
    </w:p>
    <w:p w:rsidR="00D45D5F" w:rsidRPr="00D56DC6" w:rsidP="00D56DC6">
      <w:pPr>
        <w:pStyle w:val="ListParagraph"/>
        <w:numPr>
          <w:ilvl w:val="0"/>
          <w:numId w:val="3"/>
        </w:numPr>
        <w:spacing w:line="480" w:lineRule="auto"/>
        <w:rPr>
          <w:rFonts w:ascii="Verdana" w:hAnsi="Verdana"/>
        </w:rPr>
      </w:pPr>
      <w:r w:rsidRPr="00D56DC6">
        <w:rPr>
          <w:rFonts w:ascii="Verdana" w:hAnsi="Verdana"/>
        </w:rPr>
        <w:t xml:space="preserve">Public Safety (responsibilities for the Police and Fire &amp; Rescue Services) </w:t>
      </w:r>
    </w:p>
    <w:p w:rsidR="00D45D5F" w:rsidRPr="00D56DC6" w:rsidP="00D56DC6">
      <w:pPr>
        <w:pStyle w:val="ListParagraph"/>
        <w:numPr>
          <w:ilvl w:val="0"/>
          <w:numId w:val="3"/>
        </w:numPr>
        <w:spacing w:line="480" w:lineRule="auto"/>
        <w:rPr>
          <w:rFonts w:ascii="Verdana" w:hAnsi="Verdana"/>
        </w:rPr>
      </w:pPr>
      <w:r w:rsidRPr="00D56DC6">
        <w:rPr>
          <w:rFonts w:ascii="Verdana" w:hAnsi="Verdana"/>
        </w:rPr>
        <w:t>Culture, Arts and Heritage</w:t>
      </w:r>
    </w:p>
    <w:p w:rsidR="00D45D5F" w:rsidRPr="00D56DC6" w:rsidP="00D56DC6">
      <w:pPr>
        <w:pStyle w:val="ListParagraph"/>
        <w:numPr>
          <w:ilvl w:val="0"/>
          <w:numId w:val="3"/>
        </w:numPr>
        <w:spacing w:line="480" w:lineRule="auto"/>
        <w:rPr>
          <w:rFonts w:ascii="Verdana" w:hAnsi="Verdana"/>
        </w:rPr>
      </w:pPr>
      <w:r w:rsidRPr="00D56DC6">
        <w:rPr>
          <w:rFonts w:ascii="Verdana" w:hAnsi="Verdana"/>
        </w:rPr>
        <w:t>Rural Affairs (so specific needs of rural and coastal communities are factored into decisions.</w:t>
      </w:r>
    </w:p>
    <w:p w:rsidR="00D45D5F" w:rsidRPr="00D56DC6" w:rsidP="00D56DC6">
      <w:pPr>
        <w:spacing w:line="480" w:lineRule="auto"/>
        <w:rPr>
          <w:rFonts w:ascii="Verdana" w:hAnsi="Verdana"/>
        </w:rPr>
      </w:pPr>
      <w:r w:rsidRPr="00D56DC6">
        <w:rPr>
          <w:rFonts w:ascii="Verdana" w:hAnsi="Verdana"/>
        </w:rPr>
        <w:t>We assume the current Devolution Framework will be reissued to cover the final two competencies that have been added to the Bill by Parliament. The devolution framework provides the most practical basis for identifying the spending powers of strategic authorities.</w:t>
      </w:r>
    </w:p>
    <w:p w:rsidR="00D45D5F" w:rsidRPr="00D56DC6" w:rsidP="00D56DC6">
      <w:pPr>
        <w:spacing w:line="480" w:lineRule="auto"/>
        <w:rPr>
          <w:rFonts w:ascii="Verdana" w:hAnsi="Verdana"/>
        </w:rPr>
      </w:pPr>
      <w:r w:rsidRPr="00D56DC6">
        <w:rPr>
          <w:rFonts w:ascii="Verdana" w:hAnsi="Verdana"/>
        </w:rPr>
        <w:t xml:space="preserve">All new authorities (whether combined authorities or new unitary authorities) will be mandated by the Local Government Act 2000 to, </w:t>
      </w:r>
      <w:r w:rsidRPr="00D56DC6">
        <w:rPr>
          <w:rFonts w:ascii="Verdana" w:hAnsi="Verdana"/>
          <w:i/>
          <w:iCs/>
        </w:rPr>
        <w:t>inter alia,</w:t>
      </w:r>
      <w:r w:rsidRPr="00D56DC6">
        <w:rPr>
          <w:rFonts w:ascii="Verdana" w:hAnsi="Verdana"/>
        </w:rPr>
        <w:t xml:space="preserve"> establish a written constitution which is specific to their geography or location. This will reflect the powers and procedures and the range of responsibilities and the limits of the powers they will have to make decisions. This will also determine the authority’s structure and approach to decision-making and the financial and delegation arrangements that it proposes to operate.</w:t>
      </w:r>
    </w:p>
    <w:p w:rsidR="00D45D5F" w:rsidRPr="00D56DC6" w:rsidP="00D56DC6">
      <w:pPr>
        <w:spacing w:line="480" w:lineRule="auto"/>
        <w:rPr>
          <w:rFonts w:ascii="Verdana" w:hAnsi="Verdana"/>
        </w:rPr>
      </w:pPr>
      <w:r w:rsidRPr="00D56DC6">
        <w:rPr>
          <w:rFonts w:ascii="Verdana" w:hAnsi="Verdana"/>
        </w:rPr>
        <w:t xml:space="preserve">Both new Mayoral/Combined authorities and new and existing unitary authorities will have the General Power of Competence. This is an existing </w:t>
      </w:r>
      <w:r w:rsidRPr="00D56DC6">
        <w:rPr>
          <w:rFonts w:ascii="Verdana" w:hAnsi="Verdana"/>
        </w:rPr>
        <w:t>broad general power which enables local authorities to do anything an individual can do in relation to their areas of competence.</w:t>
      </w:r>
    </w:p>
    <w:p w:rsidR="00D45D5F" w:rsidRPr="00D56DC6" w:rsidP="00D56DC6">
      <w:pPr>
        <w:spacing w:line="480" w:lineRule="auto"/>
        <w:rPr>
          <w:rFonts w:ascii="Verdana" w:hAnsi="Verdana"/>
        </w:rPr>
      </w:pPr>
      <w:r w:rsidRPr="00D56DC6">
        <w:rPr>
          <w:rFonts w:ascii="Verdana" w:hAnsi="Verdana"/>
        </w:rPr>
        <w:t xml:space="preserve">Once the constitutions of authorities are established, these should be the basis of formal agreement as to the distribution of resources between the local and strategic authorities (and any special service areas such as National Parks). The agreements will have to be mutually and severally agreed by the constituent authorities (with the help of external independent facilitators if necessary) and once agreed should be assured by the external auditors of all authorities and lodged with the new Local Audit Office and HMT.   </w:t>
      </w:r>
    </w:p>
    <w:p w:rsidR="00D45D5F" w:rsidRPr="00D56DC6" w:rsidP="00D56DC6">
      <w:pPr>
        <w:spacing w:line="480" w:lineRule="auto"/>
        <w:rPr>
          <w:rFonts w:ascii="Verdana" w:hAnsi="Verdana"/>
          <w:b/>
          <w:bCs/>
        </w:rPr>
      </w:pPr>
      <w:r w:rsidRPr="00D56DC6">
        <w:rPr>
          <w:rFonts w:ascii="Verdana" w:hAnsi="Verdana"/>
          <w:b/>
          <w:bCs/>
        </w:rPr>
        <w:t>3.2 Capital Expenditure</w:t>
      </w:r>
    </w:p>
    <w:p w:rsidR="00D45D5F" w:rsidRPr="00D56DC6" w:rsidP="00D56DC6">
      <w:pPr>
        <w:spacing w:line="480" w:lineRule="auto"/>
        <w:rPr>
          <w:rFonts w:ascii="Verdana" w:hAnsi="Verdana"/>
        </w:rPr>
      </w:pPr>
      <w:r w:rsidRPr="00D56DC6">
        <w:rPr>
          <w:rFonts w:ascii="Verdana" w:hAnsi="Verdana"/>
        </w:rPr>
        <w:t>Local authorities need to ensure there is a clear separation between capital and revenue expenditure, with capital expenditure generally defined as expenditure that creates benefits lasting more than one year. Local Authority capital expenditure is currently subject to the Prudential Framework, and it is currently anticipated that the framework will apply to all new authorities.</w:t>
      </w:r>
    </w:p>
    <w:p w:rsidR="00D45D5F" w:rsidRPr="00D56DC6" w:rsidP="00D56DC6">
      <w:pPr>
        <w:spacing w:line="480" w:lineRule="auto"/>
        <w:ind w:left="397" w:right="397"/>
        <w:rPr>
          <w:rFonts w:ascii="Verdana" w:hAnsi="Verdana"/>
        </w:rPr>
      </w:pPr>
      <w:r w:rsidRPr="00D56DC6">
        <w:rPr>
          <w:rFonts w:ascii="Verdana" w:hAnsi="Verdana"/>
        </w:rPr>
        <w:t xml:space="preserve">“The Prudential Framework aims to ensure that the capital expenditure plans, and investment plans of local authorities are affordable and proportionate; that all external borrowing and other long-term liabilities are within prudent and sustainable levels; the risks associated with investments for commercial purposes are proportionate to their financial capacity and that Treasury </w:t>
      </w:r>
      <w:r w:rsidRPr="00D56DC6">
        <w:rPr>
          <w:rFonts w:ascii="Verdana" w:hAnsi="Verdana"/>
        </w:rPr>
        <w:t>Management decisions are taken in accordance with good professional practice”. (LGA 2025).</w:t>
      </w:r>
    </w:p>
    <w:p w:rsidR="00D45D5F" w:rsidRPr="00D56DC6" w:rsidP="00D56DC6">
      <w:pPr>
        <w:spacing w:line="480" w:lineRule="auto"/>
        <w:ind w:right="397"/>
        <w:rPr>
          <w:rFonts w:ascii="Verdana" w:hAnsi="Verdana"/>
        </w:rPr>
      </w:pPr>
      <w:r w:rsidRPr="00D56DC6">
        <w:rPr>
          <w:rFonts w:ascii="Verdana" w:hAnsi="Verdana"/>
        </w:rPr>
        <w:t>The framework has four parts:</w:t>
      </w:r>
    </w:p>
    <w:p w:rsidR="00D45D5F" w:rsidRPr="00D56DC6" w:rsidP="00D56DC6">
      <w:pPr>
        <w:pStyle w:val="ListParagraph"/>
        <w:numPr>
          <w:ilvl w:val="0"/>
          <w:numId w:val="6"/>
        </w:numPr>
        <w:spacing w:line="480" w:lineRule="auto"/>
        <w:ind w:right="397"/>
        <w:rPr>
          <w:rFonts w:ascii="Verdana" w:hAnsi="Verdana"/>
        </w:rPr>
      </w:pPr>
      <w:r w:rsidRPr="00D56DC6">
        <w:rPr>
          <w:rFonts w:ascii="Verdana" w:hAnsi="Verdana"/>
        </w:rPr>
        <w:t>The Prudential Code for Capital Finance in Local Authorities </w:t>
      </w:r>
    </w:p>
    <w:p w:rsidR="00D45D5F" w:rsidRPr="00D56DC6" w:rsidP="00D56DC6">
      <w:pPr>
        <w:pStyle w:val="ListParagraph"/>
        <w:numPr>
          <w:ilvl w:val="0"/>
          <w:numId w:val="6"/>
        </w:numPr>
        <w:spacing w:line="480" w:lineRule="auto"/>
        <w:ind w:right="397"/>
        <w:rPr>
          <w:rFonts w:ascii="Verdana" w:hAnsi="Verdana"/>
        </w:rPr>
      </w:pPr>
      <w:r w:rsidRPr="00D56DC6">
        <w:rPr>
          <w:rFonts w:ascii="Verdana" w:hAnsi="Verdana"/>
        </w:rPr>
        <w:t>The Treasury Management Code</w:t>
      </w:r>
    </w:p>
    <w:p w:rsidR="00D45D5F" w:rsidRPr="00D56DC6" w:rsidP="00D56DC6">
      <w:pPr>
        <w:pStyle w:val="ListParagraph"/>
        <w:numPr>
          <w:ilvl w:val="0"/>
          <w:numId w:val="6"/>
        </w:numPr>
        <w:spacing w:line="480" w:lineRule="auto"/>
        <w:ind w:right="397"/>
        <w:rPr>
          <w:rFonts w:ascii="Verdana" w:hAnsi="Verdana"/>
        </w:rPr>
      </w:pPr>
      <w:r w:rsidRPr="00D56DC6">
        <w:rPr>
          <w:rFonts w:ascii="Verdana" w:hAnsi="Verdana"/>
        </w:rPr>
        <w:t>Capital finance: Guidance on Minimum Revenue Provision</w:t>
      </w:r>
    </w:p>
    <w:p w:rsidR="00D45D5F" w:rsidRPr="00D56DC6" w:rsidP="00D56DC6">
      <w:pPr>
        <w:pStyle w:val="ListParagraph"/>
        <w:numPr>
          <w:ilvl w:val="0"/>
          <w:numId w:val="6"/>
        </w:numPr>
        <w:spacing w:line="480" w:lineRule="auto"/>
        <w:ind w:right="397"/>
        <w:rPr>
          <w:rFonts w:ascii="Verdana" w:hAnsi="Verdana"/>
        </w:rPr>
      </w:pPr>
      <w:r w:rsidRPr="00D56DC6">
        <w:rPr>
          <w:rFonts w:ascii="Verdana" w:hAnsi="Verdana"/>
        </w:rPr>
        <w:t>Statutory guidance on local government investments.</w:t>
      </w:r>
    </w:p>
    <w:p w:rsidR="00D45D5F" w:rsidRPr="00D56DC6" w:rsidP="00D56DC6">
      <w:pPr>
        <w:spacing w:line="480" w:lineRule="auto"/>
        <w:ind w:right="397"/>
        <w:rPr>
          <w:rFonts w:ascii="Verdana" w:hAnsi="Verdana"/>
        </w:rPr>
      </w:pPr>
      <w:r w:rsidRPr="00D56DC6">
        <w:rPr>
          <w:rFonts w:ascii="Verdana" w:hAnsi="Verdana"/>
        </w:rPr>
        <w:t xml:space="preserve">The Prudential Framework is regularly updated and has been relatively effective in practice. There are, however, three inadequacies that in our view need to be addressed, and that it is timely to address as part of the current debate. We therefore would wish to draw these to the Committees’ attention. </w:t>
      </w:r>
    </w:p>
    <w:p w:rsidR="00D45D5F" w:rsidRPr="00D56DC6" w:rsidP="00D56DC6">
      <w:pPr>
        <w:pStyle w:val="ListParagraph"/>
        <w:numPr>
          <w:ilvl w:val="0"/>
          <w:numId w:val="7"/>
        </w:numPr>
        <w:spacing w:line="480" w:lineRule="auto"/>
        <w:ind w:right="397"/>
        <w:rPr>
          <w:rFonts w:ascii="Verdana" w:hAnsi="Verdana"/>
        </w:rPr>
      </w:pPr>
      <w:r w:rsidRPr="00D56DC6">
        <w:rPr>
          <w:rFonts w:ascii="Verdana" w:hAnsi="Verdana"/>
        </w:rPr>
        <w:t xml:space="preserve">In recent years, successive governments have allowed an increasing number of local authorities in financial distress to capitalise expenditure that would usually be (and should more properly be) treated as revenue expenditure (HMCLG 2026). This clearly breaches the desired need for a clear separation between capital and revenue expenditure and requires future populations to (in effect) pay for contemporary revenue expenditure and/or accumulated debts. It also means that authorities become less financially sustainable, which is both contrary to government policy and to their fiduciary duty. </w:t>
      </w:r>
    </w:p>
    <w:p w:rsidR="00D45D5F" w:rsidRPr="00D56DC6" w:rsidP="00D56DC6">
      <w:pPr>
        <w:pStyle w:val="ListParagraph"/>
        <w:numPr>
          <w:ilvl w:val="0"/>
          <w:numId w:val="7"/>
        </w:numPr>
        <w:spacing w:line="480" w:lineRule="auto"/>
        <w:ind w:right="397"/>
        <w:rPr>
          <w:rFonts w:ascii="Verdana" w:hAnsi="Verdana"/>
        </w:rPr>
      </w:pPr>
      <w:r w:rsidRPr="00D56DC6">
        <w:rPr>
          <w:rFonts w:ascii="Verdana" w:hAnsi="Verdana"/>
        </w:rPr>
        <w:t>Similarly, successive governments have allowed increasing amounts of expenditure to be treated (albeit temporarily) as off-balance sheet expenditure such as statutory overrides for the Special Educational Needs and Disabilities expenditure (Goddard 2024). These off-balance sheet expenditures have become substantial, and breach long-term commitments to full transparency in public expenditure and in turn reduce both public accountability and public assurance. It is no coincidence that off-balance sheet transactions have been prominent in the history of financial scandals in the history of Local Government (Campbell-Smith 2008, King and Crewe 2014).</w:t>
      </w:r>
    </w:p>
    <w:p w:rsidR="00D45D5F" w:rsidRPr="00D56DC6" w:rsidP="00D56DC6">
      <w:pPr>
        <w:pStyle w:val="ListParagraph"/>
        <w:numPr>
          <w:ilvl w:val="0"/>
          <w:numId w:val="7"/>
        </w:numPr>
        <w:spacing w:line="480" w:lineRule="auto"/>
        <w:rPr>
          <w:rFonts w:ascii="Verdana" w:hAnsi="Verdana"/>
        </w:rPr>
      </w:pPr>
      <w:r w:rsidRPr="00D56DC6">
        <w:rPr>
          <w:rFonts w:ascii="Verdana" w:hAnsi="Verdana"/>
        </w:rPr>
        <w:t>The statutory guidance on local government investments (third edition) was last updated in 2018 and is “currently being updated”. This update should be expedited, operationalised and aligned with the currently fiscal devolution and its timetable.</w:t>
      </w:r>
    </w:p>
    <w:p w:rsidR="00D45D5F" w:rsidRPr="00D56DC6" w:rsidP="00D56DC6">
      <w:pPr>
        <w:spacing w:line="480" w:lineRule="auto"/>
        <w:ind w:right="397"/>
        <w:rPr>
          <w:rFonts w:ascii="Verdana" w:hAnsi="Verdana"/>
        </w:rPr>
      </w:pPr>
      <w:r w:rsidRPr="00D56DC6">
        <w:rPr>
          <w:rFonts w:ascii="Verdana" w:hAnsi="Verdana"/>
        </w:rPr>
        <w:t>In our view, fiscal devolution provides the opportunity to redress these continuing major inadequacies.  Both capitalisation of revenue expenditure and the off-balance sheet treatment of any public expenditure should be statutorily prohibited, and this should be clearly articulated in the Prudential Framework. The statutory guidance on local government investments should be expedited, operationalised and aligned with the fiscal devolution and timetable.</w:t>
      </w:r>
    </w:p>
    <w:p w:rsidR="00D45D5F" w:rsidRPr="00D56DC6" w:rsidP="00D56DC6">
      <w:pPr>
        <w:spacing w:line="480" w:lineRule="auto"/>
        <w:ind w:right="397"/>
        <w:rPr>
          <w:rFonts w:ascii="Verdana" w:hAnsi="Verdana"/>
        </w:rPr>
      </w:pPr>
    </w:p>
    <w:p w:rsidR="00D45D5F" w:rsidRPr="00D56DC6" w:rsidP="00D56DC6">
      <w:pPr>
        <w:numPr>
          <w:ilvl w:val="0"/>
          <w:numId w:val="1"/>
        </w:numPr>
        <w:spacing w:line="480" w:lineRule="auto"/>
        <w:rPr>
          <w:rFonts w:ascii="Verdana" w:hAnsi="Verdana"/>
          <w:b/>
          <w:bCs/>
        </w:rPr>
      </w:pPr>
      <w:r w:rsidRPr="00D56DC6">
        <w:rPr>
          <w:rFonts w:ascii="Verdana" w:hAnsi="Verdana"/>
          <w:b/>
          <w:bCs/>
        </w:rPr>
        <w:t>What revenue-raising powers should be devolved to local areas?</w:t>
      </w:r>
    </w:p>
    <w:p w:rsidR="00D45D5F" w:rsidRPr="00D56DC6" w:rsidP="00D56DC6">
      <w:pPr>
        <w:spacing w:line="480" w:lineRule="auto"/>
        <w:rPr>
          <w:rFonts w:ascii="Verdana" w:hAnsi="Verdana"/>
        </w:rPr>
      </w:pPr>
      <w:r w:rsidRPr="00D56DC6">
        <w:rPr>
          <w:rFonts w:ascii="Verdana" w:hAnsi="Verdana"/>
        </w:rPr>
        <w:t>The Chancellor in her Mais lecture announced that fiscal devolution will allow strategic mayors to control a portion of national tax revenues, including revenue from Income Tax, while ensuring that the overall tax burden does not increase. In Scotland, the power to set income tax rates and bands (above personal allowances) was devolved in 2012. Landfill tax, and land and building transaction tax (previously stamp duty) are also devolved. In Wales, partial income tax powers are devolved, with the Welsh government setting a rate of income tax for each band (although they cannot alter thresholds for bands or introduce new bands). Paun and Cheung (2018) estimated that “in the 2020/21 financial year, devolved tax revenue (including council tax and business rates) made up:</w:t>
      </w:r>
    </w:p>
    <w:p w:rsidR="00D45D5F" w:rsidRPr="00D56DC6" w:rsidP="00D56DC6">
      <w:pPr>
        <w:pStyle w:val="ListParagraph"/>
        <w:numPr>
          <w:ilvl w:val="0"/>
          <w:numId w:val="4"/>
        </w:numPr>
        <w:spacing w:line="480" w:lineRule="auto"/>
        <w:rPr>
          <w:rFonts w:ascii="Verdana" w:hAnsi="Verdana"/>
        </w:rPr>
      </w:pPr>
      <w:r w:rsidRPr="00D56DC6">
        <w:rPr>
          <w:rFonts w:ascii="Verdana" w:hAnsi="Verdana"/>
        </w:rPr>
        <w:t>31% of tax revenue in Scotland</w:t>
      </w:r>
    </w:p>
    <w:p w:rsidR="00D45D5F" w:rsidRPr="00D56DC6" w:rsidP="00D56DC6">
      <w:pPr>
        <w:pStyle w:val="ListParagraph"/>
        <w:numPr>
          <w:ilvl w:val="0"/>
          <w:numId w:val="4"/>
        </w:numPr>
        <w:spacing w:line="480" w:lineRule="auto"/>
        <w:rPr>
          <w:rFonts w:ascii="Verdana" w:hAnsi="Verdana"/>
        </w:rPr>
      </w:pPr>
      <w:r w:rsidRPr="00D56DC6">
        <w:rPr>
          <w:rFonts w:ascii="Verdana" w:hAnsi="Verdana"/>
        </w:rPr>
        <w:t>20% in Wales</w:t>
      </w:r>
    </w:p>
    <w:p w:rsidR="00D45D5F" w:rsidRPr="00D56DC6" w:rsidP="00D56DC6">
      <w:pPr>
        <w:pStyle w:val="ListParagraph"/>
        <w:numPr>
          <w:ilvl w:val="0"/>
          <w:numId w:val="4"/>
        </w:numPr>
        <w:spacing w:line="480" w:lineRule="auto"/>
        <w:rPr>
          <w:rFonts w:ascii="Verdana" w:hAnsi="Verdana"/>
        </w:rPr>
      </w:pPr>
      <w:r w:rsidRPr="00D56DC6">
        <w:rPr>
          <w:rFonts w:ascii="Verdana" w:hAnsi="Verdana"/>
        </w:rPr>
        <w:t xml:space="preserve">11% in Northern Ireland </w:t>
      </w:r>
    </w:p>
    <w:p w:rsidR="00D45D5F" w:rsidRPr="00D56DC6" w:rsidP="00D56DC6">
      <w:pPr>
        <w:pStyle w:val="ListParagraph"/>
        <w:numPr>
          <w:ilvl w:val="0"/>
          <w:numId w:val="4"/>
        </w:numPr>
        <w:spacing w:line="480" w:lineRule="auto"/>
        <w:rPr>
          <w:rFonts w:ascii="Verdana" w:hAnsi="Verdana"/>
        </w:rPr>
      </w:pPr>
      <w:r w:rsidRPr="00D56DC6">
        <w:rPr>
          <w:rFonts w:ascii="Verdana" w:hAnsi="Verdana"/>
        </w:rPr>
        <w:t>7-8% in England (including council tax and a share of business rates)</w:t>
      </w:r>
    </w:p>
    <w:p w:rsidR="00D45D5F" w:rsidRPr="00D56DC6" w:rsidP="00D56DC6">
      <w:pPr>
        <w:spacing w:line="480" w:lineRule="auto"/>
        <w:rPr>
          <w:rFonts w:ascii="Verdana" w:hAnsi="Verdana"/>
        </w:rPr>
      </w:pPr>
      <w:r w:rsidRPr="00D56DC6">
        <w:rPr>
          <w:rFonts w:ascii="Verdana" w:hAnsi="Verdana"/>
        </w:rPr>
        <w:t>“If all legislated tax devolution measures were implemented this would increase to 39% in Scotland (including assigned VAT revenue at 50%) and 18% in Northern Ireland” (although the Northern Ireland Executive is no longer “actively pursuing” devolved corporation tax since 2020).</w:t>
      </w:r>
    </w:p>
    <w:p w:rsidR="00D45D5F" w:rsidRPr="00D56DC6" w:rsidP="00D56DC6">
      <w:pPr>
        <w:spacing w:line="480" w:lineRule="auto"/>
        <w:rPr>
          <w:rFonts w:ascii="Verdana" w:hAnsi="Verdana"/>
        </w:rPr>
      </w:pPr>
      <w:r w:rsidRPr="00D56DC6">
        <w:rPr>
          <w:rFonts w:ascii="Verdana" w:hAnsi="Verdana"/>
        </w:rPr>
        <w:t xml:space="preserve">It is clear that any devolution of revenue-raising powers will have to be phased in, not least because the devolution process includes (at least potentially) multiple stages for some strategic authorities. The allocation of a portion of national tax revenues, including revenue from Income Tax, will result in the overall local tax take being less regressive than at present. Provided there is a sensitive and robust equalisation methodology implemented (see response to question 5 below); and that council tax reforms, and revaluations and extensions of council tax bands are implemented (see response to question 8) and that robust overview and scrutiny arrangements are developed and implemented (see response to question 7), then the devolved revenue (including council tax and business rates) should be increased. It should at least target the equivalent current devolved revenue (including council tax and business rates) level of approximately 20-25%. </w:t>
      </w:r>
    </w:p>
    <w:p w:rsidR="00D45D5F" w:rsidRPr="00D56DC6" w:rsidP="00D56DC6">
      <w:pPr>
        <w:spacing w:line="480" w:lineRule="auto"/>
        <w:rPr>
          <w:rFonts w:ascii="Verdana" w:hAnsi="Verdana"/>
        </w:rPr>
      </w:pPr>
      <w:r w:rsidRPr="00D56DC6">
        <w:rPr>
          <w:rFonts w:ascii="Verdana" w:hAnsi="Verdana"/>
        </w:rPr>
        <w:t>Equally, however, we caution that too much fiscal devolution risks exacerbating structural inequalities across England, given that the wealthiest parts of the country would clearly find it easier to generate revenue locally compared to deprived local authorities. For example, although we welcome the new power for strategic mayoral authorities in England to levy tourist taxes (in common with local governments in the vast majority of other OECD countries), visitors are more likely to stay overnight in areas where public budgets are under less pressure. We cover this in more detail in the next section.</w:t>
      </w:r>
    </w:p>
    <w:p w:rsidR="00D45D5F" w:rsidRPr="00D56DC6" w:rsidP="00D56DC6">
      <w:pPr>
        <w:pStyle w:val="ListParagraph"/>
        <w:numPr>
          <w:ilvl w:val="0"/>
          <w:numId w:val="1"/>
        </w:numPr>
        <w:spacing w:line="480" w:lineRule="auto"/>
        <w:rPr>
          <w:rFonts w:ascii="Verdana" w:hAnsi="Verdana"/>
          <w:b/>
          <w:bCs/>
        </w:rPr>
      </w:pPr>
      <w:r w:rsidRPr="00D56DC6">
        <w:rPr>
          <w:rFonts w:ascii="Verdana" w:hAnsi="Verdana"/>
          <w:b/>
          <w:bCs/>
        </w:rPr>
        <w:t>What mechanisms of equalisation between areas should the Government consider and how might these be updated as differences between regions change? What mechanisms might be needed to avoid inter-region tax competition leading to insufficient aggregate tax collection?</w:t>
      </w:r>
    </w:p>
    <w:p w:rsidR="00D45D5F" w:rsidRPr="00D56DC6" w:rsidP="00D56DC6">
      <w:pPr>
        <w:spacing w:line="480" w:lineRule="auto"/>
        <w:rPr>
          <w:rFonts w:ascii="Verdana" w:hAnsi="Verdana"/>
        </w:rPr>
      </w:pPr>
      <w:r w:rsidRPr="00D56DC6">
        <w:rPr>
          <w:rFonts w:ascii="Verdana" w:hAnsi="Verdana"/>
        </w:rPr>
        <w:t>The Scottish system of equalisation</w:t>
      </w:r>
      <w:r w:rsidRPr="00D56DC6">
        <w:rPr>
          <w:rFonts w:ascii="Verdana" w:hAnsi="Verdana"/>
          <w:b/>
          <w:bCs/>
        </w:rPr>
        <w:t xml:space="preserve"> </w:t>
      </w:r>
      <w:r w:rsidRPr="00D56DC6">
        <w:rPr>
          <w:rFonts w:ascii="Verdana" w:hAnsi="Verdana"/>
        </w:rPr>
        <w:t>in the Scottish Public Finance Manual (Scottish Government 2026) is generally considered the most developed and robust in the UK. It is jointly agreed and uses a needs-based formula. It is also collectively managed by the “Settlement and Distribution Group” formed from senior financial officers of the Scottish Government, COSLA and Local Authorities. It uses a multi-step process</w:t>
      </w:r>
    </w:p>
    <w:p w:rsidR="00D45D5F" w:rsidRPr="00D56DC6" w:rsidP="00D56DC6">
      <w:pPr>
        <w:pStyle w:val="ListParagraph"/>
        <w:numPr>
          <w:ilvl w:val="0"/>
          <w:numId w:val="8"/>
        </w:numPr>
        <w:spacing w:line="480" w:lineRule="auto"/>
        <w:rPr>
          <w:rFonts w:ascii="Verdana" w:hAnsi="Verdana"/>
        </w:rPr>
      </w:pPr>
      <w:r w:rsidRPr="00D56DC6">
        <w:rPr>
          <w:rFonts w:ascii="Verdana" w:hAnsi="Verdana"/>
        </w:rPr>
        <w:t>Grant Distribution Formula</w:t>
      </w:r>
    </w:p>
    <w:p w:rsidR="00D45D5F" w:rsidRPr="00D56DC6" w:rsidP="00D56DC6">
      <w:pPr>
        <w:pStyle w:val="ListParagraph"/>
        <w:numPr>
          <w:ilvl w:val="0"/>
          <w:numId w:val="8"/>
        </w:numPr>
        <w:spacing w:line="480" w:lineRule="auto"/>
        <w:rPr>
          <w:rFonts w:ascii="Verdana" w:hAnsi="Verdana"/>
        </w:rPr>
      </w:pPr>
      <w:r w:rsidRPr="00D56DC6">
        <w:rPr>
          <w:rFonts w:ascii="Verdana" w:hAnsi="Verdana"/>
        </w:rPr>
        <w:t>Equalisation adjustment</w:t>
      </w:r>
    </w:p>
    <w:p w:rsidR="00D45D5F" w:rsidRPr="00D56DC6" w:rsidP="00D56DC6">
      <w:pPr>
        <w:pStyle w:val="ListParagraph"/>
        <w:numPr>
          <w:ilvl w:val="0"/>
          <w:numId w:val="8"/>
        </w:numPr>
        <w:spacing w:line="480" w:lineRule="auto"/>
        <w:rPr>
          <w:rFonts w:ascii="Verdana" w:hAnsi="Verdana"/>
        </w:rPr>
      </w:pPr>
      <w:r w:rsidRPr="00D56DC6">
        <w:rPr>
          <w:rFonts w:ascii="Verdana" w:hAnsi="Verdana"/>
        </w:rPr>
        <w:t>Total Revenue Support</w:t>
      </w:r>
    </w:p>
    <w:p w:rsidR="00D45D5F" w:rsidRPr="00D56DC6" w:rsidP="00D56DC6">
      <w:pPr>
        <w:pStyle w:val="ListParagraph"/>
        <w:numPr>
          <w:ilvl w:val="0"/>
          <w:numId w:val="8"/>
        </w:numPr>
        <w:spacing w:line="480" w:lineRule="auto"/>
        <w:rPr>
          <w:rFonts w:ascii="Verdana" w:hAnsi="Verdana"/>
        </w:rPr>
      </w:pPr>
      <w:r w:rsidRPr="00D56DC6">
        <w:rPr>
          <w:rFonts w:ascii="Verdana" w:hAnsi="Verdana"/>
        </w:rPr>
        <w:t>Allowable Local Discretion.</w:t>
      </w:r>
    </w:p>
    <w:p w:rsidR="00D45D5F" w:rsidRPr="00D56DC6" w:rsidP="00D56DC6">
      <w:pPr>
        <w:spacing w:line="480" w:lineRule="auto"/>
        <w:rPr>
          <w:rFonts w:ascii="Verdana" w:hAnsi="Verdana"/>
        </w:rPr>
      </w:pPr>
      <w:r w:rsidRPr="00D56DC6">
        <w:rPr>
          <w:rFonts w:ascii="Verdana" w:hAnsi="Verdana"/>
        </w:rPr>
        <w:t xml:space="preserve">However, the LGIU’s Local democracy research centre (in collaboration with the University of Northumbria) undertook a research project to look at whole-system analysis of local government finance systems in England, Japan, Italy, and Germany and also explored comparisons between England and Scotland (Muldoon-Smith et al 2024; LGIU 2024-2026).  This generated many findings and examples of international best practice that mirror our own findings from our long-term collaborations with Japanese and German academics and practitioners (Murphy </w:t>
      </w:r>
      <w:r w:rsidRPr="00D56DC6">
        <w:rPr>
          <w:rFonts w:ascii="Verdana" w:hAnsi="Verdana"/>
          <w:i/>
          <w:iCs/>
        </w:rPr>
        <w:t>et al.</w:t>
      </w:r>
      <w:r w:rsidRPr="00D56DC6">
        <w:rPr>
          <w:rFonts w:ascii="Verdana" w:hAnsi="Verdana"/>
        </w:rPr>
        <w:t xml:space="preserve"> 2014; Eckersley </w:t>
      </w:r>
      <w:r w:rsidRPr="00D56DC6">
        <w:rPr>
          <w:rFonts w:ascii="Verdana" w:hAnsi="Verdana"/>
        </w:rPr>
        <w:t xml:space="preserve">2018). Both suggest that statutory or (preferably) constitutionally defined roles for local and sub-national government provide the firmest basis for long-term relationships (see also our response to question 12 below). </w:t>
      </w:r>
    </w:p>
    <w:p w:rsidR="00D45D5F" w:rsidRPr="00D56DC6" w:rsidP="00D56DC6">
      <w:pPr>
        <w:spacing w:line="480" w:lineRule="auto"/>
        <w:rPr>
          <w:rFonts w:ascii="Verdana" w:hAnsi="Verdana"/>
        </w:rPr>
      </w:pPr>
      <w:r w:rsidRPr="00D56DC6">
        <w:rPr>
          <w:rFonts w:ascii="Verdana" w:hAnsi="Verdana"/>
        </w:rPr>
        <w:t>Similarly, it suggests that the territorial equalisation of funds should also be on a statutory basis and should be defined through mechanisms and funds that create a needs-based approach. Formalised networks of central, regional and local government actors are fundamental to an effective system of local government finance, and a culture of mutual support, collective ownership and reciprocity is the most likely to deliver short and long-term positive outcomes (Eckersley and Dom 2026). It is this complex system of actors, regulations and institutions that enables and constrains local government finance system.</w:t>
      </w:r>
    </w:p>
    <w:p w:rsidR="00D45D5F" w:rsidRPr="00D56DC6" w:rsidP="00D56DC6">
      <w:pPr>
        <w:spacing w:line="480" w:lineRule="auto"/>
        <w:rPr>
          <w:rFonts w:ascii="Verdana" w:hAnsi="Verdana"/>
        </w:rPr>
      </w:pPr>
    </w:p>
    <w:p w:rsidR="00D45D5F" w:rsidRPr="00D56DC6" w:rsidP="00D56DC6">
      <w:pPr>
        <w:numPr>
          <w:ilvl w:val="0"/>
          <w:numId w:val="1"/>
        </w:numPr>
        <w:spacing w:line="480" w:lineRule="auto"/>
        <w:rPr>
          <w:rFonts w:ascii="Verdana" w:hAnsi="Verdana"/>
          <w:b/>
          <w:bCs/>
        </w:rPr>
      </w:pPr>
      <w:r w:rsidRPr="00D56DC6">
        <w:rPr>
          <w:rFonts w:ascii="Verdana" w:hAnsi="Verdana"/>
          <w:b/>
          <w:bCs/>
        </w:rPr>
        <w:t>What are the distributional consequences of further fiscal devolution?</w:t>
      </w:r>
    </w:p>
    <w:p w:rsidR="00D45D5F" w:rsidRPr="00D56DC6" w:rsidP="00D56DC6">
      <w:pPr>
        <w:spacing w:line="480" w:lineRule="auto"/>
        <w:rPr>
          <w:rFonts w:ascii="Verdana" w:hAnsi="Verdana"/>
        </w:rPr>
      </w:pPr>
      <w:r w:rsidRPr="00D56DC6">
        <w:rPr>
          <w:rFonts w:ascii="Verdana" w:hAnsi="Verdana"/>
        </w:rPr>
        <w:t>In order to respond to this question, we would have to undertake comprehensive financial modelling of various potential scenarios or examples. To-date, we have not had the capacity to undertake any of these at this stage.</w:t>
      </w:r>
    </w:p>
    <w:p w:rsidR="00D45D5F" w:rsidRPr="00D56DC6" w:rsidP="00D56DC6">
      <w:pPr>
        <w:spacing w:line="480" w:lineRule="auto"/>
        <w:rPr>
          <w:rFonts w:ascii="Verdana" w:hAnsi="Verdana"/>
        </w:rPr>
      </w:pPr>
    </w:p>
    <w:p w:rsidR="00D45D5F" w:rsidRPr="00D56DC6" w:rsidP="00D56DC6">
      <w:pPr>
        <w:numPr>
          <w:ilvl w:val="0"/>
          <w:numId w:val="1"/>
        </w:numPr>
        <w:spacing w:line="480" w:lineRule="auto"/>
        <w:rPr>
          <w:rFonts w:ascii="Verdana" w:hAnsi="Verdana"/>
          <w:b/>
          <w:bCs/>
        </w:rPr>
      </w:pPr>
      <w:r w:rsidRPr="00D56DC6">
        <w:rPr>
          <w:rFonts w:ascii="Verdana" w:hAnsi="Verdana"/>
          <w:b/>
          <w:bCs/>
        </w:rPr>
        <w:t xml:space="preserve">What governance arrangements are needed as more powers are devolved to local areas? How should local and mayoral </w:t>
      </w:r>
      <w:r w:rsidRPr="00D56DC6">
        <w:rPr>
          <w:rFonts w:ascii="Verdana" w:hAnsi="Verdana"/>
          <w:b/>
          <w:bCs/>
        </w:rPr>
        <w:t>strategic authorities be best scrutinised and held to account for the exercise of any new powers?</w:t>
      </w:r>
    </w:p>
    <w:p w:rsidR="00D45D5F" w:rsidRPr="00D56DC6" w:rsidP="00D56DC6">
      <w:pPr>
        <w:spacing w:line="480" w:lineRule="auto"/>
        <w:rPr>
          <w:rFonts w:ascii="Verdana" w:hAnsi="Verdana"/>
        </w:rPr>
      </w:pPr>
      <w:r w:rsidRPr="00D56DC6">
        <w:rPr>
          <w:rFonts w:ascii="Verdana" w:hAnsi="Verdana"/>
        </w:rPr>
        <w:t xml:space="preserve">Clearly the more powers – fiscal or otherwise - that are devolved to local areas, the stronger, more comprehensive, better informed and more robust the overview and scrutiny arrangements need to be. Internal scrutiny arrangements should complement and strengthen external scrutiny, and the use of independent Non-Executive Directors and independent external expertise has been declining for a number of years when it should have been increasing. External independent inspections have increasingly been focused on single services or specific programmes when they should also be assessing corporate entities and networks of deliverers (e.g. Murphy </w:t>
      </w:r>
      <w:r w:rsidRPr="00D56DC6">
        <w:rPr>
          <w:rFonts w:ascii="Verdana" w:hAnsi="Verdana"/>
          <w:i/>
          <w:iCs/>
        </w:rPr>
        <w:t>et al.</w:t>
      </w:r>
      <w:r w:rsidRPr="00D56DC6">
        <w:rPr>
          <w:rFonts w:ascii="Verdana" w:hAnsi="Verdana"/>
        </w:rPr>
        <w:t xml:space="preserve"> 2020).</w:t>
      </w:r>
    </w:p>
    <w:p w:rsidR="00D45D5F" w:rsidRPr="00D56DC6" w:rsidP="00D56DC6">
      <w:pPr>
        <w:spacing w:line="480" w:lineRule="auto"/>
        <w:rPr>
          <w:rFonts w:ascii="Verdana" w:hAnsi="Verdana"/>
        </w:rPr>
      </w:pPr>
      <w:r w:rsidRPr="00D56DC6">
        <w:rPr>
          <w:rFonts w:ascii="Verdana" w:hAnsi="Verdana"/>
        </w:rPr>
        <w:t>Similarly, governance and scrutiny arrangements across different responsibilities and services should learn from their differences in approach within an organisational culture of mutual support, problem solving and learning. The organisational infrastructure of public service improvement, innovation and value creation created in the early years of the 21</w:t>
      </w:r>
      <w:r w:rsidRPr="00D56DC6">
        <w:rPr>
          <w:rFonts w:ascii="Verdana" w:hAnsi="Verdana"/>
          <w:vertAlign w:val="superscript"/>
        </w:rPr>
        <w:t>st</w:t>
      </w:r>
      <w:r w:rsidRPr="00D56DC6">
        <w:rPr>
          <w:rFonts w:ascii="Verdana" w:hAnsi="Verdana"/>
        </w:rPr>
        <w:t xml:space="preserve"> century has been largely dismantled and needs rebuilding, albeit in organisations and forms appropriate to meet contemporary rather than historical challenges.</w:t>
      </w:r>
    </w:p>
    <w:p w:rsidR="00D45D5F" w:rsidRPr="00D56DC6" w:rsidP="00D56DC6">
      <w:pPr>
        <w:spacing w:line="480" w:lineRule="auto"/>
        <w:rPr>
          <w:rFonts w:ascii="Verdana" w:hAnsi="Verdana"/>
        </w:rPr>
      </w:pPr>
      <w:r w:rsidRPr="00D56DC6">
        <w:rPr>
          <w:rFonts w:ascii="Verdana" w:hAnsi="Verdana"/>
        </w:rPr>
        <w:t xml:space="preserve">At present, some Mayoral Scrutiny arrangements (e.g. London and Greater Manchester) are amongst the strongest within English local government, whereas some, individual directly elected leadership leaders </w:t>
      </w:r>
      <w:r w:rsidRPr="00D56DC6">
        <w:rPr>
          <w:rFonts w:ascii="Verdana" w:hAnsi="Verdana"/>
        </w:rPr>
        <w:t xml:space="preserve">e.g. Police and Crime Commissioners and Police Fire and Crime Commissioners, are acknowledged to be among the weakest (Lakoma 2024). The resources and the internal and external support devoted to overview and scrutiny have seen long-term reductions, and the voice of scrutiny has been increasingly marginalised. </w:t>
      </w:r>
    </w:p>
    <w:p w:rsidR="00D45D5F" w:rsidRPr="00D56DC6" w:rsidP="00D56DC6">
      <w:pPr>
        <w:spacing w:line="480" w:lineRule="auto"/>
        <w:rPr>
          <w:rFonts w:ascii="Verdana" w:hAnsi="Verdana"/>
        </w:rPr>
      </w:pPr>
      <w:r w:rsidRPr="00D56DC6">
        <w:rPr>
          <w:rFonts w:ascii="Verdana" w:hAnsi="Verdana"/>
        </w:rPr>
        <w:t xml:space="preserve">Although the Mayors of London and Greater Manchester scrutiny arrangements are the most cited examples of strong scrutiny arrangements, our ongoing research comparing directly elected Japanese Mayors at local and provincial levels with the thirteen post-2002 directly elected mayors in English local authorities found that the latter often have developed sophisticated, efficient and effective scrutiny arrangements, particularly amongst those mayors that have served multiple terms of office.  They also tend to have more extensive and inclusive external engagement networks and mechanisms and a more collaborative rather than adversarial approach to scrutiny.  </w:t>
      </w:r>
    </w:p>
    <w:p w:rsidR="00D45D5F" w:rsidRPr="00D56DC6" w:rsidP="00D56DC6">
      <w:pPr>
        <w:spacing w:line="480" w:lineRule="auto"/>
        <w:rPr>
          <w:rFonts w:ascii="Verdana" w:hAnsi="Verdana"/>
        </w:rPr>
      </w:pPr>
      <w:r w:rsidRPr="00D56DC6">
        <w:rPr>
          <w:rFonts w:ascii="Verdana" w:hAnsi="Verdana"/>
        </w:rPr>
        <w:t xml:space="preserve">However, one significant concern we have raised about the new Local Audit Office arrangements is that, as currently proposed, it will audit the financial performance of local authorities but not the non-financial performance (sometimes known as performance audit). The Centre for Governance and Scrutiny has similarly highlighted that when the government tabled amendments relating to scrutiny (on 19 April 2026) to the Devolution and Community Empowerment Bill, they proposed to introduce explicit powers for scrutiny over Value for Money, but no powers </w:t>
      </w:r>
      <w:r w:rsidRPr="00D56DC6">
        <w:rPr>
          <w:rFonts w:ascii="Verdana" w:hAnsi="Verdana"/>
        </w:rPr>
        <w:t xml:space="preserve">to investigate non-financial performance across the whole organisation, let alone across the LA’s administrative area. </w:t>
      </w:r>
    </w:p>
    <w:p w:rsidR="00D45D5F" w:rsidRPr="00D56DC6" w:rsidP="00D56DC6">
      <w:pPr>
        <w:spacing w:line="480" w:lineRule="auto"/>
        <w:rPr>
          <w:rFonts w:ascii="Verdana" w:hAnsi="Verdana"/>
        </w:rPr>
      </w:pPr>
      <w:r w:rsidRPr="00D56DC6">
        <w:rPr>
          <w:rFonts w:ascii="Verdana" w:hAnsi="Verdana"/>
        </w:rPr>
        <w:t xml:space="preserve">Effective scrutiny requires assessment of non-financial performance as much as (if not more than) financial performance. If new arrangements are supposed to hold strategic mayors to a higher standard over how money is spent, and decisions are made, then scrutiny arrangements must include non-financial performance scrutiny as well as scrutiny of financial performance. </w:t>
      </w:r>
    </w:p>
    <w:p w:rsidR="00D45D5F" w:rsidRPr="00D56DC6" w:rsidP="00D56DC6">
      <w:pPr>
        <w:spacing w:line="480" w:lineRule="auto"/>
        <w:rPr>
          <w:rFonts w:ascii="Verdana" w:hAnsi="Verdana"/>
        </w:rPr>
      </w:pPr>
      <w:r w:rsidRPr="00D56DC6">
        <w:rPr>
          <w:rFonts w:ascii="Verdana" w:hAnsi="Verdana"/>
        </w:rPr>
        <w:t>The government’s current proposals for the Local Audit Office and for the scrutiny of strategic mayors do not cover performance audit or the performance management of non-financial services and activities of the new authorities. They are clearly inadequate, and poorer than current arrangements in some existing councils.</w:t>
      </w:r>
    </w:p>
    <w:p w:rsidR="00D45D5F" w:rsidRPr="00D56DC6" w:rsidP="00D56DC6">
      <w:pPr>
        <w:spacing w:line="480" w:lineRule="auto"/>
        <w:rPr>
          <w:rFonts w:ascii="Verdana" w:hAnsi="Verdana"/>
        </w:rPr>
      </w:pPr>
    </w:p>
    <w:p w:rsidR="00D45D5F" w:rsidRPr="00D56DC6" w:rsidP="00D56DC6">
      <w:pPr>
        <w:numPr>
          <w:ilvl w:val="0"/>
          <w:numId w:val="1"/>
        </w:numPr>
        <w:spacing w:line="480" w:lineRule="auto"/>
        <w:rPr>
          <w:rFonts w:ascii="Verdana" w:hAnsi="Verdana"/>
          <w:b/>
          <w:bCs/>
        </w:rPr>
      </w:pPr>
      <w:r w:rsidRPr="00D56DC6">
        <w:rPr>
          <w:rFonts w:ascii="Verdana" w:hAnsi="Verdana"/>
          <w:b/>
          <w:bCs/>
        </w:rPr>
        <w:t>Should devolution be paired with tax reforms, such as council tax revaluations, or can it be carried out separately?</w:t>
      </w:r>
    </w:p>
    <w:p w:rsidR="00D45D5F" w:rsidRPr="00D56DC6" w:rsidP="00D56DC6">
      <w:pPr>
        <w:spacing w:line="480" w:lineRule="auto"/>
        <w:rPr>
          <w:rFonts w:ascii="Verdana" w:hAnsi="Verdana"/>
        </w:rPr>
      </w:pPr>
      <w:r w:rsidRPr="00D56DC6">
        <w:rPr>
          <w:rFonts w:ascii="Verdana" w:hAnsi="Verdana"/>
        </w:rPr>
        <w:t xml:space="preserve">Our view is that some aspects of the tax reform agenda, such as council tax revaluations or the introduction of new bands of council tax, could be carried out separately from other parts of the agenda, but overall devolution and local government reforms and fiscal devolution and local government financial reform are two areas that effectively overlap in many places with many interdependent dynamic parts. </w:t>
      </w:r>
    </w:p>
    <w:p w:rsidR="00D45D5F" w:rsidRPr="00D56DC6" w:rsidP="00D56DC6">
      <w:pPr>
        <w:spacing w:line="480" w:lineRule="auto"/>
        <w:rPr>
          <w:rFonts w:ascii="Verdana" w:hAnsi="Verdana"/>
        </w:rPr>
      </w:pPr>
      <w:r w:rsidRPr="00D56DC6">
        <w:rPr>
          <w:rFonts w:ascii="Verdana" w:hAnsi="Verdana"/>
        </w:rPr>
        <w:t xml:space="preserve">They are best conceptualised as a Venn diagram. In practice, there are some parts that need to be considered together; some parts that are better addressed if they are considered in parallel exercises ongoing at the same time with open information sharing; and there are some parts that can be considered separately or independently of the remainder of the agendas.  At the very least for public information, they need to be aligned as closely as possible with a clear and logical timetable and a transparent implementation plan. In these circumstances, an appropriate project management methodology should be adopted to manage such multiple associated projects in manageable stages. </w:t>
      </w:r>
    </w:p>
    <w:p w:rsidR="00D45D5F" w:rsidRPr="00D56DC6" w:rsidP="00D56DC6">
      <w:pPr>
        <w:spacing w:line="480" w:lineRule="auto"/>
        <w:rPr>
          <w:rFonts w:ascii="Verdana" w:hAnsi="Verdana"/>
        </w:rPr>
      </w:pPr>
    </w:p>
    <w:p w:rsidR="00D45D5F" w:rsidRPr="00D56DC6" w:rsidP="00D56DC6">
      <w:pPr>
        <w:numPr>
          <w:ilvl w:val="0"/>
          <w:numId w:val="1"/>
        </w:numPr>
        <w:spacing w:line="480" w:lineRule="auto"/>
        <w:rPr>
          <w:rFonts w:ascii="Verdana" w:hAnsi="Verdana"/>
          <w:b/>
          <w:bCs/>
        </w:rPr>
      </w:pPr>
      <w:r w:rsidRPr="00D56DC6">
        <w:rPr>
          <w:rFonts w:ascii="Verdana" w:hAnsi="Verdana"/>
          <w:b/>
          <w:bCs/>
        </w:rPr>
        <w:t>What transitional issues need to be considered in devolving fiscal powers to local areas?</w:t>
      </w:r>
    </w:p>
    <w:p w:rsidR="00D45D5F" w:rsidRPr="00D56DC6" w:rsidP="00D56DC6">
      <w:pPr>
        <w:spacing w:line="480" w:lineRule="auto"/>
        <w:rPr>
          <w:rFonts w:ascii="Verdana" w:hAnsi="Verdana"/>
        </w:rPr>
      </w:pPr>
      <w:r w:rsidRPr="00D56DC6">
        <w:rPr>
          <w:rFonts w:ascii="Verdana" w:hAnsi="Verdana"/>
        </w:rPr>
        <w:t xml:space="preserve">It is too early in the process to comment on detailed transitional issues, but the main transitional issue which is well acknowledged by all key stakeholders in such radical transformational fiscal change agendas is the impacts on both individual authorities and on groups or types of authorities. </w:t>
      </w:r>
    </w:p>
    <w:p w:rsidR="00D45D5F" w:rsidRPr="00D56DC6" w:rsidP="00D56DC6">
      <w:pPr>
        <w:spacing w:line="480" w:lineRule="auto"/>
        <w:rPr>
          <w:rFonts w:ascii="Verdana" w:hAnsi="Verdana"/>
        </w:rPr>
      </w:pPr>
      <w:r w:rsidRPr="00D56DC6">
        <w:rPr>
          <w:rFonts w:ascii="Verdana" w:hAnsi="Verdana"/>
        </w:rPr>
        <w:t>The Chancellor has stated that there will be no change to the overall tax burden and in these circumstances, there are going to be both ‘winners’ and ‘losers’ whatever the outcome. This has been acknowledged by the government, and appropriate transitional schemes have been successfully operationalised in previous fiscal reforms.</w:t>
      </w:r>
    </w:p>
    <w:p w:rsidR="00D45D5F" w:rsidRPr="00D56DC6" w:rsidP="00D56DC6">
      <w:pPr>
        <w:spacing w:line="480" w:lineRule="auto"/>
        <w:rPr>
          <w:rFonts w:ascii="Verdana" w:hAnsi="Verdana"/>
        </w:rPr>
      </w:pPr>
      <w:r w:rsidRPr="00D56DC6">
        <w:rPr>
          <w:rFonts w:ascii="Verdana" w:hAnsi="Verdana"/>
        </w:rPr>
        <w:t>The Government needs to ensure that fiscal reform does not put the sustainability of individual council’s or groups of councils’ finances and services at risk. It therefore needs to design and implement an effective process and mechanism for “transitional protection”. This needs to ensure there are no excessive gains and/or excessive reductions in revenue in too short a time to individual councils or particular types of councils. These controls and assurances are subsequently phased out over time to an appropriate timetable.</w:t>
      </w:r>
    </w:p>
    <w:p w:rsidR="00D45D5F" w:rsidRPr="00D56DC6" w:rsidP="00D56DC6">
      <w:pPr>
        <w:spacing w:line="480" w:lineRule="auto"/>
        <w:rPr>
          <w:rFonts w:ascii="Verdana" w:hAnsi="Verdana"/>
        </w:rPr>
      </w:pPr>
    </w:p>
    <w:p w:rsidR="00D45D5F" w:rsidRPr="00D56DC6" w:rsidP="00D56DC6">
      <w:pPr>
        <w:pStyle w:val="ListParagraph"/>
        <w:numPr>
          <w:ilvl w:val="0"/>
          <w:numId w:val="1"/>
        </w:numPr>
        <w:spacing w:line="480" w:lineRule="auto"/>
        <w:rPr>
          <w:rFonts w:ascii="Verdana" w:hAnsi="Verdana"/>
          <w:b/>
          <w:bCs/>
        </w:rPr>
      </w:pPr>
      <w:r w:rsidRPr="00D56DC6">
        <w:rPr>
          <w:rFonts w:ascii="Verdana" w:hAnsi="Verdana"/>
          <w:b/>
          <w:bCs/>
        </w:rPr>
        <w:t xml:space="preserve">What risks does the Government need to consider in any further fiscal devolution? </w:t>
      </w:r>
    </w:p>
    <w:p w:rsidR="00D45D5F" w:rsidRPr="00D56DC6" w:rsidP="00D56DC6">
      <w:pPr>
        <w:spacing w:line="480" w:lineRule="auto"/>
        <w:rPr>
          <w:rFonts w:ascii="Verdana" w:hAnsi="Verdana"/>
        </w:rPr>
      </w:pPr>
      <w:r w:rsidRPr="00D56DC6">
        <w:rPr>
          <w:rFonts w:ascii="Verdana" w:hAnsi="Verdana"/>
        </w:rPr>
        <w:t xml:space="preserve">As the call for evidence states, the fiscal powers granted to local government in England are minimal, a fact reiterated by the OECD figures used to demonstrate that the UK (let alone England) is an outlier in terms of fiscal devolution. There is therefore considerable scope or headroom for further fiscal devolution in England. </w:t>
      </w:r>
    </w:p>
    <w:p w:rsidR="00D45D5F" w:rsidRPr="00D56DC6" w:rsidP="00D56DC6">
      <w:pPr>
        <w:spacing w:line="480" w:lineRule="auto"/>
        <w:rPr>
          <w:rFonts w:ascii="Verdana" w:hAnsi="Verdana"/>
        </w:rPr>
      </w:pPr>
      <w:r w:rsidRPr="00D56DC6">
        <w:rPr>
          <w:rFonts w:ascii="Verdana" w:hAnsi="Verdana"/>
        </w:rPr>
        <w:t>The biggest general risk to further devolution and fiscal devolution is the potential loss of public support or engagement with the political system and, by extension, the fiscal arrangements at national, local or subregional level.</w:t>
      </w:r>
    </w:p>
    <w:p w:rsidR="00D45D5F" w:rsidRPr="00D56DC6" w:rsidP="00D56DC6">
      <w:pPr>
        <w:spacing w:line="480" w:lineRule="auto"/>
        <w:rPr>
          <w:rFonts w:ascii="Verdana" w:hAnsi="Verdana"/>
        </w:rPr>
      </w:pPr>
      <w:r w:rsidRPr="00D56DC6">
        <w:rPr>
          <w:rFonts w:ascii="Verdana" w:hAnsi="Verdana"/>
        </w:rPr>
        <w:t xml:space="preserve">The biggest risk with any major change in the distribution of public resources, and the distribution or disposition of public services is whether they result in and are perceived to result in more economic, efficient and </w:t>
      </w:r>
      <w:r w:rsidRPr="00D56DC6">
        <w:rPr>
          <w:rFonts w:ascii="Verdana" w:hAnsi="Verdana"/>
        </w:rPr>
        <w:t xml:space="preserve">effective decisions taken by publicly elected representatives on behalf of the public. Whether these new arrangements result in better services and outcomes for the public and whether they generate greater trust by the public in the new political systems and institutions is crucial to their success and their continuation. </w:t>
      </w:r>
    </w:p>
    <w:p w:rsidR="00D45D5F" w:rsidRPr="00D56DC6" w:rsidP="00D56DC6">
      <w:pPr>
        <w:spacing w:line="480" w:lineRule="auto"/>
        <w:rPr>
          <w:rFonts w:ascii="Verdana" w:hAnsi="Verdana"/>
        </w:rPr>
      </w:pPr>
      <w:r w:rsidRPr="00D56DC6">
        <w:rPr>
          <w:rFonts w:ascii="Verdana" w:hAnsi="Verdana"/>
        </w:rPr>
        <w:t xml:space="preserve">The public (and key stakeholders) will need to see convincing evidence that whatever reforms are implemented hey have delivered significant improvement to outputs and outcomes before further fiscal devolution is extended. Therefore, there must be clear systems established for measuring and monitoring the outcomes and impacts of the current proposals, the consequences must be open and transparent, and the results must be publicly and independently assured. </w:t>
      </w:r>
    </w:p>
    <w:p w:rsidR="00D45D5F" w:rsidRPr="00D56DC6" w:rsidP="00D56DC6">
      <w:pPr>
        <w:spacing w:line="480" w:lineRule="auto"/>
        <w:rPr>
          <w:rFonts w:ascii="Verdana" w:hAnsi="Verdana"/>
        </w:rPr>
      </w:pPr>
      <w:r w:rsidRPr="00D56DC6">
        <w:rPr>
          <w:rFonts w:ascii="Verdana" w:hAnsi="Verdana"/>
        </w:rPr>
        <w:t>Another practical expectation must be that not everything will be successful, and what strategies and mechanisms will the government put in place to identify and correct unforeseen problematic outcomes.</w:t>
      </w:r>
    </w:p>
    <w:p w:rsidR="00D45D5F" w:rsidRPr="00D56DC6" w:rsidP="00D56DC6">
      <w:pPr>
        <w:spacing w:line="480" w:lineRule="auto"/>
        <w:rPr>
          <w:rFonts w:ascii="Verdana" w:hAnsi="Verdana"/>
        </w:rPr>
      </w:pPr>
    </w:p>
    <w:p w:rsidR="00D45D5F" w:rsidRPr="00D56DC6" w:rsidP="00D56DC6">
      <w:pPr>
        <w:pStyle w:val="ListParagraph"/>
        <w:numPr>
          <w:ilvl w:val="0"/>
          <w:numId w:val="1"/>
        </w:numPr>
        <w:spacing w:line="480" w:lineRule="auto"/>
        <w:rPr>
          <w:rFonts w:ascii="Verdana" w:hAnsi="Verdana"/>
          <w:b/>
          <w:bCs/>
        </w:rPr>
      </w:pPr>
      <w:r w:rsidRPr="00D56DC6">
        <w:rPr>
          <w:rFonts w:ascii="Verdana" w:hAnsi="Verdana"/>
          <w:b/>
          <w:bCs/>
        </w:rPr>
        <w:t>Does fiscal devolution require wider constitutional change to be successful?</w:t>
      </w:r>
    </w:p>
    <w:p w:rsidR="00D45D5F" w:rsidRPr="00D56DC6" w:rsidP="00D56DC6">
      <w:pPr>
        <w:spacing w:line="480" w:lineRule="auto"/>
        <w:rPr>
          <w:rFonts w:ascii="Verdana" w:hAnsi="Verdana"/>
        </w:rPr>
      </w:pPr>
      <w:r w:rsidRPr="00D56DC6">
        <w:rPr>
          <w:rFonts w:ascii="Verdana" w:hAnsi="Verdana"/>
        </w:rPr>
        <w:t>Fiscal devolution does not</w:t>
      </w:r>
      <w:r w:rsidRPr="00D56DC6">
        <w:rPr>
          <w:rFonts w:ascii="Verdana" w:hAnsi="Verdana"/>
          <w:i/>
          <w:iCs/>
        </w:rPr>
        <w:t xml:space="preserve"> require</w:t>
      </w:r>
      <w:r w:rsidRPr="00D56DC6">
        <w:rPr>
          <w:rFonts w:ascii="Verdana" w:hAnsi="Verdana"/>
        </w:rPr>
        <w:t xml:space="preserve"> wider constitutional change to make it successful, but there are constitutional changes that would undoubtedly help to make it more acceptable and successful. </w:t>
      </w:r>
    </w:p>
    <w:p w:rsidR="00D45D5F" w:rsidRPr="00D56DC6" w:rsidP="00D56DC6">
      <w:pPr>
        <w:spacing w:line="480" w:lineRule="auto"/>
        <w:rPr>
          <w:rFonts w:ascii="Verdana" w:hAnsi="Verdana"/>
        </w:rPr>
      </w:pPr>
      <w:r w:rsidRPr="00D56DC6">
        <w:rPr>
          <w:rFonts w:ascii="Verdana" w:hAnsi="Verdana"/>
        </w:rPr>
        <w:t xml:space="preserve">In Japan, where national disasters and emergencies such as earthquakes are far more prevalent than in the UK, constitutional arrangements and relationships between national, regional and local governments encourage much more co-operative working, mutual support and reciprocity. They encourage resource sharing and multi-tiers of government taking collective ownership of significant community-based problems as well as opportunities. Laws require public bodies to take multiple and several responsibilities in order to tackle often long-term wicked issues (Head 2022). There is also much more engagement and collaboration with the private sector. </w:t>
      </w:r>
    </w:p>
    <w:p w:rsidR="00D45D5F" w:rsidRPr="00D56DC6" w:rsidP="00D56DC6">
      <w:pPr>
        <w:spacing w:line="480" w:lineRule="auto"/>
        <w:rPr>
          <w:rFonts w:ascii="Verdana" w:hAnsi="Verdana"/>
        </w:rPr>
      </w:pPr>
      <w:r w:rsidRPr="00D56DC6">
        <w:rPr>
          <w:rFonts w:ascii="Verdana" w:hAnsi="Verdana"/>
        </w:rPr>
        <w:t xml:space="preserve">In Japan, constitutional arrangements also reduce the adversarial politicisation of both regular sensitive decision-making as well as responses to emergency or unusual situations. In the long-term, the constitutional arrangements have contributed to a more collaborative and pragmatic organisational culture among public services and public employees, allowing issues to be resolved more efficiently and effectively.  </w:t>
      </w:r>
    </w:p>
    <w:p w:rsidR="00D45D5F" w:rsidRPr="00D56DC6" w:rsidP="00D56DC6">
      <w:pPr>
        <w:spacing w:line="480" w:lineRule="auto"/>
        <w:rPr>
          <w:rFonts w:ascii="Verdana" w:hAnsi="Verdana"/>
        </w:rPr>
      </w:pPr>
      <w:r w:rsidRPr="00D56DC6">
        <w:rPr>
          <w:rFonts w:ascii="Verdana" w:hAnsi="Verdana"/>
        </w:rPr>
        <w:t>One example is electoral law. Local and prefectural election campaigns are much shorter in Japan, (9 days for prefectures, 7 for city assemblies). Electoral deposits are relatively high and have high benchmarks for retention.</w:t>
      </w:r>
    </w:p>
    <w:p w:rsidR="00D45D5F" w:rsidRPr="00D56DC6" w:rsidP="00D56DC6">
      <w:pPr>
        <w:spacing w:line="480" w:lineRule="auto"/>
        <w:rPr>
          <w:rFonts w:ascii="Verdana" w:hAnsi="Verdana"/>
        </w:rPr>
      </w:pPr>
      <w:r w:rsidRPr="00D56DC6">
        <w:rPr>
          <w:rFonts w:ascii="Verdana" w:hAnsi="Verdana"/>
        </w:rPr>
        <w:t xml:space="preserve">Overall, fiscal devolution can be successful without wider constitutional reform. However, constitutional arrangements that promote collaboration, shared responsibility and effective relationships between different tiers of </w:t>
      </w:r>
      <w:r w:rsidRPr="00D56DC6">
        <w:rPr>
          <w:rFonts w:ascii="Verdana" w:hAnsi="Verdana"/>
        </w:rPr>
        <w:t>government can enhance its effectiveness, legitimacy and long-term sustainability, reflecting what Muldoon-Smith et al. (2024) describe as a holistic system-based approach.</w:t>
      </w:r>
    </w:p>
    <w:p w:rsidR="00D45D5F" w:rsidRPr="00D56DC6" w:rsidP="00D56DC6">
      <w:pPr>
        <w:spacing w:line="480" w:lineRule="auto"/>
        <w:rPr>
          <w:rFonts w:ascii="Verdana" w:hAnsi="Verdana"/>
        </w:rPr>
      </w:pPr>
    </w:p>
    <w:p w:rsidR="00D45D5F" w:rsidRPr="00D56DC6" w:rsidP="00D56DC6">
      <w:pPr>
        <w:numPr>
          <w:ilvl w:val="0"/>
          <w:numId w:val="1"/>
        </w:numPr>
        <w:spacing w:line="480" w:lineRule="auto"/>
        <w:rPr>
          <w:rFonts w:ascii="Verdana" w:hAnsi="Verdana"/>
          <w:b/>
          <w:bCs/>
        </w:rPr>
      </w:pPr>
      <w:r w:rsidRPr="00D56DC6">
        <w:rPr>
          <w:rFonts w:ascii="Verdana" w:hAnsi="Verdana"/>
          <w:b/>
          <w:bCs/>
        </w:rPr>
        <w:t>Which forms of fiscal devolution in other countries can the UK learn from?</w:t>
      </w:r>
    </w:p>
    <w:p w:rsidR="00D45D5F" w:rsidRPr="00D56DC6" w:rsidP="00D56DC6">
      <w:pPr>
        <w:spacing w:line="480" w:lineRule="auto"/>
        <w:rPr>
          <w:rFonts w:ascii="Verdana" w:hAnsi="Verdana"/>
        </w:rPr>
      </w:pPr>
      <w:r w:rsidRPr="00D56DC6">
        <w:rPr>
          <w:rFonts w:ascii="Verdana" w:hAnsi="Verdana"/>
        </w:rPr>
        <w:t xml:space="preserve">We have referred above to the LGIU’s Local democracy research centres collaboration with Northumbria University to look at whole-system analysis of local government finance systems in England, Japan, Italy, and Germany (Muldoon-Smith </w:t>
      </w:r>
      <w:r w:rsidRPr="00D56DC6">
        <w:rPr>
          <w:rFonts w:ascii="Verdana" w:hAnsi="Verdana"/>
          <w:i/>
          <w:iCs/>
        </w:rPr>
        <w:t>et al</w:t>
      </w:r>
      <w:r w:rsidRPr="00D56DC6">
        <w:rPr>
          <w:rFonts w:ascii="Verdana" w:hAnsi="Verdana"/>
        </w:rPr>
        <w:t xml:space="preserve"> 2024) and to their exploration of comparisons between England and Scotland (LGIU 2024-2026).  We have also referred to our own ongoing unpublished research into directly elected Mayors in Japan and England, as well as our published research on multilevel structures in Germany, which highlights how a system of shared taxes can facilitate improved collaboration between tiers of government (Eckersley 2018). Both of these projects suggest there are lessons from other countries that the current (and future) review(s) can learn from.</w:t>
      </w:r>
    </w:p>
    <w:p w:rsidR="00D45D5F" w:rsidRPr="00D56DC6" w:rsidP="00D56DC6">
      <w:pPr>
        <w:spacing w:line="480" w:lineRule="auto"/>
        <w:rPr>
          <w:rFonts w:ascii="Verdana" w:hAnsi="Verdana"/>
        </w:rPr>
      </w:pPr>
    </w:p>
    <w:p w:rsidR="00D45D5F" w:rsidRPr="00D56DC6" w:rsidP="00D56DC6">
      <w:pPr>
        <w:spacing w:line="480" w:lineRule="auto"/>
        <w:rPr>
          <w:rFonts w:ascii="Verdana" w:hAnsi="Verdana"/>
          <w:b/>
          <w:bCs/>
        </w:rPr>
      </w:pPr>
      <w:r w:rsidRPr="00D56DC6">
        <w:rPr>
          <w:rFonts w:ascii="Verdana" w:hAnsi="Verdana"/>
          <w:b/>
          <w:bCs/>
        </w:rPr>
        <w:t xml:space="preserve">References </w:t>
      </w:r>
    </w:p>
    <w:p w:rsidR="00D45D5F" w:rsidRPr="00D56DC6" w:rsidP="00D56DC6">
      <w:pPr>
        <w:spacing w:line="480" w:lineRule="auto"/>
        <w:rPr>
          <w:rFonts w:ascii="Verdana" w:hAnsi="Verdana"/>
        </w:rPr>
      </w:pPr>
      <w:r w:rsidRPr="00D56DC6">
        <w:rPr>
          <w:rFonts w:ascii="Verdana" w:hAnsi="Verdana"/>
        </w:rPr>
        <w:t xml:space="preserve">Campbell-Smith, D. (2008). </w:t>
      </w:r>
      <w:r w:rsidRPr="00D56DC6">
        <w:rPr>
          <w:rFonts w:ascii="Verdana" w:hAnsi="Verdana"/>
          <w:i/>
          <w:iCs/>
        </w:rPr>
        <w:t>Follow the Money: The Audit Commission, public Money and the Management of Public Services, 1983-2008.</w:t>
      </w:r>
      <w:r w:rsidRPr="00D56DC6">
        <w:rPr>
          <w:rFonts w:ascii="Verdana" w:hAnsi="Verdana"/>
        </w:rPr>
        <w:t xml:space="preserve"> London: Allen Lane. </w:t>
      </w:r>
    </w:p>
    <w:p w:rsidR="00D45D5F" w:rsidRPr="00D56DC6" w:rsidP="00D56DC6">
      <w:pPr>
        <w:spacing w:line="480" w:lineRule="auto"/>
        <w:rPr>
          <w:rFonts w:ascii="Verdana" w:hAnsi="Verdana"/>
        </w:rPr>
      </w:pPr>
      <w:r w:rsidRPr="00D56DC6">
        <w:rPr>
          <w:rFonts w:ascii="Verdana" w:hAnsi="Verdana"/>
        </w:rPr>
        <w:t xml:space="preserve">Cheung, A., Paun, A., and Isaac, M. (2025). </w:t>
      </w:r>
      <w:r w:rsidRPr="00D56DC6">
        <w:rPr>
          <w:rFonts w:ascii="Verdana" w:hAnsi="Verdana"/>
          <w:i/>
          <w:iCs/>
        </w:rPr>
        <w:t>Barnett formula.</w:t>
      </w:r>
      <w:r w:rsidRPr="00D56DC6">
        <w:rPr>
          <w:rFonts w:ascii="Verdana" w:hAnsi="Verdana"/>
        </w:rPr>
        <w:t xml:space="preserve"> Institute for Government Explainer. IfG Website.</w:t>
      </w:r>
    </w:p>
    <w:p w:rsidR="00D45D5F" w:rsidRPr="00D56DC6" w:rsidP="00D56DC6">
      <w:pPr>
        <w:spacing w:line="480" w:lineRule="auto"/>
        <w:rPr>
          <w:rFonts w:ascii="Verdana" w:hAnsi="Verdana"/>
        </w:rPr>
      </w:pPr>
      <w:r w:rsidRPr="00D56DC6">
        <w:rPr>
          <w:rFonts w:ascii="Verdana" w:hAnsi="Verdana"/>
        </w:rPr>
        <w:t xml:space="preserve">Eckersley, P. (2018). </w:t>
      </w:r>
      <w:r w:rsidRPr="00D56DC6">
        <w:rPr>
          <w:rFonts w:ascii="Verdana" w:hAnsi="Verdana"/>
          <w:i/>
          <w:iCs/>
        </w:rPr>
        <w:t>Power and capacity in urban climate governance: Germany and England compared</w:t>
      </w:r>
      <w:r w:rsidRPr="00D56DC6">
        <w:rPr>
          <w:rFonts w:ascii="Verdana" w:hAnsi="Verdana"/>
        </w:rPr>
        <w:t>. Oxford: Peter Lang.</w:t>
      </w:r>
    </w:p>
    <w:p w:rsidR="00D45D5F" w:rsidRPr="00D56DC6" w:rsidP="00D56DC6">
      <w:pPr>
        <w:spacing w:line="480" w:lineRule="auto"/>
        <w:rPr>
          <w:rFonts w:ascii="Verdana" w:hAnsi="Verdana"/>
        </w:rPr>
      </w:pPr>
      <w:r w:rsidRPr="00D56DC6">
        <w:rPr>
          <w:rFonts w:ascii="Verdana" w:hAnsi="Verdana"/>
        </w:rPr>
        <w:t xml:space="preserve">Eckersley, P. and Dom, B.K. (2026). Independence and dependence in central-local relations: multilevel governance and state capacity in the UK since the 1970s. </w:t>
      </w:r>
      <w:r w:rsidRPr="00D56DC6">
        <w:rPr>
          <w:rFonts w:ascii="Verdana" w:hAnsi="Verdana"/>
          <w:i/>
          <w:iCs/>
        </w:rPr>
        <w:t>Public Money &amp; Management.</w:t>
      </w:r>
      <w:r w:rsidRPr="00D56DC6">
        <w:rPr>
          <w:rFonts w:ascii="Verdana" w:hAnsi="Verdana"/>
        </w:rPr>
        <w:t xml:space="preserve"> </w:t>
      </w:r>
      <w:r>
        <w:fldChar w:fldCharType="begin"/>
      </w:r>
      <w:r>
        <w:instrText xml:space="preserve"> HYPERLINK "https://doi.org/10.1080/09540962.2026.2651719" </w:instrText>
      </w:r>
      <w:r>
        <w:fldChar w:fldCharType="separate"/>
      </w:r>
      <w:r w:rsidRPr="00D56DC6">
        <w:rPr>
          <w:rStyle w:val="Hyperlink"/>
          <w:rFonts w:ascii="Verdana" w:hAnsi="Verdana"/>
          <w:color w:val="auto"/>
        </w:rPr>
        <w:t>https://doi.org/10.1080/09540962.2026.2651719</w:t>
      </w:r>
      <w:r>
        <w:fldChar w:fldCharType="end"/>
      </w:r>
      <w:r w:rsidRPr="00D56DC6">
        <w:rPr>
          <w:rFonts w:ascii="Verdana" w:hAnsi="Verdana"/>
        </w:rPr>
        <w:t> </w:t>
      </w:r>
    </w:p>
    <w:p w:rsidR="00D45D5F" w:rsidRPr="00D56DC6" w:rsidP="00D56DC6">
      <w:pPr>
        <w:spacing w:line="480" w:lineRule="auto"/>
        <w:rPr>
          <w:rFonts w:ascii="Verdana" w:hAnsi="Verdana"/>
        </w:rPr>
      </w:pPr>
      <w:r w:rsidRPr="00D56DC6">
        <w:rPr>
          <w:rFonts w:ascii="Verdana" w:hAnsi="Verdana"/>
        </w:rPr>
        <w:t>Eckersley, P, Murphy, P, and Ferry, L, (2019). </w:t>
      </w:r>
      <w:r w:rsidRPr="00D56DC6">
        <w:rPr>
          <w:rFonts w:ascii="Verdana" w:hAnsi="Verdana"/>
          <w:i/>
          <w:iCs/>
        </w:rPr>
        <w:t>Local Government Finance and the 2019 Spending Review inquiry: submission to the House of Commons committee on Housing, Communities and Local Government.</w:t>
      </w:r>
    </w:p>
    <w:p w:rsidR="00D45D5F" w:rsidRPr="00D56DC6" w:rsidP="00D56DC6">
      <w:pPr>
        <w:spacing w:line="480" w:lineRule="auto"/>
        <w:rPr>
          <w:rFonts w:ascii="Verdana" w:hAnsi="Verdana"/>
        </w:rPr>
      </w:pPr>
      <w:r w:rsidRPr="00D56DC6">
        <w:rPr>
          <w:rFonts w:ascii="Verdana" w:hAnsi="Verdana"/>
        </w:rPr>
        <w:t xml:space="preserve">Head, B. (2022) </w:t>
      </w:r>
      <w:r w:rsidRPr="00D56DC6">
        <w:rPr>
          <w:rFonts w:ascii="Verdana" w:hAnsi="Verdana"/>
          <w:i/>
          <w:iCs/>
        </w:rPr>
        <w:t xml:space="preserve">Wicked Problems in Public Policy: Understanding and Responding to Complex Challenges. </w:t>
      </w:r>
      <w:r w:rsidRPr="00D56DC6">
        <w:rPr>
          <w:rFonts w:ascii="Verdana" w:hAnsi="Verdana"/>
        </w:rPr>
        <w:t>Emerald Points: Bingley.</w:t>
      </w:r>
    </w:p>
    <w:p w:rsidR="00D45D5F" w:rsidRPr="00D56DC6" w:rsidP="00D56DC6">
      <w:pPr>
        <w:spacing w:line="480" w:lineRule="auto"/>
        <w:rPr>
          <w:rFonts w:ascii="Verdana" w:hAnsi="Verdana"/>
        </w:rPr>
      </w:pPr>
      <w:r w:rsidRPr="00D56DC6">
        <w:rPr>
          <w:rFonts w:ascii="Verdana" w:hAnsi="Verdana"/>
        </w:rPr>
        <w:t xml:space="preserve">Goddard, J. (2014). </w:t>
      </w:r>
      <w:r w:rsidRPr="00D56DC6">
        <w:rPr>
          <w:rFonts w:ascii="Verdana" w:hAnsi="Verdana"/>
          <w:i/>
          <w:iCs/>
        </w:rPr>
        <w:t xml:space="preserve">Special educational needs and disabilities: Government support. </w:t>
      </w:r>
      <w:r w:rsidRPr="00D56DC6">
        <w:rPr>
          <w:rFonts w:ascii="Verdana" w:hAnsi="Verdana"/>
        </w:rPr>
        <w:t>In Focus House of Lords Library.</w:t>
      </w:r>
    </w:p>
    <w:p w:rsidR="00D45D5F" w:rsidRPr="00D56DC6" w:rsidP="00D56DC6">
      <w:pPr>
        <w:spacing w:line="480" w:lineRule="auto"/>
        <w:rPr>
          <w:rFonts w:ascii="Verdana" w:hAnsi="Verdana"/>
          <w:i/>
          <w:iCs/>
        </w:rPr>
      </w:pPr>
      <w:r w:rsidRPr="00D56DC6">
        <w:rPr>
          <w:rFonts w:ascii="Verdana" w:hAnsi="Verdana"/>
        </w:rPr>
        <w:t xml:space="preserve">HMCLG. (2026). </w:t>
      </w:r>
      <w:r w:rsidRPr="00D56DC6">
        <w:rPr>
          <w:rFonts w:ascii="Verdana" w:hAnsi="Verdana"/>
          <w:i/>
          <w:iCs/>
        </w:rPr>
        <w:t xml:space="preserve">Guidance. Exceptional Financial Support for local authorities for 2026-27. </w:t>
      </w:r>
      <w:r w:rsidRPr="00D56DC6">
        <w:rPr>
          <w:rFonts w:ascii="Verdana" w:hAnsi="Verdana"/>
        </w:rPr>
        <w:t>HMCLG Website</w:t>
      </w:r>
      <w:r w:rsidRPr="00D56DC6">
        <w:rPr>
          <w:rFonts w:ascii="Verdana" w:hAnsi="Verdana"/>
          <w:i/>
          <w:iCs/>
        </w:rPr>
        <w:t>.</w:t>
      </w:r>
    </w:p>
    <w:p w:rsidR="00D45D5F" w:rsidRPr="00D56DC6" w:rsidP="00D56DC6">
      <w:pPr>
        <w:spacing w:line="480" w:lineRule="auto"/>
        <w:rPr>
          <w:rFonts w:ascii="Verdana" w:hAnsi="Verdana"/>
        </w:rPr>
      </w:pPr>
      <w:r w:rsidRPr="00D56DC6">
        <w:rPr>
          <w:rFonts w:ascii="Verdana" w:hAnsi="Verdana"/>
        </w:rPr>
        <w:t xml:space="preserve">HM Government. (2025). </w:t>
      </w:r>
      <w:r w:rsidRPr="00D56DC6">
        <w:rPr>
          <w:rFonts w:ascii="Verdana" w:hAnsi="Verdana"/>
          <w:i/>
          <w:iCs/>
        </w:rPr>
        <w:t>The Government Efficiency Framework.</w:t>
      </w:r>
      <w:r w:rsidRPr="00D56DC6">
        <w:rPr>
          <w:rFonts w:ascii="Verdana" w:hAnsi="Verdana"/>
        </w:rPr>
        <w:t xml:space="preserve"> Gov.UK</w:t>
      </w:r>
    </w:p>
    <w:p w:rsidR="00D45D5F" w:rsidRPr="00D56DC6" w:rsidP="00D56DC6">
      <w:pPr>
        <w:spacing w:line="480" w:lineRule="auto"/>
        <w:rPr>
          <w:rFonts w:ascii="Verdana" w:hAnsi="Verdana"/>
        </w:rPr>
      </w:pPr>
      <w:r w:rsidRPr="00D56DC6">
        <w:rPr>
          <w:rFonts w:ascii="Verdana" w:hAnsi="Verdana"/>
        </w:rPr>
        <w:t xml:space="preserve">HM Treasury. (2026). </w:t>
      </w:r>
      <w:r w:rsidRPr="00D56DC6">
        <w:rPr>
          <w:rFonts w:ascii="Verdana" w:hAnsi="Verdana"/>
          <w:i/>
          <w:iCs/>
        </w:rPr>
        <w:t>Managing Public Money</w:t>
      </w:r>
      <w:r w:rsidRPr="00D56DC6">
        <w:rPr>
          <w:rFonts w:ascii="Verdana" w:hAnsi="Verdana"/>
        </w:rPr>
        <w:t>.  Gov.UK</w:t>
      </w:r>
    </w:p>
    <w:p w:rsidR="00D45D5F" w:rsidRPr="00D56DC6" w:rsidP="00D56DC6">
      <w:pPr>
        <w:spacing w:line="480" w:lineRule="auto"/>
        <w:rPr>
          <w:rFonts w:ascii="Verdana" w:hAnsi="Verdana"/>
          <w:i/>
          <w:iCs/>
        </w:rPr>
      </w:pPr>
      <w:r w:rsidRPr="00D56DC6">
        <w:rPr>
          <w:rFonts w:ascii="Verdana" w:hAnsi="Verdana"/>
        </w:rPr>
        <w:t xml:space="preserve">Institute of Fiscal Studies (2024). </w:t>
      </w:r>
      <w:r w:rsidRPr="00D56DC6">
        <w:rPr>
          <w:rFonts w:ascii="Verdana" w:hAnsi="Verdana"/>
          <w:i/>
          <w:iCs/>
        </w:rPr>
        <w:t xml:space="preserve">Spending on special educational needs in England: something has to change. </w:t>
      </w:r>
      <w:r w:rsidRPr="00D56DC6">
        <w:rPr>
          <w:rFonts w:ascii="Verdana" w:hAnsi="Verdana"/>
        </w:rPr>
        <w:t>London: IFS.</w:t>
      </w:r>
    </w:p>
    <w:p w:rsidR="00D45D5F" w:rsidRPr="00D56DC6" w:rsidP="00D56DC6">
      <w:pPr>
        <w:spacing w:line="480" w:lineRule="auto"/>
        <w:rPr>
          <w:rFonts w:ascii="Verdana" w:hAnsi="Verdana"/>
        </w:rPr>
      </w:pPr>
      <w:r w:rsidRPr="00D56DC6">
        <w:rPr>
          <w:rFonts w:ascii="Verdana" w:hAnsi="Verdana"/>
        </w:rPr>
        <w:t xml:space="preserve">Keep, M. (2026). </w:t>
      </w:r>
      <w:r w:rsidRPr="00D56DC6">
        <w:rPr>
          <w:rFonts w:ascii="Verdana" w:hAnsi="Verdana"/>
          <w:i/>
          <w:iCs/>
        </w:rPr>
        <w:t xml:space="preserve">The Barnett formula and fiscal devolution. </w:t>
      </w:r>
      <w:r w:rsidRPr="00D56DC6">
        <w:rPr>
          <w:rFonts w:ascii="Verdana" w:hAnsi="Verdana"/>
        </w:rPr>
        <w:t>House of Commons Library Research Briefing Number 7386</w:t>
      </w:r>
    </w:p>
    <w:p w:rsidR="00D45D5F" w:rsidRPr="00D56DC6" w:rsidP="00D56DC6">
      <w:pPr>
        <w:spacing w:line="480" w:lineRule="auto"/>
        <w:rPr>
          <w:rFonts w:ascii="Verdana" w:hAnsi="Verdana"/>
        </w:rPr>
      </w:pPr>
      <w:r w:rsidRPr="00D56DC6">
        <w:rPr>
          <w:rFonts w:ascii="Verdana" w:hAnsi="Verdana"/>
        </w:rPr>
        <w:t xml:space="preserve">King, A., and Crewe, I. (2014). </w:t>
      </w:r>
      <w:r w:rsidRPr="00D56DC6">
        <w:rPr>
          <w:rFonts w:ascii="Verdana" w:hAnsi="Verdana"/>
          <w:i/>
          <w:iCs/>
        </w:rPr>
        <w:t>The Blunders of our Governments.</w:t>
      </w:r>
      <w:r w:rsidRPr="00D56DC6">
        <w:rPr>
          <w:rFonts w:ascii="Verdana" w:hAnsi="Verdana"/>
        </w:rPr>
        <w:t xml:space="preserve"> London: Oneworld Publications.</w:t>
      </w:r>
    </w:p>
    <w:p w:rsidR="00D45D5F" w:rsidRPr="00D56DC6" w:rsidP="00D56DC6">
      <w:pPr>
        <w:spacing w:line="480" w:lineRule="auto"/>
        <w:rPr>
          <w:rFonts w:ascii="Verdana" w:hAnsi="Verdana"/>
        </w:rPr>
      </w:pPr>
      <w:r w:rsidRPr="00D56DC6">
        <w:rPr>
          <w:rFonts w:ascii="Verdana" w:hAnsi="Verdana"/>
        </w:rPr>
        <w:t>Lakoma, K. (2024). The implications of governance changes on understandings of accountability: the case of fire and rescue services in England. PhD. Nottingham trent University.</w:t>
      </w:r>
    </w:p>
    <w:p w:rsidR="00D45D5F" w:rsidRPr="00D56DC6" w:rsidP="00D56DC6">
      <w:pPr>
        <w:spacing w:line="480" w:lineRule="auto"/>
        <w:rPr>
          <w:rFonts w:ascii="Verdana" w:hAnsi="Verdana"/>
        </w:rPr>
      </w:pPr>
      <w:r w:rsidRPr="00D56DC6">
        <w:rPr>
          <w:rFonts w:ascii="Verdana" w:hAnsi="Verdana"/>
        </w:rPr>
        <w:t xml:space="preserve">Local Government Information Unit (2024-2026). Local government finance observatory. Available at </w:t>
      </w:r>
      <w:r>
        <w:fldChar w:fldCharType="begin"/>
      </w:r>
      <w:r>
        <w:instrText xml:space="preserve"> HYPERLINK "https://lgiu.org/research/funding-systems-for-local-government-international-comparisons/" </w:instrText>
      </w:r>
      <w:r>
        <w:fldChar w:fldCharType="separate"/>
      </w:r>
      <w:r w:rsidRPr="00D56DC6">
        <w:rPr>
          <w:rStyle w:val="Hyperlink"/>
          <w:rFonts w:ascii="Verdana" w:hAnsi="Verdana"/>
          <w:color w:val="auto"/>
        </w:rPr>
        <w:t>Local government finance observatory - LGIU</w:t>
      </w:r>
      <w:r>
        <w:fldChar w:fldCharType="end"/>
      </w:r>
      <w:r w:rsidRPr="00D56DC6">
        <w:rPr>
          <w:rFonts w:ascii="Verdana" w:hAnsi="Verdana"/>
        </w:rPr>
        <w:t xml:space="preserve"> </w:t>
      </w:r>
    </w:p>
    <w:p w:rsidR="00D45D5F" w:rsidRPr="00D56DC6" w:rsidP="00D56DC6">
      <w:pPr>
        <w:spacing w:line="480" w:lineRule="auto"/>
        <w:rPr>
          <w:rFonts w:ascii="Verdana" w:hAnsi="Verdana"/>
        </w:rPr>
      </w:pPr>
      <w:r w:rsidRPr="00D56DC6">
        <w:rPr>
          <w:rFonts w:ascii="Verdana" w:hAnsi="Verdana"/>
        </w:rPr>
        <w:t xml:space="preserve">Local Government Association. (2025). </w:t>
      </w:r>
      <w:r w:rsidRPr="00D56DC6">
        <w:rPr>
          <w:rFonts w:ascii="Verdana" w:hAnsi="Verdana"/>
          <w:i/>
          <w:iCs/>
        </w:rPr>
        <w:t>Must know: Capital expenditure.</w:t>
      </w:r>
      <w:r w:rsidRPr="00D56DC6">
        <w:rPr>
          <w:rFonts w:ascii="Verdana" w:hAnsi="Verdana"/>
        </w:rPr>
        <w:t xml:space="preserve"> PGA Website</w:t>
      </w:r>
    </w:p>
    <w:p w:rsidR="00D45D5F" w:rsidRPr="00D56DC6" w:rsidP="00D56DC6">
      <w:pPr>
        <w:spacing w:line="480" w:lineRule="auto"/>
        <w:rPr>
          <w:rFonts w:ascii="Verdana" w:hAnsi="Verdana"/>
        </w:rPr>
      </w:pPr>
      <w:r w:rsidRPr="00D56DC6">
        <w:rPr>
          <w:rFonts w:ascii="Verdana" w:hAnsi="Verdana"/>
        </w:rPr>
        <w:t>MHCLG. (2025). English Devolution and Community Empowerment Bill: Devolution Framework Explainers. (As updated 3 December 2025)</w:t>
      </w:r>
    </w:p>
    <w:p w:rsidR="00D45D5F" w:rsidRPr="00D56DC6" w:rsidP="00D56DC6">
      <w:pPr>
        <w:spacing w:line="480" w:lineRule="auto"/>
        <w:rPr>
          <w:rFonts w:ascii="Verdana" w:hAnsi="Verdana"/>
        </w:rPr>
      </w:pPr>
      <w:r w:rsidRPr="00D56DC6">
        <w:rPr>
          <w:rFonts w:ascii="Verdana" w:hAnsi="Verdana"/>
        </w:rPr>
        <w:t xml:space="preserve">MHCLG. (2026). </w:t>
      </w:r>
      <w:r w:rsidRPr="00D56DC6">
        <w:rPr>
          <w:rFonts w:ascii="Verdana" w:hAnsi="Verdana"/>
          <w:i/>
          <w:iCs/>
        </w:rPr>
        <w:t>Exceptional Financial Support for local Authorities for 2026-27</w:t>
      </w:r>
      <w:r w:rsidRPr="00D56DC6">
        <w:rPr>
          <w:rFonts w:ascii="Verdana" w:hAnsi="Verdana"/>
        </w:rPr>
        <w:t xml:space="preserve"> Gov.UK</w:t>
      </w:r>
    </w:p>
    <w:p w:rsidR="00D45D5F" w:rsidRPr="00D56DC6" w:rsidP="00D56DC6">
      <w:pPr>
        <w:spacing w:line="480" w:lineRule="auto"/>
        <w:rPr>
          <w:rFonts w:ascii="Verdana" w:hAnsi="Verdana"/>
        </w:rPr>
      </w:pPr>
      <w:r w:rsidRPr="00D56DC6">
        <w:rPr>
          <w:rFonts w:ascii="Verdana" w:hAnsi="Verdana"/>
        </w:rPr>
        <w:t xml:space="preserve">Muldoon-Smith, K., Sandford, M., Stride, G., &amp; Walker, A. (2024). </w:t>
      </w:r>
      <w:r w:rsidRPr="00D56DC6">
        <w:rPr>
          <w:rFonts w:ascii="Verdana" w:hAnsi="Verdana"/>
          <w:i/>
          <w:iCs/>
        </w:rPr>
        <w:t>Embedded autonomy: Financing a resilient local government effectively</w:t>
      </w:r>
      <w:r w:rsidRPr="00D56DC6">
        <w:rPr>
          <w:rFonts w:ascii="Verdana" w:hAnsi="Verdana"/>
        </w:rPr>
        <w:t xml:space="preserve">. Springer Nature. </w:t>
      </w:r>
    </w:p>
    <w:p w:rsidR="00D45D5F" w:rsidRPr="00D56DC6" w:rsidP="00D56DC6">
      <w:pPr>
        <w:spacing w:line="480" w:lineRule="auto"/>
        <w:rPr>
          <w:rFonts w:ascii="Verdana" w:hAnsi="Verdana"/>
        </w:rPr>
      </w:pPr>
      <w:r w:rsidRPr="00D56DC6">
        <w:rPr>
          <w:rFonts w:ascii="Verdana" w:hAnsi="Verdana"/>
        </w:rPr>
        <w:t>Murphy, P., Ishihara, T., Maruyama, Y., Akinari, T., Lakoma, K., Jones, M. and Dom, B.K., (2024). </w:t>
      </w:r>
      <w:r w:rsidRPr="00D56DC6">
        <w:rPr>
          <w:rFonts w:ascii="Verdana" w:hAnsi="Verdana"/>
          <w:i/>
          <w:iCs/>
        </w:rPr>
        <w:t>A comparison of single person leadership models in local government in the UK and Japan</w:t>
      </w:r>
      <w:r w:rsidRPr="00D56DC6">
        <w:rPr>
          <w:rFonts w:ascii="Verdana" w:hAnsi="Verdana"/>
          <w:b/>
          <w:bCs/>
        </w:rPr>
        <w:t>.</w:t>
      </w:r>
      <w:r w:rsidRPr="00D56DC6">
        <w:rPr>
          <w:rFonts w:ascii="Verdana" w:hAnsi="Verdana"/>
        </w:rPr>
        <w:t> Workshop: NTU, 8 July 2024.</w:t>
      </w:r>
    </w:p>
    <w:p w:rsidR="00D45D5F" w:rsidRPr="00D56DC6" w:rsidP="00D56DC6">
      <w:pPr>
        <w:spacing w:line="480" w:lineRule="auto"/>
        <w:rPr>
          <w:rFonts w:ascii="Verdana" w:hAnsi="Verdana"/>
          <w:i/>
          <w:iCs/>
        </w:rPr>
      </w:pPr>
      <w:r w:rsidRPr="00D56DC6">
        <w:rPr>
          <w:rFonts w:ascii="Verdana" w:hAnsi="Verdana"/>
        </w:rPr>
        <w:t xml:space="preserve">Murphy, P., Lakoma, K., Eckersley, P., and Glennon, R. (2020) </w:t>
      </w:r>
      <w:r w:rsidRPr="00D56DC6">
        <w:rPr>
          <w:rFonts w:ascii="Verdana" w:hAnsi="Verdana"/>
          <w:i/>
          <w:iCs/>
        </w:rPr>
        <w:t xml:space="preserve">So near and yet so far: A rigorous and independent inspectorate? </w:t>
      </w:r>
      <w:r w:rsidRPr="00D56DC6">
        <w:rPr>
          <w:rFonts w:ascii="Verdana" w:hAnsi="Verdana"/>
        </w:rPr>
        <w:t>Chapter 5 in Rebuilding the Fire and Rescue Services: Policy delivery and assurance Emerald Points: Bingley.</w:t>
      </w:r>
    </w:p>
    <w:p w:rsidR="00D45D5F" w:rsidRPr="00D56DC6" w:rsidP="00D56DC6">
      <w:pPr>
        <w:spacing w:line="480" w:lineRule="auto"/>
        <w:rPr>
          <w:rFonts w:ascii="Verdana" w:hAnsi="Verdana"/>
        </w:rPr>
      </w:pPr>
      <w:r w:rsidRPr="00D56DC6">
        <w:rPr>
          <w:rFonts w:ascii="Verdana" w:hAnsi="Verdana"/>
        </w:rPr>
        <w:t xml:space="preserve">Paun, A. (2015). </w:t>
      </w:r>
      <w:r w:rsidRPr="00D56DC6">
        <w:rPr>
          <w:rFonts w:ascii="Verdana" w:hAnsi="Verdana"/>
          <w:i/>
          <w:iCs/>
        </w:rPr>
        <w:t xml:space="preserve">Barnett and beyond. Time for a new system for funding devolution? </w:t>
      </w:r>
      <w:r w:rsidRPr="00D56DC6">
        <w:rPr>
          <w:rFonts w:ascii="Verdana" w:hAnsi="Verdana"/>
        </w:rPr>
        <w:t>Institute for Government. Comment. IfG Website</w:t>
      </w:r>
    </w:p>
    <w:p w:rsidR="00D45D5F" w:rsidRPr="00D56DC6" w:rsidP="00D56DC6">
      <w:pPr>
        <w:spacing w:line="480" w:lineRule="auto"/>
        <w:rPr>
          <w:rFonts w:ascii="Verdana" w:hAnsi="Verdana"/>
        </w:rPr>
      </w:pPr>
      <w:r w:rsidRPr="00D56DC6">
        <w:rPr>
          <w:rFonts w:ascii="Verdana" w:hAnsi="Verdana"/>
        </w:rPr>
        <w:t xml:space="preserve">Paun, A., and Cheung, A, (2018). </w:t>
      </w:r>
      <w:r w:rsidRPr="00D56DC6">
        <w:rPr>
          <w:rFonts w:ascii="Verdana" w:hAnsi="Verdana"/>
          <w:i/>
          <w:iCs/>
        </w:rPr>
        <w:t>Tax and devolution.</w:t>
      </w:r>
      <w:r w:rsidRPr="00D56DC6">
        <w:rPr>
          <w:rFonts w:ascii="Verdana" w:hAnsi="Verdana"/>
        </w:rPr>
        <w:t xml:space="preserve"> Institute for Government. Explainer. IfG Website.</w:t>
      </w:r>
    </w:p>
    <w:p w:rsidR="00D45D5F" w:rsidRPr="00D56DC6" w:rsidP="00D56DC6">
      <w:pPr>
        <w:spacing w:line="480" w:lineRule="auto"/>
        <w:rPr>
          <w:rFonts w:ascii="Verdana" w:hAnsi="Verdana"/>
        </w:rPr>
      </w:pPr>
      <w:r w:rsidRPr="00D56DC6">
        <w:rPr>
          <w:rFonts w:ascii="Verdana" w:hAnsi="Verdana"/>
        </w:rPr>
        <w:t xml:space="preserve">Scottish Government. (2026). Scottish Public Finance Manual; Advice and Guidance. </w:t>
      </w:r>
    </w:p>
    <w:p w:rsidR="00D45D5F" w:rsidRPr="00D56DC6" w:rsidP="00D56DC6">
      <w:pPr>
        <w:spacing w:line="480" w:lineRule="auto"/>
        <w:rPr>
          <w:rFonts w:ascii="Verdana" w:hAnsi="Verdana"/>
          <w:i/>
          <w:iCs/>
        </w:rPr>
      </w:pPr>
      <w:r w:rsidRPr="00D56DC6">
        <w:rPr>
          <w:rFonts w:ascii="Verdana" w:hAnsi="Verdana"/>
          <w:i/>
          <w:iCs/>
        </w:rPr>
        <w:t xml:space="preserve"> </w:t>
      </w:r>
    </w:p>
    <w:p w:rsidR="00D45D5F" w:rsidRPr="00D56DC6" w:rsidP="00D56DC6">
      <w:pPr>
        <w:spacing w:line="480" w:lineRule="auto"/>
        <w:rPr>
          <w:rFonts w:ascii="Verdana" w:hAnsi="Verdana"/>
          <w:b/>
          <w:bCs/>
        </w:rPr>
      </w:pPr>
      <w:r w:rsidRPr="00D56DC6">
        <w:rPr>
          <w:rFonts w:ascii="Verdana" w:hAnsi="Verdana"/>
          <w:b/>
          <w:bCs/>
        </w:rPr>
        <w:t>Biographies</w:t>
      </w:r>
    </w:p>
    <w:p w:rsidR="00D45D5F" w:rsidRPr="00D56DC6" w:rsidP="00D56DC6">
      <w:pPr>
        <w:spacing w:line="480" w:lineRule="auto"/>
        <w:rPr>
          <w:rFonts w:ascii="Verdana" w:hAnsi="Verdana"/>
        </w:rPr>
      </w:pPr>
      <w:r w:rsidRPr="00D56DC6">
        <w:rPr>
          <w:rFonts w:ascii="Verdana" w:hAnsi="Verdana"/>
        </w:rPr>
        <w:t xml:space="preserve">Professor (Emeritus) Peter Murphy is the former Professor of Public Policy and Management at NTU. His research focusses on the performance management, governance and public assurance arrangements of public services. Prior to joining NTU in 2009 he was a Senior Civil Servant </w:t>
      </w:r>
      <w:r w:rsidRPr="00D56DC6">
        <w:rPr>
          <w:rFonts w:ascii="Verdana" w:hAnsi="Verdana"/>
        </w:rPr>
        <w:t xml:space="preserve">between 2000 and 2009. He spent 23 years in local government most recently as Chief Executive of Melton Borough Council. </w:t>
      </w:r>
    </w:p>
    <w:p w:rsidR="00D45D5F" w:rsidRPr="00D56DC6" w:rsidP="00D56DC6">
      <w:pPr>
        <w:spacing w:line="480" w:lineRule="auto"/>
        <w:rPr>
          <w:rFonts w:ascii="Verdana" w:hAnsi="Verdana"/>
        </w:rPr>
      </w:pPr>
      <w:r w:rsidRPr="00D56DC6">
        <w:rPr>
          <w:rFonts w:ascii="Verdana" w:hAnsi="Verdana"/>
        </w:rPr>
        <w:t>Dr Peter Eckersley is an Associate Professor in Public Policy &amp; Management at NTU and Managing Editor of Local Government Studies. His research focuses on central–local government relations, climate change, policymaking and public accountability. He has published widely on multilevel governance and local policymaking in the UK and Germany.</w:t>
      </w:r>
    </w:p>
    <w:p w:rsidR="00D45D5F" w:rsidRPr="00D56DC6" w:rsidP="00D56DC6">
      <w:pPr>
        <w:spacing w:line="480" w:lineRule="auto"/>
        <w:rPr>
          <w:rFonts w:ascii="Verdana" w:hAnsi="Verdana"/>
        </w:rPr>
      </w:pPr>
      <w:r w:rsidRPr="00D56DC6">
        <w:rPr>
          <w:rFonts w:ascii="Verdana" w:hAnsi="Verdana"/>
        </w:rPr>
        <w:t>Dr Bernard K. Dom is a Senior Lecturer in Accounting and Finance at NTU, specialising in public sector accounting, financial management, accountability, and local government financial resilience. His research focuses on central–local fiscal relations, audit and accountability, and responses to financial stress in English local authorities. He has contributed written evidence to UK Parliamentary inquiries, and worked closely with practitioners and policymakers, co-developing tools to support financial resilience in local government. His work offers policy-relevant insights into fiscal governance and accountability reforms.</w:t>
      </w:r>
    </w:p>
    <w:p w:rsidR="00D45D5F" w:rsidP="00E27669">
      <w:pPr>
        <w:spacing w:line="480" w:lineRule="auto"/>
        <w:rPr>
          <w:rFonts w:ascii="Verdana" w:hAnsi="Verdana"/>
        </w:rPr>
      </w:pPr>
      <w:r w:rsidRPr="00D56DC6">
        <w:rPr>
          <w:rFonts w:ascii="Verdana" w:hAnsi="Verdana"/>
        </w:rPr>
        <w:t>Dr Katarzyna Lakoma is a Senior Research Fellow in the Centre for Economy, Policy and Place at NTU. She is also the Editorial Assistant of the International Journal of Emergency Services. Her research focuses on accountability and governance arrangements in local government and emergency services. She holds a PhD in Public Administration and has published in a range of public administration, management, political science, and accounting journals.</w:t>
      </w:r>
    </w:p>
    <w:p w:rsidR="00E27669" w:rsidRPr="00D56DC6" w:rsidP="00D56DC6">
      <w:pPr>
        <w:spacing w:line="480" w:lineRule="auto"/>
        <w:rPr>
          <w:rFonts w:ascii="Verdana" w:hAnsi="Verdana"/>
          <w:i/>
          <w:iCs/>
        </w:rPr>
      </w:pPr>
      <w:r w:rsidRPr="00D56DC6">
        <w:rPr>
          <w:rFonts w:ascii="Verdana" w:hAnsi="Verdana"/>
          <w:i/>
          <w:iCs/>
        </w:rPr>
        <w:t>5 June 2026</w:t>
      </w:r>
    </w:p>
    <w:p w:rsidR="00D45D5F" w:rsidRPr="00D56DC6" w:rsidP="00D56DC6">
      <w:pPr>
        <w:spacing w:line="480" w:lineRule="auto"/>
        <w:rPr>
          <w:rFonts w:ascii="Verdana" w:hAnsi="Verdana"/>
        </w:rPr>
      </w:pPr>
    </w:p>
    <w:p w:rsidR="00D45D5F" w:rsidRPr="00D56DC6" w:rsidP="00D56DC6">
      <w:pPr>
        <w:spacing w:line="480" w:lineRule="auto"/>
        <w:rPr>
          <w:rFonts w:ascii="Verdana" w:hAnsi="Verdana"/>
        </w:rPr>
      </w:pPr>
    </w:p>
    <w:sectPr>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D5F" w:rsidRPr="007E7B52">
    <w:pPr>
      <w:pStyle w:val="Footer"/>
      <w:jc w:val="center"/>
      <w:rPr>
        <w:b/>
        <w:bCs/>
      </w:rPr>
    </w:pPr>
  </w:p>
  <w:p w:rsidR="00D45D5F">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F23D34"/>
    <w:multiLevelType w:val="hybridMultilevel"/>
    <w:tmpl w:val="1C22C8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EC22C9F"/>
    <w:multiLevelType w:val="hybridMultilevel"/>
    <w:tmpl w:val="FD5C7C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CE85AB2"/>
    <w:multiLevelType w:val="hybridMultilevel"/>
    <w:tmpl w:val="4E9C25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60028DB"/>
    <w:multiLevelType w:val="multilevel"/>
    <w:tmpl w:val="E0606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5AC6DB8"/>
    <w:multiLevelType w:val="hybridMultilevel"/>
    <w:tmpl w:val="E550C5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DA24B5C"/>
    <w:multiLevelType w:val="hybridMultilevel"/>
    <w:tmpl w:val="831C3F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86E1AA0"/>
    <w:multiLevelType w:val="hybridMultilevel"/>
    <w:tmpl w:val="3200AE74"/>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7">
    <w:nsid w:val="7E74030B"/>
    <w:multiLevelType w:val="hybridMultilevel"/>
    <w:tmpl w:val="D166B87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6"/>
  </w:num>
  <w:num w:numId="4">
    <w:abstractNumId w:val="1"/>
  </w:num>
  <w:num w:numId="5">
    <w:abstractNumId w:val="5"/>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E07B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7B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7B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7B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7B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7B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7B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7B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7B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B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7B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7B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7B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7B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7B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7B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7B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7B3E"/>
    <w:rPr>
      <w:rFonts w:eastAsiaTheme="majorEastAsia" w:cstheme="majorBidi"/>
      <w:color w:val="272727" w:themeColor="text1" w:themeTint="D8"/>
    </w:rPr>
  </w:style>
  <w:style w:type="paragraph" w:styleId="Title">
    <w:name w:val="Title"/>
    <w:basedOn w:val="Normal"/>
    <w:next w:val="Normal"/>
    <w:link w:val="TitleChar"/>
    <w:uiPriority w:val="10"/>
    <w:qFormat/>
    <w:rsid w:val="00E07B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B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7B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7B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7B3E"/>
    <w:pPr>
      <w:spacing w:before="160"/>
      <w:jc w:val="center"/>
    </w:pPr>
    <w:rPr>
      <w:i/>
      <w:iCs/>
      <w:color w:val="404040" w:themeColor="text1" w:themeTint="BF"/>
    </w:rPr>
  </w:style>
  <w:style w:type="character" w:customStyle="1" w:styleId="QuoteChar">
    <w:name w:val="Quote Char"/>
    <w:basedOn w:val="DefaultParagraphFont"/>
    <w:link w:val="Quote"/>
    <w:uiPriority w:val="29"/>
    <w:rsid w:val="00E07B3E"/>
    <w:rPr>
      <w:i/>
      <w:iCs/>
      <w:color w:val="404040" w:themeColor="text1" w:themeTint="BF"/>
    </w:rPr>
  </w:style>
  <w:style w:type="paragraph" w:styleId="ListParagraph">
    <w:name w:val="List Paragraph"/>
    <w:basedOn w:val="Normal"/>
    <w:uiPriority w:val="34"/>
    <w:qFormat/>
    <w:rsid w:val="00E07B3E"/>
    <w:pPr>
      <w:ind w:left="720"/>
      <w:contextualSpacing/>
    </w:pPr>
  </w:style>
  <w:style w:type="character" w:styleId="IntenseEmphasis">
    <w:name w:val="Intense Emphasis"/>
    <w:basedOn w:val="DefaultParagraphFont"/>
    <w:uiPriority w:val="21"/>
    <w:qFormat/>
    <w:rsid w:val="00E07B3E"/>
    <w:rPr>
      <w:i/>
      <w:iCs/>
      <w:color w:val="0F4761" w:themeColor="accent1" w:themeShade="BF"/>
    </w:rPr>
  </w:style>
  <w:style w:type="paragraph" w:styleId="IntenseQuote">
    <w:name w:val="Intense Quote"/>
    <w:basedOn w:val="Normal"/>
    <w:next w:val="Normal"/>
    <w:link w:val="IntenseQuoteChar"/>
    <w:uiPriority w:val="30"/>
    <w:qFormat/>
    <w:rsid w:val="00E07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7B3E"/>
    <w:rPr>
      <w:i/>
      <w:iCs/>
      <w:color w:val="0F4761" w:themeColor="accent1" w:themeShade="BF"/>
    </w:rPr>
  </w:style>
  <w:style w:type="character" w:styleId="IntenseReference">
    <w:name w:val="Intense Reference"/>
    <w:basedOn w:val="DefaultParagraphFont"/>
    <w:uiPriority w:val="32"/>
    <w:qFormat/>
    <w:rsid w:val="00E07B3E"/>
    <w:rPr>
      <w:b/>
      <w:bCs/>
      <w:smallCaps/>
      <w:color w:val="0F4761" w:themeColor="accent1" w:themeShade="BF"/>
      <w:spacing w:val="5"/>
    </w:rPr>
  </w:style>
  <w:style w:type="character" w:styleId="Hyperlink">
    <w:name w:val="Hyperlink"/>
    <w:basedOn w:val="DefaultParagraphFont"/>
    <w:uiPriority w:val="99"/>
    <w:unhideWhenUsed/>
    <w:rsid w:val="00E07B3E"/>
    <w:rPr>
      <w:color w:val="467886" w:themeColor="hyperlink"/>
      <w:u w:val="single"/>
    </w:rPr>
  </w:style>
  <w:style w:type="character" w:customStyle="1" w:styleId="UnresolvedMention1">
    <w:name w:val="Unresolved Mention1"/>
    <w:basedOn w:val="DefaultParagraphFont"/>
    <w:uiPriority w:val="99"/>
    <w:semiHidden/>
    <w:unhideWhenUsed/>
    <w:rsid w:val="00E07B3E"/>
    <w:rPr>
      <w:color w:val="605E5C"/>
      <w:shd w:val="clear" w:color="auto" w:fill="E1DFDD"/>
    </w:rPr>
  </w:style>
  <w:style w:type="paragraph" w:styleId="Revision">
    <w:name w:val="Revision"/>
    <w:hidden/>
    <w:uiPriority w:val="99"/>
    <w:semiHidden/>
    <w:rsid w:val="005B3B40"/>
    <w:pPr>
      <w:spacing w:after="0" w:line="240" w:lineRule="auto"/>
    </w:pPr>
  </w:style>
  <w:style w:type="character" w:styleId="CommentReference">
    <w:name w:val="annotation reference"/>
    <w:basedOn w:val="DefaultParagraphFont"/>
    <w:uiPriority w:val="99"/>
    <w:semiHidden/>
    <w:unhideWhenUsed/>
    <w:rsid w:val="005B3B40"/>
    <w:rPr>
      <w:sz w:val="16"/>
      <w:szCs w:val="16"/>
    </w:rPr>
  </w:style>
  <w:style w:type="paragraph" w:styleId="CommentText">
    <w:name w:val="annotation text"/>
    <w:basedOn w:val="Normal"/>
    <w:link w:val="CommentTextChar"/>
    <w:uiPriority w:val="99"/>
    <w:unhideWhenUsed/>
    <w:rsid w:val="005B3B40"/>
    <w:pPr>
      <w:spacing w:line="240" w:lineRule="auto"/>
    </w:pPr>
    <w:rPr>
      <w:sz w:val="20"/>
      <w:szCs w:val="20"/>
    </w:rPr>
  </w:style>
  <w:style w:type="character" w:customStyle="1" w:styleId="CommentTextChar">
    <w:name w:val="Comment Text Char"/>
    <w:basedOn w:val="DefaultParagraphFont"/>
    <w:link w:val="CommentText"/>
    <w:uiPriority w:val="99"/>
    <w:rsid w:val="005B3B40"/>
    <w:rPr>
      <w:sz w:val="20"/>
      <w:szCs w:val="20"/>
    </w:rPr>
  </w:style>
  <w:style w:type="paragraph" w:styleId="CommentSubject">
    <w:name w:val="annotation subject"/>
    <w:basedOn w:val="CommentText"/>
    <w:next w:val="CommentText"/>
    <w:link w:val="CommentSubjectChar"/>
    <w:uiPriority w:val="99"/>
    <w:semiHidden/>
    <w:unhideWhenUsed/>
    <w:rsid w:val="005B3B40"/>
    <w:rPr>
      <w:b/>
      <w:bCs/>
    </w:rPr>
  </w:style>
  <w:style w:type="character" w:customStyle="1" w:styleId="CommentSubjectChar">
    <w:name w:val="Comment Subject Char"/>
    <w:basedOn w:val="CommentTextChar"/>
    <w:link w:val="CommentSubject"/>
    <w:uiPriority w:val="99"/>
    <w:semiHidden/>
    <w:rsid w:val="005B3B40"/>
    <w:rPr>
      <w:b/>
      <w:bCs/>
      <w:sz w:val="20"/>
      <w:szCs w:val="20"/>
    </w:rPr>
  </w:style>
  <w:style w:type="paragraph" w:styleId="Header">
    <w:name w:val="header"/>
    <w:basedOn w:val="Normal"/>
    <w:link w:val="HeaderChar"/>
    <w:uiPriority w:val="99"/>
    <w:unhideWhenUsed/>
    <w:rsid w:val="00960E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EE2"/>
  </w:style>
  <w:style w:type="paragraph" w:styleId="Footer">
    <w:name w:val="footer"/>
    <w:basedOn w:val="Normal"/>
    <w:link w:val="FooterChar"/>
    <w:uiPriority w:val="99"/>
    <w:unhideWhenUsed/>
    <w:rsid w:val="00960E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EE2"/>
  </w:style>
  <w:style w:type="paragraph" w:styleId="NormalWeb">
    <w:name w:val="Normal (Web)"/>
    <w:basedOn w:val="Normal"/>
    <w:uiPriority w:val="99"/>
    <w:semiHidden/>
    <w:unhideWhenUsed/>
    <w:rsid w:val="007D6FE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84BB7-5FEC-4182-82D4-905709A2630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FDE0016</dc:title>
  <cp:revision>0</cp:revision>
</cp:coreProperties>
</file>