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7B38" w:rsidRPr="00AF38CD" w:rsidP="001804F6">
      <w:pPr>
        <w:spacing w:after="0"/>
        <w:rPr>
          <w:rFonts w:ascii="Verdana" w:hAnsi="Verdana"/>
        </w:rPr>
      </w:pPr>
      <w:r w:rsidRPr="00AF38CD">
        <w:rPr>
          <w:rFonts w:ascii="Verdana" w:eastAsia="Calibri" w:hAnsi="Verdana" w:cs="Calibri"/>
          <w:b/>
          <w:sz w:val="28"/>
        </w:rPr>
        <w:t>London Councils – Written evidence FDE0014</w:t>
      </w:r>
    </w:p>
    <w:p w:rsidR="00987B38" w:rsidP="00447E37">
      <w:pPr>
        <w:rPr>
          <w:rFonts w:asciiTheme="minorBidi" w:hAnsiTheme="minorBidi"/>
        </w:rPr>
      </w:pPr>
    </w:p>
    <w:p w:rsidR="00987B38" w:rsidRPr="00AF38CD" w:rsidP="00AF38CD">
      <w:pPr>
        <w:spacing w:line="480" w:lineRule="auto"/>
        <w:rPr>
          <w:rFonts w:ascii="Verdana" w:hAnsi="Verdana"/>
          <w:b/>
          <w:bCs/>
          <w:sz w:val="24"/>
          <w:szCs w:val="24"/>
        </w:rPr>
      </w:pPr>
      <w:r w:rsidRPr="00AF38CD">
        <w:rPr>
          <w:rFonts w:ascii="Verdana" w:hAnsi="Verdana"/>
          <w:b/>
          <w:bCs/>
          <w:sz w:val="24"/>
          <w:szCs w:val="24"/>
        </w:rPr>
        <w:t>Context for submission</w:t>
      </w:r>
    </w:p>
    <w:p w:rsidR="00987B38" w:rsidRPr="00AF38CD" w:rsidP="00AF38CD">
      <w:pPr>
        <w:spacing w:after="0" w:line="480" w:lineRule="auto"/>
        <w:ind w:left="-5"/>
        <w:rPr>
          <w:rFonts w:ascii="Verdana" w:hAnsi="Verdana"/>
          <w:sz w:val="24"/>
          <w:szCs w:val="24"/>
        </w:rPr>
      </w:pPr>
      <w:r w:rsidRPr="00AF38CD">
        <w:rPr>
          <w:rFonts w:ascii="Verdana" w:hAnsi="Verdana"/>
          <w:sz w:val="24"/>
          <w:szCs w:val="24"/>
        </w:rPr>
        <w:t>London Councils is submitting this as an “officer response” based on previously agreed positions held by London Councils. The positions are current as of the date of the submission on</w:t>
      </w:r>
      <w:r w:rsidRPr="00AF38CD">
        <w:rPr>
          <w:rFonts w:ascii="Verdana" w:hAnsi="Verdana"/>
          <w:sz w:val="24"/>
          <w:szCs w:val="24"/>
        </w:rPr>
        <w:t xml:space="preserve"> </w:t>
      </w:r>
      <w:r w:rsidRPr="00AF38CD">
        <w:rPr>
          <w:rFonts w:ascii="Verdana" w:hAnsi="Verdana"/>
          <w:sz w:val="24"/>
          <w:szCs w:val="24"/>
        </w:rPr>
        <w:t>5 June</w:t>
      </w:r>
      <w:r w:rsidRPr="00AF38CD">
        <w:rPr>
          <w:rFonts w:ascii="Verdana" w:hAnsi="Verdana"/>
          <w:sz w:val="24"/>
          <w:szCs w:val="24"/>
        </w:rPr>
        <w:t>.</w:t>
      </w:r>
      <w:r w:rsidRPr="00AF38CD">
        <w:rPr>
          <w:rFonts w:ascii="Verdana" w:hAnsi="Verdana"/>
          <w:sz w:val="24"/>
          <w:szCs w:val="24"/>
        </w:rPr>
        <w:t xml:space="preserve"> We rely on existing positions as we are in the process of updating our leadership</w:t>
      </w:r>
      <w:r w:rsidRPr="00AF38CD">
        <w:rPr>
          <w:rFonts w:ascii="Verdana" w:hAnsi="Verdana"/>
          <w:sz w:val="24"/>
          <w:szCs w:val="24"/>
        </w:rPr>
        <w:t>,</w:t>
      </w:r>
      <w:r w:rsidRPr="00AF38CD">
        <w:rPr>
          <w:rFonts w:ascii="Verdana" w:hAnsi="Verdana"/>
          <w:sz w:val="24"/>
          <w:szCs w:val="24"/>
        </w:rPr>
        <w:t xml:space="preserve"> committees </w:t>
      </w:r>
      <w:r w:rsidRPr="00AF38CD">
        <w:rPr>
          <w:rFonts w:ascii="Verdana" w:hAnsi="Verdana"/>
          <w:sz w:val="24"/>
          <w:szCs w:val="24"/>
        </w:rPr>
        <w:t xml:space="preserve">and political priorities </w:t>
      </w:r>
      <w:r w:rsidRPr="00AF38CD">
        <w:rPr>
          <w:rFonts w:ascii="Verdana" w:hAnsi="Verdana"/>
          <w:sz w:val="24"/>
          <w:szCs w:val="24"/>
        </w:rPr>
        <w:t>as a result of the recent May elections</w:t>
      </w:r>
      <w:r w:rsidRPr="00AF38CD">
        <w:rPr>
          <w:rFonts w:ascii="Verdana" w:hAnsi="Verdana"/>
          <w:sz w:val="24"/>
          <w:szCs w:val="24"/>
        </w:rPr>
        <w:t xml:space="preserve">. </w:t>
      </w:r>
      <w:r w:rsidRPr="00AF38CD">
        <w:rPr>
          <w:rFonts w:ascii="Verdana" w:hAnsi="Verdana"/>
          <w:sz w:val="24"/>
          <w:szCs w:val="24"/>
        </w:rPr>
        <w:t> </w:t>
      </w:r>
      <w:r w:rsidRPr="00AF38CD">
        <w:rPr>
          <w:rFonts w:ascii="Verdana" w:hAnsi="Verdana"/>
          <w:sz w:val="24"/>
          <w:szCs w:val="24"/>
        </w:rPr>
        <w:t xml:space="preserve">Therefore, our response may be more limited than it otherwise might have been, but we are keen to stay involved in the </w:t>
      </w:r>
      <w:r w:rsidRPr="00AF38CD">
        <w:rPr>
          <w:rFonts w:ascii="Verdana" w:hAnsi="Verdana"/>
          <w:sz w:val="24"/>
          <w:szCs w:val="24"/>
        </w:rPr>
        <w:t>EAC’s</w:t>
      </w:r>
      <w:r w:rsidRPr="00AF38CD">
        <w:rPr>
          <w:rFonts w:ascii="Verdana" w:hAnsi="Verdana"/>
          <w:sz w:val="24"/>
          <w:szCs w:val="24"/>
        </w:rPr>
        <w:t xml:space="preserve"> inquiry moving forward.</w:t>
      </w:r>
    </w:p>
    <w:p w:rsidR="00987B38" w:rsidRPr="00AF38CD" w:rsidP="00AF38CD">
      <w:pPr>
        <w:spacing w:line="480" w:lineRule="auto"/>
        <w:rPr>
          <w:rFonts w:ascii="Verdana" w:hAnsi="Verdana"/>
          <w:b/>
          <w:bCs/>
          <w:sz w:val="24"/>
          <w:szCs w:val="24"/>
        </w:rPr>
      </w:pPr>
    </w:p>
    <w:p w:rsidR="00987B38" w:rsidRPr="00AF38CD" w:rsidP="00AF38CD">
      <w:pPr>
        <w:spacing w:line="480" w:lineRule="auto"/>
        <w:rPr>
          <w:rFonts w:ascii="Verdana" w:hAnsi="Verdana"/>
          <w:b/>
          <w:bCs/>
          <w:sz w:val="24"/>
          <w:szCs w:val="24"/>
        </w:rPr>
      </w:pPr>
      <w:r w:rsidRPr="00AF38CD">
        <w:rPr>
          <w:rFonts w:ascii="Verdana" w:hAnsi="Verdana"/>
          <w:b/>
          <w:bCs/>
          <w:sz w:val="24"/>
          <w:szCs w:val="24"/>
        </w:rPr>
        <w:t>Introduction</w:t>
      </w:r>
    </w:p>
    <w:p w:rsidR="00987B38" w:rsidRPr="00AF38CD" w:rsidP="00AF38CD">
      <w:pPr>
        <w:spacing w:line="480" w:lineRule="auto"/>
        <w:rPr>
          <w:rFonts w:ascii="Verdana" w:hAnsi="Verdana"/>
          <w:sz w:val="24"/>
          <w:szCs w:val="24"/>
        </w:rPr>
      </w:pPr>
      <w:r w:rsidRPr="00AF38CD">
        <w:rPr>
          <w:rFonts w:ascii="Verdana" w:hAnsi="Verdana"/>
          <w:sz w:val="24"/>
          <w:szCs w:val="24"/>
        </w:rPr>
        <w:t>London Councils is th</w:t>
      </w:r>
      <w:r w:rsidRPr="00AF38CD">
        <w:rPr>
          <w:rFonts w:ascii="Verdana" w:hAnsi="Verdana"/>
          <w:sz w:val="24"/>
          <w:szCs w:val="24"/>
        </w:rPr>
        <w:t xml:space="preserve">e collective of local government in London. The 32 boroughs and the City of London Corporation come together, through us, to deliver for London. More on our organisation here: </w:t>
      </w:r>
      <w:r>
        <w:fldChar w:fldCharType="begin"/>
      </w:r>
      <w:r>
        <w:instrText xml:space="preserve"> HYPERLINK "https://www.londoncouncils.gov.uk/" </w:instrText>
      </w:r>
      <w:r>
        <w:fldChar w:fldCharType="separate"/>
      </w:r>
      <w:r w:rsidRPr="00AF38CD">
        <w:rPr>
          <w:rStyle w:val="Hyperlink"/>
          <w:rFonts w:ascii="Verdana" w:hAnsi="Verdana"/>
          <w:color w:val="auto"/>
          <w:sz w:val="24"/>
          <w:szCs w:val="24"/>
        </w:rPr>
        <w:t>https://www.londoncouncils.gov.uk/</w:t>
      </w:r>
      <w:r>
        <w:fldChar w:fldCharType="end"/>
      </w:r>
      <w:r w:rsidRPr="00AF38CD">
        <w:rPr>
          <w:rFonts w:ascii="Verdana" w:hAnsi="Verdana"/>
          <w:sz w:val="24"/>
          <w:szCs w:val="24"/>
        </w:rPr>
        <w:t xml:space="preserve"> </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London Councils welcomes the opportunity to respond to </w:t>
      </w:r>
      <w:r w:rsidRPr="00AF38CD">
        <w:rPr>
          <w:rFonts w:ascii="Verdana" w:hAnsi="Verdana"/>
          <w:sz w:val="24"/>
          <w:szCs w:val="24"/>
        </w:rPr>
        <w:t>t</w:t>
      </w:r>
      <w:r w:rsidRPr="00AF38CD">
        <w:rPr>
          <w:rFonts w:ascii="Verdana" w:hAnsi="Verdana"/>
          <w:sz w:val="24"/>
          <w:szCs w:val="24"/>
        </w:rPr>
        <w:t>he</w:t>
      </w:r>
      <w:r w:rsidRPr="00AF38CD">
        <w:rPr>
          <w:rFonts w:ascii="Verdana" w:hAnsi="Verdana"/>
          <w:sz w:val="24"/>
          <w:szCs w:val="24"/>
        </w:rPr>
        <w:t xml:space="preserve"> House of Lords</w:t>
      </w:r>
      <w:r w:rsidRPr="00AF38CD">
        <w:rPr>
          <w:rFonts w:ascii="Verdana" w:hAnsi="Verdana"/>
          <w:sz w:val="24"/>
          <w:szCs w:val="24"/>
        </w:rPr>
        <w:t xml:space="preserve"> Economic Affairs Committee</w:t>
      </w:r>
      <w:r w:rsidRPr="00AF38CD">
        <w:rPr>
          <w:rFonts w:ascii="Verdana" w:hAnsi="Verdana"/>
          <w:sz w:val="24"/>
          <w:szCs w:val="24"/>
        </w:rPr>
        <w:t xml:space="preserve">’s inquiry into fiscal devolution in England. </w:t>
      </w:r>
      <w:r w:rsidRPr="00AF38CD">
        <w:rPr>
          <w:rFonts w:ascii="Verdana" w:hAnsi="Verdana"/>
          <w:sz w:val="24"/>
          <w:szCs w:val="24"/>
        </w:rPr>
        <w:t xml:space="preserve">At least as far back as the </w:t>
      </w:r>
      <w:r>
        <w:fldChar w:fldCharType="begin"/>
      </w:r>
      <w:r>
        <w:instrText xml:space="preserve"> HYPERLINK "https://www.london.gov.uk/sites/default/files/gla_migrate_files_destination/Raising%20the%20capital_0.pdf" </w:instrText>
      </w:r>
      <w:r>
        <w:fldChar w:fldCharType="separate"/>
      </w:r>
      <w:r w:rsidRPr="00AF38CD">
        <w:rPr>
          <w:rStyle w:val="Hyperlink"/>
          <w:rFonts w:ascii="Verdana" w:hAnsi="Verdana"/>
          <w:color w:val="auto"/>
          <w:sz w:val="24"/>
          <w:szCs w:val="24"/>
        </w:rPr>
        <w:t>2013 London Finance Commission</w:t>
      </w:r>
      <w:r>
        <w:fldChar w:fldCharType="end"/>
      </w:r>
      <w:r w:rsidRPr="00AF38CD">
        <w:rPr>
          <w:rFonts w:ascii="Verdana" w:hAnsi="Verdana"/>
          <w:sz w:val="24"/>
          <w:szCs w:val="24"/>
        </w:rPr>
        <w:t xml:space="preserve"> and the </w:t>
      </w:r>
      <w:r>
        <w:fldChar w:fldCharType="begin"/>
      </w:r>
      <w:r>
        <w:instrText xml:space="preserve"> HYPERLINK "https://www.london.gov.uk/sites/default/files/devolution_-_a_capital_idea_lfc_2017.pdf" </w:instrText>
      </w:r>
      <w:r>
        <w:fldChar w:fldCharType="separate"/>
      </w:r>
      <w:r w:rsidRPr="00AF38CD">
        <w:rPr>
          <w:rStyle w:val="Hyperlink"/>
          <w:rFonts w:ascii="Verdana" w:hAnsi="Verdana"/>
          <w:color w:val="auto"/>
          <w:sz w:val="24"/>
          <w:szCs w:val="24"/>
        </w:rPr>
        <w:t>2017 London Finance Commission</w:t>
      </w:r>
      <w:r>
        <w:fldChar w:fldCharType="end"/>
      </w:r>
      <w:r w:rsidRPr="00AF38CD">
        <w:rPr>
          <w:rFonts w:ascii="Verdana" w:hAnsi="Verdana"/>
          <w:sz w:val="24"/>
          <w:szCs w:val="24"/>
        </w:rPr>
        <w:t>, London Councils has supported fiscal devolution in the capital and recognises the importance of local authorities being able to raise and retain resources for themselves.</w:t>
      </w:r>
      <w:r w:rsidRPr="00AF38CD">
        <w:rPr>
          <w:rFonts w:ascii="Verdana" w:hAnsi="Verdana"/>
          <w:sz w:val="24"/>
          <w:szCs w:val="24"/>
        </w:rPr>
        <w:br/>
      </w:r>
    </w:p>
    <w:p w:rsidR="00987B38" w:rsidRPr="00AF38CD" w:rsidP="00AF38CD">
      <w:pPr>
        <w:spacing w:line="480" w:lineRule="auto"/>
        <w:rPr>
          <w:rFonts w:ascii="Verdana" w:hAnsi="Verdana"/>
          <w:b/>
          <w:bCs/>
          <w:sz w:val="24"/>
          <w:szCs w:val="24"/>
        </w:rPr>
      </w:pPr>
      <w:r w:rsidRPr="00AF38CD">
        <w:rPr>
          <w:rFonts w:ascii="Verdana" w:hAnsi="Verdana"/>
          <w:b/>
          <w:bCs/>
          <w:sz w:val="24"/>
          <w:szCs w:val="24"/>
        </w:rPr>
        <w:t xml:space="preserve">1.  What are the general aims of fiscal devolution? What can it achieve? </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The </w:t>
      </w:r>
      <w:r w:rsidRPr="00AF38CD">
        <w:rPr>
          <w:rFonts w:ascii="Verdana" w:hAnsi="Verdana"/>
          <w:sz w:val="24"/>
          <w:szCs w:val="24"/>
        </w:rPr>
        <w:t xml:space="preserve">overall </w:t>
      </w:r>
      <w:r w:rsidRPr="00AF38CD">
        <w:rPr>
          <w:rFonts w:ascii="Verdana" w:hAnsi="Verdana"/>
          <w:sz w:val="24"/>
          <w:szCs w:val="24"/>
        </w:rPr>
        <w:t>aim of fiscal devolution in England is to unlock the benefits regularly experienced in other countries with a more decentralised system of local government funding. One of the primary aims would be to unlock economic growth by aligning local incentives, resources and decision-making at the local level.</w:t>
      </w:r>
    </w:p>
    <w:p w:rsidR="00987B38" w:rsidRPr="00AF38CD" w:rsidP="00AF38CD">
      <w:pPr>
        <w:spacing w:line="480" w:lineRule="auto"/>
        <w:rPr>
          <w:rFonts w:ascii="Verdana" w:hAnsi="Verdana"/>
          <w:sz w:val="24"/>
          <w:szCs w:val="24"/>
        </w:rPr>
      </w:pPr>
      <w:r w:rsidRPr="00AF38CD">
        <w:rPr>
          <w:rFonts w:ascii="Verdana" w:hAnsi="Verdana"/>
          <w:sz w:val="24"/>
          <w:szCs w:val="24"/>
        </w:rPr>
        <w:t>When local areas have greater control over funding and fiscal powers, they are better able to drive new growth, which in turn increases tax revenues for both local and central government. This growth objective is closely tied to several reinforcing mechanisms. Fiscal devolution enables</w:t>
      </w:r>
      <w:r w:rsidRPr="00AF38CD">
        <w:rPr>
          <w:rFonts w:ascii="Verdana" w:hAnsi="Verdana"/>
          <w:sz w:val="24"/>
          <w:szCs w:val="24"/>
        </w:rPr>
        <w:t xml:space="preserve"> the achievement of</w:t>
      </w:r>
      <w:r w:rsidRPr="00AF38CD">
        <w:rPr>
          <w:rFonts w:ascii="Verdana" w:hAnsi="Verdana"/>
          <w:sz w:val="24"/>
          <w:szCs w:val="24"/>
        </w:rPr>
        <w:t xml:space="preserve"> greater innovation, because local authorities gain the financial flexibility to test new ideas, refine them at a smaller scale, and scale up what works. </w:t>
      </w:r>
    </w:p>
    <w:p w:rsidR="00987B38" w:rsidRPr="00AF38CD" w:rsidP="00AF38CD">
      <w:pPr>
        <w:spacing w:line="480" w:lineRule="auto"/>
        <w:rPr>
          <w:rFonts w:ascii="Verdana" w:hAnsi="Verdana"/>
          <w:sz w:val="24"/>
          <w:szCs w:val="24"/>
        </w:rPr>
      </w:pPr>
      <w:r w:rsidRPr="00AF38CD">
        <w:rPr>
          <w:rFonts w:ascii="Verdana" w:hAnsi="Verdana"/>
          <w:sz w:val="24"/>
          <w:szCs w:val="24"/>
        </w:rPr>
        <w:t>It also improves public service delivery, as local leaders have both the resources and accountability to respond directly to local needs. At the same time, it strengthens local accountability and participation, with strong public demand for more local control over both services and taxation, which in turn can create a more engaged and responsive system of governance.</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Finally, fiscal devolution serves a systemic purpose: it allows central government to focus on national priorities—such as trade, defence, and </w:t>
      </w:r>
      <w:r w:rsidRPr="00AF38CD">
        <w:rPr>
          <w:rFonts w:ascii="Verdana" w:hAnsi="Verdana"/>
          <w:sz w:val="24"/>
          <w:szCs w:val="24"/>
        </w:rPr>
        <w:t>climate—while local areas take greater responsibility for economic and service outcomes in their own places.</w:t>
      </w:r>
    </w:p>
    <w:p w:rsidR="00987B38" w:rsidRPr="00AF38CD" w:rsidP="00AF38CD">
      <w:pPr>
        <w:spacing w:line="480" w:lineRule="auto"/>
        <w:rPr>
          <w:rFonts w:ascii="Verdana" w:hAnsi="Verdana"/>
          <w:sz w:val="24"/>
          <w:szCs w:val="24"/>
        </w:rPr>
      </w:pPr>
      <w:r w:rsidRPr="00AF38CD">
        <w:rPr>
          <w:rFonts w:ascii="Verdana" w:hAnsi="Verdana"/>
          <w:sz w:val="24"/>
          <w:szCs w:val="24"/>
        </w:rPr>
        <w:t>In short, the main purpose is not just decentralisation for its own sake, but to create a system where growth, innovation, accountability and effective governance are driven from the local level, producing better outcomes for both local areas and the national economy.</w:t>
      </w:r>
    </w:p>
    <w:p w:rsidR="00987B38" w:rsidRPr="00AF38CD" w:rsidP="00AF38CD">
      <w:pPr>
        <w:spacing w:line="480" w:lineRule="auto"/>
        <w:rPr>
          <w:rFonts w:ascii="Verdana" w:hAnsi="Verdana"/>
          <w:sz w:val="24"/>
          <w:szCs w:val="24"/>
        </w:rPr>
      </w:pPr>
      <w:r w:rsidRPr="00AF38CD">
        <w:rPr>
          <w:rFonts w:ascii="Verdana" w:hAnsi="Verdana"/>
          <w:sz w:val="24"/>
          <w:szCs w:val="24"/>
        </w:rPr>
        <w:t>Fiscal devolution could also help to address financial pressures, generating new net growth that would yield additional tax revenue for all levels of government. The Centre for Cities previously estimated the UK’s economy could be nearly £50 billion larger if cities had more powers and funding to perform at their full potential.</w:t>
      </w:r>
      <w:r>
        <w:rPr>
          <w:rStyle w:val="FootnoteReference"/>
          <w:rFonts w:ascii="Verdana" w:hAnsi="Verdana"/>
          <w:sz w:val="24"/>
          <w:szCs w:val="24"/>
        </w:rPr>
        <w:footnoteReference w:id="2"/>
      </w:r>
      <w:r w:rsidRPr="00AF38CD">
        <w:rPr>
          <w:rFonts w:ascii="Verdana" w:hAnsi="Verdana"/>
          <w:sz w:val="24"/>
          <w:szCs w:val="24"/>
        </w:rPr>
        <w:t xml:space="preserve"> London Councils warned of a £1 billion funding shortfall last year, and London continues to be the region most reliant on Exceptional Financial Support to balance council budgets, with 27% of London boroughs now requiring it in 2026-27. </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Despite being responsible for place-shaping, housing delivery, economic development and other key public services, London boroughs remain heavily dependent on centrally determined funding streams, nationally set tax bases and medium-term finance settlements. Without the ability to retain and reinvest the value created locally through fiscal devolution, local authorities lack the incentives and capacity to pursue genuinely transformational economic and service reforms. Fiscal devolution could </w:t>
      </w:r>
      <w:r w:rsidRPr="00AF38CD">
        <w:rPr>
          <w:rFonts w:ascii="Verdana" w:hAnsi="Verdana"/>
          <w:sz w:val="24"/>
          <w:szCs w:val="24"/>
        </w:rPr>
        <w:t>enable boroughs to improve public services by enabling more transformational service reforms and providing focus, incentives and resources to local council</w:t>
      </w:r>
      <w:r w:rsidRPr="00AF38CD">
        <w:rPr>
          <w:rFonts w:ascii="Verdana" w:hAnsi="Verdana"/>
          <w:sz w:val="24"/>
          <w:szCs w:val="24"/>
        </w:rPr>
        <w:t>s</w:t>
      </w:r>
      <w:r w:rsidRPr="00AF38CD">
        <w:rPr>
          <w:rFonts w:ascii="Verdana" w:hAnsi="Verdana"/>
          <w:sz w:val="24"/>
          <w:szCs w:val="24"/>
        </w:rPr>
        <w:t>.</w:t>
      </w:r>
    </w:p>
    <w:p w:rsidR="00987B38" w:rsidRPr="00AF38CD" w:rsidP="00AF38CD">
      <w:pPr>
        <w:spacing w:line="480" w:lineRule="auto"/>
        <w:rPr>
          <w:rFonts w:ascii="Verdana" w:hAnsi="Verdana"/>
          <w:sz w:val="24"/>
          <w:szCs w:val="24"/>
        </w:rPr>
      </w:pPr>
    </w:p>
    <w:p w:rsidR="00987B38" w:rsidRPr="00AF38CD" w:rsidP="00AF38CD">
      <w:pPr>
        <w:spacing w:line="480" w:lineRule="auto"/>
        <w:rPr>
          <w:rFonts w:ascii="Verdana" w:hAnsi="Verdana"/>
          <w:sz w:val="24"/>
          <w:szCs w:val="24"/>
          <w:highlight w:val="yellow"/>
        </w:rPr>
      </w:pPr>
      <w:r w:rsidRPr="00AF38CD">
        <w:rPr>
          <w:rFonts w:ascii="Verdana" w:hAnsi="Verdana"/>
          <w:b/>
          <w:bCs/>
          <w:sz w:val="24"/>
          <w:szCs w:val="24"/>
        </w:rPr>
        <w:t xml:space="preserve">4. </w:t>
      </w:r>
      <w:r w:rsidRPr="00AF38CD">
        <w:rPr>
          <w:rFonts w:ascii="Verdana" w:hAnsi="Verdana"/>
          <w:b/>
          <w:bCs/>
          <w:sz w:val="24"/>
          <w:szCs w:val="24"/>
        </w:rPr>
        <w:t xml:space="preserve">What revenue-raising powers should be devolved to local areas? </w:t>
      </w:r>
    </w:p>
    <w:p w:rsidR="00987B38" w:rsidRPr="00AF38CD" w:rsidP="00AF38CD">
      <w:pPr>
        <w:spacing w:line="480" w:lineRule="auto"/>
        <w:rPr>
          <w:rFonts w:ascii="Verdana" w:hAnsi="Verdana"/>
          <w:sz w:val="24"/>
          <w:szCs w:val="24"/>
        </w:rPr>
      </w:pPr>
      <w:r w:rsidRPr="00AF38CD">
        <w:rPr>
          <w:rFonts w:ascii="Verdana" w:hAnsi="Verdana"/>
          <w:sz w:val="24"/>
          <w:szCs w:val="24"/>
        </w:rPr>
        <w:t>Boroughs need far more financial autonomy than they have under the current system</w:t>
      </w:r>
      <w:r w:rsidRPr="00AF38CD">
        <w:rPr>
          <w:rFonts w:ascii="Verdana" w:hAnsi="Verdana"/>
          <w:sz w:val="24"/>
          <w:szCs w:val="24"/>
        </w:rPr>
        <w:t xml:space="preserve"> </w:t>
      </w:r>
      <w:r w:rsidRPr="00AF38CD">
        <w:rPr>
          <w:rFonts w:ascii="Verdana" w:hAnsi="Verdana"/>
          <w:sz w:val="24"/>
          <w:szCs w:val="24"/>
        </w:rPr>
        <w:t>–</w:t>
      </w:r>
      <w:r w:rsidRPr="00AF38CD">
        <w:rPr>
          <w:rFonts w:ascii="Verdana" w:hAnsi="Verdana"/>
          <w:sz w:val="24"/>
          <w:szCs w:val="24"/>
        </w:rPr>
        <w:t xml:space="preserve"> they </w:t>
      </w:r>
      <w:r w:rsidRPr="00AF38CD">
        <w:rPr>
          <w:rFonts w:ascii="Verdana" w:hAnsi="Verdana"/>
          <w:sz w:val="24"/>
          <w:szCs w:val="24"/>
        </w:rPr>
        <w:t>are almost entirely reliant on council tax and central government funding streams, giving them a</w:t>
      </w:r>
      <w:r w:rsidRPr="00AF38CD">
        <w:rPr>
          <w:rFonts w:ascii="Verdana" w:hAnsi="Verdana"/>
          <w:sz w:val="24"/>
          <w:szCs w:val="24"/>
        </w:rPr>
        <w:t xml:space="preserve"> very</w:t>
      </w:r>
      <w:r w:rsidRPr="00AF38CD">
        <w:rPr>
          <w:rFonts w:ascii="Verdana" w:hAnsi="Verdana"/>
          <w:sz w:val="24"/>
          <w:szCs w:val="24"/>
        </w:rPr>
        <w:t xml:space="preserve"> limited ability to shape their own financial destiny.</w:t>
      </w:r>
      <w:r w:rsidRPr="00AF38CD">
        <w:rPr>
          <w:rFonts w:ascii="Verdana" w:hAnsi="Verdana"/>
          <w:sz w:val="24"/>
          <w:szCs w:val="24"/>
        </w:rPr>
        <w:t xml:space="preserve"> </w:t>
      </w:r>
      <w:r w:rsidRPr="00AF38CD">
        <w:rPr>
          <w:rFonts w:ascii="Verdana" w:hAnsi="Verdana"/>
          <w:sz w:val="24"/>
          <w:szCs w:val="24"/>
        </w:rPr>
        <w:t xml:space="preserve">London Councils has previously called for a broader range of local revenue-raising powers and welcomed comments from the Communities Secretary, Steve Reed MP, in November 2025 in which he expressed support for devolving more financial powers over revenue raising to local authorities.  </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We welcome the government’s announcement on the introduction of an overnight accommodation levy. It remains a key priority that boroughs retain a portion of the proceeds for investment in local services to mitigate the impacts of tourism and drive growth. </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London Councils calls for the operation and setting of council tax to be </w:t>
      </w:r>
      <w:r w:rsidRPr="00AF38CD">
        <w:rPr>
          <w:rFonts w:ascii="Verdana" w:hAnsi="Verdana"/>
          <w:sz w:val="24"/>
          <w:szCs w:val="24"/>
        </w:rPr>
        <w:t xml:space="preserve">fully </w:t>
      </w:r>
      <w:r w:rsidRPr="00AF38CD">
        <w:rPr>
          <w:rFonts w:ascii="Verdana" w:hAnsi="Verdana"/>
          <w:sz w:val="24"/>
          <w:szCs w:val="24"/>
        </w:rPr>
        <w:t>devolved to London government. Council tax should be a local revenue which, in addition to funding the resources to deliver local services, provides a strong incentive for boroughs to build their tax bases. Growth in the tax base</w:t>
      </w:r>
      <w:r w:rsidRPr="00AF38CD">
        <w:rPr>
          <w:rFonts w:ascii="Verdana" w:hAnsi="Verdana"/>
          <w:sz w:val="24"/>
          <w:szCs w:val="24"/>
        </w:rPr>
        <w:t xml:space="preserve"> is “equalised” whenever there is a funding reset </w:t>
      </w:r>
      <w:r w:rsidRPr="00AF38CD">
        <w:rPr>
          <w:rFonts w:ascii="Verdana" w:hAnsi="Verdana"/>
          <w:sz w:val="24"/>
          <w:szCs w:val="24"/>
        </w:rPr>
        <w:t xml:space="preserve">(the next one is due in </w:t>
      </w:r>
      <w:r w:rsidRPr="00AF38CD">
        <w:rPr>
          <w:rFonts w:ascii="Verdana" w:hAnsi="Verdana"/>
          <w:sz w:val="24"/>
          <w:szCs w:val="24"/>
        </w:rPr>
        <w:t>three</w:t>
      </w:r>
      <w:r w:rsidRPr="00AF38CD">
        <w:rPr>
          <w:rFonts w:ascii="Verdana" w:hAnsi="Verdana"/>
          <w:sz w:val="24"/>
          <w:szCs w:val="24"/>
        </w:rPr>
        <w:t xml:space="preserve"> years)</w:t>
      </w:r>
      <w:r w:rsidRPr="00AF38CD">
        <w:rPr>
          <w:rFonts w:ascii="Verdana" w:hAnsi="Verdana"/>
          <w:sz w:val="24"/>
          <w:szCs w:val="24"/>
        </w:rPr>
        <w:t>,</w:t>
      </w:r>
      <w:r w:rsidRPr="00AF38CD">
        <w:rPr>
          <w:rFonts w:ascii="Verdana" w:hAnsi="Verdana"/>
          <w:sz w:val="24"/>
          <w:szCs w:val="24"/>
        </w:rPr>
        <w:t xml:space="preserve"> meaning there is a weak incentive to grow the tax base. </w:t>
      </w:r>
      <w:r w:rsidRPr="00AF38CD">
        <w:rPr>
          <w:rFonts w:ascii="Verdana" w:hAnsi="Verdana"/>
          <w:sz w:val="24"/>
          <w:szCs w:val="24"/>
        </w:rPr>
        <w:t xml:space="preserve">  </w:t>
      </w:r>
      <w:r w:rsidRPr="00AF38CD">
        <w:rPr>
          <w:rFonts w:ascii="Verdana" w:hAnsi="Verdana"/>
          <w:sz w:val="24"/>
          <w:szCs w:val="24"/>
        </w:rPr>
        <w:t>P</w:t>
      </w:r>
      <w:r w:rsidRPr="00AF38CD">
        <w:rPr>
          <w:rFonts w:ascii="Verdana" w:hAnsi="Verdana"/>
          <w:sz w:val="24"/>
          <w:szCs w:val="24"/>
        </w:rPr>
        <w:t>ower to set rates</w:t>
      </w:r>
      <w:r w:rsidRPr="00AF38CD">
        <w:rPr>
          <w:rFonts w:ascii="Verdana" w:hAnsi="Verdana"/>
          <w:sz w:val="24"/>
          <w:szCs w:val="24"/>
        </w:rPr>
        <w:t xml:space="preserve"> (which are effectively capped via the </w:t>
      </w:r>
      <w:r w:rsidRPr="00AF38CD">
        <w:rPr>
          <w:rFonts w:ascii="Verdana" w:hAnsi="Verdana"/>
          <w:sz w:val="24"/>
          <w:szCs w:val="24"/>
        </w:rPr>
        <w:t>nationally-determined</w:t>
      </w:r>
      <w:r w:rsidRPr="00AF38CD">
        <w:rPr>
          <w:rFonts w:ascii="Verdana" w:hAnsi="Verdana"/>
          <w:sz w:val="24"/>
          <w:szCs w:val="24"/>
        </w:rPr>
        <w:t xml:space="preserve"> referendum threshold)</w:t>
      </w:r>
      <w:r w:rsidRPr="00AF38CD">
        <w:rPr>
          <w:rFonts w:ascii="Verdana" w:hAnsi="Verdana"/>
          <w:sz w:val="24"/>
          <w:szCs w:val="24"/>
        </w:rPr>
        <w:t xml:space="preserve">, should be retained locally. </w:t>
      </w:r>
      <w:r w:rsidRPr="00AF38CD">
        <w:rPr>
          <w:rFonts w:ascii="Verdana" w:hAnsi="Verdana"/>
          <w:sz w:val="24"/>
          <w:szCs w:val="24"/>
        </w:rPr>
        <w:t xml:space="preserve">London </w:t>
      </w:r>
      <w:r w:rsidRPr="00AF38CD">
        <w:rPr>
          <w:rFonts w:ascii="Verdana" w:hAnsi="Verdana"/>
          <w:sz w:val="24"/>
          <w:szCs w:val="24"/>
        </w:rPr>
        <w:t>Councils has long argued for reform to the current council tax system, with greater flexibility given to the boroughs including the ability to introduce additional bands.</w:t>
      </w:r>
      <w:r w:rsidRPr="00AF38CD">
        <w:rPr>
          <w:rFonts w:ascii="Verdana" w:hAnsi="Verdana"/>
          <w:sz w:val="24"/>
          <w:szCs w:val="24"/>
        </w:rPr>
        <w:t xml:space="preserve"> Council tax reform needs to be considered as part of the wider need to fix the broken local government finance system.</w:t>
      </w:r>
    </w:p>
    <w:p w:rsidR="00987B38" w:rsidRPr="00AF38CD" w:rsidP="00AF38CD">
      <w:pPr>
        <w:spacing w:line="480" w:lineRule="auto"/>
        <w:rPr>
          <w:rFonts w:ascii="Verdana" w:hAnsi="Verdana"/>
          <w:sz w:val="24"/>
          <w:szCs w:val="24"/>
        </w:rPr>
      </w:pPr>
      <w:r w:rsidRPr="00AF38CD">
        <w:rPr>
          <w:rFonts w:ascii="Verdana" w:hAnsi="Verdana"/>
          <w:sz w:val="24"/>
          <w:szCs w:val="24"/>
        </w:rPr>
        <w:t>While councils have retained a share of business rates growth since 2013, the incentive to grow is relatively weak, as growth is periodically redistributed through “resets”</w:t>
      </w:r>
      <w:r w:rsidRPr="00AF38CD">
        <w:rPr>
          <w:rFonts w:ascii="Verdana" w:hAnsi="Verdana"/>
          <w:sz w:val="24"/>
          <w:szCs w:val="24"/>
        </w:rPr>
        <w:t>. M</w:t>
      </w:r>
      <w:r w:rsidRPr="00AF38CD">
        <w:rPr>
          <w:rFonts w:ascii="Verdana" w:hAnsi="Verdana"/>
          <w:sz w:val="24"/>
          <w:szCs w:val="24"/>
        </w:rPr>
        <w:t xml:space="preserve">ost boroughs </w:t>
      </w:r>
      <w:r w:rsidRPr="00AF38CD">
        <w:rPr>
          <w:rFonts w:ascii="Verdana" w:hAnsi="Verdana"/>
          <w:sz w:val="24"/>
          <w:szCs w:val="24"/>
        </w:rPr>
        <w:t>are allowed to retain only</w:t>
      </w:r>
      <w:r w:rsidRPr="00AF38CD">
        <w:rPr>
          <w:rFonts w:ascii="Verdana" w:hAnsi="Verdana"/>
          <w:sz w:val="24"/>
          <w:szCs w:val="24"/>
        </w:rPr>
        <w:t xml:space="preserve"> 30%</w:t>
      </w:r>
      <w:r w:rsidRPr="00AF38CD">
        <w:rPr>
          <w:rFonts w:ascii="Verdana" w:hAnsi="Verdana"/>
          <w:sz w:val="24"/>
          <w:szCs w:val="24"/>
        </w:rPr>
        <w:t xml:space="preserve"> of additional growth and some levy</w:t>
      </w:r>
      <w:r w:rsidRPr="00AF38CD">
        <w:rPr>
          <w:rFonts w:ascii="Verdana" w:hAnsi="Verdana"/>
          <w:sz w:val="24"/>
          <w:szCs w:val="24"/>
        </w:rPr>
        <w:t>-</w:t>
      </w:r>
      <w:r w:rsidRPr="00AF38CD">
        <w:rPr>
          <w:rFonts w:ascii="Verdana" w:hAnsi="Verdana"/>
          <w:sz w:val="24"/>
          <w:szCs w:val="24"/>
        </w:rPr>
        <w:t>paying tariff authorities retain even less. Mo</w:t>
      </w:r>
      <w:r w:rsidRPr="00AF38CD">
        <w:rPr>
          <w:rFonts w:ascii="Verdana" w:hAnsi="Verdana"/>
          <w:sz w:val="24"/>
          <w:szCs w:val="24"/>
        </w:rPr>
        <w:t>s</w:t>
      </w:r>
      <w:r w:rsidRPr="00AF38CD">
        <w:rPr>
          <w:rFonts w:ascii="Verdana" w:hAnsi="Verdana"/>
          <w:sz w:val="24"/>
          <w:szCs w:val="24"/>
        </w:rPr>
        <w:t xml:space="preserve">t immediately, London Councils believes London should have parity with other </w:t>
      </w:r>
      <w:r w:rsidRPr="00AF38CD">
        <w:rPr>
          <w:rFonts w:ascii="Verdana" w:hAnsi="Verdana"/>
          <w:sz w:val="24"/>
          <w:szCs w:val="24"/>
        </w:rPr>
        <w:t>c</w:t>
      </w:r>
      <w:r w:rsidRPr="00AF38CD">
        <w:rPr>
          <w:rFonts w:ascii="Verdana" w:hAnsi="Verdana"/>
          <w:sz w:val="24"/>
          <w:szCs w:val="24"/>
        </w:rPr>
        <w:t xml:space="preserve">ity </w:t>
      </w:r>
      <w:r w:rsidRPr="00AF38CD">
        <w:rPr>
          <w:rFonts w:ascii="Verdana" w:hAnsi="Verdana"/>
          <w:sz w:val="24"/>
          <w:szCs w:val="24"/>
        </w:rPr>
        <w:t>r</w:t>
      </w:r>
      <w:r w:rsidRPr="00AF38CD">
        <w:rPr>
          <w:rFonts w:ascii="Verdana" w:hAnsi="Verdana"/>
          <w:sz w:val="24"/>
          <w:szCs w:val="24"/>
        </w:rPr>
        <w:t>egions (Greater Manchester and the West Midlands) which retain 100% of business rates growth. In the longer term</w:t>
      </w:r>
      <w:r w:rsidRPr="00AF38CD">
        <w:rPr>
          <w:rFonts w:ascii="Verdana" w:hAnsi="Verdana"/>
          <w:sz w:val="24"/>
          <w:szCs w:val="24"/>
        </w:rPr>
        <w:t>,</w:t>
      </w:r>
      <w:r w:rsidRPr="00AF38CD">
        <w:rPr>
          <w:rFonts w:ascii="Verdana" w:hAnsi="Verdana"/>
          <w:sz w:val="24"/>
          <w:szCs w:val="24"/>
        </w:rPr>
        <w:t xml:space="preserve"> </w:t>
      </w:r>
      <w:r w:rsidRPr="00AF38CD">
        <w:rPr>
          <w:rFonts w:ascii="Verdana" w:hAnsi="Verdana"/>
          <w:sz w:val="24"/>
          <w:szCs w:val="24"/>
        </w:rPr>
        <w:t xml:space="preserve">we have consistently advocated for </w:t>
      </w:r>
      <w:r w:rsidRPr="00AF38CD">
        <w:rPr>
          <w:rFonts w:ascii="Verdana" w:hAnsi="Verdana"/>
          <w:sz w:val="24"/>
          <w:szCs w:val="24"/>
        </w:rPr>
        <w:t xml:space="preserve">full devolution </w:t>
      </w:r>
      <w:r w:rsidRPr="00AF38CD">
        <w:rPr>
          <w:rFonts w:ascii="Verdana" w:hAnsi="Verdana"/>
          <w:sz w:val="24"/>
          <w:szCs w:val="24"/>
        </w:rPr>
        <w:t>o</w:t>
      </w:r>
      <w:r w:rsidRPr="00AF38CD">
        <w:rPr>
          <w:rFonts w:ascii="Verdana" w:hAnsi="Verdana"/>
          <w:sz w:val="24"/>
          <w:szCs w:val="24"/>
        </w:rPr>
        <w:t>f business rates</w:t>
      </w:r>
      <w:r w:rsidRPr="00AF38CD">
        <w:rPr>
          <w:rFonts w:ascii="Verdana" w:hAnsi="Verdana"/>
          <w:sz w:val="24"/>
          <w:szCs w:val="24"/>
        </w:rPr>
        <w:t xml:space="preserve"> </w:t>
      </w:r>
      <w:r w:rsidRPr="00AF38CD">
        <w:rPr>
          <w:rFonts w:ascii="Verdana" w:hAnsi="Verdana"/>
          <w:sz w:val="24"/>
          <w:szCs w:val="24"/>
        </w:rPr>
        <w:t>to London government,</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London Councils has also advocated for assigning London government a modest percentage of London’s income tax yield to increase as and when service devolution occurs or to be hypothecated to fund major capital projects. The government </w:t>
      </w:r>
      <w:r w:rsidRPr="00AF38CD">
        <w:rPr>
          <w:rFonts w:ascii="Verdana" w:hAnsi="Verdana"/>
          <w:sz w:val="24"/>
          <w:szCs w:val="24"/>
        </w:rPr>
        <w:t xml:space="preserve">could </w:t>
      </w:r>
      <w:r w:rsidRPr="00AF38CD">
        <w:rPr>
          <w:rFonts w:ascii="Verdana" w:hAnsi="Verdana"/>
          <w:sz w:val="24"/>
          <w:szCs w:val="24"/>
        </w:rPr>
        <w:t xml:space="preserve">also ringfence a portion of national VAT for London (note: this is not devolving VAT to local </w:t>
      </w:r>
      <w:r w:rsidRPr="00AF38CD">
        <w:rPr>
          <w:rFonts w:ascii="Verdana" w:hAnsi="Verdana"/>
          <w:sz w:val="24"/>
          <w:szCs w:val="24"/>
        </w:rPr>
        <w:t>authorities,</w:t>
      </w:r>
      <w:r w:rsidRPr="00AF38CD">
        <w:rPr>
          <w:rFonts w:ascii="Verdana" w:hAnsi="Verdana"/>
          <w:sz w:val="24"/>
          <w:szCs w:val="24"/>
        </w:rPr>
        <w:t xml:space="preserve"> it is simply assigning a share of national VAT to London; essentially an un-ringfenced </w:t>
      </w:r>
      <w:r w:rsidRPr="00AF38CD">
        <w:rPr>
          <w:rFonts w:ascii="Verdana" w:hAnsi="Verdana"/>
          <w:sz w:val="24"/>
          <w:szCs w:val="24"/>
        </w:rPr>
        <w:t>grant). If a larger share of public expenditure were to be devolved to London, the possibility of assigning a proportion of VAT should also be considered.</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Additional previous fiscal devolution proposals from London Councils include devolving business rates to London government (including decisions around operations and rate setting) and the devolution of Vehicle Excise Duty and the Growth and Skills Levy. These measures would give boroughs a strong direct incentive to drive growth in their local economies.  </w:t>
      </w:r>
    </w:p>
    <w:p w:rsidR="00987B38" w:rsidRPr="00AF38CD" w:rsidP="00AF38CD">
      <w:pPr>
        <w:spacing w:line="480" w:lineRule="auto"/>
        <w:rPr>
          <w:rFonts w:ascii="Verdana" w:hAnsi="Verdana"/>
          <w:b/>
          <w:bCs/>
          <w:sz w:val="24"/>
          <w:szCs w:val="24"/>
        </w:rPr>
      </w:pPr>
    </w:p>
    <w:p w:rsidR="00987B38" w:rsidRPr="00AF38CD" w:rsidP="00AF38CD">
      <w:pPr>
        <w:spacing w:line="480" w:lineRule="auto"/>
        <w:rPr>
          <w:rFonts w:ascii="Verdana" w:hAnsi="Verdana"/>
          <w:b/>
          <w:bCs/>
          <w:sz w:val="24"/>
          <w:szCs w:val="24"/>
        </w:rPr>
      </w:pPr>
      <w:r w:rsidRPr="00AF38CD">
        <w:rPr>
          <w:rFonts w:ascii="Verdana" w:hAnsi="Verdana"/>
          <w:b/>
          <w:bCs/>
          <w:sz w:val="24"/>
          <w:szCs w:val="24"/>
        </w:rPr>
        <w:t>7. What governance arrangements are needed as more powers are devolved to local areas? How should local and mayoral strategic authorities be best scrutinised and held to account for the exercise of any new powers</w:t>
      </w:r>
      <w:r w:rsidRPr="00AF38CD">
        <w:rPr>
          <w:rFonts w:ascii="Verdana" w:hAnsi="Verdana"/>
          <w:b/>
          <w:bCs/>
          <w:sz w:val="24"/>
          <w:szCs w:val="24"/>
        </w:rPr>
        <w:t>?</w:t>
      </w:r>
    </w:p>
    <w:p w:rsidR="00987B38" w:rsidRPr="00AF38CD" w:rsidP="00AF38CD">
      <w:pPr>
        <w:spacing w:line="480" w:lineRule="auto"/>
        <w:rPr>
          <w:rFonts w:ascii="Verdana" w:hAnsi="Verdana"/>
          <w:sz w:val="24"/>
          <w:szCs w:val="24"/>
        </w:rPr>
      </w:pPr>
      <w:r w:rsidRPr="00AF38CD">
        <w:rPr>
          <w:rFonts w:ascii="Verdana" w:hAnsi="Verdana"/>
          <w:sz w:val="24"/>
          <w:szCs w:val="24"/>
        </w:rPr>
        <w:t>As noted in London Councils</w:t>
      </w:r>
      <w:r w:rsidRPr="00AF38CD">
        <w:rPr>
          <w:rFonts w:ascii="Verdana" w:hAnsi="Verdana"/>
          <w:sz w:val="24"/>
          <w:szCs w:val="24"/>
        </w:rPr>
        <w:t xml:space="preserve">’ </w:t>
      </w:r>
      <w:r w:rsidRPr="00AF38CD">
        <w:rPr>
          <w:rFonts w:ascii="Verdana" w:hAnsi="Verdana"/>
          <w:sz w:val="24"/>
          <w:szCs w:val="24"/>
        </w:rPr>
        <w:t>response to the consultation on the overnight visitor levy, in line with the purpose of fiscal devolution, local authorities should generally have the power to decide the design, implementation and operation of devolved fiscal mechanisms without central government intervention. Accountability for administration should be with local leaders and Mayors—national government does not need to be heavily involved. If government is serious about allowing local areas to hold more fiscal authority, it needs to be w</w:t>
      </w:r>
      <w:r w:rsidRPr="00AF38CD">
        <w:rPr>
          <w:rFonts w:ascii="Verdana" w:hAnsi="Verdana"/>
          <w:sz w:val="24"/>
          <w:szCs w:val="24"/>
        </w:rPr>
        <w:t xml:space="preserve">illing to do so without substantial central control.  </w:t>
      </w:r>
    </w:p>
    <w:p w:rsidR="00987B38" w:rsidRPr="00AF38CD" w:rsidP="00AF38CD">
      <w:pPr>
        <w:spacing w:line="480" w:lineRule="auto"/>
        <w:rPr>
          <w:rFonts w:ascii="Verdana" w:hAnsi="Verdana"/>
          <w:sz w:val="24"/>
          <w:szCs w:val="24"/>
        </w:rPr>
      </w:pPr>
      <w:r w:rsidRPr="00AF38CD">
        <w:rPr>
          <w:rFonts w:ascii="Verdana" w:hAnsi="Verdana"/>
          <w:sz w:val="24"/>
          <w:szCs w:val="24"/>
        </w:rPr>
        <w:t>The clearest lesson from earlier phases of devolution is that devolution without fiscal power limits local government’s ability to drive productivity, innovate in service delivery, or plan for the long term. That lesson has not yet been fully shared or applied, either within London or nationally, as highlighted by the complete absence of fiscal devolution in the English Devolution White Paper.</w:t>
      </w:r>
    </w:p>
    <w:p w:rsidR="00987B38" w:rsidRPr="00AF38CD" w:rsidP="00AF38CD">
      <w:pPr>
        <w:spacing w:line="480" w:lineRule="auto"/>
        <w:rPr>
          <w:rFonts w:ascii="Verdana" w:hAnsi="Verdana"/>
          <w:b/>
          <w:bCs/>
          <w:sz w:val="24"/>
          <w:szCs w:val="24"/>
        </w:rPr>
      </w:pPr>
      <w:r w:rsidRPr="00AF38CD">
        <w:rPr>
          <w:rFonts w:ascii="Verdana" w:hAnsi="Verdana"/>
          <w:sz w:val="24"/>
          <w:szCs w:val="24"/>
        </w:rPr>
        <w:t>Specifically in London, London boroughs have operated for decades within a devolved administrative framework. They manage complex services, act as major planning authorities, and work collaboratively at sub-regional and pan-London level. Boroughs are therefore well</w:t>
      </w:r>
      <w:r w:rsidRPr="00AF38CD">
        <w:rPr>
          <w:rFonts w:ascii="Verdana" w:hAnsi="Verdana"/>
          <w:sz w:val="24"/>
          <w:szCs w:val="24"/>
        </w:rPr>
        <w:t>-</w:t>
      </w:r>
      <w:r w:rsidRPr="00AF38CD">
        <w:rPr>
          <w:rFonts w:ascii="Verdana" w:hAnsi="Verdana"/>
          <w:sz w:val="24"/>
          <w:szCs w:val="24"/>
        </w:rPr>
        <w:t>versed in operating within devolved governance arrangements and partnering—typically on a one-off or project basis—with strategic bodies such as the GLA. In that sense, many of the technical and organisational lessons of devolution—around leadership, collaboration, and delivery at scale—are well understood and widely shared.</w:t>
      </w:r>
      <w:r w:rsidRPr="00AF38CD">
        <w:rPr>
          <w:rFonts w:ascii="Verdana" w:hAnsi="Verdana"/>
          <w:sz w:val="24"/>
          <w:szCs w:val="24"/>
        </w:rPr>
        <w:br/>
      </w:r>
    </w:p>
    <w:p w:rsidR="00987B38" w:rsidRPr="00AF38CD" w:rsidP="00AF38CD">
      <w:pPr>
        <w:spacing w:line="480" w:lineRule="auto"/>
        <w:rPr>
          <w:rFonts w:ascii="Verdana" w:hAnsi="Verdana"/>
          <w:b/>
          <w:bCs/>
          <w:sz w:val="24"/>
          <w:szCs w:val="24"/>
        </w:rPr>
      </w:pPr>
      <w:r w:rsidRPr="00AF38CD">
        <w:rPr>
          <w:rFonts w:ascii="Verdana" w:hAnsi="Verdana"/>
          <w:b/>
          <w:bCs/>
          <w:sz w:val="24"/>
          <w:szCs w:val="24"/>
        </w:rPr>
        <w:t>8. Should devolution be paired with tax reforms, such as council tax revaluations, or can it be carried out separately?</w:t>
      </w:r>
    </w:p>
    <w:p w:rsidR="00987B38" w:rsidRPr="00AF38CD" w:rsidP="00AF38CD">
      <w:pPr>
        <w:spacing w:after="0" w:line="480" w:lineRule="auto"/>
        <w:rPr>
          <w:rFonts w:ascii="Verdana" w:eastAsia="Times New Roman" w:hAnsi="Verdana"/>
          <w:kern w:val="0"/>
          <w:sz w:val="24"/>
          <w:szCs w:val="24"/>
          <w:lang w:eastAsia="en-GB"/>
        </w:rPr>
      </w:pPr>
      <w:r w:rsidRPr="00AF38CD">
        <w:rPr>
          <w:rFonts w:ascii="Verdana" w:eastAsia="Times New Roman" w:hAnsi="Verdana"/>
          <w:kern w:val="0"/>
          <w:sz w:val="24"/>
          <w:szCs w:val="24"/>
          <w:lang w:eastAsia="en-GB"/>
        </w:rPr>
        <w:t>While London Councils cannot comment on whether devolution should be paired with tax reforms or carried out separately, it can comment on the need for reform of council tax and business rates.</w:t>
      </w:r>
    </w:p>
    <w:p w:rsidR="00987B38" w:rsidRPr="00AF38CD" w:rsidP="00AF38CD">
      <w:pPr>
        <w:spacing w:after="0" w:line="480" w:lineRule="auto"/>
        <w:rPr>
          <w:rFonts w:ascii="Verdana" w:eastAsia="Times New Roman" w:hAnsi="Verdana"/>
          <w:kern w:val="0"/>
          <w:sz w:val="24"/>
          <w:szCs w:val="24"/>
          <w:lang w:eastAsia="en-GB"/>
        </w:rPr>
      </w:pPr>
    </w:p>
    <w:p w:rsidR="00987B38" w:rsidRPr="00AF38CD" w:rsidP="00AF38CD">
      <w:pPr>
        <w:spacing w:line="480" w:lineRule="auto"/>
        <w:rPr>
          <w:rFonts w:ascii="Verdana" w:hAnsi="Verdana"/>
          <w:sz w:val="24"/>
          <w:szCs w:val="24"/>
        </w:rPr>
      </w:pPr>
      <w:r w:rsidRPr="00AF38CD">
        <w:rPr>
          <w:rFonts w:ascii="Verdana" w:hAnsi="Verdana"/>
          <w:sz w:val="24"/>
          <w:szCs w:val="24"/>
        </w:rPr>
        <w:t xml:space="preserve">London Councils has long argued for reform to the current council tax system, including greater flexibility for boroughs, the ability to introduce additional bands, and reforms to the amounts charged between bands to better reflect market conditions. </w:t>
      </w:r>
    </w:p>
    <w:p w:rsidR="00987B38" w:rsidRPr="00AF38CD" w:rsidP="00AF38CD">
      <w:pPr>
        <w:pStyle w:val="NoSpacing"/>
        <w:spacing w:line="480" w:lineRule="auto"/>
        <w:rPr>
          <w:rFonts w:ascii="Verdana" w:hAnsi="Verdana"/>
          <w:sz w:val="24"/>
          <w:szCs w:val="24"/>
        </w:rPr>
      </w:pPr>
      <w:r w:rsidRPr="00AF38CD">
        <w:rPr>
          <w:rFonts w:ascii="Verdana" w:hAnsi="Verdana"/>
          <w:sz w:val="24"/>
          <w:szCs w:val="24"/>
        </w:rPr>
        <w:t>London Councils also calls for the operation and setting of business rates (including setting the multiplier) to be devolved to London government. London government should be granted full control of business rates reliefs, including the flexibility to introduce a more effective relief scheme for small businesses which reflects the capital’s higher rental values.</w:t>
      </w:r>
      <w:r w:rsidRPr="00AF38CD">
        <w:rPr>
          <w:rFonts w:ascii="Verdana" w:hAnsi="Verdana"/>
          <w:sz w:val="24"/>
          <w:szCs w:val="24"/>
        </w:rPr>
        <w:t xml:space="preserve"> Allowing local authorities to retain business rates would incentivise more local investment, </w:t>
      </w:r>
      <w:r w:rsidRPr="00AF38CD">
        <w:rPr>
          <w:rFonts w:ascii="Verdana" w:hAnsi="Verdana"/>
          <w:sz w:val="24"/>
          <w:szCs w:val="24"/>
        </w:rPr>
        <w:t>supporting</w:t>
      </w:r>
      <w:r w:rsidRPr="00AF38CD">
        <w:rPr>
          <w:rFonts w:ascii="Verdana" w:hAnsi="Verdana"/>
          <w:sz w:val="24"/>
          <w:szCs w:val="24"/>
        </w:rPr>
        <w:t xml:space="preserve"> growth and allowing councils to tailor reliefs more specifically to their local area.</w:t>
      </w:r>
    </w:p>
    <w:p w:rsidR="00987B38" w:rsidRPr="00AF38CD" w:rsidP="00AF38CD">
      <w:pPr>
        <w:pStyle w:val="NoSpacing"/>
        <w:spacing w:line="480" w:lineRule="auto"/>
        <w:rPr>
          <w:rFonts w:ascii="Verdana" w:hAnsi="Verdana"/>
          <w:sz w:val="24"/>
          <w:szCs w:val="24"/>
        </w:rPr>
      </w:pPr>
    </w:p>
    <w:p w:rsidR="00987B38" w:rsidRPr="00AF38CD" w:rsidP="00AF38CD">
      <w:pPr>
        <w:pStyle w:val="ListParagraph"/>
        <w:spacing w:line="480" w:lineRule="auto"/>
        <w:rPr>
          <w:rFonts w:ascii="Verdana" w:hAnsi="Verdana"/>
          <w:b/>
          <w:bCs/>
          <w:sz w:val="24"/>
          <w:szCs w:val="24"/>
        </w:rPr>
      </w:pPr>
    </w:p>
    <w:p w:rsidR="00987B38" w:rsidRPr="00AF38CD" w:rsidP="00AF38CD">
      <w:pPr>
        <w:pStyle w:val="ListParagraph"/>
        <w:spacing w:line="480" w:lineRule="auto"/>
        <w:ind w:left="0"/>
        <w:rPr>
          <w:rFonts w:ascii="Verdana" w:hAnsi="Verdana"/>
          <w:b/>
          <w:bCs/>
          <w:sz w:val="24"/>
          <w:szCs w:val="24"/>
        </w:rPr>
      </w:pPr>
      <w:r w:rsidRPr="00AF38CD">
        <w:rPr>
          <w:rFonts w:ascii="Verdana" w:hAnsi="Verdana"/>
          <w:b/>
          <w:bCs/>
          <w:sz w:val="24"/>
          <w:szCs w:val="24"/>
        </w:rPr>
        <w:t>9. What transitional issues need to be considered in devolving fiscal powers to local areas</w:t>
      </w:r>
      <w:r w:rsidRPr="00AF38CD">
        <w:rPr>
          <w:rFonts w:ascii="Verdana" w:hAnsi="Verdana"/>
          <w:b/>
          <w:bCs/>
          <w:sz w:val="24"/>
          <w:szCs w:val="24"/>
        </w:rPr>
        <w:t>?</w:t>
      </w:r>
    </w:p>
    <w:p w:rsidR="00987B38" w:rsidRPr="00AF38CD" w:rsidP="00AF38CD">
      <w:pPr>
        <w:spacing w:line="480" w:lineRule="auto"/>
        <w:rPr>
          <w:rFonts w:ascii="Verdana" w:hAnsi="Verdana"/>
          <w:sz w:val="24"/>
          <w:szCs w:val="24"/>
        </w:rPr>
      </w:pPr>
      <w:r w:rsidRPr="00AF38CD">
        <w:rPr>
          <w:rFonts w:ascii="Verdana" w:hAnsi="Verdana"/>
          <w:sz w:val="24"/>
          <w:szCs w:val="24"/>
        </w:rPr>
        <w:t>There is no one</w:t>
      </w:r>
      <w:r w:rsidRPr="00AF38CD">
        <w:rPr>
          <w:rFonts w:ascii="Verdana" w:hAnsi="Verdana"/>
          <w:sz w:val="24"/>
          <w:szCs w:val="24"/>
        </w:rPr>
        <w:t>-</w:t>
      </w:r>
      <w:r w:rsidRPr="00AF38CD">
        <w:rPr>
          <w:rFonts w:ascii="Verdana" w:hAnsi="Verdana"/>
          <w:sz w:val="24"/>
          <w:szCs w:val="24"/>
        </w:rPr>
        <w:t>size</w:t>
      </w:r>
      <w:r w:rsidRPr="00AF38CD">
        <w:rPr>
          <w:rFonts w:ascii="Verdana" w:hAnsi="Verdana"/>
          <w:sz w:val="24"/>
          <w:szCs w:val="24"/>
        </w:rPr>
        <w:t>-</w:t>
      </w:r>
      <w:r w:rsidRPr="00AF38CD">
        <w:rPr>
          <w:rFonts w:ascii="Verdana" w:hAnsi="Verdana"/>
          <w:sz w:val="24"/>
          <w:szCs w:val="24"/>
        </w:rPr>
        <w:t>fits</w:t>
      </w:r>
      <w:r w:rsidRPr="00AF38CD">
        <w:rPr>
          <w:rFonts w:ascii="Verdana" w:hAnsi="Verdana"/>
          <w:sz w:val="24"/>
          <w:szCs w:val="24"/>
        </w:rPr>
        <w:t>-</w:t>
      </w:r>
      <w:r w:rsidRPr="00AF38CD">
        <w:rPr>
          <w:rFonts w:ascii="Verdana" w:hAnsi="Verdana"/>
          <w:sz w:val="24"/>
          <w:szCs w:val="24"/>
        </w:rPr>
        <w:t xml:space="preserve">all </w:t>
      </w:r>
      <w:r w:rsidRPr="00AF38CD">
        <w:rPr>
          <w:rFonts w:ascii="Verdana" w:hAnsi="Verdana"/>
          <w:sz w:val="24"/>
          <w:szCs w:val="24"/>
        </w:rPr>
        <w:t>model for fiscal devolution in England, and London’s</w:t>
      </w:r>
      <w:r w:rsidRPr="00AF38CD">
        <w:rPr>
          <w:rFonts w:ascii="Verdana" w:hAnsi="Verdana"/>
          <w:sz w:val="24"/>
          <w:szCs w:val="24"/>
        </w:rPr>
        <w:t xml:space="preserve"> </w:t>
      </w:r>
      <w:r w:rsidRPr="00AF38CD">
        <w:rPr>
          <w:rFonts w:ascii="Verdana" w:hAnsi="Verdana"/>
          <w:sz w:val="24"/>
          <w:szCs w:val="24"/>
        </w:rPr>
        <w:t xml:space="preserve">unique governance structure must be </w:t>
      </w:r>
      <w:r w:rsidRPr="00AF38CD">
        <w:rPr>
          <w:rFonts w:ascii="Verdana" w:hAnsi="Verdana"/>
          <w:sz w:val="24"/>
          <w:szCs w:val="24"/>
        </w:rPr>
        <w:t>taken into account</w:t>
      </w:r>
      <w:r w:rsidRPr="00AF38CD">
        <w:rPr>
          <w:rFonts w:ascii="Verdana" w:hAnsi="Verdana"/>
          <w:sz w:val="24"/>
          <w:szCs w:val="24"/>
        </w:rPr>
        <w:t xml:space="preserve"> </w:t>
      </w:r>
      <w:r w:rsidRPr="00AF38CD">
        <w:rPr>
          <w:rFonts w:ascii="Verdana" w:hAnsi="Verdana"/>
          <w:sz w:val="24"/>
          <w:szCs w:val="24"/>
        </w:rPr>
        <w:t>in the transition to greater fiscal devolution</w:t>
      </w:r>
      <w:r w:rsidRPr="00AF38CD">
        <w:rPr>
          <w:rFonts w:ascii="Verdana" w:hAnsi="Verdana"/>
          <w:sz w:val="24"/>
          <w:szCs w:val="24"/>
        </w:rPr>
        <w:t xml:space="preserve">. </w:t>
      </w:r>
      <w:r w:rsidRPr="00AF38CD">
        <w:rPr>
          <w:rFonts w:ascii="Verdana" w:hAnsi="Verdana"/>
          <w:sz w:val="24"/>
          <w:szCs w:val="24"/>
        </w:rPr>
        <w:t xml:space="preserve">Unlike other parts of England, London lacks a formal governance </w:t>
      </w:r>
      <w:r w:rsidRPr="00AF38CD">
        <w:rPr>
          <w:rFonts w:ascii="Verdana" w:hAnsi="Verdana"/>
          <w:sz w:val="24"/>
          <w:szCs w:val="24"/>
        </w:rPr>
        <w:t>arrangement between the Ma</w:t>
      </w:r>
      <w:r w:rsidRPr="00AF38CD">
        <w:rPr>
          <w:rFonts w:ascii="Verdana" w:hAnsi="Verdana"/>
          <w:sz w:val="24"/>
          <w:szCs w:val="24"/>
        </w:rPr>
        <w:t>y</w:t>
      </w:r>
      <w:r w:rsidRPr="00AF38CD">
        <w:rPr>
          <w:rFonts w:ascii="Verdana" w:hAnsi="Verdana"/>
          <w:sz w:val="24"/>
          <w:szCs w:val="24"/>
        </w:rPr>
        <w:t>or of London and the boroughs</w:t>
      </w:r>
      <w:r w:rsidRPr="00AF38CD">
        <w:rPr>
          <w:rFonts w:ascii="Verdana" w:hAnsi="Verdana"/>
          <w:sz w:val="24"/>
          <w:szCs w:val="24"/>
        </w:rPr>
        <w:t xml:space="preserve">. London’s current devolution arrangement was designed in a different century, for a different era, and is in urgent need of an update. The status quo is holding London back. In London, there is </w:t>
      </w:r>
      <w:r w:rsidRPr="00AF38CD">
        <w:rPr>
          <w:rFonts w:ascii="Verdana" w:hAnsi="Verdana"/>
          <w:sz w:val="24"/>
          <w:szCs w:val="24"/>
        </w:rPr>
        <w:t xml:space="preserve">no forum for shared decision-making between the regional and local tiers of government in contrast to the devolved arrangements in other combined authority areas such as Greater Manchester and the </w:t>
      </w:r>
      <w:r w:rsidRPr="00AF38CD">
        <w:rPr>
          <w:rFonts w:ascii="Verdana" w:hAnsi="Verdana"/>
          <w:sz w:val="24"/>
          <w:szCs w:val="24"/>
        </w:rPr>
        <w:t>West Midlands.</w:t>
      </w:r>
    </w:p>
    <w:p w:rsidR="00987B38" w:rsidRPr="00AF38CD" w:rsidP="00AF38CD">
      <w:pPr>
        <w:spacing w:line="480" w:lineRule="auto"/>
        <w:rPr>
          <w:rFonts w:ascii="Verdana" w:hAnsi="Verdana"/>
          <w:sz w:val="24"/>
          <w:szCs w:val="24"/>
        </w:rPr>
      </w:pPr>
      <w:r w:rsidRPr="00AF38CD">
        <w:rPr>
          <w:rFonts w:ascii="Verdana" w:hAnsi="Verdana"/>
          <w:sz w:val="24"/>
          <w:szCs w:val="24"/>
        </w:rPr>
        <w:t>London’s governance arrangements are unique in England. Notwithstanding any comprehensive changes to those arrangements, any new devolved fiscal powers must reflect these unique arrangements. Unlike Mayoral Combined Authorities, London does not benefit from a formalised structure for joint decision</w:t>
      </w:r>
      <w:r w:rsidRPr="00AF38CD">
        <w:rPr>
          <w:rFonts w:ascii="Cambria Math" w:hAnsi="Cambria Math" w:cs="Cambria Math"/>
          <w:sz w:val="24"/>
          <w:szCs w:val="24"/>
        </w:rPr>
        <w:t>‑</w:t>
      </w:r>
      <w:r w:rsidRPr="00AF38CD">
        <w:rPr>
          <w:rFonts w:ascii="Verdana" w:hAnsi="Verdana"/>
          <w:sz w:val="24"/>
          <w:szCs w:val="24"/>
        </w:rPr>
        <w:t xml:space="preserve">making between the </w:t>
      </w:r>
      <w:r w:rsidRPr="00AF38CD">
        <w:rPr>
          <w:rFonts w:ascii="Verdana" w:hAnsi="Verdana"/>
          <w:sz w:val="24"/>
          <w:szCs w:val="24"/>
        </w:rPr>
        <w:t>Mayor</w:t>
      </w:r>
      <w:r w:rsidRPr="00AF38CD">
        <w:rPr>
          <w:rFonts w:ascii="Verdana" w:hAnsi="Verdana"/>
          <w:sz w:val="24"/>
          <w:szCs w:val="24"/>
        </w:rPr>
        <w:t xml:space="preserve"> and local authorities. Instead, London operates through two parallel tiers of sub</w:t>
      </w:r>
      <w:r w:rsidRPr="00AF38CD">
        <w:rPr>
          <w:rFonts w:ascii="Cambria Math" w:hAnsi="Cambria Math" w:cs="Cambria Math"/>
          <w:sz w:val="24"/>
          <w:szCs w:val="24"/>
        </w:rPr>
        <w:t>‑</w:t>
      </w:r>
      <w:r w:rsidRPr="00AF38CD">
        <w:rPr>
          <w:rFonts w:ascii="Verdana" w:hAnsi="Verdana"/>
          <w:sz w:val="24"/>
          <w:szCs w:val="24"/>
        </w:rPr>
        <w:t>national government – the GLA and the 33 local authorities – without shared statutory mechanisms that ensure boroughs have a voice in decisions that materially affect their communities.</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London currently relies on voluntary collaboration between the </w:t>
      </w:r>
      <w:r w:rsidRPr="00AF38CD">
        <w:rPr>
          <w:rFonts w:ascii="Verdana" w:hAnsi="Verdana"/>
          <w:sz w:val="24"/>
          <w:szCs w:val="24"/>
        </w:rPr>
        <w:t>Mayor</w:t>
      </w:r>
      <w:r w:rsidRPr="00AF38CD">
        <w:rPr>
          <w:rFonts w:ascii="Verdana" w:hAnsi="Verdana"/>
          <w:sz w:val="24"/>
          <w:szCs w:val="24"/>
        </w:rPr>
        <w:t xml:space="preserve"> and boroughs. Over the years, we have seen what we can achieve by working together - for example, through the 2018-19 and 2019-20 pan-London business rates pool which piloted 100% and 75% retention of business rates growth, and more recently in the London Growth Plan, which was co-authored by the GLA and London Councils. However, we have also seen limitations of the current system. The lack of formal arrangements and need to negotiate on a case-by-case basis inevitably slows down decision-making and l</w:t>
      </w:r>
      <w:r w:rsidRPr="00AF38CD">
        <w:rPr>
          <w:rFonts w:ascii="Verdana" w:hAnsi="Verdana"/>
          <w:sz w:val="24"/>
          <w:szCs w:val="24"/>
        </w:rPr>
        <w:t>imits our ability to make the best use of our collective resources. This absence of formal structures for joint decision-</w:t>
      </w:r>
      <w:r w:rsidRPr="00AF38CD">
        <w:rPr>
          <w:rFonts w:ascii="Verdana" w:hAnsi="Verdana"/>
          <w:sz w:val="24"/>
          <w:szCs w:val="24"/>
        </w:rPr>
        <w:t>making also means the capital’s current devolution settlement lacks resilience.</w:t>
      </w:r>
    </w:p>
    <w:p w:rsidR="00987B38" w:rsidRPr="00AF38CD" w:rsidP="00AF38CD">
      <w:pPr>
        <w:spacing w:line="480" w:lineRule="auto"/>
        <w:rPr>
          <w:rFonts w:ascii="Verdana" w:hAnsi="Verdana"/>
          <w:b/>
          <w:bCs/>
          <w:sz w:val="24"/>
          <w:szCs w:val="24"/>
          <w:highlight w:val="yellow"/>
        </w:rPr>
      </w:pPr>
    </w:p>
    <w:p w:rsidR="00987B38" w:rsidRPr="00AF38CD" w:rsidP="00AF38CD">
      <w:pPr>
        <w:pStyle w:val="ListParagraph"/>
        <w:numPr>
          <w:ilvl w:val="0"/>
          <w:numId w:val="12"/>
        </w:numPr>
        <w:spacing w:line="480" w:lineRule="auto"/>
        <w:rPr>
          <w:rFonts w:ascii="Verdana" w:hAnsi="Verdana"/>
          <w:b/>
          <w:bCs/>
          <w:sz w:val="24"/>
          <w:szCs w:val="24"/>
        </w:rPr>
      </w:pPr>
      <w:r w:rsidRPr="00AF38CD">
        <w:rPr>
          <w:rFonts w:ascii="Verdana" w:hAnsi="Verdana"/>
          <w:b/>
          <w:bCs/>
          <w:sz w:val="24"/>
          <w:szCs w:val="24"/>
        </w:rPr>
        <w:t>Which forms of fiscal devolution in other countries can the UK learn from?</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One of the most important lessons England can learn from other countries is that “fiscal devolution” is often not viewed elsewhere as a special reform agenda or constitutional experiment at all. In most comparable countries, it is simply how government operates. The idea that local or regional government should retain meaningful control over taxation, investment decisions, and local growth incentives is treated as standard operating procedure rather than a radical concept. </w:t>
      </w:r>
    </w:p>
    <w:p w:rsidR="00987B38" w:rsidRPr="00AF38CD" w:rsidP="00AF38CD">
      <w:pPr>
        <w:spacing w:line="480" w:lineRule="auto"/>
        <w:rPr>
          <w:rFonts w:ascii="Verdana" w:hAnsi="Verdana"/>
          <w:sz w:val="24"/>
          <w:szCs w:val="24"/>
        </w:rPr>
      </w:pPr>
      <w:r w:rsidRPr="00AF38CD">
        <w:rPr>
          <w:rFonts w:ascii="Verdana" w:hAnsi="Verdana"/>
          <w:sz w:val="24"/>
          <w:szCs w:val="24"/>
        </w:rPr>
        <w:t>In that sense, England’s debate on fiscal devolution can sometimes appear unusually insular. While England continues to debate whether local government can be trusted with meaningful fiscal autonomy, most international competitors have long since embedded these principles into the structure of the state itself.</w:t>
      </w:r>
    </w:p>
    <w:p w:rsidR="00987B38" w:rsidRPr="00AF38CD" w:rsidP="00AF38CD">
      <w:pPr>
        <w:spacing w:line="480" w:lineRule="auto"/>
        <w:rPr>
          <w:rFonts w:ascii="Verdana" w:hAnsi="Verdana"/>
          <w:sz w:val="24"/>
          <w:szCs w:val="24"/>
        </w:rPr>
      </w:pPr>
      <w:r w:rsidRPr="00AF38CD">
        <w:rPr>
          <w:rFonts w:ascii="Verdana" w:hAnsi="Verdana"/>
          <w:sz w:val="24"/>
          <w:szCs w:val="24"/>
        </w:rPr>
        <w:t>The broad lesson from more decentralised systems is not necessarily about copying a single international model wholesale, but recognising several common features that England currently lacks:</w:t>
      </w:r>
    </w:p>
    <w:p w:rsidR="00987B38" w:rsidRPr="00AF38CD" w:rsidP="00AF38CD">
      <w:pPr>
        <w:numPr>
          <w:ilvl w:val="0"/>
          <w:numId w:val="2"/>
        </w:numPr>
        <w:spacing w:line="480" w:lineRule="auto"/>
        <w:rPr>
          <w:rFonts w:ascii="Verdana" w:hAnsi="Verdana"/>
          <w:sz w:val="24"/>
          <w:szCs w:val="24"/>
        </w:rPr>
      </w:pPr>
      <w:r w:rsidRPr="00AF38CD">
        <w:rPr>
          <w:rFonts w:ascii="Verdana" w:hAnsi="Verdana"/>
          <w:sz w:val="24"/>
          <w:szCs w:val="24"/>
        </w:rPr>
        <w:t xml:space="preserve">stronger local revenue autonomy; </w:t>
      </w:r>
    </w:p>
    <w:p w:rsidR="00987B38" w:rsidRPr="00AF38CD" w:rsidP="00AF38CD">
      <w:pPr>
        <w:numPr>
          <w:ilvl w:val="0"/>
          <w:numId w:val="2"/>
        </w:numPr>
        <w:spacing w:line="480" w:lineRule="auto"/>
        <w:rPr>
          <w:rFonts w:ascii="Verdana" w:hAnsi="Verdana"/>
          <w:sz w:val="24"/>
          <w:szCs w:val="24"/>
        </w:rPr>
      </w:pPr>
      <w:r w:rsidRPr="00AF38CD">
        <w:rPr>
          <w:rFonts w:ascii="Verdana" w:hAnsi="Verdana"/>
          <w:sz w:val="24"/>
          <w:szCs w:val="24"/>
        </w:rPr>
        <w:t xml:space="preserve">greater retention of locally generated growth; </w:t>
      </w:r>
    </w:p>
    <w:p w:rsidR="00987B38" w:rsidRPr="00AF38CD" w:rsidP="00AF38CD">
      <w:pPr>
        <w:numPr>
          <w:ilvl w:val="0"/>
          <w:numId w:val="2"/>
        </w:numPr>
        <w:spacing w:line="480" w:lineRule="auto"/>
        <w:rPr>
          <w:rFonts w:ascii="Verdana" w:hAnsi="Verdana"/>
          <w:sz w:val="24"/>
          <w:szCs w:val="24"/>
        </w:rPr>
      </w:pPr>
      <w:r w:rsidRPr="00AF38CD">
        <w:rPr>
          <w:rFonts w:ascii="Verdana" w:hAnsi="Verdana"/>
          <w:sz w:val="24"/>
          <w:szCs w:val="24"/>
        </w:rPr>
        <w:t xml:space="preserve">longer-term financial certainty; </w:t>
      </w:r>
    </w:p>
    <w:p w:rsidR="00987B38" w:rsidRPr="00AF38CD" w:rsidP="00AF38CD">
      <w:pPr>
        <w:numPr>
          <w:ilvl w:val="0"/>
          <w:numId w:val="2"/>
        </w:numPr>
        <w:spacing w:line="480" w:lineRule="auto"/>
        <w:rPr>
          <w:rFonts w:ascii="Verdana" w:hAnsi="Verdana"/>
          <w:sz w:val="24"/>
          <w:szCs w:val="24"/>
        </w:rPr>
      </w:pPr>
      <w:r w:rsidRPr="00AF38CD">
        <w:rPr>
          <w:rFonts w:ascii="Verdana" w:hAnsi="Verdana"/>
          <w:sz w:val="24"/>
          <w:szCs w:val="24"/>
        </w:rPr>
        <w:t xml:space="preserve">more local discretion over investment and service priorities; and </w:t>
      </w:r>
    </w:p>
    <w:p w:rsidR="00987B38" w:rsidRPr="00AF38CD" w:rsidP="00AF38CD">
      <w:pPr>
        <w:numPr>
          <w:ilvl w:val="0"/>
          <w:numId w:val="2"/>
        </w:numPr>
        <w:spacing w:line="480" w:lineRule="auto"/>
        <w:rPr>
          <w:rFonts w:ascii="Verdana" w:hAnsi="Verdana"/>
          <w:sz w:val="24"/>
          <w:szCs w:val="24"/>
        </w:rPr>
      </w:pPr>
      <w:r w:rsidRPr="00AF38CD">
        <w:rPr>
          <w:rFonts w:ascii="Verdana" w:hAnsi="Verdana"/>
          <w:sz w:val="24"/>
          <w:szCs w:val="24"/>
        </w:rPr>
        <w:t xml:space="preserve">a clearer alignment between economic success and fiscal reward. </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Truly devolved systems tend to create stronger incentives for growth because local and regional governments directly benefit when their economies succeed. In England, by contrast, local government is frequently expected to drive housing delivery, economic growth, regeneration and public service reform while operating within a system where the financial rewards of success are heavily constrained or centrally redistributed. The re-baselining of business rates and the tariff on business rates growth are clear </w:t>
      </w:r>
      <w:r w:rsidRPr="00AF38CD">
        <w:rPr>
          <w:rFonts w:ascii="Verdana" w:hAnsi="Verdana"/>
          <w:sz w:val="24"/>
          <w:szCs w:val="24"/>
        </w:rPr>
        <w:t xml:space="preserve">examples. </w:t>
      </w:r>
    </w:p>
    <w:p w:rsidR="00987B38" w:rsidRPr="00AF38CD" w:rsidP="00AF38CD">
      <w:pPr>
        <w:spacing w:line="480" w:lineRule="auto"/>
        <w:rPr>
          <w:rFonts w:ascii="Verdana" w:hAnsi="Verdana"/>
          <w:sz w:val="24"/>
          <w:szCs w:val="24"/>
        </w:rPr>
      </w:pPr>
      <w:r w:rsidRPr="00AF38CD">
        <w:rPr>
          <w:rFonts w:ascii="Verdana" w:hAnsi="Verdana"/>
          <w:sz w:val="24"/>
          <w:szCs w:val="24"/>
        </w:rPr>
        <w:t>This is particularly important when considering the productivity gap between UK cities and comparable cities internationally. Many major UK cities underperform compared to similarly sized cities elsewhere in Europe. The issue is not simply one of local leadership or ambition. It is structural. Cities in other countries often possess the fiscal tools, certainty and autonomy required to invest for the long term, while English local government remains dependent on medium-term settlements, competitive bidding p</w:t>
      </w:r>
      <w:r w:rsidRPr="00AF38CD">
        <w:rPr>
          <w:rFonts w:ascii="Verdana" w:hAnsi="Verdana"/>
          <w:sz w:val="24"/>
          <w:szCs w:val="24"/>
        </w:rPr>
        <w:t>rocesses and centrally controlled tax bases.</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Other countries also demonstrate that local autonomy and national cohesion are not mutually exclusive. Many decentralised systems still include equalisation mechanisms and safeguards to manage regional inequalities. However, these systems generally avoid eliminating local </w:t>
      </w:r>
      <w:r w:rsidRPr="00AF38CD">
        <w:rPr>
          <w:rFonts w:ascii="Verdana" w:hAnsi="Verdana"/>
          <w:sz w:val="24"/>
          <w:szCs w:val="24"/>
        </w:rPr>
        <w:t>growth incentives altogether. England has often struggled with this balance, frequently prioritising central control and uniformity over local flexibility and economic dynamism.</w:t>
      </w:r>
    </w:p>
    <w:p w:rsidR="00987B38" w:rsidRPr="00AF38CD" w:rsidP="00AF38CD">
      <w:pPr>
        <w:spacing w:line="480" w:lineRule="auto"/>
        <w:rPr>
          <w:rFonts w:ascii="Verdana" w:hAnsi="Verdana"/>
          <w:sz w:val="24"/>
          <w:szCs w:val="24"/>
        </w:rPr>
      </w:pPr>
      <w:r w:rsidRPr="00AF38CD">
        <w:rPr>
          <w:rFonts w:ascii="Verdana" w:hAnsi="Verdana"/>
          <w:sz w:val="24"/>
          <w:szCs w:val="24"/>
        </w:rPr>
        <w:t xml:space="preserve">There is also a cultural lesson. In many countries, it is accepted that places will make different choices, pursue different priorities and achieve different outcomes. England has historically been far less comfortable with this idea. </w:t>
      </w:r>
    </w:p>
    <w:p w:rsidR="00987B38" w:rsidP="00AF38CD">
      <w:pPr>
        <w:spacing w:line="480" w:lineRule="auto"/>
        <w:rPr>
          <w:rFonts w:ascii="Verdana" w:hAnsi="Verdana"/>
          <w:sz w:val="24"/>
          <w:szCs w:val="24"/>
        </w:rPr>
      </w:pPr>
      <w:r w:rsidRPr="00AF38CD">
        <w:rPr>
          <w:rFonts w:ascii="Verdana" w:hAnsi="Verdana"/>
          <w:sz w:val="24"/>
          <w:szCs w:val="24"/>
        </w:rPr>
        <w:t>Ultimately, the lesson from abroad is relatively straightforward: local governments are more capable of driving growth when they are trusted with meaningful fiscal power. Devolution without fiscal autonomy risks becoming administrative decentralisation rather than genuine local empowerment.</w:t>
      </w:r>
    </w:p>
    <w:p w:rsidR="00AF38CD" w:rsidRPr="00AF38CD" w:rsidP="00AF38CD">
      <w:pPr>
        <w:spacing w:line="480" w:lineRule="auto"/>
        <w:rPr>
          <w:rFonts w:ascii="Verdana" w:hAnsi="Verdana"/>
          <w:i/>
          <w:iCs/>
          <w:sz w:val="24"/>
          <w:szCs w:val="24"/>
        </w:rPr>
      </w:pPr>
      <w:r w:rsidRPr="00AF38CD">
        <w:rPr>
          <w:rFonts w:ascii="Verdana" w:hAnsi="Verdana"/>
          <w:i/>
          <w:iCs/>
          <w:sz w:val="24"/>
          <w:szCs w:val="24"/>
        </w:rPr>
        <w:t>5 June 2026</w:t>
      </w:r>
    </w:p>
    <w:p w:rsidR="00987B38" w:rsidRPr="00AF38CD" w:rsidP="00AF38CD">
      <w:pPr>
        <w:spacing w:line="480" w:lineRule="auto"/>
        <w:rPr>
          <w:rFonts w:ascii="Verdana" w:hAnsi="Verdana"/>
          <w:sz w:val="24"/>
          <w:szCs w:val="24"/>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87B38" w:rsidP="00447E37">
      <w:pPr>
        <w:spacing w:after="0" w:line="240" w:lineRule="auto"/>
      </w:pPr>
      <w:r>
        <w:separator/>
      </w:r>
    </w:p>
  </w:footnote>
  <w:footnote w:type="continuationSeparator" w:id="1">
    <w:p w:rsidR="00987B38" w:rsidP="00447E37">
      <w:pPr>
        <w:spacing w:after="0" w:line="240" w:lineRule="auto"/>
      </w:pPr>
      <w:r>
        <w:continuationSeparator/>
      </w:r>
    </w:p>
  </w:footnote>
  <w:footnote w:id="2">
    <w:p w:rsidR="00987B38" w:rsidRPr="00AF38CD" w:rsidP="00447E37">
      <w:pPr>
        <w:pStyle w:val="FootnoteText"/>
        <w:rPr>
          <w:rFonts w:ascii="Verdana" w:hAnsi="Verdana"/>
        </w:rPr>
      </w:pPr>
      <w:r w:rsidRPr="00AF38CD">
        <w:rPr>
          <w:rStyle w:val="FootnoteReference"/>
          <w:rFonts w:ascii="Verdana" w:hAnsi="Verdana"/>
        </w:rPr>
        <w:footnoteRef/>
      </w:r>
      <w:r w:rsidRPr="00AF38CD">
        <w:rPr>
          <w:rFonts w:ascii="Verdana" w:hAnsi="Verdana"/>
        </w:rPr>
        <w:t xml:space="preserve"> </w:t>
      </w:r>
      <w:r>
        <w:fldChar w:fldCharType="begin"/>
      </w:r>
      <w:r>
        <w:instrText xml:space="preserve"> HYPERLINK "https://www.centreforcities.org/wp-content/uploads/2020/02/Why-big-cities-are-crucial-to-levelling-up.pdf" </w:instrText>
      </w:r>
      <w:r>
        <w:fldChar w:fldCharType="separate"/>
      </w:r>
      <w:r w:rsidRPr="00AF38CD">
        <w:rPr>
          <w:rStyle w:val="Hyperlink"/>
          <w:rFonts w:ascii="Verdana" w:hAnsi="Verdana"/>
          <w:color w:val="auto"/>
        </w:rPr>
        <w:t>https://www.centreforcities.org/wp-content/uploads/2020/02/Why-big-cities-are-crucial-to-levelling-up.pdf</w:t>
      </w:r>
      <w:r>
        <w:fldChar w:fldCharType="end"/>
      </w:r>
      <w:r w:rsidRPr="00AF38CD">
        <w:rPr>
          <w:rFonts w:ascii="Verdana" w:hAnsi="Verdan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1C4202"/>
    <w:multiLevelType w:val="hybridMultilevel"/>
    <w:tmpl w:val="E53A977A"/>
    <w:lvl w:ilvl="0">
      <w:start w:val="1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44F0AC9"/>
    <w:multiLevelType w:val="hybridMultilevel"/>
    <w:tmpl w:val="F1FA889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
    <w:nsid w:val="0EE358C0"/>
    <w:multiLevelType w:val="hybridMultilevel"/>
    <w:tmpl w:val="2F3A4CC6"/>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C70F50"/>
    <w:multiLevelType w:val="hybridMultilevel"/>
    <w:tmpl w:val="53ECEE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4">
    <w:nsid w:val="19D81CD2"/>
    <w:multiLevelType w:val="hybridMultilevel"/>
    <w:tmpl w:val="4BA4554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BB3A40"/>
    <w:multiLevelType w:val="multilevel"/>
    <w:tmpl w:val="AF1651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8C81E3C"/>
    <w:multiLevelType w:val="hybridMultilevel"/>
    <w:tmpl w:val="B314B83A"/>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70307A"/>
    <w:multiLevelType w:val="hybridMultilevel"/>
    <w:tmpl w:val="13900326"/>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C9252B4"/>
    <w:multiLevelType w:val="hybridMultilevel"/>
    <w:tmpl w:val="01BE32CC"/>
    <w:lvl w:ilvl="0">
      <w:start w:val="1"/>
      <w:numFmt w:val="bullet"/>
      <w:lvlText w:val=""/>
      <w:lvlJc w:val="left"/>
      <w:pPr>
        <w:ind w:left="720" w:hanging="360"/>
      </w:pPr>
      <w:rPr>
        <w:rFonts w:ascii="Symbol" w:hAnsi="Symbol" w:hint="default"/>
        <w:b w:val="0"/>
        <w:bCs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F68627F"/>
    <w:multiLevelType w:val="hybridMultilevel"/>
    <w:tmpl w:val="14A07F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7F27C9F"/>
    <w:multiLevelType w:val="hybridMultilevel"/>
    <w:tmpl w:val="8394473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046651"/>
    <w:multiLevelType w:val="multilevel"/>
    <w:tmpl w:val="F1E2F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3914CFC"/>
    <w:multiLevelType w:val="hybridMultilevel"/>
    <w:tmpl w:val="673A80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FDA31D3"/>
    <w:multiLevelType w:val="hybridMultilevel"/>
    <w:tmpl w:val="4BA4554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1"/>
  </w:num>
  <w:num w:numId="5">
    <w:abstractNumId w:val="3"/>
  </w:num>
  <w:num w:numId="6">
    <w:abstractNumId w:val="8"/>
  </w:num>
  <w:num w:numId="7">
    <w:abstractNumId w:val="12"/>
  </w:num>
  <w:num w:numId="8">
    <w:abstractNumId w:val="13"/>
  </w:num>
  <w:num w:numId="9">
    <w:abstractNumId w:val="7"/>
  </w:num>
  <w:num w:numId="10">
    <w:abstractNumId w:val="6"/>
  </w:num>
  <w:num w:numId="11">
    <w:abstractNumId w:val="2"/>
  </w:num>
  <w:num w:numId="12">
    <w:abstractNumId w:val="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47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E37"/>
    <w:rPr>
      <w:rFonts w:eastAsiaTheme="majorEastAsia" w:cstheme="majorBidi"/>
      <w:color w:val="272727" w:themeColor="text1" w:themeTint="D8"/>
    </w:rPr>
  </w:style>
  <w:style w:type="paragraph" w:styleId="Title">
    <w:name w:val="Title"/>
    <w:basedOn w:val="Normal"/>
    <w:next w:val="Normal"/>
    <w:link w:val="TitleChar"/>
    <w:uiPriority w:val="10"/>
    <w:qFormat/>
    <w:rsid w:val="00447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E37"/>
    <w:pPr>
      <w:spacing w:before="160"/>
      <w:jc w:val="center"/>
    </w:pPr>
    <w:rPr>
      <w:i/>
      <w:iCs/>
      <w:color w:val="404040" w:themeColor="text1" w:themeTint="BF"/>
    </w:rPr>
  </w:style>
  <w:style w:type="character" w:customStyle="1" w:styleId="QuoteChar">
    <w:name w:val="Quote Char"/>
    <w:basedOn w:val="DefaultParagraphFont"/>
    <w:link w:val="Quote"/>
    <w:uiPriority w:val="29"/>
    <w:rsid w:val="00447E37"/>
    <w:rPr>
      <w:i/>
      <w:iCs/>
      <w:color w:val="404040" w:themeColor="text1" w:themeTint="BF"/>
    </w:rPr>
  </w:style>
  <w:style w:type="paragraph" w:styleId="ListParagraph">
    <w:name w:val="List Paragraph"/>
    <w:basedOn w:val="Normal"/>
    <w:uiPriority w:val="34"/>
    <w:qFormat/>
    <w:rsid w:val="00447E37"/>
    <w:pPr>
      <w:ind w:left="720"/>
      <w:contextualSpacing/>
    </w:pPr>
  </w:style>
  <w:style w:type="character" w:styleId="IntenseEmphasis">
    <w:name w:val="Intense Emphasis"/>
    <w:basedOn w:val="DefaultParagraphFont"/>
    <w:uiPriority w:val="21"/>
    <w:qFormat/>
    <w:rsid w:val="00447E37"/>
    <w:rPr>
      <w:i/>
      <w:iCs/>
      <w:color w:val="0F4761" w:themeColor="accent1" w:themeShade="BF"/>
    </w:rPr>
  </w:style>
  <w:style w:type="paragraph" w:styleId="IntenseQuote">
    <w:name w:val="Intense Quote"/>
    <w:basedOn w:val="Normal"/>
    <w:next w:val="Normal"/>
    <w:link w:val="IntenseQuoteChar"/>
    <w:uiPriority w:val="30"/>
    <w:qFormat/>
    <w:rsid w:val="00447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E37"/>
    <w:rPr>
      <w:i/>
      <w:iCs/>
      <w:color w:val="0F4761" w:themeColor="accent1" w:themeShade="BF"/>
    </w:rPr>
  </w:style>
  <w:style w:type="character" w:styleId="IntenseReference">
    <w:name w:val="Intense Reference"/>
    <w:basedOn w:val="DefaultParagraphFont"/>
    <w:uiPriority w:val="32"/>
    <w:qFormat/>
    <w:rsid w:val="00447E37"/>
    <w:rPr>
      <w:b/>
      <w:bCs/>
      <w:smallCaps/>
      <w:color w:val="0F4761" w:themeColor="accent1" w:themeShade="BF"/>
      <w:spacing w:val="5"/>
    </w:rPr>
  </w:style>
  <w:style w:type="character" w:styleId="Hyperlink">
    <w:name w:val="Hyperlink"/>
    <w:basedOn w:val="DefaultParagraphFont"/>
    <w:uiPriority w:val="99"/>
    <w:unhideWhenUsed/>
    <w:rsid w:val="00447E37"/>
    <w:rPr>
      <w:color w:val="467886" w:themeColor="hyperlink"/>
      <w:u w:val="single"/>
    </w:rPr>
  </w:style>
  <w:style w:type="character" w:styleId="CommentReference">
    <w:name w:val="annotation reference"/>
    <w:basedOn w:val="DefaultParagraphFont"/>
    <w:uiPriority w:val="99"/>
    <w:semiHidden/>
    <w:unhideWhenUsed/>
    <w:rsid w:val="00447E37"/>
    <w:rPr>
      <w:sz w:val="16"/>
      <w:szCs w:val="16"/>
    </w:rPr>
  </w:style>
  <w:style w:type="paragraph" w:styleId="CommentText">
    <w:name w:val="annotation text"/>
    <w:basedOn w:val="Normal"/>
    <w:link w:val="CommentTextChar"/>
    <w:uiPriority w:val="99"/>
    <w:unhideWhenUsed/>
    <w:rsid w:val="00447E37"/>
    <w:pPr>
      <w:spacing w:line="240" w:lineRule="auto"/>
    </w:pPr>
    <w:rPr>
      <w:sz w:val="20"/>
      <w:szCs w:val="20"/>
    </w:rPr>
  </w:style>
  <w:style w:type="character" w:customStyle="1" w:styleId="CommentTextChar">
    <w:name w:val="Comment Text Char"/>
    <w:basedOn w:val="DefaultParagraphFont"/>
    <w:link w:val="CommentText"/>
    <w:uiPriority w:val="99"/>
    <w:rsid w:val="00447E37"/>
    <w:rPr>
      <w:sz w:val="20"/>
      <w:szCs w:val="20"/>
    </w:rPr>
  </w:style>
  <w:style w:type="paragraph" w:styleId="CommentSubject">
    <w:name w:val="annotation subject"/>
    <w:basedOn w:val="CommentText"/>
    <w:next w:val="CommentText"/>
    <w:link w:val="CommentSubjectChar"/>
    <w:uiPriority w:val="99"/>
    <w:semiHidden/>
    <w:unhideWhenUsed/>
    <w:rsid w:val="00447E37"/>
    <w:rPr>
      <w:b/>
      <w:bCs/>
    </w:rPr>
  </w:style>
  <w:style w:type="character" w:customStyle="1" w:styleId="CommentSubjectChar">
    <w:name w:val="Comment Subject Char"/>
    <w:basedOn w:val="CommentTextChar"/>
    <w:link w:val="CommentSubject"/>
    <w:uiPriority w:val="99"/>
    <w:semiHidden/>
    <w:rsid w:val="00447E37"/>
    <w:rPr>
      <w:b/>
      <w:bCs/>
      <w:sz w:val="20"/>
      <w:szCs w:val="20"/>
    </w:rPr>
  </w:style>
  <w:style w:type="paragraph" w:styleId="FootnoteText">
    <w:name w:val="footnote text"/>
    <w:basedOn w:val="Normal"/>
    <w:link w:val="FootnoteTextChar"/>
    <w:uiPriority w:val="99"/>
    <w:semiHidden/>
    <w:unhideWhenUsed/>
    <w:rsid w:val="00447E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E37"/>
    <w:rPr>
      <w:sz w:val="20"/>
      <w:szCs w:val="20"/>
    </w:rPr>
  </w:style>
  <w:style w:type="character" w:styleId="FootnoteReference">
    <w:name w:val="footnote reference"/>
    <w:basedOn w:val="DefaultParagraphFont"/>
    <w:uiPriority w:val="99"/>
    <w:semiHidden/>
    <w:unhideWhenUsed/>
    <w:rsid w:val="00447E37"/>
    <w:rPr>
      <w:vertAlign w:val="superscript"/>
    </w:rPr>
  </w:style>
  <w:style w:type="paragraph" w:styleId="NoSpacing">
    <w:name w:val="No Spacing"/>
    <w:uiPriority w:val="1"/>
    <w:qFormat/>
    <w:rsid w:val="00E53AA2"/>
    <w:pPr>
      <w:spacing w:after="0" w:line="240" w:lineRule="auto"/>
    </w:pPr>
    <w:rPr>
      <w:rFonts w:ascii="Arial" w:hAnsi="Arial"/>
      <w:kern w:val="0"/>
    </w:rPr>
  </w:style>
  <w:style w:type="paragraph" w:styleId="Revision">
    <w:name w:val="Revision"/>
    <w:hidden/>
    <w:uiPriority w:val="99"/>
    <w:semiHidden/>
    <w:rsid w:val="009C0882"/>
    <w:pPr>
      <w:spacing w:after="0" w:line="240" w:lineRule="auto"/>
    </w:pPr>
  </w:style>
  <w:style w:type="paragraph" w:styleId="Header">
    <w:name w:val="header"/>
    <w:basedOn w:val="Normal"/>
    <w:link w:val="HeaderChar"/>
    <w:uiPriority w:val="99"/>
    <w:unhideWhenUsed/>
    <w:rsid w:val="00193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71A"/>
  </w:style>
  <w:style w:type="paragraph" w:styleId="Footer">
    <w:name w:val="footer"/>
    <w:basedOn w:val="Normal"/>
    <w:link w:val="FooterChar"/>
    <w:uiPriority w:val="99"/>
    <w:unhideWhenUsed/>
    <w:rsid w:val="00193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22F08D564EE54AB39854435BC16F41" ma:contentTypeVersion="4" ma:contentTypeDescription="Create a new document." ma:contentTypeScope="" ma:versionID="8bc9da2c15229c3296878173102fb2c4">
  <xsd:schema xmlns:xsd="http://www.w3.org/2001/XMLSchema" xmlns:xs="http://www.w3.org/2001/XMLSchema" xmlns:p="http://schemas.microsoft.com/office/2006/metadata/properties" xmlns:ns2="1c1dc8d4-a160-4334-8db9-0d4bbd2545a2" targetNamespace="http://schemas.microsoft.com/office/2006/metadata/properties" ma:root="true" ma:fieldsID="43e5f967970bd77cd9c69285471a7a90" ns2:_="">
    <xsd:import namespace="1c1dc8d4-a160-4334-8db9-0d4bbd2545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dc8d4-a160-4334-8db9-0d4bbd254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ABF52-6C1B-434A-83B9-0ED91855E5FF}">
  <ds:schemaRefs>
    <ds:schemaRef ds:uri="http://schemas.openxmlformats.org/officeDocument/2006/bibliography"/>
  </ds:schemaRefs>
</ds:datastoreItem>
</file>

<file path=customXml/itemProps2.xml><?xml version="1.0" encoding="utf-8"?>
<ds:datastoreItem xmlns:ds="http://schemas.openxmlformats.org/officeDocument/2006/customXml" ds:itemID="{E4A14DB1-4A7C-4A9F-BDF8-19B0B2F67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1dc8d4-a160-4334-8db9-0d4bbd254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F86AB-AD83-4855-9417-A5EA8FA77947}">
  <ds:schemaRefs>
    <ds:schemaRef ds:uri="http://schemas.microsoft.com/sharepoint/v3/contenttype/forms"/>
  </ds:schemaRefs>
</ds:datastoreItem>
</file>

<file path=customXml/itemProps4.xml><?xml version="1.0" encoding="utf-8"?>
<ds:datastoreItem xmlns:ds="http://schemas.openxmlformats.org/officeDocument/2006/customXml" ds:itemID="{FBB421A5-A2AC-4930-9F89-E29BD7D100C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FDE0014</dc:title>
  <cp:revision>0</cp:revision>
</cp:coreProperties>
</file>