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660D" w:rsidRPr="00942207" w:rsidP="00942207">
      <w:pPr>
        <w:spacing w:before="240" w:after="80" w:line="480" w:lineRule="auto"/>
        <w:jc w:val="both"/>
        <w:rPr>
          <w:rFonts w:ascii="Verdana" w:eastAsia="Branding Semibold" w:hAnsi="Verdana" w:cs="Branding Semibold"/>
          <w:b/>
          <w:bCs/>
          <w:sz w:val="28"/>
          <w:szCs w:val="28"/>
        </w:rPr>
      </w:pPr>
      <w:r w:rsidRPr="00942207">
        <w:rPr>
          <w:rFonts w:ascii="Verdana" w:eastAsia="Branding Semibold" w:hAnsi="Verdana" w:cs="Branding Semibold"/>
          <w:b/>
          <w:bCs/>
          <w:sz w:val="28"/>
          <w:szCs w:val="28"/>
        </w:rPr>
        <w:t xml:space="preserve">TaxPayers’ Alliance </w:t>
      </w:r>
      <w:r w:rsidRPr="00942207" w:rsidR="00942207">
        <w:rPr>
          <w:rFonts w:ascii="Verdana" w:eastAsia="Branding Semibold" w:hAnsi="Verdana" w:cs="Branding Semibold"/>
          <w:b/>
          <w:bCs/>
          <w:sz w:val="28"/>
          <w:szCs w:val="28"/>
        </w:rPr>
        <w:t>– Written evidence FDE0013</w:t>
      </w:r>
    </w:p>
    <w:p w:rsidR="0039660D" w:rsidRPr="00942207" w:rsidP="00942207">
      <w:pPr>
        <w:spacing w:after="80" w:line="480" w:lineRule="auto"/>
        <w:rPr>
          <w:rFonts w:ascii="Verdana" w:hAnsi="Verdana"/>
        </w:rPr>
      </w:pPr>
      <w:r w:rsidRPr="00942207">
        <w:rPr>
          <w:rFonts w:ascii="Verdana" w:hAnsi="Verdana"/>
        </w:rPr>
        <w:t>The TaxPayers’ Alliance supports, in principle, the decentralisation of tax powers. Done properly, fiscal decentralisation can increase competition between councils, restrain spending, improve services and encourage local solutions. But those powers should sit with local authorities alongside the commensurate responsibilities for spending restraint, not be used to justify the continued proliferation of combined authorities and regional mayoralties demanding further funding from taxpayers.</w:t>
      </w:r>
    </w:p>
    <w:p w:rsidR="0039660D" w:rsidRPr="00942207" w:rsidP="00942207">
      <w:pPr>
        <w:spacing w:after="80" w:line="480" w:lineRule="auto"/>
        <w:rPr>
          <w:rFonts w:ascii="Verdana" w:hAnsi="Verdana"/>
        </w:rPr>
      </w:pPr>
      <w:r w:rsidRPr="00942207">
        <w:rPr>
          <w:rFonts w:ascii="Verdana" w:hAnsi="Verdana"/>
        </w:rPr>
        <w:t>In an ideal system, councils would have greater control over genuinely local taxes and the ability to raise revenue from and for local services, accompanied by commensurate reductions in national taxation. Devolution should mean shifting power closer to taxpayers, not layering new taxes on top of existing ones.</w:t>
      </w:r>
    </w:p>
    <w:p w:rsidR="0039660D" w:rsidRPr="00942207" w:rsidP="00942207">
      <w:pPr>
        <w:spacing w:after="80" w:line="480" w:lineRule="auto"/>
        <w:rPr>
          <w:rFonts w:ascii="Verdana" w:hAnsi="Verdana"/>
        </w:rPr>
      </w:pPr>
      <w:r w:rsidRPr="00942207">
        <w:rPr>
          <w:rFonts w:ascii="Verdana" w:hAnsi="Verdana"/>
        </w:rPr>
        <w:t xml:space="preserve">Done badly, devolution will achieve the opposite result. Rather than creating a more accountable and competitive local tax system, devolving new tax powers without proper safeguards could allow local politicians to impose additional levies with limited scrutiny and weak accountability. And when the economic effects of these additional charges become clear - such as damage to local tourism - local authorities will then expect the central government to shield them from the consequences of fiscal devolution. </w:t>
      </w:r>
    </w:p>
    <w:p w:rsidR="0039660D" w:rsidRPr="00942207" w:rsidP="00942207">
      <w:pPr>
        <w:spacing w:after="80" w:line="480" w:lineRule="auto"/>
        <w:rPr>
          <w:rFonts w:ascii="Verdana" w:hAnsi="Verdana"/>
        </w:rPr>
      </w:pPr>
      <w:r w:rsidRPr="00942207">
        <w:rPr>
          <w:rFonts w:ascii="Verdana" w:hAnsi="Verdana"/>
        </w:rPr>
        <w:t>Taxes such as an Overnight Visitor Levy (OVL) are a likely example of this, by damaging tourism, increasing costs for families and businesses, and adding yet another burden to an already overtaxed economy.</w:t>
      </w:r>
    </w:p>
    <w:p w:rsidR="0039660D" w:rsidRPr="00942207" w:rsidP="00942207">
      <w:pPr>
        <w:spacing w:before="240" w:after="80" w:line="480" w:lineRule="auto"/>
        <w:rPr>
          <w:rFonts w:ascii="Verdana" w:hAnsi="Verdana"/>
        </w:rPr>
      </w:pPr>
      <w:r w:rsidRPr="00942207">
        <w:rPr>
          <w:rFonts w:ascii="Verdana" w:hAnsi="Verdana"/>
        </w:rPr>
        <w:t>What are the general aims of fiscal devolution? What can it achieve?</w:t>
      </w:r>
    </w:p>
    <w:p w:rsidR="0039660D" w:rsidRPr="00942207" w:rsidP="00942207">
      <w:pPr>
        <w:spacing w:after="80" w:line="480" w:lineRule="auto"/>
        <w:rPr>
          <w:rFonts w:ascii="Verdana" w:hAnsi="Verdana"/>
        </w:rPr>
      </w:pPr>
      <w:r w:rsidRPr="00942207">
        <w:rPr>
          <w:rFonts w:ascii="Verdana" w:hAnsi="Verdana"/>
        </w:rPr>
        <w:t>Competition</w:t>
      </w:r>
    </w:p>
    <w:p w:rsidR="0039660D" w:rsidRPr="00942207" w:rsidP="00942207">
      <w:pPr>
        <w:spacing w:after="80" w:line="480" w:lineRule="auto"/>
        <w:rPr>
          <w:rFonts w:ascii="Verdana" w:hAnsi="Verdana"/>
        </w:rPr>
      </w:pPr>
      <w:r w:rsidRPr="00942207">
        <w:rPr>
          <w:rFonts w:ascii="Verdana" w:hAnsi="Verdana"/>
        </w:rPr>
        <w:t>Greater fiscal decentralisation can improve public sector efficiency by increasing competition between local authorities and making them more accountable to local taxpayers. When councils are responsible for raising more of their own revenue, they are incentivised to offer competitive tax rates alongside high-quality public services in order to attract households and businesses. Much like competition in the private sector, authorities are forced to deliver better value for money or risk losing residents, in</w:t>
      </w:r>
      <w:r w:rsidRPr="00942207">
        <w:rPr>
          <w:rFonts w:ascii="Verdana" w:hAnsi="Verdana"/>
        </w:rPr>
        <w:t>vestment and their tax base. This creates stronger pressure to cut waste and improve service delivery rather than simply increase taxation. Importantly, households and firms do not make decisions based solely on tax rates, but also on factors such as infrastructure, schools and the quality of local services, meaning councils cannot simply slash spending without consequence.</w:t>
      </w:r>
      <w:r w:rsidRPr="00942207">
        <w:rPr>
          <w:rFonts w:ascii="Verdana" w:hAnsi="Verdana"/>
        </w:rPr>
        <w:t xml:space="preserve"> Academic examples from Switzerland fo</w:t>
      </w:r>
      <w:r w:rsidRPr="00942207">
        <w:rPr>
          <w:rFonts w:ascii="Verdana" w:hAnsi="Verdana"/>
        </w:rPr>
        <w:t>u</w:t>
      </w:r>
      <w:r w:rsidRPr="00942207">
        <w:rPr>
          <w:rFonts w:ascii="Verdana" w:hAnsi="Verdana"/>
        </w:rPr>
        <w:t>nd that tax competition appears to induce cantons to allocate public funds relatively more effici</w:t>
      </w:r>
      <w:r w:rsidRPr="00942207">
        <w:rPr>
          <w:rFonts w:ascii="Verdana" w:hAnsi="Verdana"/>
        </w:rPr>
        <w:t>ently such that economic performance of a canton is improved.</w:t>
      </w:r>
      <w:r>
        <w:rPr>
          <w:rStyle w:val="FootnoteReference"/>
          <w:rFonts w:ascii="Verdana" w:hAnsi="Verdana"/>
        </w:rPr>
        <w:footnoteReference w:id="2"/>
      </w:r>
    </w:p>
    <w:p w:rsidR="0039660D" w:rsidRPr="00942207" w:rsidP="00942207">
      <w:pPr>
        <w:spacing w:after="80" w:line="480" w:lineRule="auto"/>
        <w:rPr>
          <w:rFonts w:ascii="Verdana" w:hAnsi="Verdana"/>
        </w:rPr>
      </w:pPr>
      <w:r w:rsidRPr="00942207">
        <w:rPr>
          <w:rFonts w:ascii="Verdana" w:hAnsi="Verdana"/>
        </w:rPr>
        <w:t>Fiscal competition can also help poorer regions catch up with wealthier areas by encouraging local authorities to pursue growth-oriented policies that attract businesses and entrepreneurial activity. Countries with higher levels of fiscal decentralisation have in the past been more successful at reducing regional economic disparities than highly centralised states.</w:t>
      </w:r>
      <w:r>
        <w:rPr>
          <w:rStyle w:val="FootnoteReference"/>
          <w:rFonts w:ascii="Verdana" w:hAnsi="Verdana"/>
        </w:rPr>
        <w:footnoteReference w:id="3"/>
      </w:r>
    </w:p>
    <w:p w:rsidR="0039660D" w:rsidRPr="00942207" w:rsidP="00942207">
      <w:pPr>
        <w:spacing w:after="80" w:line="480" w:lineRule="auto"/>
        <w:rPr>
          <w:rFonts w:ascii="Verdana" w:hAnsi="Verdana"/>
        </w:rPr>
      </w:pPr>
      <w:r w:rsidRPr="00942207">
        <w:rPr>
          <w:rFonts w:ascii="Verdana" w:hAnsi="Verdana"/>
        </w:rPr>
        <w:t>Critics argue that tax competition risks a “race to the bottom” in public services, but OECD research has found little evidence for this.</w:t>
      </w:r>
      <w:r>
        <w:rPr>
          <w:rStyle w:val="FootnoteReference"/>
          <w:rFonts w:ascii="Verdana" w:hAnsi="Verdana"/>
        </w:rPr>
        <w:footnoteReference w:id="4"/>
      </w:r>
      <w:r w:rsidRPr="00942207">
        <w:rPr>
          <w:rFonts w:ascii="Verdana" w:hAnsi="Verdana"/>
        </w:rPr>
        <w:t xml:space="preserve"> In practice, local tax rates </w:t>
      </w:r>
      <w:r w:rsidRPr="00942207">
        <w:rPr>
          <w:rFonts w:ascii="Verdana" w:hAnsi="Verdana"/>
        </w:rPr>
        <w:t>tend to converge rather than collapse, as authorities must balance competitive taxation with maintaining attractive local services. Far from undermining public services, fiscal decentralisation can therefore act as a driver of efficiency and economic growth.</w:t>
      </w:r>
      <w:r w:rsidRPr="00942207">
        <w:rPr>
          <w:rFonts w:ascii="Verdana" w:hAnsi="Verdana"/>
        </w:rPr>
        <w:t xml:space="preserve"> This has been seen in Germany and Norway which has demonstrated a positive impact on the efficiency of municipal spending.</w:t>
      </w:r>
      <w:r>
        <w:rPr>
          <w:rStyle w:val="FootnoteReference"/>
          <w:rFonts w:ascii="Verdana" w:hAnsi="Verdana"/>
        </w:rPr>
        <w:footnoteReference w:id="5"/>
      </w:r>
    </w:p>
    <w:p w:rsidR="0039660D" w:rsidRPr="00942207" w:rsidP="00942207">
      <w:pPr>
        <w:spacing w:after="80" w:line="480" w:lineRule="auto"/>
        <w:rPr>
          <w:rFonts w:ascii="Verdana" w:hAnsi="Verdana"/>
        </w:rPr>
      </w:pPr>
      <w:r w:rsidRPr="00942207">
        <w:rPr>
          <w:rFonts w:ascii="Verdana" w:hAnsi="Verdana"/>
        </w:rPr>
        <w:t>Lower spending</w:t>
      </w:r>
    </w:p>
    <w:p w:rsidR="0039660D" w:rsidRPr="00942207" w:rsidP="00942207">
      <w:pPr>
        <w:spacing w:after="80" w:line="480" w:lineRule="auto"/>
        <w:rPr>
          <w:rFonts w:ascii="Verdana" w:hAnsi="Verdana"/>
        </w:rPr>
      </w:pPr>
      <w:r w:rsidRPr="00942207">
        <w:rPr>
          <w:rFonts w:ascii="Verdana" w:hAnsi="Verdana"/>
        </w:rPr>
        <w:t xml:space="preserve">Fiscal decentralisation can help restrain the size and cost of government by increasing competition between local authorities and strengthening accountability to local taxpayers. </w:t>
      </w:r>
      <w:r w:rsidRPr="00942207">
        <w:rPr>
          <w:rFonts w:ascii="Verdana" w:hAnsi="Verdana"/>
        </w:rPr>
        <w:t xml:space="preserve">Fiscal constraints are clearer and local people are better able to assess both funding gaps and likely areas of overspend. </w:t>
      </w:r>
      <w:r w:rsidRPr="00942207">
        <w:rPr>
          <w:rFonts w:ascii="Verdana" w:hAnsi="Verdana"/>
        </w:rPr>
        <w:t xml:space="preserve">When councils are more responsible for raising and managing their own revenue, they face greater pressure to keep taxes competitive and deliver services efficiently rather than maximise spending. </w:t>
      </w:r>
      <w:r w:rsidRPr="00942207">
        <w:rPr>
          <w:rFonts w:ascii="Verdana" w:hAnsi="Verdana"/>
        </w:rPr>
        <w:t>This was evidenced in Switzerland which found that</w:t>
      </w:r>
      <w:r w:rsidRPr="00942207">
        <w:rPr>
          <w:rFonts w:ascii="Verdana" w:hAnsi="Verdana"/>
        </w:rPr>
        <w:t xml:space="preserve"> the evidence shows</w:t>
      </w:r>
      <w:r w:rsidRPr="00942207">
        <w:rPr>
          <w:rFonts w:ascii="Verdana" w:hAnsi="Verdana"/>
        </w:rPr>
        <w:t xml:space="preserve"> that fiscal decentralisation can restrain the size of government where the greater the share of spending undertaken locally, the lower overall expenditure and revenue tend to be.</w:t>
      </w:r>
      <w:r>
        <w:rPr>
          <w:rStyle w:val="FootnoteReference"/>
          <w:rFonts w:ascii="Verdana" w:hAnsi="Verdana"/>
        </w:rPr>
        <w:footnoteReference w:id="6"/>
      </w:r>
    </w:p>
    <w:p w:rsidR="0039660D" w:rsidRPr="00942207" w:rsidP="00942207">
      <w:pPr>
        <w:spacing w:after="80" w:line="480" w:lineRule="auto"/>
        <w:rPr>
          <w:rFonts w:ascii="Verdana" w:hAnsi="Verdana"/>
        </w:rPr>
      </w:pPr>
      <w:r w:rsidRPr="00942207">
        <w:rPr>
          <w:rFonts w:ascii="Verdana" w:hAnsi="Verdana"/>
        </w:rPr>
        <w:t>Decentralisation can also reduce the inefficiencies associated with centralised systems, including bureaucratic duplication and more prudent fiscal management. Evidence from OECD countries and US local government</w:t>
      </w:r>
      <w:r>
        <w:rPr>
          <w:rStyle w:val="FootnoteReference"/>
          <w:rFonts w:ascii="Verdana" w:hAnsi="Verdana"/>
        </w:rPr>
        <w:footnoteReference w:id="7"/>
      </w:r>
      <w:r w:rsidRPr="00942207">
        <w:rPr>
          <w:rFonts w:ascii="Verdana" w:hAnsi="Verdana"/>
        </w:rPr>
        <w:t xml:space="preserve"> suggests that more decentralised systems are associated with lower public indebtedness, higher fiscal surpluses and tax rates that remain below revenue-</w:t>
      </w:r>
      <w:r w:rsidRPr="00942207">
        <w:rPr>
          <w:rFonts w:ascii="Verdana" w:hAnsi="Verdana"/>
        </w:rPr>
        <w:t>maximising levels, indicating that local competition can act as a constraint on excessive taxation and government expansion.</w:t>
      </w:r>
    </w:p>
    <w:p w:rsidR="0039660D" w:rsidRPr="00942207" w:rsidP="00942207">
      <w:pPr>
        <w:spacing w:after="80" w:line="480" w:lineRule="auto"/>
        <w:rPr>
          <w:rFonts w:ascii="Verdana" w:hAnsi="Verdana"/>
        </w:rPr>
      </w:pPr>
      <w:r w:rsidRPr="00942207">
        <w:rPr>
          <w:rFonts w:ascii="Verdana" w:hAnsi="Verdana"/>
        </w:rPr>
        <w:t xml:space="preserve">Better services </w:t>
      </w:r>
    </w:p>
    <w:p w:rsidR="0039660D" w:rsidRPr="00942207" w:rsidP="00942207">
      <w:pPr>
        <w:spacing w:after="80" w:line="480" w:lineRule="auto"/>
        <w:rPr>
          <w:rFonts w:ascii="Verdana" w:hAnsi="Verdana"/>
        </w:rPr>
      </w:pPr>
      <w:r w:rsidRPr="00942207">
        <w:rPr>
          <w:rFonts w:ascii="Verdana" w:hAnsi="Verdana"/>
        </w:rPr>
        <w:t>In principle, decentralisation can only yield its benefits if both responsibility and power are devolved to the local level. Authorities must be free to make their own decisions both over what they spend and over how they raise the funds to pay for it. They must then face the consequences of these decisions.</w:t>
      </w:r>
    </w:p>
    <w:p w:rsidR="0039660D" w:rsidRPr="00942207" w:rsidP="00942207">
      <w:pPr>
        <w:spacing w:after="80" w:line="480" w:lineRule="auto"/>
        <w:rPr>
          <w:rFonts w:ascii="Verdana" w:hAnsi="Verdana"/>
        </w:rPr>
      </w:pPr>
      <w:r w:rsidRPr="00942207">
        <w:rPr>
          <w:rFonts w:ascii="Verdana" w:hAnsi="Verdana"/>
        </w:rPr>
        <w:t>On the spending side, genuine fiscal devolution requires an end to the excessive ring-fencing of central government grants for specific programmes. Centrally directed spending on local services is inefficient because it encourages one-size-fits-all provision, with councils too often reduced to conduits for Whitehall priorities rather than accountable local decision-makers. Ring-fenced grants weaken incentives to improve efficiency or redesign services. Instead of giving councils the freedom to allocate reso</w:t>
      </w:r>
      <w:r w:rsidRPr="00942207">
        <w:rPr>
          <w:rFonts w:ascii="Verdana" w:hAnsi="Verdana"/>
        </w:rPr>
        <w:t xml:space="preserve">urces according to local needs, they encourage a tick-box approach in which funding must be spent in predetermined silos. </w:t>
      </w:r>
    </w:p>
    <w:p w:rsidR="0039660D" w:rsidRPr="00942207" w:rsidP="00942207">
      <w:pPr>
        <w:spacing w:after="80" w:line="480" w:lineRule="auto"/>
        <w:rPr>
          <w:rFonts w:ascii="Verdana" w:hAnsi="Verdana"/>
        </w:rPr>
      </w:pPr>
      <w:r w:rsidRPr="00942207">
        <w:rPr>
          <w:rFonts w:ascii="Verdana" w:hAnsi="Verdana"/>
        </w:rPr>
        <w:t xml:space="preserve">Moreover, </w:t>
      </w:r>
      <w:r w:rsidRPr="00942207">
        <w:rPr>
          <w:rFonts w:ascii="Verdana" w:hAnsi="Verdana"/>
        </w:rPr>
        <w:t>delivery is not joined up locally and authorities have little flexibility to respond to local conditions or experiment with new approaches. TaxPayers’ Alliance research found that in 2025</w:t>
      </w:r>
      <w:r w:rsidRPr="00942207">
        <w:rPr>
          <w:rFonts w:ascii="Verdana" w:hAnsi="Verdana"/>
        </w:rPr>
        <w:t>-</w:t>
      </w:r>
      <w:r w:rsidRPr="00942207">
        <w:rPr>
          <w:rFonts w:ascii="Verdana" w:hAnsi="Verdana"/>
        </w:rPr>
        <w:t>26, adult social care and children’s services alone accounted for an average of 47 per cent of local authority spending,</w:t>
      </w:r>
      <w:r>
        <w:rPr>
          <w:rStyle w:val="FootnoteReference"/>
          <w:rFonts w:ascii="Verdana" w:hAnsi="Verdana"/>
        </w:rPr>
        <w:footnoteReference w:id="8"/>
      </w:r>
      <w:r w:rsidRPr="00942207">
        <w:rPr>
          <w:rFonts w:ascii="Verdana" w:hAnsi="Verdana"/>
        </w:rPr>
        <w:t xml:space="preserve"> </w:t>
      </w:r>
      <w:r w:rsidRPr="00942207">
        <w:rPr>
          <w:rFonts w:ascii="Verdana" w:hAnsi="Verdana"/>
        </w:rPr>
        <w:t>demonstrating the extent to which statutory obligations and centrally constrained spending pressures limit local fiscal flexibility.</w:t>
      </w:r>
      <w:r w:rsidRPr="00942207">
        <w:rPr>
          <w:rFonts w:ascii="Verdana" w:hAnsi="Verdana"/>
        </w:rPr>
        <w:t xml:space="preserve"> </w:t>
      </w:r>
    </w:p>
    <w:p w:rsidR="0039660D" w:rsidRPr="00942207" w:rsidP="00942207">
      <w:pPr>
        <w:spacing w:after="80" w:line="480" w:lineRule="auto"/>
        <w:rPr>
          <w:rFonts w:ascii="Verdana" w:hAnsi="Verdana"/>
        </w:rPr>
      </w:pPr>
      <w:r w:rsidRPr="00942207">
        <w:rPr>
          <w:rFonts w:ascii="Verdana" w:hAnsi="Verdana"/>
        </w:rPr>
        <w:t xml:space="preserve">Councils should therefore be given greater flexibility over how they deploy funding, alongside the devolution of more responsibilities to the local level. With clearer accountability and more control over both finances and functions, local authorities would be better placed to design services around local circumstances and develop innovative solutions. Done properly, this would create more room for council tax cuts and better-targeted spending. </w:t>
      </w:r>
    </w:p>
    <w:p w:rsidR="0039660D" w:rsidRPr="00942207" w:rsidP="00942207">
      <w:pPr>
        <w:spacing w:after="80" w:line="480" w:lineRule="auto"/>
        <w:rPr>
          <w:rFonts w:ascii="Verdana" w:hAnsi="Verdana"/>
        </w:rPr>
      </w:pPr>
      <w:r w:rsidRPr="00942207">
        <w:rPr>
          <w:rFonts w:ascii="Verdana" w:hAnsi="Verdana"/>
        </w:rPr>
        <w:t>However, to capture the full benefits of decentralisation, it is vital to make corresponding changes on the tax side, because the key performance incentives depend on local government having to raise its own money. By making local councils responsible for raising more of their own funds, they are made directly accountable to their local communities. Councils that offer services that people want, paid for by tax levels which local residents feel are fair, will be rewarded at the ballot box. Financial depende</w:t>
      </w:r>
      <w:r w:rsidRPr="00942207">
        <w:rPr>
          <w:rFonts w:ascii="Verdana" w:hAnsi="Verdana"/>
        </w:rPr>
        <w:t>nce on local taxpayers means authorities are incentivised to deliver value to their voting customers, rather than ticking boxes laid down by Whitehall. With these responsibilities and powers devolved, the central government must reduce its tax take and its responsibilities. </w:t>
      </w:r>
    </w:p>
    <w:p w:rsidR="0039660D" w:rsidRPr="00942207" w:rsidP="00942207">
      <w:pPr>
        <w:spacing w:after="80" w:line="480" w:lineRule="auto"/>
        <w:rPr>
          <w:rFonts w:ascii="Verdana" w:hAnsi="Verdana"/>
        </w:rPr>
      </w:pPr>
      <w:r w:rsidRPr="00942207">
        <w:rPr>
          <w:rFonts w:ascii="Verdana" w:hAnsi="Verdana"/>
        </w:rPr>
        <w:t>Local</w:t>
      </w:r>
      <w:r w:rsidRPr="00942207">
        <w:rPr>
          <w:rFonts w:ascii="Verdana" w:hAnsi="Verdana"/>
        </w:rPr>
        <w:t xml:space="preserve"> solutions to local problems</w:t>
      </w:r>
    </w:p>
    <w:p w:rsidR="0039660D" w:rsidRPr="00942207" w:rsidP="00942207">
      <w:pPr>
        <w:spacing w:after="80" w:line="480" w:lineRule="auto"/>
        <w:rPr>
          <w:rFonts w:ascii="Verdana" w:hAnsi="Verdana"/>
        </w:rPr>
      </w:pPr>
      <w:r w:rsidRPr="00942207">
        <w:rPr>
          <w:rFonts w:ascii="Verdana" w:hAnsi="Verdana"/>
        </w:rPr>
        <w:t>Decentralised systems can deliver better outcomes by making government more responsive and efficient. Local authorities are better placed than central government to tailor services to local needs and cost conditions, rather than relying on top-down, one-size-fits-all policies from Whitehall. When councils raise more of their own revenue, they also have stronger incentives to encourage local economic growth and deliver better value for money to residents who directly fund local services. Fiscal decentralisat</w:t>
      </w:r>
      <w:r w:rsidRPr="00942207">
        <w:rPr>
          <w:rFonts w:ascii="Verdana" w:hAnsi="Verdana"/>
        </w:rPr>
        <w:t xml:space="preserve">ion further allows for greater experimentation and innovation between authorities, helping identify </w:t>
      </w:r>
      <w:r w:rsidRPr="00942207">
        <w:rPr>
          <w:rFonts w:ascii="Verdana" w:hAnsi="Verdana"/>
        </w:rPr>
        <w:t>effective policies more quickly and improving the overall quality of local governance.</w:t>
      </w:r>
    </w:p>
    <w:p w:rsidR="0039660D" w:rsidRPr="00942207" w:rsidP="00942207">
      <w:pPr>
        <w:spacing w:before="240" w:after="80" w:line="480" w:lineRule="auto"/>
        <w:rPr>
          <w:rFonts w:ascii="Verdana" w:hAnsi="Verdana"/>
        </w:rPr>
      </w:pPr>
      <w:r w:rsidRPr="00942207">
        <w:rPr>
          <w:rFonts w:ascii="Verdana" w:hAnsi="Verdana"/>
        </w:rPr>
        <w:t>At what level – combined or local authority – should devolution take place and should the nature of the devolution vary by type of authority?</w:t>
      </w:r>
    </w:p>
    <w:p w:rsidR="0039660D" w:rsidRPr="00942207" w:rsidP="00942207">
      <w:pPr>
        <w:spacing w:after="80" w:line="480" w:lineRule="auto"/>
        <w:rPr>
          <w:rFonts w:ascii="Verdana" w:hAnsi="Verdana"/>
        </w:rPr>
      </w:pPr>
      <w:r w:rsidRPr="00942207">
        <w:rPr>
          <w:rFonts w:ascii="Verdana" w:hAnsi="Verdana"/>
        </w:rPr>
        <w:t xml:space="preserve">The TaxPayers' Alliance does not support the continued proliferation </w:t>
      </w:r>
      <w:r w:rsidRPr="00942207">
        <w:rPr>
          <w:rFonts w:ascii="Verdana" w:hAnsi="Verdana"/>
        </w:rPr>
        <w:t>of local</w:t>
      </w:r>
      <w:r w:rsidRPr="00942207">
        <w:rPr>
          <w:rFonts w:ascii="Verdana" w:hAnsi="Verdana"/>
        </w:rPr>
        <w:t xml:space="preserve"> government structures</w:t>
      </w:r>
      <w:r w:rsidRPr="00942207">
        <w:rPr>
          <w:rFonts w:ascii="Verdana" w:hAnsi="Verdana"/>
        </w:rPr>
        <w:t xml:space="preserve">, which too often represent an additional layer of bureaucracy that delivers poor value for money. Fiscal devolution should strengthen accountability and competition between local areas, not create more administrative structures. </w:t>
      </w:r>
    </w:p>
    <w:p w:rsidR="0039660D" w:rsidRPr="00942207" w:rsidP="00942207">
      <w:pPr>
        <w:spacing w:after="80" w:line="480" w:lineRule="auto"/>
        <w:rPr>
          <w:rFonts w:ascii="Verdana" w:hAnsi="Verdana"/>
        </w:rPr>
      </w:pPr>
      <w:r w:rsidRPr="00942207">
        <w:rPr>
          <w:rFonts w:ascii="Verdana" w:hAnsi="Verdana"/>
        </w:rPr>
        <w:t xml:space="preserve">Tax powers should be devolved to unitary authorities, metropolitan districts, London boroughs and county councils, which are large enough to exercise meaningful fiscal responsibility while remaining close to local communities. This approach preserves the benefits of competition and locally tailored solutions without fragmenting tax powers across small district councils that lack the scale </w:t>
      </w:r>
      <w:r w:rsidRPr="00942207">
        <w:rPr>
          <w:rFonts w:ascii="Verdana" w:hAnsi="Verdana"/>
        </w:rPr>
        <w:t>to make full use of these tax powers</w:t>
      </w:r>
      <w:r w:rsidRPr="00942207">
        <w:rPr>
          <w:rFonts w:ascii="Verdana" w:hAnsi="Verdana"/>
        </w:rPr>
        <w:t>.</w:t>
      </w:r>
    </w:p>
    <w:p w:rsidR="0039660D" w:rsidRPr="00942207" w:rsidP="00942207">
      <w:pPr>
        <w:spacing w:before="240" w:after="80" w:line="480" w:lineRule="auto"/>
        <w:rPr>
          <w:rFonts w:ascii="Verdana" w:hAnsi="Verdana"/>
        </w:rPr>
      </w:pPr>
      <w:r w:rsidRPr="00942207">
        <w:rPr>
          <w:rFonts w:ascii="Verdana" w:hAnsi="Verdana"/>
        </w:rPr>
        <w:t>What are the distributional consequences of further fiscal devolution?</w:t>
      </w:r>
    </w:p>
    <w:p w:rsidR="0039660D" w:rsidRPr="00942207" w:rsidP="00942207">
      <w:pPr>
        <w:spacing w:after="80" w:line="480" w:lineRule="auto"/>
        <w:rPr>
          <w:rFonts w:ascii="Verdana" w:hAnsi="Verdana"/>
        </w:rPr>
      </w:pPr>
      <w:r w:rsidRPr="00942207">
        <w:rPr>
          <w:rFonts w:ascii="Verdana" w:hAnsi="Verdana"/>
        </w:rPr>
        <w:t>The TaxPayers’ Alliance’s central concern is that tax-raising powers are being devolved to local authorities without proper checks on the economic damage those taxes may cause, or sufficient accountability over how the revenue will be spent.</w:t>
      </w:r>
    </w:p>
    <w:p w:rsidR="0039660D" w:rsidRPr="00942207" w:rsidP="00942207">
      <w:pPr>
        <w:spacing w:after="80" w:line="480" w:lineRule="auto"/>
        <w:rPr>
          <w:rFonts w:ascii="Verdana" w:hAnsi="Verdana"/>
        </w:rPr>
      </w:pPr>
      <w:r w:rsidRPr="00942207">
        <w:rPr>
          <w:rFonts w:ascii="Verdana" w:hAnsi="Verdana"/>
        </w:rPr>
        <w:t xml:space="preserve">A clear example is the government’s proposal for </w:t>
      </w:r>
      <w:r w:rsidRPr="00942207">
        <w:rPr>
          <w:rFonts w:ascii="Verdana" w:hAnsi="Verdana"/>
        </w:rPr>
        <w:t>OVLs</w:t>
      </w:r>
      <w:r w:rsidRPr="00942207">
        <w:rPr>
          <w:rFonts w:ascii="Verdana" w:hAnsi="Verdana"/>
        </w:rPr>
        <w:t>, announced in the King’s Speech.</w:t>
      </w:r>
      <w:r>
        <w:rPr>
          <w:rStyle w:val="FootnoteReference"/>
          <w:rFonts w:ascii="Verdana" w:hAnsi="Verdana"/>
        </w:rPr>
        <w:footnoteReference w:id="9"/>
      </w:r>
      <w:r w:rsidRPr="00942207">
        <w:rPr>
          <w:rFonts w:ascii="Verdana" w:hAnsi="Verdana"/>
        </w:rPr>
        <w:t xml:space="preserve"> These powers are intended to strengthen regional mayors, but as currently presented they appear to lack clear constraints on the amount tourists </w:t>
      </w:r>
      <w:r w:rsidRPr="00942207">
        <w:rPr>
          <w:rFonts w:ascii="Verdana" w:hAnsi="Verdana"/>
        </w:rPr>
        <w:t>could be charged or robust requirements setting out what the money must be used for. Without firm safeguards, taxpayers and local businesses risk being left at the mercy of mayors using new tax powers to fund political priorities or vanity projects, rather than policies that support local residents and the wider economy.</w:t>
      </w:r>
    </w:p>
    <w:p w:rsidR="0039660D" w:rsidRPr="00942207" w:rsidP="00942207">
      <w:pPr>
        <w:spacing w:after="80" w:line="480" w:lineRule="auto"/>
        <w:rPr>
          <w:rFonts w:ascii="Verdana" w:hAnsi="Verdana"/>
        </w:rPr>
      </w:pPr>
      <w:r w:rsidRPr="00942207">
        <w:rPr>
          <w:rFonts w:ascii="Verdana" w:hAnsi="Verdana"/>
        </w:rPr>
        <w:t>This undermines fiscal devolution because, in the current system, local authorities will inevitably then demand subsidy from central government to address the damage to local tourism industries.</w:t>
      </w:r>
    </w:p>
    <w:p w:rsidR="0039660D" w:rsidRPr="00942207" w:rsidP="00942207">
      <w:pPr>
        <w:spacing w:after="80" w:line="480" w:lineRule="auto"/>
        <w:rPr>
          <w:rFonts w:ascii="Verdana" w:hAnsi="Verdana"/>
        </w:rPr>
      </w:pPr>
      <w:r w:rsidRPr="00942207">
        <w:rPr>
          <w:rFonts w:ascii="Verdana" w:hAnsi="Verdana"/>
        </w:rPr>
        <w:t>TaxPayers’ Alliance research suggests that a visitor levy could cost the UK economy between £6 billion and £13 billion, depending on the rate imposed. Polling found that 28 per cent of Britons would consider holidaying elsewhere, or not holidaying at all, if the tax were set at £5.</w:t>
      </w:r>
      <w:r>
        <w:rPr>
          <w:rStyle w:val="FootnoteReference"/>
          <w:rFonts w:ascii="Verdana" w:hAnsi="Verdana"/>
        </w:rPr>
        <w:footnoteReference w:id="10"/>
      </w:r>
      <w:r w:rsidRPr="00942207">
        <w:rPr>
          <w:rFonts w:ascii="Verdana" w:hAnsi="Verdana"/>
        </w:rPr>
        <w:t xml:space="preserve"> That rises to 39 per cent if the tax were set at £10.</w:t>
      </w:r>
      <w:r>
        <w:rPr>
          <w:rStyle w:val="FootnoteReference"/>
          <w:rFonts w:ascii="Verdana" w:hAnsi="Verdana"/>
        </w:rPr>
        <w:footnoteReference w:id="11"/>
      </w:r>
      <w:r w:rsidRPr="00942207">
        <w:rPr>
          <w:rFonts w:ascii="Verdana" w:hAnsi="Verdana"/>
        </w:rPr>
        <w:t xml:space="preserve"> </w:t>
      </w:r>
      <w:r w:rsidRPr="00942207">
        <w:rPr>
          <w:rFonts w:ascii="Verdana" w:hAnsi="Verdana"/>
        </w:rPr>
        <w:t>Meanwhile, 18 per cent said that any increase in the cost of a holiday in England caused by the new tax would stop them from booking.</w:t>
      </w:r>
      <w:r>
        <w:rPr>
          <w:rStyle w:val="FootnoteReference"/>
          <w:rFonts w:ascii="Verdana" w:hAnsi="Verdana"/>
        </w:rPr>
        <w:footnoteReference w:id="12"/>
      </w:r>
    </w:p>
    <w:p w:rsidR="0039660D" w:rsidRPr="00942207" w:rsidP="00942207">
      <w:pPr>
        <w:spacing w:after="80" w:line="480" w:lineRule="auto"/>
        <w:rPr>
          <w:rFonts w:ascii="Verdana" w:hAnsi="Verdana"/>
        </w:rPr>
      </w:pPr>
      <w:r w:rsidRPr="00942207">
        <w:rPr>
          <w:rFonts w:ascii="Verdana" w:hAnsi="Verdana"/>
        </w:rPr>
        <w:t>Using VisitBritain figures,</w:t>
      </w:r>
      <w:r>
        <w:rPr>
          <w:rStyle w:val="FootnoteReference"/>
          <w:rFonts w:ascii="Verdana" w:hAnsi="Verdana"/>
        </w:rPr>
        <w:footnoteReference w:id="13"/>
      </w:r>
      <w:r w:rsidRPr="00942207">
        <w:rPr>
          <w:rFonts w:ascii="Verdana" w:hAnsi="Verdana"/>
        </w:rPr>
        <w:t xml:space="preserve"> the potential impact is substantial. In 2024, there were 107.9 million domestic overnight trips, with spending of more than £33.4 billion. If even a modest visitor tax deterred domestic tourists in line with the polling, it could mean a loss of around £6 billion to the UK economy and almost 19.5 million fewer domestic overnight visits. A £5 levy could cost more than £9 </w:t>
      </w:r>
      <w:r w:rsidRPr="00942207">
        <w:rPr>
          <w:rFonts w:ascii="Verdana" w:hAnsi="Verdana"/>
        </w:rPr>
        <w:t xml:space="preserve">billion and reduce domestic overnight visits by around 30 million. A £10 levy could cost more than £13 billion and reduce visits by around </w:t>
      </w:r>
      <w:r w:rsidRPr="00942207">
        <w:rPr>
          <w:rFonts w:ascii="Verdana" w:hAnsi="Verdana"/>
        </w:rPr>
        <w:t>42 million.</w:t>
      </w:r>
      <w:r>
        <w:rPr>
          <w:rStyle w:val="FootnoteReference"/>
          <w:rFonts w:ascii="Verdana" w:hAnsi="Verdana"/>
        </w:rPr>
        <w:footnoteReference w:id="14"/>
      </w:r>
    </w:p>
    <w:p w:rsidR="0039660D" w:rsidRPr="00942207" w:rsidP="00942207">
      <w:pPr>
        <w:spacing w:after="80" w:line="480" w:lineRule="auto"/>
        <w:rPr>
          <w:rFonts w:ascii="Verdana" w:hAnsi="Verdana"/>
        </w:rPr>
      </w:pPr>
      <w:r w:rsidRPr="00942207">
        <w:rPr>
          <w:rFonts w:ascii="Verdana" w:hAnsi="Verdana"/>
        </w:rPr>
        <w:t>In the present system of partial devolution, the subsequent damage wrought by these OVLs would likely require a central government response, rather than this being the responsibility of the mayors who introduced the levies in the first place. </w:t>
      </w:r>
    </w:p>
    <w:p w:rsidR="0039660D" w:rsidRPr="00942207" w:rsidP="00942207">
      <w:pPr>
        <w:spacing w:after="80" w:line="480" w:lineRule="auto"/>
        <w:rPr>
          <w:rFonts w:ascii="Verdana" w:hAnsi="Verdana"/>
        </w:rPr>
      </w:pPr>
      <w:r w:rsidRPr="00942207">
        <w:rPr>
          <w:rFonts w:ascii="Verdana" w:hAnsi="Verdana"/>
        </w:rPr>
        <w:t xml:space="preserve">The visitor levy therefore illustrates the wider danger of devolving tax powers without clear limits, strong accountability and a proper assessment of economic harm. Handing mayoralties new tax-raising powers without specifying why the money is needed, how it must be spent and what safeguards exist for </w:t>
      </w:r>
      <w:r w:rsidRPr="00942207">
        <w:rPr>
          <w:rFonts w:ascii="Verdana" w:hAnsi="Verdana"/>
        </w:rPr>
        <w:t>taxpayers</w:t>
      </w:r>
      <w:r w:rsidRPr="00942207">
        <w:rPr>
          <w:rFonts w:ascii="Verdana" w:hAnsi="Verdana"/>
        </w:rPr>
        <w:t xml:space="preserve"> risks damaging tourism and undermining local businesses with little evidence of a corresponding benefit.</w:t>
      </w:r>
      <w:r w:rsidRPr="00942207">
        <w:rPr>
          <w:rFonts w:ascii="Verdana" w:hAnsi="Verdana"/>
        </w:rPr>
        <w:t xml:space="preserve">  The likely outcome of this is a proliferation of local tax rises, done with little regard to the distributional effect on the poorest families; the dynamic effect on the local economy; the </w:t>
      </w:r>
      <w:r w:rsidRPr="00942207">
        <w:rPr>
          <w:rFonts w:ascii="Verdana" w:hAnsi="Verdana"/>
        </w:rPr>
        <w:t>long term</w:t>
      </w:r>
      <w:r w:rsidRPr="00942207">
        <w:rPr>
          <w:rFonts w:ascii="Verdana" w:hAnsi="Verdana"/>
        </w:rPr>
        <w:t xml:space="preserve"> effect on the local area; or the aggregate effect on the wider country.</w:t>
      </w:r>
    </w:p>
    <w:p w:rsidR="0039660D" w:rsidRPr="00942207" w:rsidP="00942207">
      <w:pPr>
        <w:spacing w:before="240" w:after="80" w:line="480" w:lineRule="auto"/>
        <w:rPr>
          <w:rFonts w:ascii="Verdana" w:hAnsi="Verdana"/>
        </w:rPr>
      </w:pPr>
      <w:r w:rsidRPr="00942207">
        <w:rPr>
          <w:rFonts w:ascii="Verdana" w:hAnsi="Verdana"/>
        </w:rPr>
        <w:t>What governance arrangements are needed as more powers are devolved to local areas? How should local and mayoral strategic authorities be best scrutinised and held to account for the exercise of any new powers?</w:t>
      </w:r>
    </w:p>
    <w:p w:rsidR="0039660D" w:rsidRPr="00942207" w:rsidP="00942207">
      <w:pPr>
        <w:spacing w:before="240" w:after="80" w:line="480" w:lineRule="auto"/>
        <w:rPr>
          <w:rFonts w:ascii="Verdana" w:hAnsi="Verdana"/>
        </w:rPr>
      </w:pPr>
      <w:r w:rsidRPr="00942207">
        <w:rPr>
          <w:rFonts w:ascii="Verdana" w:hAnsi="Verdana"/>
        </w:rPr>
        <w:t>What risks does the Government need to consider in any further fiscal devolution?</w:t>
      </w:r>
    </w:p>
    <w:p w:rsidR="0039660D" w:rsidRPr="00942207" w:rsidP="00942207">
      <w:pPr>
        <w:spacing w:after="80" w:line="480" w:lineRule="auto"/>
        <w:rPr>
          <w:rFonts w:ascii="Verdana" w:hAnsi="Verdana"/>
        </w:rPr>
      </w:pPr>
      <w:r w:rsidRPr="00942207">
        <w:rPr>
          <w:rFonts w:ascii="Verdana" w:hAnsi="Verdana"/>
        </w:rPr>
        <w:t>In the absence of wholesale tax reform, the government should at least make full use of safeguards to protect taxpayers from excessive local tax rises. As with the referendum cap on council tax, any new local tax power should be subject to clear restrictions and limits on how far local politicians can go without explicit public consent.</w:t>
      </w:r>
      <w:r w:rsidRPr="00942207">
        <w:rPr>
          <w:rFonts w:ascii="Verdana" w:hAnsi="Verdana"/>
        </w:rPr>
        <w:t xml:space="preserve"> This is necessary to ensure </w:t>
      </w:r>
      <w:r w:rsidRPr="00942207">
        <w:rPr>
          <w:rFonts w:ascii="Verdana" w:hAnsi="Verdana"/>
        </w:rPr>
        <w:t>that there is proper accountability for any tax rises. While at the national level a cap doesn’t make sense</w:t>
      </w:r>
      <w:r w:rsidRPr="00942207">
        <w:rPr>
          <w:rFonts w:ascii="Verdana" w:hAnsi="Verdana"/>
        </w:rPr>
        <w:t>,</w:t>
      </w:r>
      <w:r w:rsidRPr="00942207">
        <w:rPr>
          <w:rFonts w:ascii="Verdana" w:hAnsi="Verdana"/>
        </w:rPr>
        <w:t xml:space="preserve"> as matters of state often command the maximum priority </w:t>
      </w:r>
      <w:r w:rsidRPr="00942207">
        <w:rPr>
          <w:rFonts w:ascii="Verdana" w:hAnsi="Verdana"/>
        </w:rPr>
        <w:t xml:space="preserve">including issues </w:t>
      </w:r>
      <w:r w:rsidRPr="00942207">
        <w:rPr>
          <w:rFonts w:ascii="Verdana" w:hAnsi="Verdana"/>
        </w:rPr>
        <w:t>such as defence, at a local level these issues are less pressing and</w:t>
      </w:r>
      <w:r w:rsidRPr="00942207">
        <w:rPr>
          <w:rFonts w:ascii="Verdana" w:hAnsi="Verdana"/>
        </w:rPr>
        <w:t>,</w:t>
      </w:r>
      <w:r w:rsidRPr="00942207">
        <w:rPr>
          <w:rFonts w:ascii="Verdana" w:hAnsi="Verdana"/>
        </w:rPr>
        <w:t xml:space="preserve"> therefore</w:t>
      </w:r>
      <w:r w:rsidRPr="00942207">
        <w:rPr>
          <w:rFonts w:ascii="Verdana" w:hAnsi="Verdana"/>
        </w:rPr>
        <w:t>,</w:t>
      </w:r>
      <w:r w:rsidRPr="00942207">
        <w:rPr>
          <w:rFonts w:ascii="Verdana" w:hAnsi="Verdana"/>
        </w:rPr>
        <w:t xml:space="preserve"> a cap should be introduced on local taxes as a standard.</w:t>
      </w:r>
      <w:r w:rsidRPr="00942207">
        <w:rPr>
          <w:rFonts w:ascii="Verdana" w:hAnsi="Verdana"/>
        </w:rPr>
        <w:t xml:space="preserve"> </w:t>
      </w:r>
    </w:p>
    <w:p w:rsidR="0039660D" w:rsidRPr="00942207" w:rsidP="00942207">
      <w:pPr>
        <w:spacing w:after="80" w:line="480" w:lineRule="auto"/>
        <w:rPr>
          <w:rFonts w:ascii="Verdana" w:hAnsi="Verdana"/>
        </w:rPr>
      </w:pPr>
      <w:r w:rsidRPr="00942207">
        <w:rPr>
          <w:rFonts w:ascii="Verdana" w:hAnsi="Verdana"/>
        </w:rPr>
        <w:t>There must also be direct local accountability before any overnight visitor levy is imposed. This should take the form of a local referendum, required both before the levy is introduced and before any subsequent increase. A referendum lock would ensure that residents and businesses have a clear say before new tax powers are used. It would also force councils to justify the levy, explain how the revenue will be spent and demonstrate that taxpayers are receiving value for money. Without such a safeguard, an o</w:t>
      </w:r>
      <w:r w:rsidRPr="00942207">
        <w:rPr>
          <w:rFonts w:ascii="Verdana" w:hAnsi="Verdana"/>
        </w:rPr>
        <w:t>vernight visitor levy risks becoming just another layer of tax which easy to introduce, easy to raise, and difficult for local people to challenge. A public vote would keep councils in check and ensure that new local tax powers are used only where there is clear democratic consent.</w:t>
      </w:r>
    </w:p>
    <w:p w:rsidR="0039660D" w:rsidRPr="00942207" w:rsidP="00942207">
      <w:pPr>
        <w:spacing w:after="80" w:line="480" w:lineRule="auto"/>
        <w:rPr>
          <w:rFonts w:ascii="Verdana" w:hAnsi="Verdana"/>
        </w:rPr>
      </w:pPr>
      <w:r w:rsidRPr="00942207">
        <w:rPr>
          <w:rFonts w:ascii="Verdana" w:hAnsi="Verdana"/>
        </w:rPr>
        <w:t xml:space="preserve">Likewise, if the government proceeds with new tax measures such as </w:t>
      </w:r>
      <w:r w:rsidRPr="00942207">
        <w:rPr>
          <w:rFonts w:ascii="Verdana" w:hAnsi="Verdana"/>
        </w:rPr>
        <w:t>enabling OVLs</w:t>
      </w:r>
      <w:r w:rsidRPr="00942207">
        <w:rPr>
          <w:rFonts w:ascii="Verdana" w:hAnsi="Verdana"/>
        </w:rPr>
        <w:t xml:space="preserve">, it should require mandatory local consultation with residents and businesses before any charge can be introduced. Local authorities should have to publish a clear economic impact </w:t>
      </w:r>
      <w:r w:rsidRPr="00942207">
        <w:rPr>
          <w:rFonts w:ascii="Verdana" w:hAnsi="Verdana"/>
        </w:rPr>
        <w:t>assessment,</w:t>
      </w:r>
      <w:r w:rsidRPr="00942207">
        <w:rPr>
          <w:rFonts w:ascii="Verdana" w:hAnsi="Verdana"/>
        </w:rPr>
        <w:t xml:space="preserve"> set out precisely how the revenue would be spent and demonstrate that the levy commands local </w:t>
      </w:r>
      <w:r w:rsidRPr="00942207">
        <w:rPr>
          <w:rFonts w:ascii="Verdana" w:hAnsi="Verdana"/>
        </w:rPr>
        <w:t xml:space="preserve">support. These accountability levers are essential, </w:t>
      </w:r>
      <w:r w:rsidRPr="00942207">
        <w:rPr>
          <w:rFonts w:ascii="Verdana" w:hAnsi="Verdana"/>
        </w:rPr>
        <w:t>not least to shield taxpayers and businesses from further tax rises as a result of policy failure. </w:t>
      </w:r>
    </w:p>
    <w:p w:rsidR="0039660D" w:rsidRPr="00942207" w:rsidP="00942207">
      <w:pPr>
        <w:spacing w:before="240" w:after="80" w:line="480" w:lineRule="auto"/>
        <w:rPr>
          <w:rFonts w:ascii="Verdana" w:hAnsi="Verdana"/>
        </w:rPr>
      </w:pPr>
      <w:r w:rsidRPr="00942207">
        <w:rPr>
          <w:rFonts w:ascii="Verdana" w:hAnsi="Verdana"/>
        </w:rPr>
        <w:t>Which forms of fiscal devolution in other countries can the UK learn from?</w:t>
      </w:r>
    </w:p>
    <w:p w:rsidR="0039660D" w:rsidRPr="00942207" w:rsidP="00942207">
      <w:pPr>
        <w:spacing w:after="80" w:line="480" w:lineRule="auto"/>
        <w:rPr>
          <w:rFonts w:ascii="Verdana" w:hAnsi="Verdana"/>
        </w:rPr>
      </w:pPr>
      <w:r w:rsidRPr="00942207">
        <w:rPr>
          <w:rFonts w:ascii="Verdana" w:hAnsi="Verdana"/>
        </w:rPr>
        <w:t xml:space="preserve">The example of the visitor’s levy should serve again as an example of how fiscal devolution can cause material harm. This is borne out in international comparisons for where visitors levies have been introduced. Perhaps most strikingly it is clear that tourist taxes or visitor’s levies are explicitly used </w:t>
      </w:r>
      <w:r w:rsidRPr="00942207">
        <w:rPr>
          <w:rFonts w:ascii="Verdana" w:hAnsi="Verdana"/>
        </w:rPr>
        <w:t xml:space="preserve">to </w:t>
      </w:r>
      <w:r w:rsidRPr="00942207">
        <w:rPr>
          <w:rFonts w:ascii="Verdana" w:hAnsi="Verdana"/>
        </w:rPr>
        <w:t xml:space="preserve">deter tourists which will ultimately come at the expense of economic growth. If these powers </w:t>
      </w:r>
      <w:r w:rsidRPr="00942207">
        <w:rPr>
          <w:rFonts w:ascii="Verdana" w:hAnsi="Verdana"/>
        </w:rPr>
        <w:t>are pursued</w:t>
      </w:r>
      <w:r w:rsidRPr="00942207">
        <w:rPr>
          <w:rFonts w:ascii="Verdana" w:hAnsi="Verdana"/>
        </w:rPr>
        <w:t xml:space="preserve"> there could be significant economic consequences as a result. </w:t>
      </w:r>
    </w:p>
    <w:p w:rsidR="0039660D" w:rsidRPr="00942207" w:rsidP="00942207">
      <w:pPr>
        <w:spacing w:after="80" w:line="480" w:lineRule="auto"/>
        <w:rPr>
          <w:rFonts w:ascii="Verdana" w:hAnsi="Verdana"/>
        </w:rPr>
      </w:pPr>
      <w:r w:rsidRPr="00942207">
        <w:rPr>
          <w:rFonts w:ascii="Verdana" w:hAnsi="Verdana"/>
        </w:rPr>
        <w:t>A Scottish review of the academic literature found that tourist taxes can reduce demand, though the effect varies by type of tax and type of visitor. Accommodation levies may have a smaller impact than VAT, but they can still affect how tourists perceive a destination and may reduce repeat visits. The review also found that business travellers and non-coastal visitors tend to be less price-sensitive, while leisure travellers, especially coastal holidaymakers, are more likely to change their plans when costs</w:t>
      </w:r>
      <w:r w:rsidRPr="00942207">
        <w:rPr>
          <w:rFonts w:ascii="Verdana" w:hAnsi="Verdana"/>
        </w:rPr>
        <w:t xml:space="preserve"> rise.</w:t>
      </w:r>
    </w:p>
    <w:p w:rsidR="0039660D" w:rsidRPr="00942207" w:rsidP="00942207">
      <w:pPr>
        <w:spacing w:after="80" w:line="480" w:lineRule="auto"/>
        <w:rPr>
          <w:rFonts w:ascii="Verdana" w:hAnsi="Verdana"/>
        </w:rPr>
      </w:pPr>
      <w:r w:rsidRPr="00942207">
        <w:rPr>
          <w:rFonts w:ascii="Verdana" w:hAnsi="Verdana"/>
        </w:rPr>
        <w:t>Most research focuses on price effects, but tourist behaviour is also shaped by wider factors such as advertising, news coverage, reputation and the general economic climate.</w:t>
      </w:r>
      <w:r>
        <w:rPr>
          <w:rStyle w:val="FootnoteReference"/>
          <w:rFonts w:ascii="Verdana" w:hAnsi="Verdana"/>
        </w:rPr>
        <w:footnoteReference w:id="15"/>
      </w:r>
      <w:r w:rsidRPr="00942207">
        <w:rPr>
          <w:rFonts w:ascii="Verdana" w:hAnsi="Verdana"/>
        </w:rPr>
        <w:t xml:space="preserve"> The addition of a holiday tax would only damage the perception of the UK as a holiday destination for tourists. </w:t>
      </w:r>
    </w:p>
    <w:p w:rsidR="0039660D" w:rsidRPr="00942207" w:rsidP="00942207">
      <w:pPr>
        <w:spacing w:after="80" w:line="480" w:lineRule="auto"/>
        <w:rPr>
          <w:rFonts w:ascii="Verdana" w:hAnsi="Verdana"/>
        </w:rPr>
      </w:pPr>
      <w:r w:rsidRPr="00942207">
        <w:rPr>
          <w:rFonts w:ascii="Verdana" w:hAnsi="Verdana"/>
        </w:rPr>
        <w:t>Research by the Tourism Alliance</w:t>
      </w:r>
      <w:r>
        <w:rPr>
          <w:rStyle w:val="FootnoteReference"/>
          <w:rFonts w:ascii="Verdana" w:hAnsi="Verdana"/>
        </w:rPr>
        <w:footnoteReference w:id="16"/>
      </w:r>
      <w:r w:rsidRPr="00942207">
        <w:rPr>
          <w:rFonts w:ascii="Verdana" w:hAnsi="Verdana"/>
        </w:rPr>
        <w:t xml:space="preserve"> also found that many destinations with tourist taxes have lower sales taxes on accommodation than the UK. This means visitors can still pay less overall tax than they would in Britain. In 2023, a hotel room costing £126.67 attracted an average accommodation tax of £17.77, or 14 per cent, across 12 competitor destinations. In the UK, the same room would attract £25.33 in VAT alone, equal to 20 per cent.</w:t>
      </w:r>
    </w:p>
    <w:p w:rsidR="0039660D" w:rsidRPr="00942207" w:rsidP="00942207">
      <w:pPr>
        <w:spacing w:after="80" w:line="480" w:lineRule="auto"/>
        <w:rPr>
          <w:rFonts w:ascii="Verdana" w:hAnsi="Verdana"/>
        </w:rPr>
      </w:pPr>
      <w:r w:rsidRPr="00942207">
        <w:rPr>
          <w:rFonts w:ascii="Verdana" w:hAnsi="Verdana"/>
        </w:rPr>
        <w:t>With the exception of Amsterdam, UK accommodation was already more heavily taxed than almost all competitor destinations in the Tourism Alliance comparison. Amsterdam and Barcelona are also important caveats, because their high tourism taxes are linked to policies aimed at reducing visitor numbers.</w:t>
      </w:r>
      <w:r>
        <w:rPr>
          <w:rStyle w:val="FootnoteReference"/>
          <w:rFonts w:ascii="Verdana" w:hAnsi="Verdana"/>
        </w:rPr>
        <w:footnoteReference w:id="17"/>
      </w:r>
    </w:p>
    <w:p w:rsidR="0039660D" w:rsidP="00942207">
      <w:pPr>
        <w:spacing w:after="80" w:line="480" w:lineRule="auto"/>
        <w:rPr>
          <w:rFonts w:ascii="Verdana" w:hAnsi="Verdana"/>
        </w:rPr>
      </w:pPr>
      <w:r w:rsidRPr="00942207">
        <w:rPr>
          <w:rFonts w:ascii="Verdana" w:hAnsi="Verdana"/>
        </w:rPr>
        <w:t>The danger of fiscal devolution, as shown from these international examples, is that taxes that are devolved to the local level may simply be used as a protectionist racket without consideration for the consequences on the local economy or indeed the wider UK economy. </w:t>
      </w:r>
    </w:p>
    <w:p w:rsidR="00942207" w:rsidRPr="00942207" w:rsidP="00942207">
      <w:pPr>
        <w:spacing w:after="80" w:line="480" w:lineRule="auto"/>
        <w:rPr>
          <w:rFonts w:ascii="Verdana" w:hAnsi="Verdana"/>
          <w:i/>
          <w:iCs/>
        </w:rPr>
      </w:pPr>
      <w:r w:rsidRPr="00942207">
        <w:rPr>
          <w:rFonts w:ascii="Verdana" w:hAnsi="Verdana"/>
          <w:i/>
          <w:iCs/>
        </w:rPr>
        <w:t>4 June 2026</w:t>
      </w:r>
    </w:p>
    <w:sectPr w:rsidSect="00E15334">
      <w:pgSz w:w="11906" w:h="16838"/>
      <w:pgMar w:top="1440" w:right="1077" w:bottom="635"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randing Semilight">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Branding Semibold">
    <w:altName w:val="Calibri"/>
    <w:panose1 w:val="00000000000000000000"/>
    <w:charset w:val="00"/>
    <w:family w:val="moder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9660D" w:rsidP="00EE35AC">
      <w:pPr>
        <w:spacing w:after="0" w:line="240" w:lineRule="auto"/>
      </w:pPr>
      <w:r>
        <w:separator/>
      </w:r>
    </w:p>
  </w:footnote>
  <w:footnote w:type="continuationSeparator" w:id="1">
    <w:p w:rsidR="0039660D" w:rsidP="00EE35AC">
      <w:pPr>
        <w:spacing w:after="0" w:line="240" w:lineRule="auto"/>
      </w:pPr>
      <w:r>
        <w:continuationSeparator/>
      </w:r>
    </w:p>
  </w:footnote>
  <w:footnote w:id="2">
    <w:p w:rsidR="0039660D" w:rsidRPr="00942207">
      <w:pPr>
        <w:pStyle w:val="FootnoteText"/>
        <w:rPr>
          <w:rFonts w:ascii="Verdana" w:hAnsi="Verdana"/>
        </w:rPr>
      </w:pPr>
      <w:r w:rsidRPr="00942207">
        <w:rPr>
          <w:rStyle w:val="FootnoteReference"/>
          <w:rFonts w:ascii="Verdana" w:hAnsi="Verdana"/>
          <w:color w:val="005D2D"/>
        </w:rPr>
        <w:footnoteRef/>
      </w:r>
      <w:r w:rsidRPr="00942207">
        <w:rPr>
          <w:rFonts w:ascii="Verdana" w:hAnsi="Verdana"/>
          <w:color w:val="005D2D"/>
        </w:rPr>
        <w:t xml:space="preserve"> </w:t>
      </w:r>
      <w:r w:rsidRPr="00942207">
        <w:rPr>
          <w:rFonts w:ascii="Verdana" w:hAnsi="Verdana"/>
        </w:rPr>
        <w:t>Feld, L, Kirchgässner, G,</w:t>
      </w:r>
      <w:r w:rsidRPr="00942207">
        <w:rPr>
          <w:rFonts w:ascii="Verdana" w:hAnsi="Verdana"/>
        </w:rPr>
        <w:t xml:space="preserve"> Schaltegger, C., Fiscal federalism and economic performance: evidence from Swiss cantons, University of Marburg, 2004, p.18</w:t>
      </w:r>
      <w:r w:rsidRPr="00942207">
        <w:rPr>
          <w:rFonts w:ascii="Verdana" w:hAnsi="Verdana"/>
        </w:rPr>
        <w:t>.</w:t>
      </w:r>
    </w:p>
  </w:footnote>
  <w:footnote w:id="3">
    <w:p w:rsidR="0039660D" w:rsidRPr="00942207" w:rsidP="00534175">
      <w:pPr>
        <w:pStyle w:val="FootnoteText"/>
        <w:rPr>
          <w:rFonts w:ascii="Verdana" w:hAnsi="Verdana"/>
        </w:rPr>
      </w:pPr>
      <w:r w:rsidRPr="00942207">
        <w:rPr>
          <w:rStyle w:val="FootnoteReference"/>
          <w:rFonts w:ascii="Verdana" w:hAnsi="Verdana"/>
          <w:color w:val="005D2D"/>
        </w:rPr>
        <w:footnoteRef/>
      </w:r>
      <w:r w:rsidRPr="00942207">
        <w:rPr>
          <w:rFonts w:ascii="Verdana" w:hAnsi="Verdana"/>
          <w:color w:val="005D2D"/>
        </w:rPr>
        <w:t xml:space="preserve"> </w:t>
      </w:r>
      <w:r w:rsidRPr="00942207">
        <w:rPr>
          <w:rFonts w:ascii="Verdana" w:hAnsi="Verdana"/>
        </w:rPr>
        <w:t>Blöchliger, H &amp; Campos, J M P., Tax Competition Between Sub-Central Governments, OECD Working Papers on Fiscal Federalism No. 13, 2011, p.5</w:t>
      </w:r>
      <w:r w:rsidRPr="00942207">
        <w:rPr>
          <w:rFonts w:ascii="Verdana" w:hAnsi="Verdana"/>
        </w:rPr>
        <w:t>.</w:t>
      </w:r>
    </w:p>
  </w:footnote>
  <w:footnote w:id="4">
    <w:p w:rsidR="0039660D" w:rsidP="00534175">
      <w:pPr>
        <w:pStyle w:val="FootnoteText"/>
      </w:pPr>
      <w:r w:rsidRPr="00942207">
        <w:rPr>
          <w:rStyle w:val="FootnoteReference"/>
          <w:rFonts w:ascii="Verdana" w:hAnsi="Verdana"/>
          <w:color w:val="005D2D"/>
        </w:rPr>
        <w:footnoteRef/>
      </w:r>
      <w:r w:rsidRPr="00942207">
        <w:rPr>
          <w:rFonts w:ascii="Verdana" w:hAnsi="Verdana"/>
        </w:rPr>
        <w:t xml:space="preserve"> </w:t>
      </w:r>
      <w:r w:rsidRPr="00942207">
        <w:rPr>
          <w:rFonts w:ascii="Verdana" w:hAnsi="Verdana"/>
        </w:rPr>
        <w:t>Ibid.</w:t>
      </w:r>
      <w:r w:rsidRPr="00942207">
        <w:rPr>
          <w:rFonts w:ascii="Verdana" w:hAnsi="Verdana"/>
        </w:rPr>
        <w:t xml:space="preserve"> p.26</w:t>
      </w:r>
      <w:r w:rsidRPr="00942207">
        <w:rPr>
          <w:rFonts w:ascii="Verdana" w:hAnsi="Verdana"/>
        </w:rPr>
        <w:t>.</w:t>
      </w:r>
    </w:p>
  </w:footnote>
  <w:footnote w:id="5">
    <w:p w:rsidR="0039660D" w:rsidRPr="00942207">
      <w:pPr>
        <w:pStyle w:val="FootnoteText"/>
        <w:rPr>
          <w:rFonts w:ascii="Verdana" w:hAnsi="Verdana"/>
        </w:rPr>
      </w:pPr>
      <w:r w:rsidRPr="00942207">
        <w:rPr>
          <w:rStyle w:val="FootnoteReference"/>
          <w:rFonts w:ascii="Verdana" w:hAnsi="Verdana"/>
        </w:rPr>
        <w:footnoteRef/>
      </w:r>
      <w:r w:rsidRPr="00942207">
        <w:rPr>
          <w:rFonts w:ascii="Verdana" w:hAnsi="Verdana"/>
        </w:rPr>
        <w:t xml:space="preserve"> </w:t>
      </w:r>
      <w:r w:rsidRPr="00942207">
        <w:rPr>
          <w:rFonts w:ascii="Verdana" w:hAnsi="Verdana"/>
        </w:rPr>
        <w:t>Blöchliger, H &amp; Campos, J M P., Tax Competition Between Sub-Central Governments, OECD Working Papers on Fiscal Federalism No. 13, 2011, p.27.</w:t>
      </w:r>
    </w:p>
  </w:footnote>
  <w:footnote w:id="6">
    <w:p w:rsidR="0039660D" w:rsidRPr="00942207">
      <w:pPr>
        <w:pStyle w:val="FootnoteText"/>
        <w:rPr>
          <w:rFonts w:ascii="Verdana" w:hAnsi="Verdana"/>
        </w:rPr>
      </w:pPr>
      <w:r w:rsidRPr="00942207">
        <w:rPr>
          <w:rStyle w:val="FootnoteReference"/>
          <w:rFonts w:ascii="Verdana" w:hAnsi="Verdana"/>
          <w:color w:val="005D2D"/>
        </w:rPr>
        <w:footnoteRef/>
      </w:r>
      <w:r w:rsidRPr="00942207">
        <w:rPr>
          <w:rFonts w:ascii="Verdana" w:hAnsi="Verdana"/>
        </w:rPr>
        <w:t xml:space="preserve"> Feld, L, &amp; Kirchgässner, G., </w:t>
      </w:r>
      <w:r w:rsidRPr="00942207">
        <w:rPr>
          <w:rFonts w:ascii="Verdana" w:hAnsi="Verdana"/>
        </w:rPr>
        <w:t>Sustainable Fiscal Policy in a Federal System Switzerland as an Example, University of St. Gallen, p.4.</w:t>
      </w:r>
    </w:p>
  </w:footnote>
  <w:footnote w:id="7">
    <w:p w:rsidR="0039660D" w:rsidRPr="003A39CD">
      <w:pPr>
        <w:pStyle w:val="FootnoteText"/>
        <w:rPr>
          <w:rFonts w:ascii="Branding Semilight" w:hAnsi="Branding Semilight"/>
          <w:sz w:val="18"/>
          <w:szCs w:val="18"/>
        </w:rPr>
      </w:pPr>
      <w:r w:rsidRPr="00942207">
        <w:rPr>
          <w:rStyle w:val="FootnoteReference"/>
          <w:rFonts w:ascii="Verdana" w:hAnsi="Verdana"/>
          <w:color w:val="005D2D"/>
        </w:rPr>
        <w:footnoteRef/>
      </w:r>
      <w:r w:rsidRPr="00942207">
        <w:rPr>
          <w:rFonts w:ascii="Verdana" w:hAnsi="Verdana"/>
        </w:rPr>
        <w:t xml:space="preserve"> TaxPayers’ Alliance, The Single Income Tax, 2020, p.367-368</w:t>
      </w:r>
    </w:p>
  </w:footnote>
  <w:footnote w:id="8">
    <w:p w:rsidR="0039660D" w:rsidRPr="00942207">
      <w:pPr>
        <w:pStyle w:val="FootnoteText"/>
        <w:rPr>
          <w:rFonts w:ascii="Verdana" w:hAnsi="Verdana"/>
        </w:rPr>
      </w:pPr>
      <w:r w:rsidRPr="00942207">
        <w:rPr>
          <w:rStyle w:val="FootnoteReference"/>
          <w:rFonts w:ascii="Verdana" w:hAnsi="Verdana"/>
          <w:color w:val="005D2D"/>
        </w:rPr>
        <w:footnoteRef/>
      </w:r>
      <w:r w:rsidRPr="00942207">
        <w:rPr>
          <w:rFonts w:ascii="Verdana" w:hAnsi="Verdana"/>
          <w:color w:val="005D2D"/>
        </w:rPr>
        <w:t xml:space="preserve"> </w:t>
      </w:r>
      <w:r w:rsidRPr="00942207">
        <w:rPr>
          <w:rFonts w:ascii="Verdana" w:hAnsi="Verdana"/>
        </w:rPr>
        <w:t xml:space="preserve">Hill, H &amp; Eida, J., The statutory spending </w:t>
      </w:r>
      <w:r w:rsidRPr="00942207">
        <w:rPr>
          <w:rFonts w:ascii="Verdana" w:hAnsi="Verdana"/>
        </w:rPr>
        <w:t>straightjacket</w:t>
      </w:r>
      <w:r w:rsidRPr="00942207">
        <w:rPr>
          <w:rFonts w:ascii="Verdana" w:hAnsi="Verdana"/>
        </w:rPr>
        <w:t>, TaxPayers’ Alliance, 2026, p.2.</w:t>
      </w:r>
    </w:p>
  </w:footnote>
  <w:footnote w:id="9">
    <w:p w:rsidR="0039660D" w:rsidRPr="00942207">
      <w:pPr>
        <w:pStyle w:val="FootnoteText"/>
        <w:rPr>
          <w:rFonts w:ascii="Verdana" w:hAnsi="Verdana"/>
        </w:rPr>
      </w:pPr>
      <w:r w:rsidRPr="00942207">
        <w:rPr>
          <w:rStyle w:val="FootnoteReference"/>
          <w:rFonts w:ascii="Verdana" w:hAnsi="Verdana"/>
          <w:color w:val="005D2D"/>
        </w:rPr>
        <w:footnoteRef/>
      </w:r>
      <w:r w:rsidRPr="00942207">
        <w:rPr>
          <w:rFonts w:ascii="Verdana" w:hAnsi="Verdana"/>
        </w:rPr>
        <w:t xml:space="preserve"> Prime Minister’s Office, The King’s Speech 2026, 2026, p.40.</w:t>
      </w:r>
    </w:p>
  </w:footnote>
  <w:footnote w:id="10">
    <w:p w:rsidR="0039660D" w:rsidRPr="00942207" w:rsidP="00DE3540">
      <w:pPr>
        <w:pStyle w:val="FootnoteText"/>
        <w:rPr>
          <w:rFonts w:ascii="Verdana" w:hAnsi="Verdana"/>
        </w:rPr>
      </w:pPr>
      <w:r w:rsidRPr="00942207">
        <w:rPr>
          <w:rStyle w:val="FootnoteReference"/>
          <w:rFonts w:ascii="Verdana" w:hAnsi="Verdana"/>
          <w:color w:val="005D2D"/>
        </w:rPr>
        <w:footnoteRef/>
      </w:r>
      <w:r w:rsidRPr="00942207">
        <w:rPr>
          <w:rFonts w:ascii="Verdana" w:hAnsi="Verdana"/>
        </w:rPr>
        <w:t xml:space="preserve"> World Travel &amp; Tourism Council, UK Tourist Taxes: Survey Results, 2026, p.3.</w:t>
      </w:r>
    </w:p>
  </w:footnote>
  <w:footnote w:id="11">
    <w:p w:rsidR="0039660D" w:rsidRPr="00942207" w:rsidP="00DE3540">
      <w:pPr>
        <w:pStyle w:val="FootnoteText"/>
        <w:rPr>
          <w:rFonts w:ascii="Verdana" w:hAnsi="Verdana"/>
        </w:rPr>
      </w:pPr>
      <w:r w:rsidRPr="00942207">
        <w:rPr>
          <w:rStyle w:val="FootnoteReference"/>
          <w:rFonts w:ascii="Verdana" w:hAnsi="Verdana"/>
          <w:color w:val="005D2D"/>
        </w:rPr>
        <w:footnoteRef/>
      </w:r>
      <w:r w:rsidRPr="00942207">
        <w:rPr>
          <w:rFonts w:ascii="Verdana" w:hAnsi="Verdana"/>
        </w:rPr>
        <w:t xml:space="preserve"> Ibid.</w:t>
      </w:r>
    </w:p>
  </w:footnote>
  <w:footnote w:id="12">
    <w:p w:rsidR="0039660D" w:rsidRPr="00942207" w:rsidP="00DE3540">
      <w:pPr>
        <w:pStyle w:val="FootnoteText"/>
        <w:rPr>
          <w:rFonts w:ascii="Verdana" w:hAnsi="Verdana"/>
        </w:rPr>
      </w:pPr>
      <w:r w:rsidRPr="00942207">
        <w:rPr>
          <w:rStyle w:val="FootnoteReference"/>
          <w:rFonts w:ascii="Verdana" w:hAnsi="Verdana"/>
          <w:color w:val="005D2D"/>
        </w:rPr>
        <w:footnoteRef/>
      </w:r>
      <w:r w:rsidRPr="00942207">
        <w:rPr>
          <w:rFonts w:ascii="Verdana" w:hAnsi="Verdana"/>
          <w:color w:val="005D2D"/>
        </w:rPr>
        <w:t xml:space="preserve"> </w:t>
      </w:r>
      <w:r w:rsidRPr="00942207">
        <w:rPr>
          <w:rFonts w:ascii="Verdana" w:hAnsi="Verdana"/>
        </w:rPr>
        <w:t xml:space="preserve">UKHospitality, </w:t>
      </w:r>
      <w:r w:rsidRPr="00942207">
        <w:rPr>
          <w:rFonts w:ascii="Verdana" w:hAnsi="Verdana"/>
        </w:rPr>
        <w:t>Voters would punish MPs who back the holiday tax, 4 May 2026, www.ukhospitality.org.uk/voters-would-punish-mps-who-back-the-holiday-tax/ (accessed 1 June 2026).</w:t>
      </w:r>
    </w:p>
  </w:footnote>
  <w:footnote w:id="13">
    <w:p w:rsidR="0039660D" w:rsidRPr="00213097" w:rsidP="00DE3540">
      <w:pPr>
        <w:pStyle w:val="FootnoteText"/>
        <w:rPr>
          <w:rFonts w:ascii="Branding Semilight" w:hAnsi="Branding Semilight"/>
          <w:sz w:val="18"/>
          <w:szCs w:val="18"/>
        </w:rPr>
      </w:pPr>
      <w:r w:rsidRPr="00942207">
        <w:rPr>
          <w:rStyle w:val="FootnoteReference"/>
          <w:rFonts w:ascii="Verdana" w:hAnsi="Verdana"/>
          <w:color w:val="005D2D"/>
        </w:rPr>
        <w:footnoteRef/>
      </w:r>
      <w:r w:rsidRPr="00942207">
        <w:rPr>
          <w:rFonts w:ascii="Verdana" w:hAnsi="Verdana"/>
          <w:color w:val="005D2D"/>
        </w:rPr>
        <w:t xml:space="preserve"> </w:t>
      </w:r>
      <w:r w:rsidRPr="00942207">
        <w:rPr>
          <w:rFonts w:ascii="Verdana" w:hAnsi="Verdana"/>
        </w:rPr>
        <w:t>VisitBritain, New report from VisitBritain/VisitEngland shows tourism worth £147 billion to UK economy, January 2026, www.visitbritain.org/news-and-media/industry-news-and-press-releases/new-report-visitbritainvisitengland-shows-tourism (accessed 1 June 2026).</w:t>
      </w:r>
    </w:p>
  </w:footnote>
  <w:footnote w:id="14">
    <w:p w:rsidR="0039660D" w:rsidRPr="00942207" w:rsidP="006979D4">
      <w:pPr>
        <w:spacing w:after="192" w:afterLines="80" w:line="264" w:lineRule="auto"/>
        <w:jc w:val="both"/>
        <w:rPr>
          <w:rFonts w:ascii="Verdana" w:hAnsi="Verdana"/>
          <w:sz w:val="20"/>
          <w:szCs w:val="20"/>
        </w:rPr>
      </w:pPr>
      <w:r w:rsidRPr="00942207">
        <w:rPr>
          <w:rStyle w:val="FootnoteReference"/>
          <w:rFonts w:ascii="Verdana" w:hAnsi="Verdana"/>
          <w:color w:val="005D2D"/>
          <w:sz w:val="20"/>
          <w:szCs w:val="20"/>
        </w:rPr>
        <w:footnoteRef/>
      </w:r>
      <w:r w:rsidRPr="00942207">
        <w:rPr>
          <w:rFonts w:ascii="Verdana" w:hAnsi="Verdana"/>
          <w:sz w:val="20"/>
          <w:szCs w:val="20"/>
        </w:rPr>
        <w:t xml:space="preserve"> </w:t>
      </w:r>
      <w:r w:rsidRPr="00942207">
        <w:rPr>
          <w:rFonts w:ascii="Verdana" w:hAnsi="Verdana"/>
          <w:sz w:val="20"/>
          <w:szCs w:val="20"/>
        </w:rPr>
        <w:t>These estimates do not include the potential impact on international visitors, who made 42.6 million visits to the UK in 2024, meaning the total economic cost could be even higher. International visitors were excluded from the modelling because equivalent polling was not available.</w:t>
      </w:r>
    </w:p>
  </w:footnote>
  <w:footnote w:id="15">
    <w:p w:rsidR="0039660D" w:rsidRPr="00942207" w:rsidP="00C80A5B">
      <w:pPr>
        <w:pStyle w:val="FootnoteText"/>
        <w:rPr>
          <w:rFonts w:ascii="Verdana" w:hAnsi="Verdana"/>
        </w:rPr>
      </w:pPr>
      <w:r w:rsidRPr="00942207">
        <w:rPr>
          <w:rStyle w:val="FootnoteReference"/>
          <w:rFonts w:ascii="Verdana" w:hAnsi="Verdana"/>
          <w:color w:val="005D2D"/>
        </w:rPr>
        <w:footnoteRef/>
      </w:r>
      <w:r w:rsidRPr="00942207">
        <w:rPr>
          <w:rFonts w:ascii="Verdana" w:hAnsi="Verdana"/>
        </w:rPr>
        <w:t xml:space="preserve"> </w:t>
      </w:r>
      <w:r w:rsidRPr="00942207">
        <w:rPr>
          <w:rFonts w:ascii="Verdana" w:hAnsi="Verdana"/>
        </w:rPr>
        <w:t>Chen, J &amp; et al, Review of Evidence of Elasticities Relevant to Tourism in Scotland, University of Surrey, 2021, p.4.</w:t>
      </w:r>
    </w:p>
  </w:footnote>
  <w:footnote w:id="16">
    <w:p w:rsidR="0039660D" w:rsidRPr="003D2EF6" w:rsidP="003D2EF6">
      <w:pPr>
        <w:pStyle w:val="FootnoteText"/>
        <w:rPr>
          <w:rFonts w:ascii="Branding Semilight" w:hAnsi="Branding Semilight"/>
          <w:sz w:val="18"/>
          <w:szCs w:val="18"/>
        </w:rPr>
      </w:pPr>
      <w:r w:rsidRPr="00942207">
        <w:rPr>
          <w:rStyle w:val="FootnoteReference"/>
          <w:rFonts w:ascii="Verdana" w:hAnsi="Verdana"/>
          <w:color w:val="005D2D"/>
        </w:rPr>
        <w:footnoteRef/>
      </w:r>
      <w:r w:rsidRPr="00942207">
        <w:rPr>
          <w:rFonts w:ascii="Verdana" w:hAnsi="Verdana"/>
        </w:rPr>
        <w:t xml:space="preserve"> Tourism Alliance, Taxing tourists: the UK vs competitor destinations, 2023, p.5.</w:t>
      </w:r>
    </w:p>
  </w:footnote>
  <w:footnote w:id="17">
    <w:p w:rsidR="0039660D" w:rsidRPr="00942207">
      <w:pPr>
        <w:pStyle w:val="FootnoteText"/>
        <w:rPr>
          <w:rFonts w:ascii="Verdana" w:hAnsi="Verdana"/>
        </w:rPr>
      </w:pPr>
      <w:r w:rsidRPr="00942207">
        <w:rPr>
          <w:rStyle w:val="FootnoteReference"/>
          <w:rFonts w:ascii="Verdana" w:hAnsi="Verdana"/>
          <w:color w:val="005D2D"/>
        </w:rPr>
        <w:footnoteRef/>
      </w:r>
      <w:r w:rsidRPr="00942207">
        <w:rPr>
          <w:rFonts w:ascii="Verdana" w:hAnsi="Verdana"/>
        </w:rPr>
        <w:t xml:space="preserve"> Ibid. p.19.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483E91"/>
    <w:multiLevelType w:val="multilevel"/>
    <w:tmpl w:val="1616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8E514D"/>
    <w:multiLevelType w:val="multilevel"/>
    <w:tmpl w:val="9DC41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47253F"/>
    <w:multiLevelType w:val="hybridMultilevel"/>
    <w:tmpl w:val="504621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555678"/>
    <w:multiLevelType w:val="hybridMultilevel"/>
    <w:tmpl w:val="2EC82734"/>
    <w:lvl w:ilvl="0">
      <w:start w:val="1"/>
      <w:numFmt w:val="bullet"/>
      <w:lvlText w:val=""/>
      <w:lvlJc w:val="left"/>
      <w:pPr>
        <w:ind w:left="720" w:hanging="360"/>
      </w:pPr>
      <w:rPr>
        <w:rFonts w:ascii="Branding Semilight" w:hAnsi="Branding Semilight" w:hint="default"/>
        <w:color w:val="005D2D"/>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3B7213"/>
    <w:multiLevelType w:val="multilevel"/>
    <w:tmpl w:val="43883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5F5301"/>
    <w:multiLevelType w:val="multilevel"/>
    <w:tmpl w:val="0EA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25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5CF"/>
    <w:rPr>
      <w:rFonts w:eastAsiaTheme="majorEastAsia" w:cstheme="majorBidi"/>
      <w:color w:val="272727" w:themeColor="text1" w:themeTint="D8"/>
    </w:rPr>
  </w:style>
  <w:style w:type="paragraph" w:styleId="Title">
    <w:name w:val="Title"/>
    <w:basedOn w:val="Normal"/>
    <w:next w:val="Normal"/>
    <w:link w:val="TitleChar"/>
    <w:uiPriority w:val="10"/>
    <w:qFormat/>
    <w:rsid w:val="00125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5CF"/>
    <w:pPr>
      <w:spacing w:before="160"/>
      <w:jc w:val="center"/>
    </w:pPr>
    <w:rPr>
      <w:i/>
      <w:iCs/>
      <w:color w:val="404040" w:themeColor="text1" w:themeTint="BF"/>
    </w:rPr>
  </w:style>
  <w:style w:type="character" w:customStyle="1" w:styleId="QuoteChar">
    <w:name w:val="Quote Char"/>
    <w:basedOn w:val="DefaultParagraphFont"/>
    <w:link w:val="Quote"/>
    <w:uiPriority w:val="29"/>
    <w:rsid w:val="001255CF"/>
    <w:rPr>
      <w:i/>
      <w:iCs/>
      <w:color w:val="404040" w:themeColor="text1" w:themeTint="BF"/>
    </w:rPr>
  </w:style>
  <w:style w:type="paragraph" w:styleId="ListParagraph">
    <w:name w:val="List Paragraph"/>
    <w:basedOn w:val="Normal"/>
    <w:uiPriority w:val="34"/>
    <w:qFormat/>
    <w:rsid w:val="001255CF"/>
    <w:pPr>
      <w:ind w:left="720"/>
      <w:contextualSpacing/>
    </w:pPr>
  </w:style>
  <w:style w:type="character" w:styleId="IntenseEmphasis">
    <w:name w:val="Intense Emphasis"/>
    <w:basedOn w:val="DefaultParagraphFont"/>
    <w:uiPriority w:val="21"/>
    <w:qFormat/>
    <w:rsid w:val="001255CF"/>
    <w:rPr>
      <w:i/>
      <w:iCs/>
      <w:color w:val="0F4761" w:themeColor="accent1" w:themeShade="BF"/>
    </w:rPr>
  </w:style>
  <w:style w:type="paragraph" w:styleId="IntenseQuote">
    <w:name w:val="Intense Quote"/>
    <w:basedOn w:val="Normal"/>
    <w:next w:val="Normal"/>
    <w:link w:val="IntenseQuoteChar"/>
    <w:uiPriority w:val="30"/>
    <w:qFormat/>
    <w:rsid w:val="00125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5CF"/>
    <w:rPr>
      <w:i/>
      <w:iCs/>
      <w:color w:val="0F4761" w:themeColor="accent1" w:themeShade="BF"/>
    </w:rPr>
  </w:style>
  <w:style w:type="character" w:styleId="IntenseReference">
    <w:name w:val="Intense Reference"/>
    <w:basedOn w:val="DefaultParagraphFont"/>
    <w:uiPriority w:val="32"/>
    <w:qFormat/>
    <w:rsid w:val="001255CF"/>
    <w:rPr>
      <w:b/>
      <w:bCs/>
      <w:smallCaps/>
      <w:color w:val="0F4761" w:themeColor="accent1" w:themeShade="BF"/>
      <w:spacing w:val="5"/>
    </w:rPr>
  </w:style>
  <w:style w:type="paragraph" w:styleId="FootnoteText">
    <w:name w:val="footnote text"/>
    <w:basedOn w:val="Normal"/>
    <w:link w:val="FootnoteTextChar"/>
    <w:uiPriority w:val="99"/>
    <w:unhideWhenUsed/>
    <w:rsid w:val="00EE35AC"/>
    <w:pPr>
      <w:spacing w:after="0" w:line="240" w:lineRule="auto"/>
    </w:pPr>
    <w:rPr>
      <w:sz w:val="20"/>
      <w:szCs w:val="20"/>
    </w:rPr>
  </w:style>
  <w:style w:type="character" w:customStyle="1" w:styleId="FootnoteTextChar">
    <w:name w:val="Footnote Text Char"/>
    <w:basedOn w:val="DefaultParagraphFont"/>
    <w:link w:val="FootnoteText"/>
    <w:uiPriority w:val="99"/>
    <w:rsid w:val="00EE35AC"/>
    <w:rPr>
      <w:sz w:val="20"/>
      <w:szCs w:val="20"/>
    </w:rPr>
  </w:style>
  <w:style w:type="character" w:styleId="FootnoteReference">
    <w:name w:val="footnote reference"/>
    <w:basedOn w:val="DefaultParagraphFont"/>
    <w:uiPriority w:val="99"/>
    <w:semiHidden/>
    <w:unhideWhenUsed/>
    <w:rsid w:val="00EE35AC"/>
    <w:rPr>
      <w:vertAlign w:val="superscript"/>
    </w:rPr>
  </w:style>
  <w:style w:type="character" w:styleId="Hyperlink">
    <w:name w:val="Hyperlink"/>
    <w:basedOn w:val="DefaultParagraphFont"/>
    <w:uiPriority w:val="99"/>
    <w:unhideWhenUsed/>
    <w:rsid w:val="00576DD4"/>
    <w:rPr>
      <w:color w:val="467886" w:themeColor="hyperlink"/>
      <w:u w:val="single"/>
    </w:rPr>
  </w:style>
  <w:style w:type="character" w:customStyle="1" w:styleId="UnresolvedMention1">
    <w:name w:val="Unresolved Mention1"/>
    <w:basedOn w:val="DefaultParagraphFont"/>
    <w:uiPriority w:val="99"/>
    <w:semiHidden/>
    <w:unhideWhenUsed/>
    <w:rsid w:val="00576DD4"/>
    <w:rPr>
      <w:color w:val="605E5C"/>
      <w:shd w:val="clear" w:color="auto" w:fill="E1DFDD"/>
    </w:rPr>
  </w:style>
  <w:style w:type="paragraph" w:styleId="NormalWeb">
    <w:name w:val="Normal (Web)"/>
    <w:basedOn w:val="Normal"/>
    <w:uiPriority w:val="99"/>
    <w:semiHidden/>
    <w:unhideWhenUsed/>
    <w:rsid w:val="006979D4"/>
    <w:rPr>
      <w:rFonts w:ascii="Times New Roman" w:hAnsi="Times New Roman" w:cs="Times New Roman"/>
    </w:rPr>
  </w:style>
  <w:style w:type="paragraph" w:styleId="Header">
    <w:name w:val="header"/>
    <w:basedOn w:val="Normal"/>
    <w:link w:val="HeaderChar"/>
    <w:uiPriority w:val="99"/>
    <w:unhideWhenUsed/>
    <w:rsid w:val="00942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207"/>
  </w:style>
  <w:style w:type="paragraph" w:styleId="Footer">
    <w:name w:val="footer"/>
    <w:basedOn w:val="Normal"/>
    <w:link w:val="FooterChar"/>
    <w:uiPriority w:val="99"/>
    <w:unhideWhenUsed/>
    <w:rsid w:val="00942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6725C-B629-4F28-9B05-DB5F9628423C}">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FDE0013</dc:title>
  <cp:revision>0</cp:revision>
</cp:coreProperties>
</file>