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1BBE" w:rsidRPr="00170B4C" w:rsidP="00170B4C">
      <w:pPr>
        <w:pStyle w:val="Heading1"/>
        <w:spacing w:line="480" w:lineRule="auto"/>
        <w:rPr>
          <w:rFonts w:ascii="Verdana" w:hAnsi="Verdana"/>
          <w:b/>
          <w:bCs/>
          <w:color w:val="auto"/>
          <w:sz w:val="28"/>
          <w:szCs w:val="28"/>
        </w:rPr>
      </w:pPr>
      <w:r w:rsidRPr="00170B4C">
        <w:rPr>
          <w:rFonts w:ascii="Verdana" w:hAnsi="Verdana"/>
          <w:b/>
          <w:bCs/>
          <w:color w:val="auto"/>
          <w:sz w:val="28"/>
          <w:szCs w:val="28"/>
        </w:rPr>
        <w:t xml:space="preserve">Carnegie UK </w:t>
      </w:r>
      <w:r w:rsidR="00170B4C">
        <w:rPr>
          <w:rFonts w:ascii="Verdana" w:hAnsi="Verdana"/>
          <w:b/>
          <w:bCs/>
          <w:color w:val="auto"/>
          <w:sz w:val="28"/>
          <w:szCs w:val="28"/>
        </w:rPr>
        <w:t>– Written evidence FDE0012</w:t>
      </w:r>
    </w:p>
    <w:p w:rsidR="008D1BBE" w:rsidRPr="00170B4C" w:rsidP="00170B4C">
      <w:pPr>
        <w:pStyle w:val="Heading2"/>
        <w:numPr>
          <w:ilvl w:val="0"/>
          <w:numId w:val="18"/>
        </w:numPr>
        <w:spacing w:line="480" w:lineRule="auto"/>
        <w:rPr>
          <w:rFonts w:ascii="Verdana" w:hAnsi="Verdana"/>
          <w:color w:val="auto"/>
          <w:sz w:val="24"/>
          <w:szCs w:val="24"/>
        </w:rPr>
      </w:pPr>
      <w:r w:rsidRPr="00170B4C">
        <w:rPr>
          <w:rFonts w:ascii="Verdana" w:hAnsi="Verdana"/>
          <w:color w:val="auto"/>
          <w:sz w:val="24"/>
          <w:szCs w:val="24"/>
        </w:rPr>
        <w:t>About Carnegie UK</w:t>
      </w:r>
    </w:p>
    <w:p w:rsidR="008D1BBE" w:rsidRPr="00170B4C" w:rsidP="00170B4C">
      <w:pPr>
        <w:pStyle w:val="ListParagraph"/>
        <w:numPr>
          <w:ilvl w:val="1"/>
          <w:numId w:val="19"/>
        </w:numPr>
        <w:spacing w:line="480" w:lineRule="auto"/>
        <w:contextualSpacing w:val="0"/>
        <w:rPr>
          <w:rFonts w:ascii="Verdana" w:hAnsi="Verdana"/>
        </w:rPr>
      </w:pPr>
      <w:r w:rsidRPr="00170B4C">
        <w:rPr>
          <w:rFonts w:ascii="Verdana" w:hAnsi="Verdana"/>
        </w:rPr>
        <w:t>Carnegie UK is a charitable foundation working across the UK and Ireland. Our purpose is better wellbeing for people and communities. We work with governments, public bodies and partners to develop, test and embed wellbeing approaches to public policy – including how public money is raised, allocated and governed.</w:t>
      </w:r>
    </w:p>
    <w:p w:rsidR="008D1BBE" w:rsidRPr="00170B4C" w:rsidP="00170B4C">
      <w:pPr>
        <w:pStyle w:val="ListParagraph"/>
        <w:numPr>
          <w:ilvl w:val="1"/>
          <w:numId w:val="19"/>
        </w:numPr>
        <w:spacing w:line="480" w:lineRule="auto"/>
        <w:contextualSpacing w:val="0"/>
        <w:rPr>
          <w:rFonts w:ascii="Verdana" w:hAnsi="Verdana"/>
        </w:rPr>
      </w:pPr>
      <w:r w:rsidRPr="00170B4C">
        <w:rPr>
          <w:rFonts w:ascii="Verdana" w:hAnsi="Verdana"/>
        </w:rPr>
        <w:t xml:space="preserve">This submission draws on evidence and insight from our </w:t>
      </w:r>
      <w:r>
        <w:fldChar w:fldCharType="begin"/>
      </w:r>
      <w:r>
        <w:instrText xml:space="preserve"> HYPERLINK "https://carnegieuk.org/programmes/financing-the-future/" </w:instrText>
      </w:r>
      <w:r>
        <w:fldChar w:fldCharType="separate"/>
      </w:r>
      <w:r w:rsidRPr="00170B4C">
        <w:rPr>
          <w:rStyle w:val="Hyperlink"/>
          <w:rFonts w:ascii="Verdana" w:hAnsi="Verdana"/>
          <w:color w:val="auto"/>
        </w:rPr>
        <w:t>Financing the Future programme</w:t>
      </w:r>
      <w:r>
        <w:fldChar w:fldCharType="end"/>
      </w:r>
      <w:r w:rsidRPr="00170B4C">
        <w:rPr>
          <w:rFonts w:ascii="Verdana" w:hAnsi="Verdana"/>
        </w:rPr>
        <w:t>, including research on public perceptions of taxation, wellbeing</w:t>
      </w:r>
      <w:r w:rsidRPr="00170B4C">
        <w:rPr>
          <w:rFonts w:ascii="Verdana" w:hAnsi="Verdana" w:cs="Cambria Math"/>
        </w:rPr>
        <w:t>-</w:t>
      </w:r>
      <w:r w:rsidRPr="00170B4C">
        <w:rPr>
          <w:rFonts w:ascii="Verdana" w:hAnsi="Verdana"/>
        </w:rPr>
        <w:t xml:space="preserve">oriented budgeting and fiscal governance; and our work on democratic wellbeing, institutional trust and </w:t>
      </w:r>
      <w:r w:rsidRPr="00170B4C">
        <w:rPr>
          <w:rFonts w:ascii="Verdana" w:hAnsi="Verdana"/>
        </w:rPr>
        <w:t>long</w:t>
      </w:r>
      <w:r w:rsidRPr="00170B4C">
        <w:rPr>
          <w:rFonts w:ascii="Verdana" w:hAnsi="Verdana" w:cs="Cambria Math"/>
        </w:rPr>
        <w:t>-</w:t>
      </w:r>
      <w:r w:rsidRPr="00170B4C">
        <w:rPr>
          <w:rFonts w:ascii="Verdana" w:hAnsi="Verdana"/>
        </w:rPr>
        <w:t>term</w:t>
      </w:r>
      <w:r w:rsidRPr="00170B4C">
        <w:rPr>
          <w:rFonts w:ascii="Verdana" w:hAnsi="Verdana"/>
        </w:rPr>
        <w:t xml:space="preserve"> policymaking.</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are the general aims of fiscal devolution? What can it achieve?</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D</w:t>
      </w:r>
      <w:r w:rsidRPr="00170B4C">
        <w:rPr>
          <w:rFonts w:ascii="Verdana" w:hAnsi="Verdana"/>
        </w:rPr>
        <w:t xml:space="preserve">ebates on fiscal devolution are </w:t>
      </w:r>
      <w:r w:rsidRPr="00170B4C">
        <w:rPr>
          <w:rFonts w:ascii="Verdana" w:hAnsi="Verdana"/>
        </w:rPr>
        <w:t xml:space="preserve">often </w:t>
      </w:r>
      <w:r w:rsidRPr="00170B4C">
        <w:rPr>
          <w:rFonts w:ascii="Verdana" w:hAnsi="Verdana"/>
        </w:rPr>
        <w:t xml:space="preserve">framed narrowly around efficiency, growth, or </w:t>
      </w:r>
      <w:r w:rsidRPr="00170B4C">
        <w:rPr>
          <w:rFonts w:ascii="Verdana" w:hAnsi="Verdana"/>
        </w:rPr>
        <w:t>balance</w:t>
      </w:r>
      <w:r w:rsidRPr="00170B4C">
        <w:rPr>
          <w:rFonts w:ascii="Verdana" w:hAnsi="Verdana" w:cs="Cambria Math"/>
        </w:rPr>
        <w:t xml:space="preserve"> </w:t>
      </w:r>
      <w:r w:rsidRPr="00170B4C">
        <w:rPr>
          <w:rFonts w:ascii="Verdana" w:hAnsi="Verdana"/>
        </w:rPr>
        <w:t>sheet</w:t>
      </w:r>
      <w:r w:rsidRPr="00170B4C">
        <w:rPr>
          <w:rFonts w:ascii="Verdana" w:hAnsi="Verdana"/>
        </w:rPr>
        <w:t xml:space="preserve"> repair. While these objectives matter, Carnegie UK</w:t>
      </w:r>
      <w:r w:rsidRPr="00170B4C">
        <w:rPr>
          <w:rFonts w:ascii="Verdana" w:hAnsi="Verdana" w:cs="Raleway"/>
        </w:rPr>
        <w:t>’</w:t>
      </w:r>
      <w:r w:rsidRPr="00170B4C">
        <w:rPr>
          <w:rFonts w:ascii="Verdana" w:hAnsi="Verdana"/>
        </w:rPr>
        <w:t xml:space="preserve">s </w:t>
      </w:r>
      <w:r w:rsidRPr="00170B4C">
        <w:rPr>
          <w:rFonts w:ascii="Verdana" w:hAnsi="Verdana"/>
        </w:rPr>
        <w:t xml:space="preserve">view is </w:t>
      </w:r>
      <w:r w:rsidRPr="00170B4C">
        <w:rPr>
          <w:rFonts w:ascii="Verdana" w:hAnsi="Verdana"/>
        </w:rPr>
        <w:t xml:space="preserve">that </w:t>
      </w:r>
      <w:r w:rsidRPr="00170B4C">
        <w:rPr>
          <w:rFonts w:ascii="Verdana" w:hAnsi="Verdana"/>
          <w:b/>
          <w:bCs/>
        </w:rPr>
        <w:t xml:space="preserve">the </w:t>
      </w:r>
      <w:r w:rsidRPr="00170B4C">
        <w:rPr>
          <w:rFonts w:ascii="Verdana" w:hAnsi="Verdana"/>
          <w:b/>
          <w:bCs/>
        </w:rPr>
        <w:t>overarching</w:t>
      </w:r>
      <w:r w:rsidRPr="00170B4C">
        <w:rPr>
          <w:rFonts w:ascii="Verdana" w:hAnsi="Verdana"/>
          <w:b/>
          <w:bCs/>
        </w:rPr>
        <w:t xml:space="preserve"> </w:t>
      </w:r>
      <w:r w:rsidRPr="00170B4C">
        <w:rPr>
          <w:rFonts w:ascii="Verdana" w:hAnsi="Verdana"/>
          <w:b/>
          <w:bCs/>
        </w:rPr>
        <w:t xml:space="preserve">core purpose of fiscal devolution should be to improve </w:t>
      </w:r>
      <w:r w:rsidRPr="00170B4C">
        <w:rPr>
          <w:rFonts w:ascii="Verdana" w:hAnsi="Verdana"/>
          <w:b/>
          <w:bCs/>
        </w:rPr>
        <w:t xml:space="preserve">the </w:t>
      </w:r>
      <w:r w:rsidRPr="00170B4C">
        <w:rPr>
          <w:rFonts w:ascii="Verdana" w:hAnsi="Verdana"/>
          <w:b/>
          <w:bCs/>
        </w:rPr>
        <w:t>collective wellbeing</w:t>
      </w:r>
      <w:r w:rsidRPr="00170B4C">
        <w:rPr>
          <w:rFonts w:ascii="Verdana" w:hAnsi="Verdana"/>
        </w:rPr>
        <w:t xml:space="preserve"> </w:t>
      </w:r>
      <w:r w:rsidRPr="00170B4C">
        <w:rPr>
          <w:rFonts w:ascii="Verdana" w:hAnsi="Verdana"/>
        </w:rPr>
        <w:t>of pe</w:t>
      </w:r>
      <w:r w:rsidRPr="00170B4C">
        <w:rPr>
          <w:rFonts w:ascii="Verdana" w:hAnsi="Verdana"/>
        </w:rPr>
        <w:t>o</w:t>
      </w:r>
      <w:r w:rsidRPr="00170B4C">
        <w:rPr>
          <w:rFonts w:ascii="Verdana" w:hAnsi="Verdana"/>
        </w:rPr>
        <w:t xml:space="preserve">ple </w:t>
      </w:r>
      <w:r w:rsidRPr="00170B4C">
        <w:rPr>
          <w:rFonts w:ascii="Verdana" w:hAnsi="Verdana"/>
        </w:rPr>
        <w:t xml:space="preserve">by </w:t>
      </w:r>
      <w:r w:rsidRPr="00170B4C">
        <w:rPr>
          <w:rFonts w:ascii="Verdana" w:hAnsi="Verdana"/>
        </w:rPr>
        <w:t>re</w:t>
      </w:r>
      <w:r w:rsidRPr="00170B4C">
        <w:rPr>
          <w:rFonts w:ascii="Verdana" w:hAnsi="Verdana" w:cs="Cambria Math"/>
        </w:rPr>
        <w:t>s</w:t>
      </w:r>
      <w:r w:rsidRPr="00170B4C">
        <w:rPr>
          <w:rFonts w:ascii="Verdana" w:hAnsi="Verdana"/>
        </w:rPr>
        <w:t>haping</w:t>
      </w:r>
      <w:r w:rsidRPr="00170B4C">
        <w:rPr>
          <w:rFonts w:ascii="Verdana" w:hAnsi="Verdana"/>
        </w:rPr>
        <w:t xml:space="preserve"> how power, responsibility and trust are shared between citizens, places and the state.</w:t>
      </w:r>
      <w:r w:rsidRPr="00170B4C">
        <w:rPr>
          <w:rFonts w:ascii="Verdana" w:hAnsi="Verdana"/>
        </w:rPr>
        <w:t xml:space="preserve"> </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If well designed, fiscal devolution can:</w:t>
      </w:r>
    </w:p>
    <w:p w:rsidR="008D1BBE" w:rsidRPr="00170B4C" w:rsidP="00170B4C">
      <w:pPr>
        <w:pStyle w:val="ListParagraph"/>
        <w:numPr>
          <w:ilvl w:val="0"/>
          <w:numId w:val="6"/>
        </w:numPr>
        <w:spacing w:line="480" w:lineRule="auto"/>
        <w:rPr>
          <w:rFonts w:ascii="Verdana" w:hAnsi="Verdana"/>
        </w:rPr>
      </w:pPr>
      <w:r w:rsidRPr="00170B4C">
        <w:rPr>
          <w:rFonts w:ascii="Verdana" w:hAnsi="Verdana"/>
        </w:rPr>
        <w:t>Enhance democratic wellbeing, by making fiscal decisions more locally meaningful and strengthening the link between local priorities, spending choices and outcomes.</w:t>
      </w:r>
    </w:p>
    <w:p w:rsidR="008D1BBE" w:rsidRPr="00170B4C" w:rsidP="00170B4C">
      <w:pPr>
        <w:pStyle w:val="ListParagraph"/>
        <w:numPr>
          <w:ilvl w:val="0"/>
          <w:numId w:val="6"/>
        </w:numPr>
        <w:spacing w:line="480" w:lineRule="auto"/>
        <w:rPr>
          <w:rFonts w:ascii="Verdana" w:hAnsi="Verdana"/>
        </w:rPr>
      </w:pPr>
      <w:r w:rsidRPr="00170B4C">
        <w:rPr>
          <w:rFonts w:ascii="Verdana" w:hAnsi="Verdana"/>
        </w:rPr>
        <w:t>Enable long</w:t>
      </w:r>
      <w:r w:rsidRPr="00170B4C">
        <w:rPr>
          <w:rFonts w:ascii="Cambria Math" w:hAnsi="Cambria Math" w:cs="Cambria Math"/>
        </w:rPr>
        <w:t>‑</w:t>
      </w:r>
      <w:r w:rsidRPr="00170B4C">
        <w:rPr>
          <w:rFonts w:ascii="Verdana" w:hAnsi="Verdana"/>
        </w:rPr>
        <w:t>term and preventative investment, aligned to place</w:t>
      </w:r>
      <w:r w:rsidRPr="00170B4C">
        <w:rPr>
          <w:rFonts w:ascii="Cambria Math" w:hAnsi="Cambria Math" w:cs="Cambria Math"/>
        </w:rPr>
        <w:t>‑</w:t>
      </w:r>
      <w:r w:rsidRPr="00170B4C">
        <w:rPr>
          <w:rFonts w:ascii="Verdana" w:hAnsi="Verdana"/>
        </w:rPr>
        <w:t>based needs rather than short</w:t>
      </w:r>
      <w:r w:rsidRPr="00170B4C">
        <w:rPr>
          <w:rFonts w:ascii="Cambria Math" w:hAnsi="Cambria Math" w:cs="Cambria Math"/>
        </w:rPr>
        <w:t>‑</w:t>
      </w:r>
      <w:r w:rsidRPr="00170B4C">
        <w:rPr>
          <w:rFonts w:ascii="Verdana" w:hAnsi="Verdana"/>
        </w:rPr>
        <w:t xml:space="preserve">term national political cycles. </w:t>
      </w:r>
    </w:p>
    <w:p w:rsidR="008D1BBE" w:rsidRPr="00170B4C" w:rsidP="00170B4C">
      <w:pPr>
        <w:pStyle w:val="ListParagraph"/>
        <w:numPr>
          <w:ilvl w:val="0"/>
          <w:numId w:val="6"/>
        </w:numPr>
        <w:spacing w:line="480" w:lineRule="auto"/>
        <w:contextualSpacing w:val="0"/>
        <w:rPr>
          <w:rFonts w:ascii="Verdana" w:hAnsi="Verdana"/>
        </w:rPr>
      </w:pPr>
      <w:r w:rsidRPr="00170B4C">
        <w:rPr>
          <w:rFonts w:ascii="Verdana" w:hAnsi="Verdana"/>
        </w:rPr>
        <w:t>Contribute to r</w:t>
      </w:r>
      <w:r w:rsidRPr="00170B4C">
        <w:rPr>
          <w:rFonts w:ascii="Verdana" w:hAnsi="Verdana"/>
        </w:rPr>
        <w:t>ebalanc</w:t>
      </w:r>
      <w:r w:rsidRPr="00170B4C">
        <w:rPr>
          <w:rFonts w:ascii="Verdana" w:hAnsi="Verdana"/>
        </w:rPr>
        <w:t>ing</w:t>
      </w:r>
      <w:r w:rsidRPr="00170B4C">
        <w:rPr>
          <w:rFonts w:ascii="Verdana" w:hAnsi="Verdana"/>
        </w:rPr>
        <w:t xml:space="preserve"> power within the UK’s </w:t>
      </w:r>
      <w:r w:rsidRPr="00170B4C">
        <w:rPr>
          <w:rFonts w:ascii="Verdana" w:hAnsi="Verdana"/>
        </w:rPr>
        <w:t xml:space="preserve">unusually </w:t>
      </w:r>
      <w:r w:rsidRPr="00170B4C">
        <w:rPr>
          <w:rFonts w:ascii="Verdana" w:hAnsi="Verdana"/>
        </w:rPr>
        <w:t>centralised fiscal system, allowing places greater ownership of both decisions and outcomes</w:t>
      </w:r>
      <w:r w:rsidRPr="00170B4C">
        <w:rPr>
          <w:rFonts w:ascii="Verdana" w:hAnsi="Verdana"/>
        </w:rPr>
        <w:t>.</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Evidence from</w:t>
      </w:r>
      <w:r w:rsidRPr="00170B4C">
        <w:rPr>
          <w:rFonts w:ascii="Verdana" w:hAnsi="Verdana"/>
        </w:rPr>
        <w:t xml:space="preserve"> our</w:t>
      </w:r>
      <w:r w:rsidRPr="00170B4C">
        <w:rPr>
          <w:rFonts w:ascii="Verdana" w:hAnsi="Verdana"/>
        </w:rPr>
        <w:t xml:space="preserve"> </w:t>
      </w:r>
      <w:r w:rsidRPr="00170B4C">
        <w:rPr>
          <w:rFonts w:ascii="Verdana" w:hAnsi="Verdana"/>
        </w:rPr>
        <w:t xml:space="preserve">2025 </w:t>
      </w:r>
      <w:r>
        <w:fldChar w:fldCharType="begin"/>
      </w:r>
      <w:r>
        <w:instrText xml:space="preserve"> HYPERLINK "https://carnegieuk.org/publication/expert-roundtables-insight-summary/" </w:instrText>
      </w:r>
      <w:r>
        <w:fldChar w:fldCharType="separate"/>
      </w:r>
      <w:r w:rsidRPr="00170B4C">
        <w:rPr>
          <w:rStyle w:val="Hyperlink"/>
          <w:rFonts w:ascii="Verdana" w:hAnsi="Verdana"/>
          <w:color w:val="auto"/>
        </w:rPr>
        <w:t>Financing the Future e</w:t>
      </w:r>
      <w:r w:rsidRPr="00170B4C">
        <w:rPr>
          <w:rStyle w:val="Hyperlink"/>
          <w:rFonts w:ascii="Verdana" w:hAnsi="Verdana"/>
          <w:color w:val="auto"/>
        </w:rPr>
        <w:t>xpert roundtables</w:t>
      </w:r>
      <w:r>
        <w:fldChar w:fldCharType="end"/>
      </w:r>
      <w:r w:rsidRPr="00170B4C">
        <w:rPr>
          <w:rFonts w:ascii="Verdana" w:hAnsi="Verdana"/>
        </w:rPr>
        <w:t>,</w:t>
      </w:r>
      <w:r w:rsidRPr="00170B4C">
        <w:rPr>
          <w:rFonts w:ascii="Verdana" w:hAnsi="Verdana"/>
        </w:rPr>
        <w:t xml:space="preserve"> </w:t>
      </w:r>
      <w:r w:rsidRPr="00170B4C">
        <w:rPr>
          <w:rFonts w:ascii="Verdana" w:hAnsi="Verdana"/>
        </w:rPr>
        <w:t xml:space="preserve">where we gathered public finance experts together in four sessions across the UK, </w:t>
      </w:r>
      <w:r w:rsidRPr="00170B4C">
        <w:rPr>
          <w:rFonts w:ascii="Verdana" w:hAnsi="Verdana"/>
        </w:rPr>
        <w:t>highlighted a widespread sense of pessimism among policymakers and practitioners about government’s capacity to act long</w:t>
      </w:r>
      <w:r w:rsidRPr="00170B4C">
        <w:rPr>
          <w:rFonts w:ascii="Verdana" w:hAnsi="Verdana"/>
        </w:rPr>
        <w:t>-</w:t>
      </w:r>
      <w:r w:rsidRPr="00170B4C">
        <w:rPr>
          <w:rFonts w:ascii="Verdana" w:hAnsi="Verdana"/>
        </w:rPr>
        <w:t>term. Participants consistently identified the need for a clear fiscal vision, rooted in outcomes and purpose, as essential to rebuilding optimism and public trust. Fiscal devolution should be understood as part of that wider renewal</w:t>
      </w:r>
      <w:r w:rsidRPr="00170B4C">
        <w:rPr>
          <w:rFonts w:ascii="Verdana" w:hAnsi="Verdana"/>
        </w:rPr>
        <w:t xml:space="preserve"> and,</w:t>
      </w:r>
      <w:r w:rsidRPr="00170B4C">
        <w:rPr>
          <w:rFonts w:ascii="Verdana" w:hAnsi="Verdana"/>
        </w:rPr>
        <w:t xml:space="preserve"> </w:t>
      </w:r>
      <w:r w:rsidRPr="00170B4C">
        <w:rPr>
          <w:rFonts w:ascii="Verdana" w:hAnsi="Verdana"/>
        </w:rPr>
        <w:t xml:space="preserve">in setting out any decisions on fiscal devolution, the government should be </w:t>
      </w:r>
      <w:r w:rsidRPr="00170B4C">
        <w:rPr>
          <w:rFonts w:ascii="Verdana" w:hAnsi="Verdana"/>
        </w:rPr>
        <w:t>ambitious</w:t>
      </w:r>
      <w:r w:rsidRPr="00170B4C">
        <w:rPr>
          <w:rFonts w:ascii="Verdana" w:hAnsi="Verdana"/>
        </w:rPr>
        <w:t xml:space="preserve"> and </w:t>
      </w:r>
      <w:r w:rsidRPr="00170B4C">
        <w:rPr>
          <w:rFonts w:ascii="Verdana" w:hAnsi="Verdana"/>
        </w:rPr>
        <w:t xml:space="preserve">clear </w:t>
      </w:r>
      <w:r w:rsidRPr="00170B4C">
        <w:rPr>
          <w:rFonts w:ascii="Verdana" w:hAnsi="Verdana"/>
        </w:rPr>
        <w:t xml:space="preserve">on </w:t>
      </w:r>
      <w:r w:rsidRPr="00170B4C">
        <w:rPr>
          <w:rFonts w:ascii="Verdana" w:hAnsi="Verdana"/>
        </w:rPr>
        <w:t>what the purpose of fiscal devolution is.</w:t>
      </w:r>
    </w:p>
    <w:p w:rsidR="008D1BBE" w:rsidRPr="00170B4C" w:rsidP="00170B4C">
      <w:pPr>
        <w:pStyle w:val="ListParagraph"/>
        <w:spacing w:line="480" w:lineRule="auto"/>
        <w:ind w:left="0"/>
        <w:contextualSpacing w:val="0"/>
        <w:rPr>
          <w:rFonts w:ascii="Verdana" w:hAnsi="Verdana"/>
        </w:rPr>
      </w:pPr>
    </w:p>
    <w:p w:rsidR="008D1BBE" w:rsidRPr="00170B4C" w:rsidP="00170B4C">
      <w:pPr>
        <w:pStyle w:val="ListParagraph"/>
        <w:numPr>
          <w:ilvl w:val="1"/>
          <w:numId w:val="5"/>
        </w:numPr>
        <w:spacing w:line="480" w:lineRule="auto"/>
        <w:contextualSpacing w:val="0"/>
        <w:rPr>
          <w:rFonts w:ascii="Verdana" w:hAnsi="Verdana"/>
          <w:b/>
          <w:bCs/>
        </w:rPr>
      </w:pPr>
      <w:r w:rsidRPr="00170B4C">
        <w:rPr>
          <w:rFonts w:ascii="Verdana" w:hAnsi="Verdana"/>
        </w:rPr>
        <w:t>O</w:t>
      </w:r>
      <w:r w:rsidRPr="00170B4C">
        <w:rPr>
          <w:rFonts w:ascii="Verdana" w:hAnsi="Verdana"/>
        </w:rPr>
        <w:t xml:space="preserve">ur work in this space also highlighted that </w:t>
      </w:r>
      <w:r w:rsidRPr="00170B4C">
        <w:rPr>
          <w:rFonts w:ascii="Verdana" w:hAnsi="Verdana"/>
        </w:rPr>
        <w:t xml:space="preserve">fiscal </w:t>
      </w:r>
      <w:r w:rsidRPr="00170B4C">
        <w:rPr>
          <w:rFonts w:ascii="Verdana" w:hAnsi="Verdana"/>
        </w:rPr>
        <w:t>devolution alone is not sufficient. Achieving benefits requires parallel reforms to accountability, transparency and institutional culture</w:t>
      </w:r>
      <w:r w:rsidRPr="00170B4C">
        <w:rPr>
          <w:rFonts w:ascii="Verdana" w:hAnsi="Verdana"/>
        </w:rPr>
        <w:t xml:space="preserve">. This should include improving the </w:t>
      </w:r>
      <w:r w:rsidRPr="00170B4C">
        <w:rPr>
          <w:rFonts w:ascii="Verdana" w:hAnsi="Verdana"/>
        </w:rPr>
        <w:t xml:space="preserve">acceptance of managed risk, stronger </w:t>
      </w:r>
      <w:r w:rsidRPr="00170B4C">
        <w:rPr>
          <w:rFonts w:ascii="Verdana" w:hAnsi="Verdana"/>
        </w:rPr>
        <w:t xml:space="preserve">local </w:t>
      </w:r>
      <w:r w:rsidRPr="00170B4C">
        <w:rPr>
          <w:rFonts w:ascii="Verdana" w:hAnsi="Verdana"/>
        </w:rPr>
        <w:t xml:space="preserve">capability to interpret </w:t>
      </w:r>
      <w:r w:rsidRPr="00170B4C">
        <w:rPr>
          <w:rFonts w:ascii="Verdana" w:hAnsi="Verdana"/>
        </w:rPr>
        <w:t>evidence, and more meaningful engagement between public bodies and communities.</w:t>
      </w:r>
    </w:p>
    <w:p w:rsidR="008D1BBE" w:rsidRPr="00170B4C" w:rsidP="00170B4C">
      <w:pPr>
        <w:pStyle w:val="ListParagraph"/>
        <w:numPr>
          <w:ilvl w:val="1"/>
          <w:numId w:val="5"/>
        </w:numPr>
        <w:spacing w:line="480" w:lineRule="auto"/>
        <w:contextualSpacing w:val="0"/>
        <w:rPr>
          <w:rFonts w:ascii="Verdana" w:hAnsi="Verdana"/>
          <w:b/>
          <w:bCs/>
        </w:rPr>
      </w:pPr>
      <w:r w:rsidRPr="00170B4C">
        <w:rPr>
          <w:rFonts w:ascii="Verdana" w:hAnsi="Verdana"/>
        </w:rPr>
        <w:t>Fiscal</w:t>
      </w:r>
      <w:r w:rsidRPr="00170B4C">
        <w:rPr>
          <w:rFonts w:ascii="Verdana" w:hAnsi="Verdana"/>
        </w:rPr>
        <w:t xml:space="preserve"> devolution</w:t>
      </w:r>
      <w:r w:rsidRPr="00170B4C">
        <w:rPr>
          <w:rFonts w:ascii="Verdana" w:hAnsi="Verdana"/>
        </w:rPr>
        <w:t xml:space="preserve"> </w:t>
      </w:r>
      <w:r w:rsidRPr="00170B4C">
        <w:rPr>
          <w:rFonts w:ascii="Verdana" w:hAnsi="Verdana"/>
        </w:rPr>
        <w:t>c</w:t>
      </w:r>
      <w:r w:rsidRPr="00170B4C">
        <w:rPr>
          <w:rFonts w:ascii="Verdana" w:hAnsi="Verdana"/>
        </w:rPr>
        <w:t xml:space="preserve">ould </w:t>
      </w:r>
      <w:r w:rsidRPr="00170B4C">
        <w:rPr>
          <w:rFonts w:ascii="Verdana" w:hAnsi="Verdana"/>
        </w:rPr>
        <w:t xml:space="preserve">also </w:t>
      </w:r>
      <w:r w:rsidRPr="00170B4C">
        <w:rPr>
          <w:rFonts w:ascii="Verdana" w:hAnsi="Verdana"/>
        </w:rPr>
        <w:t xml:space="preserve">help </w:t>
      </w:r>
      <w:r w:rsidRPr="00170B4C">
        <w:rPr>
          <w:rFonts w:ascii="Verdana" w:hAnsi="Verdana"/>
        </w:rPr>
        <w:t xml:space="preserve">contribute to </w:t>
      </w:r>
      <w:r w:rsidRPr="00170B4C">
        <w:rPr>
          <w:rFonts w:ascii="Verdana" w:hAnsi="Verdana"/>
        </w:rPr>
        <w:t>improving low</w:t>
      </w:r>
      <w:r w:rsidRPr="00170B4C">
        <w:rPr>
          <w:rFonts w:ascii="Verdana" w:hAnsi="Verdana"/>
        </w:rPr>
        <w:t xml:space="preserve"> </w:t>
      </w:r>
      <w:r w:rsidRPr="00170B4C">
        <w:rPr>
          <w:rFonts w:ascii="Verdana" w:hAnsi="Verdana"/>
        </w:rPr>
        <w:t>public trust in democra</w:t>
      </w:r>
      <w:r w:rsidRPr="00170B4C">
        <w:rPr>
          <w:rFonts w:ascii="Verdana" w:hAnsi="Verdana"/>
        </w:rPr>
        <w:t>tic</w:t>
      </w:r>
      <w:r w:rsidRPr="00170B4C">
        <w:rPr>
          <w:rFonts w:ascii="Verdana" w:hAnsi="Verdana"/>
        </w:rPr>
        <w:t xml:space="preserve"> institutions. </w:t>
      </w:r>
      <w:r w:rsidRPr="00170B4C">
        <w:rPr>
          <w:rFonts w:ascii="Verdana" w:hAnsi="Verdana"/>
        </w:rPr>
        <w:t xml:space="preserve">Public trust in the UK’s tax and spending systems is low. Our research on </w:t>
      </w:r>
      <w:r>
        <w:fldChar w:fldCharType="begin"/>
      </w:r>
      <w:r>
        <w:instrText xml:space="preserve"> HYPERLINK "https://carnegieuk.org/publication/public-perceptions-of-the-uk-tax-system/" </w:instrText>
      </w:r>
      <w:r>
        <w:fldChar w:fldCharType="separate"/>
      </w:r>
      <w:r w:rsidRPr="00170B4C">
        <w:rPr>
          <w:rStyle w:val="Hyperlink"/>
          <w:rFonts w:ascii="Verdana" w:hAnsi="Verdana"/>
          <w:color w:val="auto"/>
        </w:rPr>
        <w:t>public perceptions of taxation</w:t>
      </w:r>
      <w:r>
        <w:fldChar w:fldCharType="end"/>
      </w:r>
      <w:r w:rsidRPr="00170B4C">
        <w:rPr>
          <w:rFonts w:ascii="Verdana" w:hAnsi="Verdana"/>
        </w:rPr>
        <w:t>, which</w:t>
      </w:r>
      <w:r w:rsidRPr="00170B4C">
        <w:rPr>
          <w:rFonts w:ascii="Verdana" w:hAnsi="Verdana"/>
        </w:rPr>
        <w:t xml:space="preserve"> </w:t>
      </w:r>
      <w:r w:rsidRPr="00170B4C">
        <w:rPr>
          <w:rFonts w:ascii="Verdana" w:hAnsi="Verdana"/>
        </w:rPr>
        <w:t>heard</w:t>
      </w:r>
      <w:r w:rsidRPr="00170B4C">
        <w:rPr>
          <w:rFonts w:ascii="Verdana" w:hAnsi="Verdana"/>
        </w:rPr>
        <w:t xml:space="preserve"> from 50 participants across the UK over </w:t>
      </w:r>
      <w:r w:rsidRPr="00170B4C">
        <w:rPr>
          <w:rFonts w:ascii="Verdana" w:hAnsi="Verdana"/>
        </w:rPr>
        <w:t xml:space="preserve">the course of </w:t>
      </w:r>
      <w:r w:rsidRPr="00170B4C">
        <w:rPr>
          <w:rFonts w:ascii="Verdana" w:hAnsi="Verdana"/>
        </w:rPr>
        <w:t>eight online focus groups,</w:t>
      </w:r>
      <w:r w:rsidRPr="00170B4C">
        <w:rPr>
          <w:rFonts w:ascii="Verdana" w:hAnsi="Verdana"/>
        </w:rPr>
        <w:t xml:space="preserve"> found that people commonly see the system as not fair, not delivering, and not something they can influence. Crucially, </w:t>
      </w:r>
      <w:r w:rsidRPr="00170B4C">
        <w:rPr>
          <w:rFonts w:ascii="Verdana" w:hAnsi="Verdana"/>
        </w:rPr>
        <w:t xml:space="preserve">while participants broadly bought into the underlying principles of taxation, </w:t>
      </w:r>
      <w:r w:rsidRPr="00170B4C">
        <w:rPr>
          <w:rFonts w:ascii="Verdana" w:hAnsi="Verdana"/>
        </w:rPr>
        <w:t>th</w:t>
      </w:r>
      <w:r w:rsidRPr="00170B4C">
        <w:rPr>
          <w:rFonts w:ascii="Verdana" w:hAnsi="Verdana"/>
        </w:rPr>
        <w:t>ere is a risk of this acceptance being undermined by perceptions</w:t>
      </w:r>
      <w:r w:rsidRPr="00170B4C">
        <w:rPr>
          <w:rFonts w:ascii="Verdana" w:hAnsi="Verdana"/>
        </w:rPr>
        <w:t xml:space="preserve"> that the system is not working as it should</w:t>
      </w:r>
      <w:r w:rsidRPr="00170B4C">
        <w:rPr>
          <w:rFonts w:ascii="Verdana" w:hAnsi="Verdana"/>
        </w:rPr>
        <w:t xml:space="preserve">. Fiscal devolution </w:t>
      </w:r>
      <w:r w:rsidRPr="00170B4C">
        <w:rPr>
          <w:rFonts w:ascii="Verdana" w:hAnsi="Verdana"/>
        </w:rPr>
        <w:t>could</w:t>
      </w:r>
      <w:r w:rsidRPr="00170B4C">
        <w:rPr>
          <w:rFonts w:ascii="Verdana" w:hAnsi="Verdana"/>
        </w:rPr>
        <w:t xml:space="preserve"> </w:t>
      </w:r>
      <w:r w:rsidRPr="00170B4C">
        <w:rPr>
          <w:rFonts w:ascii="Verdana" w:hAnsi="Verdana"/>
        </w:rPr>
        <w:t>contribute</w:t>
      </w:r>
      <w:r w:rsidRPr="00170B4C">
        <w:rPr>
          <w:rFonts w:ascii="Verdana" w:hAnsi="Verdana"/>
        </w:rPr>
        <w:t xml:space="preserve"> to </w:t>
      </w:r>
      <w:r w:rsidRPr="00170B4C">
        <w:rPr>
          <w:rFonts w:ascii="Verdana" w:hAnsi="Verdana"/>
        </w:rPr>
        <w:t>address</w:t>
      </w:r>
      <w:r w:rsidRPr="00170B4C">
        <w:rPr>
          <w:rFonts w:ascii="Verdana" w:hAnsi="Verdana"/>
        </w:rPr>
        <w:t>ing</w:t>
      </w:r>
      <w:r w:rsidRPr="00170B4C">
        <w:rPr>
          <w:rFonts w:ascii="Verdana" w:hAnsi="Verdana"/>
        </w:rPr>
        <w:t xml:space="preserve"> these concerns, </w:t>
      </w:r>
      <w:r w:rsidRPr="00170B4C">
        <w:rPr>
          <w:rFonts w:ascii="Verdana" w:hAnsi="Verdana"/>
        </w:rPr>
        <w:t>provided that it brings</w:t>
      </w:r>
      <w:r w:rsidRPr="00170B4C">
        <w:rPr>
          <w:rFonts w:ascii="Verdana" w:hAnsi="Verdana"/>
        </w:rPr>
        <w:t xml:space="preserve"> </w:t>
      </w:r>
      <w:r w:rsidRPr="00170B4C">
        <w:rPr>
          <w:rFonts w:ascii="Verdana" w:hAnsi="Verdana"/>
        </w:rPr>
        <w:t xml:space="preserve">improved </w:t>
      </w:r>
      <w:r w:rsidRPr="00170B4C">
        <w:rPr>
          <w:rFonts w:ascii="Verdana" w:hAnsi="Verdana"/>
        </w:rPr>
        <w:t xml:space="preserve">transparency about how decisions are made, </w:t>
      </w:r>
      <w:r w:rsidRPr="00170B4C">
        <w:rPr>
          <w:rFonts w:ascii="Verdana" w:hAnsi="Verdana"/>
        </w:rPr>
        <w:t>the</w:t>
      </w:r>
      <w:r w:rsidRPr="00170B4C">
        <w:rPr>
          <w:rFonts w:ascii="Verdana" w:hAnsi="Verdana"/>
        </w:rPr>
        <w:t xml:space="preserve"> trade</w:t>
      </w:r>
      <w:r w:rsidRPr="00170B4C">
        <w:rPr>
          <w:rFonts w:ascii="Verdana" w:hAnsi="Verdana" w:cs="Cambria Math"/>
        </w:rPr>
        <w:t>-</w:t>
      </w:r>
      <w:r w:rsidRPr="00170B4C">
        <w:rPr>
          <w:rFonts w:ascii="Verdana" w:hAnsi="Verdana"/>
        </w:rPr>
        <w:t>offs involved</w:t>
      </w:r>
      <w:r w:rsidRPr="00170B4C">
        <w:rPr>
          <w:rFonts w:ascii="Verdana" w:hAnsi="Verdana"/>
        </w:rPr>
        <w:t>,</w:t>
      </w:r>
      <w:r w:rsidRPr="00170B4C">
        <w:rPr>
          <w:rFonts w:ascii="Verdana" w:hAnsi="Verdana"/>
        </w:rPr>
        <w:t xml:space="preserve"> and how outcomes will be assessed, as well as opportunities for citizens to engage</w:t>
      </w:r>
      <w:r w:rsidRPr="00170B4C">
        <w:rPr>
          <w:rFonts w:ascii="Verdana" w:hAnsi="Verdana"/>
        </w:rPr>
        <w:t xml:space="preserve"> meaningfully</w:t>
      </w:r>
      <w:r w:rsidRPr="00170B4C">
        <w:rPr>
          <w:rFonts w:ascii="Verdana" w:hAnsi="Verdana"/>
        </w:rPr>
        <w:t xml:space="preserve"> in decision-making processes.</w:t>
      </w:r>
      <w:r w:rsidRPr="00170B4C">
        <w:rPr>
          <w:rFonts w:ascii="Verdana" w:hAnsi="Verdana"/>
          <w:b/>
          <w:bCs/>
        </w:rPr>
        <w:t xml:space="preserve"> </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At what level – combined or local authority – should devolution take place and should the nature of the devolution vary by type of authority?</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Carnegie UK does not advocate for </w:t>
      </w:r>
      <w:r w:rsidRPr="00170B4C">
        <w:rPr>
          <w:rFonts w:ascii="Verdana" w:hAnsi="Verdana"/>
        </w:rPr>
        <w:t xml:space="preserve">a </w:t>
      </w:r>
      <w:r w:rsidRPr="00170B4C">
        <w:rPr>
          <w:rFonts w:ascii="Verdana" w:hAnsi="Verdana"/>
        </w:rPr>
        <w:t xml:space="preserve">specific level at which devolution should take place. Our position is that </w:t>
      </w:r>
      <w:r w:rsidRPr="00170B4C">
        <w:rPr>
          <w:rFonts w:ascii="Verdana" w:hAnsi="Verdana"/>
        </w:rPr>
        <w:t>t</w:t>
      </w:r>
      <w:r w:rsidRPr="00170B4C">
        <w:rPr>
          <w:rFonts w:ascii="Verdana" w:hAnsi="Verdana"/>
        </w:rPr>
        <w:t>he level at which devolution takes place s</w:t>
      </w:r>
      <w:r w:rsidRPr="00170B4C">
        <w:rPr>
          <w:rFonts w:ascii="Verdana" w:hAnsi="Verdana"/>
        </w:rPr>
        <w:t xml:space="preserve">hould </w:t>
      </w:r>
      <w:r w:rsidRPr="00170B4C">
        <w:rPr>
          <w:rFonts w:ascii="Verdana" w:hAnsi="Verdana"/>
        </w:rPr>
        <w:t xml:space="preserve">be driven </w:t>
      </w:r>
      <w:r w:rsidRPr="00170B4C">
        <w:rPr>
          <w:rFonts w:ascii="Verdana" w:hAnsi="Verdana"/>
        </w:rPr>
        <w:t xml:space="preserve">primarily </w:t>
      </w:r>
      <w:r w:rsidRPr="00170B4C">
        <w:rPr>
          <w:rFonts w:ascii="Verdana" w:hAnsi="Verdana"/>
        </w:rPr>
        <w:t xml:space="preserve">by the purpose of devolution – to improve outcomes for </w:t>
      </w:r>
      <w:r w:rsidRPr="00170B4C">
        <w:rPr>
          <w:rFonts w:ascii="Verdana" w:hAnsi="Verdana"/>
        </w:rPr>
        <w:t xml:space="preserve">communities and individuals. </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An im</w:t>
      </w:r>
      <w:r w:rsidRPr="00170B4C">
        <w:rPr>
          <w:rFonts w:ascii="Verdana" w:hAnsi="Verdana"/>
        </w:rPr>
        <w:t>p</w:t>
      </w:r>
      <w:r w:rsidRPr="00170B4C">
        <w:rPr>
          <w:rFonts w:ascii="Verdana" w:hAnsi="Verdana"/>
        </w:rPr>
        <w:t xml:space="preserve">ortant additional consideration in this regard is that of </w:t>
      </w:r>
      <w:r w:rsidRPr="00170B4C">
        <w:rPr>
          <w:rFonts w:ascii="Verdana" w:hAnsi="Verdana"/>
        </w:rPr>
        <w:t xml:space="preserve">system </w:t>
      </w:r>
      <w:r w:rsidRPr="00170B4C">
        <w:rPr>
          <w:rFonts w:ascii="Verdana" w:hAnsi="Verdana"/>
        </w:rPr>
        <w:t xml:space="preserve">coherence. Our expert roundtable discussions repeatedly highlighted the </w:t>
      </w:r>
      <w:r w:rsidRPr="00170B4C">
        <w:rPr>
          <w:rFonts w:ascii="Verdana" w:hAnsi="Verdana"/>
        </w:rPr>
        <w:t xml:space="preserve">fragmented and asymmetric nature of the UK’s devolved governance arrangements as a barrier to scaling proven interventions or sharing learning. </w:t>
      </w:r>
      <w:r w:rsidRPr="00170B4C">
        <w:rPr>
          <w:rFonts w:ascii="Verdana" w:hAnsi="Verdana"/>
        </w:rPr>
        <w:t>This is not about calling f</w:t>
      </w:r>
      <w:r w:rsidRPr="00170B4C">
        <w:rPr>
          <w:rFonts w:ascii="Verdana" w:hAnsi="Verdana"/>
        </w:rPr>
        <w:t>o</w:t>
      </w:r>
      <w:r w:rsidRPr="00170B4C">
        <w:rPr>
          <w:rFonts w:ascii="Verdana" w:hAnsi="Verdana"/>
        </w:rPr>
        <w:t>r</w:t>
      </w:r>
      <w:r w:rsidRPr="00170B4C">
        <w:rPr>
          <w:rFonts w:ascii="Verdana" w:hAnsi="Verdana"/>
        </w:rPr>
        <w:t xml:space="preserve"> uniformity</w:t>
      </w:r>
      <w:r w:rsidRPr="00170B4C">
        <w:rPr>
          <w:rFonts w:ascii="Verdana" w:hAnsi="Verdana"/>
        </w:rPr>
        <w:t xml:space="preserve"> of </w:t>
      </w:r>
      <w:r w:rsidRPr="00170B4C">
        <w:rPr>
          <w:rFonts w:ascii="Verdana" w:hAnsi="Verdana"/>
        </w:rPr>
        <w:t>approach, but</w:t>
      </w:r>
      <w:r w:rsidRPr="00170B4C">
        <w:rPr>
          <w:rFonts w:ascii="Verdana" w:hAnsi="Verdana"/>
        </w:rPr>
        <w:t xml:space="preserve"> </w:t>
      </w:r>
      <w:r w:rsidRPr="00170B4C">
        <w:rPr>
          <w:rFonts w:ascii="Verdana" w:hAnsi="Verdana"/>
        </w:rPr>
        <w:t xml:space="preserve">rather recognising that </w:t>
      </w:r>
      <w:r w:rsidRPr="00170B4C">
        <w:rPr>
          <w:rFonts w:ascii="Verdana" w:hAnsi="Verdana"/>
        </w:rPr>
        <w:t>the reality of the current devolved landscape across the UK right now is that p</w:t>
      </w:r>
      <w:r w:rsidRPr="00170B4C">
        <w:rPr>
          <w:rFonts w:ascii="Verdana" w:hAnsi="Verdana"/>
        </w:rPr>
        <w:t>owers, responsibilities and accountability mechanisms differ across d</w:t>
      </w:r>
      <w:r w:rsidRPr="00170B4C">
        <w:rPr>
          <w:rFonts w:ascii="Verdana" w:hAnsi="Verdana"/>
        </w:rPr>
        <w:t>evolved nations</w:t>
      </w:r>
      <w:r w:rsidRPr="00170B4C">
        <w:rPr>
          <w:rFonts w:ascii="Verdana" w:hAnsi="Verdana"/>
        </w:rPr>
        <w:t xml:space="preserve"> and regions </w:t>
      </w:r>
      <w:r w:rsidRPr="00170B4C">
        <w:rPr>
          <w:rFonts w:ascii="Verdana" w:hAnsi="Verdana"/>
        </w:rPr>
        <w:t>in ways that are often unclear to decision</w:t>
      </w:r>
      <w:r w:rsidRPr="00170B4C">
        <w:rPr>
          <w:rFonts w:ascii="Verdana" w:hAnsi="Verdana"/>
        </w:rPr>
        <w:t xml:space="preserve"> </w:t>
      </w:r>
      <w:r w:rsidRPr="00170B4C">
        <w:rPr>
          <w:rFonts w:ascii="Verdana" w:hAnsi="Verdana"/>
        </w:rPr>
        <w:t>makers</w:t>
      </w:r>
      <w:r w:rsidRPr="00170B4C">
        <w:rPr>
          <w:rFonts w:ascii="Verdana" w:hAnsi="Verdana"/>
        </w:rPr>
        <w:t xml:space="preserve"> and the </w:t>
      </w:r>
      <w:r w:rsidRPr="00170B4C">
        <w:rPr>
          <w:rFonts w:ascii="Verdana" w:hAnsi="Verdana"/>
        </w:rPr>
        <w:t>public.</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spending powers should be devolved to local areas?</w:t>
      </w:r>
      <w:r w:rsidRPr="00170B4C">
        <w:rPr>
          <w:rFonts w:ascii="Verdana" w:hAnsi="Verdana"/>
          <w:b/>
          <w:bCs/>
          <w:color w:val="auto"/>
          <w:sz w:val="24"/>
          <w:szCs w:val="24"/>
        </w:rPr>
        <w:t xml:space="preserve"> </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While Carnegie UK does not </w:t>
      </w:r>
      <w:r w:rsidRPr="00170B4C">
        <w:rPr>
          <w:rFonts w:ascii="Verdana" w:hAnsi="Verdana"/>
        </w:rPr>
        <w:t xml:space="preserve">have a view on which </w:t>
      </w:r>
      <w:r w:rsidRPr="00170B4C">
        <w:rPr>
          <w:rFonts w:ascii="Verdana" w:hAnsi="Verdana"/>
        </w:rPr>
        <w:t>specific spending powers</w:t>
      </w:r>
      <w:r w:rsidRPr="00170B4C">
        <w:rPr>
          <w:rFonts w:ascii="Verdana" w:hAnsi="Verdana"/>
        </w:rPr>
        <w:t xml:space="preserve"> </w:t>
      </w:r>
      <w:r w:rsidRPr="00170B4C">
        <w:rPr>
          <w:rFonts w:ascii="Verdana" w:hAnsi="Verdana"/>
        </w:rPr>
        <w:t xml:space="preserve">should </w:t>
      </w:r>
      <w:r w:rsidRPr="00170B4C">
        <w:rPr>
          <w:rFonts w:ascii="Verdana" w:hAnsi="Verdana"/>
        </w:rPr>
        <w:t>be devolved</w:t>
      </w:r>
      <w:r w:rsidRPr="00170B4C">
        <w:rPr>
          <w:rFonts w:ascii="Verdana" w:hAnsi="Verdana"/>
        </w:rPr>
        <w:t xml:space="preserve">, </w:t>
      </w:r>
      <w:r w:rsidRPr="00170B4C">
        <w:rPr>
          <w:rFonts w:ascii="Verdana" w:hAnsi="Verdana"/>
        </w:rPr>
        <w:t>fiscal devolution provides a</w:t>
      </w:r>
      <w:r w:rsidRPr="00170B4C">
        <w:rPr>
          <w:rFonts w:ascii="Verdana" w:hAnsi="Verdana"/>
        </w:rPr>
        <w:t xml:space="preserve">n </w:t>
      </w:r>
      <w:r w:rsidRPr="00170B4C">
        <w:rPr>
          <w:rFonts w:ascii="Verdana" w:hAnsi="Verdana"/>
        </w:rPr>
        <w:t xml:space="preserve">opportunity to embed </w:t>
      </w:r>
      <w:r w:rsidRPr="00170B4C">
        <w:rPr>
          <w:rFonts w:ascii="Verdana" w:hAnsi="Verdana"/>
        </w:rPr>
        <w:t xml:space="preserve">greater </w:t>
      </w:r>
      <w:r w:rsidRPr="00170B4C">
        <w:rPr>
          <w:rFonts w:ascii="Verdana" w:hAnsi="Verdana"/>
        </w:rPr>
        <w:t xml:space="preserve">capacity </w:t>
      </w:r>
      <w:r w:rsidRPr="00170B4C">
        <w:rPr>
          <w:rFonts w:ascii="Verdana" w:hAnsi="Verdana"/>
        </w:rPr>
        <w:t xml:space="preserve">for </w:t>
      </w:r>
      <w:r w:rsidRPr="00170B4C">
        <w:rPr>
          <w:rFonts w:ascii="Verdana" w:hAnsi="Verdana"/>
        </w:rPr>
        <w:t>preventative spending within local areas</w:t>
      </w:r>
      <w:r w:rsidRPr="00170B4C">
        <w:rPr>
          <w:rFonts w:ascii="Verdana" w:hAnsi="Verdana"/>
        </w:rPr>
        <w:t xml:space="preserve"> and thereby improve the long-term wellbeing outcomes of individuals and communities</w:t>
      </w:r>
      <w:r w:rsidRPr="00170B4C">
        <w:rPr>
          <w:rFonts w:ascii="Verdana" w:hAnsi="Verdana"/>
        </w:rPr>
        <w:t>, while avoiding future costs and harms</w:t>
      </w:r>
      <w:r w:rsidRPr="00170B4C">
        <w:rPr>
          <w:rFonts w:ascii="Verdana" w:hAnsi="Verdana"/>
        </w:rPr>
        <w:t>.</w:t>
      </w:r>
    </w:p>
    <w:p w:rsidR="008D1BBE" w:rsidRPr="00170B4C" w:rsidP="00170B4C">
      <w:pPr>
        <w:pStyle w:val="ListParagraph"/>
        <w:numPr>
          <w:ilvl w:val="1"/>
          <w:numId w:val="5"/>
        </w:numPr>
        <w:spacing w:line="480" w:lineRule="auto"/>
        <w:contextualSpacing w:val="0"/>
        <w:rPr>
          <w:rFonts w:ascii="Verdana" w:eastAsia="Segoe UI" w:hAnsi="Verdana" w:cs="Segoe UI"/>
        </w:rPr>
      </w:pPr>
      <w:r w:rsidRPr="00170B4C">
        <w:rPr>
          <w:rFonts w:ascii="Verdana" w:hAnsi="Verdana"/>
        </w:rPr>
        <w:t>A preventative approach to spend</w:t>
      </w:r>
      <w:r w:rsidRPr="00170B4C">
        <w:rPr>
          <w:rFonts w:ascii="Verdana" w:hAnsi="Verdana"/>
        </w:rPr>
        <w:t>ing</w:t>
      </w:r>
      <w:r w:rsidRPr="00170B4C">
        <w:rPr>
          <w:rFonts w:ascii="Verdana" w:hAnsi="Verdana"/>
        </w:rPr>
        <w:t xml:space="preserve"> requires a focus on place-based and cross-departmental </w:t>
      </w:r>
      <w:r w:rsidRPr="00170B4C">
        <w:rPr>
          <w:rFonts w:ascii="Verdana" w:hAnsi="Verdana"/>
        </w:rPr>
        <w:t>investment,</w:t>
      </w:r>
      <w:r w:rsidRPr="00170B4C">
        <w:rPr>
          <w:rFonts w:ascii="Verdana" w:hAnsi="Verdana"/>
        </w:rPr>
        <w:t xml:space="preserve"> with fewer constraints </w:t>
      </w:r>
      <w:r w:rsidRPr="00170B4C">
        <w:rPr>
          <w:rFonts w:ascii="Verdana" w:hAnsi="Verdana"/>
        </w:rPr>
        <w:t>from</w:t>
      </w:r>
      <w:r w:rsidRPr="00170B4C">
        <w:rPr>
          <w:rFonts w:ascii="Verdana" w:hAnsi="Verdana"/>
        </w:rPr>
        <w:t xml:space="preserve"> departmental ring-fencing of </w:t>
      </w:r>
      <w:r w:rsidRPr="00170B4C">
        <w:rPr>
          <w:rFonts w:ascii="Verdana" w:hAnsi="Verdana"/>
        </w:rPr>
        <w:t>both revenue and spend</w:t>
      </w:r>
      <w:r w:rsidRPr="00170B4C">
        <w:rPr>
          <w:rFonts w:ascii="Verdana" w:hAnsi="Verdana"/>
        </w:rPr>
        <w:t>ing</w:t>
      </w:r>
      <w:r w:rsidRPr="00170B4C">
        <w:rPr>
          <w:rFonts w:ascii="Verdana" w:hAnsi="Verdana"/>
        </w:rPr>
        <w:t xml:space="preserve">. It also requires </w:t>
      </w:r>
      <w:r w:rsidRPr="00170B4C">
        <w:rPr>
          <w:rFonts w:ascii="Verdana" w:hAnsi="Verdana"/>
        </w:rPr>
        <w:t>greater flexibility to apply funds to both capital and revenue projects as appropriate for each area</w:t>
      </w:r>
      <w:r w:rsidRPr="00170B4C">
        <w:rPr>
          <w:rFonts w:ascii="Verdana" w:hAnsi="Verdana"/>
          <w:i/>
          <w:iCs/>
        </w:rPr>
        <w:t xml:space="preserve">. </w:t>
      </w:r>
      <w:r w:rsidRPr="00170B4C">
        <w:rPr>
          <w:rFonts w:ascii="Verdana" w:hAnsi="Verdana" w:eastAsiaTheme="minorEastAsia"/>
        </w:rPr>
        <w:t xml:space="preserve">This aligns with the </w:t>
      </w:r>
      <w:r w:rsidRPr="00170B4C">
        <w:rPr>
          <w:rFonts w:ascii="Verdana" w:hAnsi="Verdana" w:eastAsiaTheme="minorEastAsia"/>
        </w:rPr>
        <w:t>UK</w:t>
      </w:r>
      <w:r w:rsidRPr="00170B4C">
        <w:rPr>
          <w:rFonts w:ascii="Verdana" w:hAnsi="Verdana" w:eastAsiaTheme="minorEastAsia"/>
        </w:rPr>
        <w:t xml:space="preserve"> Government’s wider direction of travel on devolution and place-based reform, including the Chancellor’s commitment to publish a roadmap for future fiscal devolution.</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E</w:t>
      </w:r>
      <w:r w:rsidRPr="00170B4C">
        <w:rPr>
          <w:rFonts w:ascii="Verdana" w:hAnsi="Verdana"/>
        </w:rPr>
        <w:t>ffective fiscal devolution</w:t>
      </w:r>
      <w:r w:rsidRPr="00170B4C">
        <w:rPr>
          <w:rFonts w:ascii="Verdana" w:hAnsi="Verdana"/>
        </w:rPr>
        <w:t xml:space="preserve"> </w:t>
      </w:r>
      <w:r w:rsidRPr="00170B4C">
        <w:rPr>
          <w:rFonts w:ascii="Verdana" w:hAnsi="Verdana"/>
        </w:rPr>
        <w:t xml:space="preserve">can </w:t>
      </w:r>
      <w:r w:rsidRPr="00170B4C">
        <w:rPr>
          <w:rFonts w:ascii="Verdana" w:hAnsi="Verdana"/>
        </w:rPr>
        <w:t>enable</w:t>
      </w:r>
      <w:r w:rsidRPr="00170B4C">
        <w:rPr>
          <w:rFonts w:ascii="Verdana" w:hAnsi="Verdana"/>
        </w:rPr>
        <w:t xml:space="preserve"> greater foresight of and </w:t>
      </w:r>
      <w:r w:rsidRPr="00170B4C">
        <w:rPr>
          <w:rFonts w:ascii="Verdana" w:hAnsi="Verdana"/>
        </w:rPr>
        <w:t>control</w:t>
      </w:r>
      <w:r w:rsidRPr="00170B4C">
        <w:rPr>
          <w:rFonts w:ascii="Verdana" w:hAnsi="Verdana"/>
        </w:rPr>
        <w:t xml:space="preserve"> over</w:t>
      </w:r>
      <w:r w:rsidRPr="00170B4C">
        <w:rPr>
          <w:rFonts w:ascii="Verdana" w:hAnsi="Verdana"/>
        </w:rPr>
        <w:t xml:space="preserve"> the</w:t>
      </w:r>
      <w:r w:rsidRPr="00170B4C">
        <w:rPr>
          <w:rFonts w:ascii="Verdana" w:hAnsi="Verdana"/>
        </w:rPr>
        <w:t xml:space="preserve"> longer-term income and spending streams that preventative</w:t>
      </w:r>
      <w:r w:rsidRPr="00170B4C">
        <w:rPr>
          <w:rFonts w:ascii="Verdana" w:hAnsi="Verdana"/>
        </w:rPr>
        <w:t xml:space="preserve"> and</w:t>
      </w:r>
      <w:r w:rsidRPr="00170B4C">
        <w:rPr>
          <w:rFonts w:ascii="Verdana" w:hAnsi="Verdana"/>
        </w:rPr>
        <w:t xml:space="preserve"> </w:t>
      </w:r>
      <w:r w:rsidRPr="00170B4C">
        <w:rPr>
          <w:rFonts w:ascii="Verdana" w:hAnsi="Verdana"/>
        </w:rPr>
        <w:t>collaborative work requires.</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revenue-raising powers should be devolved to local areas?</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Carnegie UK does not advocate for a specific range or menu of revenue-raising powers. However, </w:t>
      </w:r>
      <w:r w:rsidRPr="00170B4C">
        <w:rPr>
          <w:rFonts w:ascii="Verdana" w:hAnsi="Verdana"/>
        </w:rPr>
        <w:t>our</w:t>
      </w:r>
      <w:r w:rsidRPr="00170B4C">
        <w:rPr>
          <w:rFonts w:ascii="Verdana" w:hAnsi="Verdana"/>
        </w:rPr>
        <w:t xml:space="preserve"> Financing the Future programme highlighted </w:t>
      </w:r>
      <w:r w:rsidRPr="00170B4C">
        <w:rPr>
          <w:rFonts w:ascii="Verdana" w:hAnsi="Verdana"/>
        </w:rPr>
        <w:t xml:space="preserve">that limited borrowing powers are a </w:t>
      </w:r>
      <w:r w:rsidRPr="00170B4C">
        <w:rPr>
          <w:rFonts w:ascii="Verdana" w:hAnsi="Verdana"/>
        </w:rPr>
        <w:t xml:space="preserve">notable </w:t>
      </w:r>
      <w:r w:rsidRPr="00170B4C">
        <w:rPr>
          <w:rFonts w:ascii="Verdana" w:hAnsi="Verdana"/>
        </w:rPr>
        <w:t>constraint facing devolved governments across the UK</w:t>
      </w:r>
      <w:r w:rsidRPr="00170B4C">
        <w:rPr>
          <w:rFonts w:ascii="Verdana" w:hAnsi="Verdana"/>
        </w:rPr>
        <w:t>.</w:t>
      </w:r>
      <w:r w:rsidRPr="00170B4C">
        <w:rPr>
          <w:rFonts w:ascii="Verdana" w:hAnsi="Verdana"/>
        </w:rPr>
        <w:t xml:space="preserve"> Current</w:t>
      </w:r>
      <w:r w:rsidRPr="00170B4C">
        <w:rPr>
          <w:rFonts w:ascii="Verdana" w:hAnsi="Verdana"/>
        </w:rPr>
        <w:t xml:space="preserve"> sub-national </w:t>
      </w:r>
      <w:r w:rsidRPr="00170B4C">
        <w:rPr>
          <w:rFonts w:ascii="Verdana" w:hAnsi="Verdana"/>
        </w:rPr>
        <w:t xml:space="preserve">devolved borrowing arrangements in the UK are tightly capped, inconsistent between jurisdictions, and </w:t>
      </w:r>
      <w:r w:rsidRPr="00170B4C">
        <w:rPr>
          <w:rFonts w:ascii="Verdana" w:hAnsi="Verdana"/>
        </w:rPr>
        <w:t xml:space="preserve">relatively </w:t>
      </w:r>
      <w:r w:rsidRPr="00170B4C">
        <w:rPr>
          <w:rFonts w:ascii="Verdana" w:hAnsi="Verdana"/>
        </w:rPr>
        <w:t>weak by international standards. This restricts the ability of devolved governments to plan for the long term, to invest in prevention or the major socio-economic transitions required in the coming years (</w:t>
      </w:r>
      <w:r w:rsidRPr="00170B4C">
        <w:rPr>
          <w:rFonts w:ascii="Verdana" w:hAnsi="Verdana"/>
        </w:rPr>
        <w:t>e.g.</w:t>
      </w:r>
      <w:r w:rsidRPr="00170B4C">
        <w:rPr>
          <w:rFonts w:ascii="Verdana" w:hAnsi="Verdana"/>
        </w:rPr>
        <w:t>: demographic, technolog</w:t>
      </w:r>
      <w:r w:rsidRPr="00170B4C">
        <w:rPr>
          <w:rFonts w:ascii="Verdana" w:hAnsi="Verdana"/>
        </w:rPr>
        <w:t>ical, climate</w:t>
      </w:r>
      <w:r w:rsidRPr="00170B4C">
        <w:rPr>
          <w:rFonts w:ascii="Verdana" w:hAnsi="Verdana"/>
        </w:rPr>
        <w:t>-related</w:t>
      </w:r>
      <w:r w:rsidRPr="00170B4C">
        <w:rPr>
          <w:rFonts w:ascii="Verdana" w:hAnsi="Verdana"/>
        </w:rPr>
        <w:t>), and to deliver policies that</w:t>
      </w:r>
      <w:r w:rsidRPr="00170B4C">
        <w:rPr>
          <w:rFonts w:ascii="Verdana" w:hAnsi="Verdana"/>
        </w:rPr>
        <w:t xml:space="preserve"> can</w:t>
      </w:r>
      <w:r w:rsidRPr="00170B4C">
        <w:rPr>
          <w:rFonts w:ascii="Verdana" w:hAnsi="Verdana"/>
        </w:rPr>
        <w:t xml:space="preserve"> improve collective wellbeing</w:t>
      </w:r>
      <w:r w:rsidRPr="00170B4C">
        <w:rPr>
          <w:rFonts w:ascii="Verdana" w:hAnsi="Verdana"/>
        </w:rPr>
        <w:t xml:space="preserve"> at scale</w:t>
      </w:r>
      <w:r w:rsidRPr="00170B4C">
        <w:rPr>
          <w:rFonts w:ascii="Verdana" w:hAnsi="Verdana"/>
        </w:rPr>
        <w:t>.</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Our core </w:t>
      </w:r>
      <w:r w:rsidRPr="00170B4C">
        <w:rPr>
          <w:rFonts w:ascii="Verdana" w:hAnsi="Verdana"/>
        </w:rPr>
        <w:t xml:space="preserve">proposition </w:t>
      </w:r>
      <w:r w:rsidRPr="00170B4C">
        <w:rPr>
          <w:rFonts w:ascii="Verdana" w:hAnsi="Verdana"/>
        </w:rPr>
        <w:t xml:space="preserve">is that </w:t>
      </w:r>
      <w:r w:rsidRPr="00170B4C">
        <w:rPr>
          <w:rFonts w:ascii="Verdana" w:hAnsi="Verdana"/>
        </w:rPr>
        <w:t xml:space="preserve">it is worth exploring how </w:t>
      </w:r>
      <w:r w:rsidRPr="00170B4C">
        <w:rPr>
          <w:rFonts w:ascii="Verdana" w:hAnsi="Verdana"/>
        </w:rPr>
        <w:t xml:space="preserve">the potential </w:t>
      </w:r>
      <w:r w:rsidRPr="00170B4C">
        <w:rPr>
          <w:rFonts w:ascii="Verdana" w:hAnsi="Verdana"/>
        </w:rPr>
        <w:t>expansion of</w:t>
      </w:r>
      <w:r w:rsidRPr="00170B4C">
        <w:rPr>
          <w:rFonts w:ascii="Verdana" w:hAnsi="Verdana"/>
        </w:rPr>
        <w:t xml:space="preserve"> </w:t>
      </w:r>
      <w:r w:rsidRPr="00170B4C">
        <w:rPr>
          <w:rFonts w:ascii="Verdana" w:hAnsi="Verdana"/>
        </w:rPr>
        <w:t xml:space="preserve">devolved </w:t>
      </w:r>
      <w:r w:rsidRPr="00170B4C">
        <w:rPr>
          <w:rFonts w:ascii="Verdana" w:hAnsi="Verdana"/>
        </w:rPr>
        <w:t>borrowing powers</w:t>
      </w:r>
      <w:r w:rsidRPr="00170B4C">
        <w:rPr>
          <w:rFonts w:ascii="Verdana" w:hAnsi="Verdana"/>
        </w:rPr>
        <w:t xml:space="preserve"> f</w:t>
      </w:r>
      <w:r w:rsidRPr="00170B4C">
        <w:rPr>
          <w:rFonts w:ascii="Verdana" w:hAnsi="Verdana"/>
        </w:rPr>
        <w:t>o</w:t>
      </w:r>
      <w:r w:rsidRPr="00170B4C">
        <w:rPr>
          <w:rFonts w:ascii="Verdana" w:hAnsi="Verdana"/>
        </w:rPr>
        <w:t xml:space="preserve">r both capital and </w:t>
      </w:r>
      <w:r w:rsidRPr="00170B4C">
        <w:rPr>
          <w:rFonts w:ascii="Verdana" w:hAnsi="Verdana"/>
        </w:rPr>
        <w:t>resource spending</w:t>
      </w:r>
      <w:r w:rsidRPr="00170B4C">
        <w:rPr>
          <w:rFonts w:ascii="Verdana" w:hAnsi="Verdana"/>
        </w:rPr>
        <w:t xml:space="preserve">, </w:t>
      </w:r>
      <w:r w:rsidRPr="00170B4C">
        <w:rPr>
          <w:rFonts w:ascii="Verdana" w:hAnsi="Verdana"/>
        </w:rPr>
        <w:t xml:space="preserve">with a focus on </w:t>
      </w:r>
      <w:r w:rsidRPr="00170B4C">
        <w:rPr>
          <w:rFonts w:ascii="Verdana" w:hAnsi="Verdana"/>
        </w:rPr>
        <w:t>c</w:t>
      </w:r>
      <w:r w:rsidRPr="00170B4C">
        <w:rPr>
          <w:rFonts w:ascii="Verdana" w:hAnsi="Verdana"/>
        </w:rPr>
        <w:t>areful</w:t>
      </w:r>
      <w:r w:rsidRPr="00170B4C">
        <w:rPr>
          <w:rFonts w:ascii="Verdana" w:hAnsi="Verdana"/>
        </w:rPr>
        <w:t xml:space="preserve"> </w:t>
      </w:r>
      <w:r w:rsidRPr="00170B4C">
        <w:rPr>
          <w:rFonts w:ascii="Verdana" w:hAnsi="Verdana"/>
        </w:rPr>
        <w:t>design and</w:t>
      </w:r>
      <w:r w:rsidRPr="00170B4C">
        <w:rPr>
          <w:rFonts w:ascii="Verdana" w:hAnsi="Verdana"/>
        </w:rPr>
        <w:t xml:space="preserve"> appropriate accountability mechanisms,</w:t>
      </w:r>
      <w:r w:rsidRPr="00170B4C">
        <w:rPr>
          <w:rFonts w:ascii="Verdana" w:hAnsi="Verdana"/>
          <w:b/>
          <w:bCs/>
        </w:rPr>
        <w:t xml:space="preserve"> </w:t>
      </w:r>
      <w:r w:rsidRPr="00170B4C">
        <w:rPr>
          <w:rFonts w:ascii="Verdana" w:hAnsi="Verdana"/>
        </w:rPr>
        <w:t xml:space="preserve">could </w:t>
      </w:r>
      <w:r w:rsidRPr="00170B4C">
        <w:rPr>
          <w:rFonts w:ascii="Verdana" w:hAnsi="Verdana"/>
        </w:rPr>
        <w:t xml:space="preserve">work to </w:t>
      </w:r>
      <w:r w:rsidRPr="00170B4C">
        <w:rPr>
          <w:rFonts w:ascii="Verdana" w:hAnsi="Verdana"/>
        </w:rPr>
        <w:t xml:space="preserve">strengthen </w:t>
      </w:r>
      <w:r w:rsidRPr="00170B4C">
        <w:rPr>
          <w:rFonts w:ascii="Verdana" w:hAnsi="Verdana"/>
        </w:rPr>
        <w:t>devolved capacity</w:t>
      </w:r>
      <w:r w:rsidRPr="00170B4C">
        <w:rPr>
          <w:rFonts w:ascii="Verdana" w:hAnsi="Verdana"/>
        </w:rPr>
        <w:t xml:space="preserve"> to invest in people, places and future generations, while maintaining UK-wide fiscal stability.</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mechanisms of equalisation between areas should the Government consider and how might these be updated as differences between regions change? What mechanisms might be needed to avoid inter-region tax competition leading to insufficient aggregate tax collection?</w:t>
      </w:r>
    </w:p>
    <w:p w:rsidR="008D1BBE" w:rsidRPr="00170B4C" w:rsidP="00170B4C">
      <w:pPr>
        <w:spacing w:line="480" w:lineRule="auto"/>
        <w:rPr>
          <w:rFonts w:ascii="Verdana" w:hAnsi="Verdana"/>
          <w:i/>
          <w:iCs/>
        </w:rPr>
      </w:pPr>
      <w:r w:rsidRPr="00170B4C">
        <w:rPr>
          <w:rFonts w:ascii="Verdana" w:hAnsi="Verdana"/>
        </w:rPr>
        <w:t>No comment</w:t>
      </w:r>
      <w:r w:rsidRPr="00170B4C">
        <w:rPr>
          <w:rFonts w:ascii="Verdana" w:hAnsi="Verdana"/>
        </w:rPr>
        <w:t>.</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are the distributional consequences of further fiscal devolution?</w:t>
      </w:r>
    </w:p>
    <w:p w:rsidR="008D1BBE" w:rsidRPr="00170B4C" w:rsidP="00170B4C">
      <w:pPr>
        <w:pStyle w:val="ListParagraph"/>
        <w:spacing w:line="480" w:lineRule="auto"/>
        <w:ind w:left="0"/>
        <w:rPr>
          <w:rFonts w:ascii="Verdana" w:hAnsi="Verdana"/>
        </w:rPr>
      </w:pPr>
      <w:r w:rsidRPr="00170B4C">
        <w:rPr>
          <w:rFonts w:ascii="Verdana" w:hAnsi="Verdana"/>
        </w:rPr>
        <w:t>No</w:t>
      </w:r>
      <w:r w:rsidRPr="00170B4C">
        <w:rPr>
          <w:rFonts w:ascii="Verdana" w:hAnsi="Verdana"/>
        </w:rPr>
        <w:t xml:space="preserve"> comment</w:t>
      </w:r>
      <w:r w:rsidRPr="00170B4C">
        <w:rPr>
          <w:rFonts w:ascii="Verdana" w:hAnsi="Verdana"/>
        </w:rPr>
        <w:t>.</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governance arrangements are needed as more powers are devolved to local areas? How should local and mayoral strategic authorities be best scrutinised and held to account for the exercise of any new powers?</w:t>
      </w:r>
    </w:p>
    <w:p w:rsidR="008D1BBE" w:rsidRPr="00170B4C" w:rsidP="00170B4C">
      <w:pPr>
        <w:pStyle w:val="ListParagraph"/>
        <w:spacing w:line="480" w:lineRule="auto"/>
        <w:ind w:left="0"/>
        <w:contextualSpacing w:val="0"/>
        <w:rPr>
          <w:rFonts w:ascii="Verdana" w:hAnsi="Verdana"/>
        </w:rPr>
      </w:pPr>
      <w:r w:rsidRPr="00170B4C">
        <w:rPr>
          <w:rFonts w:ascii="Verdana" w:hAnsi="Verdana"/>
        </w:rPr>
        <w:t>No commen</w:t>
      </w:r>
      <w:r w:rsidRPr="00170B4C">
        <w:rPr>
          <w:rFonts w:ascii="Verdana" w:hAnsi="Verdana"/>
        </w:rPr>
        <w:t>t</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Should devolution be paired with tax reforms, such as council tax revaluations, or can it be carried out separately?</w:t>
      </w:r>
    </w:p>
    <w:p w:rsidR="008D1BBE" w:rsidRPr="00170B4C" w:rsidP="00170B4C">
      <w:pPr>
        <w:spacing w:line="480" w:lineRule="auto"/>
        <w:rPr>
          <w:rFonts w:ascii="Verdana" w:hAnsi="Verdana"/>
          <w:b/>
          <w:bCs/>
        </w:rPr>
      </w:pPr>
      <w:r w:rsidRPr="00170B4C">
        <w:rPr>
          <w:rFonts w:ascii="Verdana" w:hAnsi="Verdana"/>
        </w:rPr>
        <w:t>No comment</w:t>
      </w:r>
      <w:r w:rsidRPr="00170B4C">
        <w:rPr>
          <w:rFonts w:ascii="Verdana" w:hAnsi="Verdana"/>
        </w:rPr>
        <w:t xml:space="preserve"> </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transitional issues need to be considered in devolving fiscal powers to local areas?</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As</w:t>
      </w:r>
      <w:r w:rsidRPr="00170B4C">
        <w:rPr>
          <w:rFonts w:ascii="Verdana" w:hAnsi="Verdana"/>
        </w:rPr>
        <w:t xml:space="preserve"> laid out in </w:t>
      </w:r>
      <w:r w:rsidRPr="00170B4C">
        <w:rPr>
          <w:rFonts w:ascii="Verdana" w:hAnsi="Verdana"/>
        </w:rPr>
        <w:t>our</w:t>
      </w:r>
      <w:r w:rsidRPr="00170B4C">
        <w:rPr>
          <w:rFonts w:ascii="Verdana" w:hAnsi="Verdana"/>
        </w:rPr>
        <w:t xml:space="preserve"> paper on </w:t>
      </w:r>
      <w:r>
        <w:fldChar w:fldCharType="begin"/>
      </w:r>
      <w:r>
        <w:instrText xml:space="preserve"> HYPERLINK "https://carnegieuk.org/publication/budgeting-for-wellbeing-international-approaches/" </w:instrText>
      </w:r>
      <w:r>
        <w:fldChar w:fldCharType="separate"/>
      </w:r>
      <w:r w:rsidRPr="00170B4C">
        <w:rPr>
          <w:rStyle w:val="Hyperlink"/>
          <w:rFonts w:ascii="Verdana" w:hAnsi="Verdana"/>
          <w:color w:val="auto"/>
        </w:rPr>
        <w:t>Budgeting for Wellbeing</w:t>
      </w:r>
      <w:r>
        <w:fldChar w:fldCharType="end"/>
      </w:r>
      <w:r w:rsidRPr="00170B4C">
        <w:rPr>
          <w:rFonts w:ascii="Verdana" w:hAnsi="Verdana"/>
        </w:rPr>
        <w:t xml:space="preserve">, </w:t>
      </w:r>
      <w:r w:rsidRPr="00170B4C">
        <w:rPr>
          <w:rFonts w:ascii="Verdana" w:hAnsi="Verdana"/>
        </w:rPr>
        <w:t>which examines global examples, innovative tools, and emerging practices that have the potential to transform public spending,</w:t>
      </w:r>
      <w:r w:rsidRPr="00170B4C">
        <w:rPr>
          <w:rFonts w:ascii="Verdana" w:hAnsi="Verdana"/>
        </w:rPr>
        <w:t xml:space="preserve"> </w:t>
      </w:r>
      <w:r w:rsidRPr="00170B4C">
        <w:rPr>
          <w:rFonts w:ascii="Verdana" w:hAnsi="Verdana"/>
        </w:rPr>
        <w:t>i</w:t>
      </w:r>
      <w:r w:rsidRPr="00170B4C">
        <w:rPr>
          <w:rFonts w:ascii="Verdana" w:hAnsi="Verdana"/>
        </w:rPr>
        <w:t xml:space="preserve">nternational experience </w:t>
      </w:r>
      <w:r w:rsidRPr="00170B4C">
        <w:rPr>
          <w:rFonts w:ascii="Verdana" w:hAnsi="Verdana"/>
        </w:rPr>
        <w:t xml:space="preserve">suggests that meaningful </w:t>
      </w:r>
      <w:r w:rsidRPr="00170B4C">
        <w:rPr>
          <w:rFonts w:ascii="Verdana" w:hAnsi="Verdana"/>
        </w:rPr>
        <w:t xml:space="preserve">fiscal </w:t>
      </w:r>
      <w:r w:rsidRPr="00170B4C">
        <w:rPr>
          <w:rFonts w:ascii="Verdana" w:hAnsi="Verdana"/>
        </w:rPr>
        <w:t>change takes time, iterative learning, and sustained political commitment.</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Key implementation challenges include:</w:t>
      </w:r>
    </w:p>
    <w:p w:rsidR="008D1BBE" w:rsidRPr="00170B4C" w:rsidP="00170B4C">
      <w:pPr>
        <w:pStyle w:val="ListParagraph"/>
        <w:numPr>
          <w:ilvl w:val="0"/>
          <w:numId w:val="20"/>
        </w:numPr>
        <w:spacing w:line="480" w:lineRule="auto"/>
        <w:rPr>
          <w:rFonts w:ascii="Verdana" w:hAnsi="Verdana"/>
        </w:rPr>
      </w:pPr>
      <w:r w:rsidRPr="00170B4C">
        <w:rPr>
          <w:rFonts w:ascii="Verdana" w:hAnsi="Verdana"/>
        </w:rPr>
        <w:t>Building technical and analytical capacity at sub</w:t>
      </w:r>
      <w:r w:rsidRPr="00170B4C">
        <w:rPr>
          <w:rFonts w:ascii="Cambria Math" w:hAnsi="Cambria Math" w:cs="Cambria Math"/>
        </w:rPr>
        <w:t>‑</w:t>
      </w:r>
      <w:r w:rsidRPr="00170B4C">
        <w:rPr>
          <w:rFonts w:ascii="Verdana" w:hAnsi="Verdana"/>
        </w:rPr>
        <w:t>national levels;</w:t>
      </w:r>
    </w:p>
    <w:p w:rsidR="008D1BBE" w:rsidRPr="00170B4C" w:rsidP="00170B4C">
      <w:pPr>
        <w:pStyle w:val="ListParagraph"/>
        <w:numPr>
          <w:ilvl w:val="0"/>
          <w:numId w:val="20"/>
        </w:numPr>
        <w:spacing w:line="480" w:lineRule="auto"/>
        <w:rPr>
          <w:rFonts w:ascii="Verdana" w:hAnsi="Verdana"/>
        </w:rPr>
      </w:pPr>
      <w:r w:rsidRPr="00170B4C">
        <w:rPr>
          <w:rFonts w:ascii="Verdana" w:hAnsi="Verdana"/>
        </w:rPr>
        <w:t>Developing shared fiscal data, reporting and evaluation frameworks;</w:t>
      </w:r>
    </w:p>
    <w:p w:rsidR="008D1BBE" w:rsidRPr="00170B4C" w:rsidP="00170B4C">
      <w:pPr>
        <w:pStyle w:val="ListParagraph"/>
        <w:numPr>
          <w:ilvl w:val="0"/>
          <w:numId w:val="20"/>
        </w:numPr>
        <w:spacing w:line="480" w:lineRule="auto"/>
        <w:rPr>
          <w:rFonts w:ascii="Verdana" w:hAnsi="Verdana"/>
        </w:rPr>
      </w:pPr>
      <w:r w:rsidRPr="00170B4C">
        <w:rPr>
          <w:rFonts w:ascii="Verdana" w:hAnsi="Verdana"/>
        </w:rPr>
        <w:t>Creating institutional space for prevention and cross</w:t>
      </w:r>
      <w:r w:rsidRPr="00170B4C">
        <w:rPr>
          <w:rFonts w:ascii="Cambria Math" w:hAnsi="Cambria Math" w:cs="Cambria Math"/>
        </w:rPr>
        <w:t>‑</w:t>
      </w:r>
      <w:r w:rsidRPr="00170B4C">
        <w:rPr>
          <w:rFonts w:ascii="Verdana" w:hAnsi="Verdana"/>
        </w:rPr>
        <w:t>sector investment;</w:t>
      </w:r>
    </w:p>
    <w:p w:rsidR="008D1BBE" w:rsidRPr="00170B4C" w:rsidP="00170B4C">
      <w:pPr>
        <w:pStyle w:val="ListParagraph"/>
        <w:numPr>
          <w:ilvl w:val="0"/>
          <w:numId w:val="20"/>
        </w:numPr>
        <w:spacing w:line="480" w:lineRule="auto"/>
        <w:rPr>
          <w:rFonts w:ascii="Verdana" w:hAnsi="Verdana"/>
        </w:rPr>
      </w:pPr>
      <w:r w:rsidRPr="00170B4C">
        <w:rPr>
          <w:rFonts w:ascii="Verdana" w:hAnsi="Verdana"/>
        </w:rPr>
        <w:t>Shifting organisational culture away from excessive risk aversion and short</w:t>
      </w:r>
      <w:r w:rsidRPr="00170B4C">
        <w:rPr>
          <w:rFonts w:ascii="Cambria Math" w:hAnsi="Cambria Math" w:cs="Cambria Math"/>
        </w:rPr>
        <w:t>‑</w:t>
      </w:r>
      <w:r w:rsidRPr="00170B4C">
        <w:rPr>
          <w:rFonts w:ascii="Verdana" w:hAnsi="Verdana"/>
        </w:rPr>
        <w:t>termism.</w:t>
      </w:r>
    </w:p>
    <w:p w:rsidR="008D1BBE" w:rsidRPr="00170B4C" w:rsidP="00170B4C">
      <w:pPr>
        <w:pStyle w:val="ListParagraph"/>
        <w:numPr>
          <w:ilvl w:val="1"/>
          <w:numId w:val="5"/>
        </w:numPr>
        <w:spacing w:line="480" w:lineRule="auto"/>
        <w:contextualSpacing w:val="0"/>
        <w:rPr>
          <w:rFonts w:ascii="Verdana" w:hAnsi="Verdana"/>
          <w:i/>
          <w:iCs/>
        </w:rPr>
      </w:pPr>
      <w:r w:rsidRPr="00170B4C">
        <w:rPr>
          <w:rFonts w:ascii="Verdana" w:hAnsi="Verdana"/>
        </w:rPr>
        <w:t>Critically, mechanisms should support preventative investment, including where benefits accrue across departments or over long</w:t>
      </w:r>
      <w:r w:rsidRPr="00170B4C">
        <w:rPr>
          <w:rFonts w:ascii="Verdana" w:hAnsi="Verdana"/>
        </w:rPr>
        <w:t>er</w:t>
      </w:r>
      <w:r w:rsidRPr="00170B4C">
        <w:rPr>
          <w:rFonts w:ascii="Verdana" w:hAnsi="Verdana"/>
        </w:rPr>
        <w:t xml:space="preserve"> time horizons. Our work </w:t>
      </w:r>
      <w:r w:rsidRPr="00170B4C">
        <w:rPr>
          <w:rFonts w:ascii="Verdana" w:hAnsi="Verdana"/>
        </w:rPr>
        <w:t>looking at</w:t>
      </w:r>
      <w:r w:rsidRPr="00170B4C">
        <w:rPr>
          <w:rFonts w:ascii="Verdana" w:hAnsi="Verdana"/>
        </w:rPr>
        <w:t xml:space="preserve"> </w:t>
      </w:r>
      <w:r>
        <w:fldChar w:fldCharType="begin"/>
      </w:r>
      <w:r>
        <w:instrText xml:space="preserve"> HYPERLINK "https://carnegieuk.org/publication/policy-provocation-paper-second-round-fiscal-effects/" </w:instrText>
      </w:r>
      <w:r>
        <w:fldChar w:fldCharType="separate"/>
      </w:r>
      <w:r w:rsidRPr="00170B4C">
        <w:rPr>
          <w:rStyle w:val="Hyperlink"/>
          <w:rFonts w:ascii="Verdana" w:hAnsi="Verdana"/>
          <w:color w:val="auto"/>
        </w:rPr>
        <w:t>second</w:t>
      </w:r>
      <w:r w:rsidRPr="00170B4C">
        <w:rPr>
          <w:rStyle w:val="Hyperlink"/>
          <w:rFonts w:ascii="Verdana" w:hAnsi="Verdana"/>
          <w:color w:val="auto"/>
        </w:rPr>
        <w:t>-</w:t>
      </w:r>
      <w:r w:rsidRPr="00170B4C">
        <w:rPr>
          <w:rStyle w:val="Hyperlink"/>
          <w:rFonts w:ascii="Verdana" w:hAnsi="Verdana"/>
          <w:color w:val="auto"/>
        </w:rPr>
        <w:t>round fiscal effects</w:t>
      </w:r>
      <w:r>
        <w:fldChar w:fldCharType="end"/>
      </w:r>
      <w:r w:rsidRPr="00170B4C">
        <w:rPr>
          <w:rFonts w:ascii="Verdana" w:hAnsi="Verdana"/>
        </w:rPr>
        <w:t xml:space="preserve"> and </w:t>
      </w:r>
      <w:r>
        <w:fldChar w:fldCharType="begin"/>
      </w:r>
      <w:r>
        <w:instrText xml:space="preserve"> HYPERLINK "https://carnegieuk.org/publication/policy-provocation-paper-wellbeing-cost-benefit-analysis-cbax/" </w:instrText>
      </w:r>
      <w:r>
        <w:fldChar w:fldCharType="separate"/>
      </w:r>
      <w:r w:rsidRPr="00170B4C">
        <w:rPr>
          <w:rStyle w:val="Hyperlink"/>
          <w:rFonts w:ascii="Verdana" w:hAnsi="Verdana"/>
          <w:color w:val="auto"/>
        </w:rPr>
        <w:t>wellbeing cost</w:t>
      </w:r>
      <w:r w:rsidRPr="00170B4C">
        <w:rPr>
          <w:rStyle w:val="Hyperlink"/>
          <w:rFonts w:ascii="Verdana" w:hAnsi="Verdana"/>
          <w:color w:val="auto"/>
        </w:rPr>
        <w:t>-</w:t>
      </w:r>
      <w:r w:rsidRPr="00170B4C">
        <w:rPr>
          <w:rStyle w:val="Hyperlink"/>
          <w:rFonts w:ascii="Verdana" w:hAnsi="Verdana"/>
          <w:color w:val="auto"/>
        </w:rPr>
        <w:t>benefit analysis</w:t>
      </w:r>
      <w:r>
        <w:fldChar w:fldCharType="end"/>
      </w:r>
      <w:r w:rsidRPr="00170B4C">
        <w:rPr>
          <w:rFonts w:ascii="Verdana" w:hAnsi="Verdana"/>
        </w:rPr>
        <w:t xml:space="preserve"> highlights the importance of better </w:t>
      </w:r>
      <w:r w:rsidRPr="00170B4C">
        <w:rPr>
          <w:rFonts w:ascii="Verdana" w:hAnsi="Verdana"/>
        </w:rPr>
        <w:t xml:space="preserve">technical </w:t>
      </w:r>
      <w:r w:rsidRPr="00170B4C">
        <w:rPr>
          <w:rFonts w:ascii="Verdana" w:hAnsi="Verdana"/>
        </w:rPr>
        <w:t>tools to assess long</w:t>
      </w:r>
      <w:r w:rsidRPr="00170B4C">
        <w:rPr>
          <w:rFonts w:ascii="Verdana" w:hAnsi="Verdana"/>
        </w:rPr>
        <w:t>-</w:t>
      </w:r>
      <w:r w:rsidRPr="00170B4C">
        <w:rPr>
          <w:rFonts w:ascii="Verdana" w:hAnsi="Verdana"/>
        </w:rPr>
        <w:t>term costs and benefits for both present and future generations.</w:t>
      </w:r>
      <w:r w:rsidRPr="00170B4C">
        <w:rPr>
          <w:rFonts w:ascii="Verdana" w:hAnsi="Verdana"/>
        </w:rPr>
        <w:t xml:space="preserve"> </w:t>
      </w:r>
    </w:p>
    <w:p w:rsidR="008D1BBE" w:rsidRPr="00170B4C" w:rsidP="00170B4C">
      <w:pPr>
        <w:pStyle w:val="ListParagraph"/>
        <w:numPr>
          <w:ilvl w:val="1"/>
          <w:numId w:val="5"/>
        </w:numPr>
        <w:spacing w:line="480" w:lineRule="auto"/>
        <w:contextualSpacing w:val="0"/>
        <w:rPr>
          <w:rFonts w:ascii="Verdana" w:hAnsi="Verdana"/>
          <w:i/>
          <w:iCs/>
        </w:rPr>
      </w:pPr>
      <w:r w:rsidRPr="00170B4C">
        <w:rPr>
          <w:rFonts w:ascii="Verdana" w:hAnsi="Verdana"/>
        </w:rPr>
        <w:t>To</w:t>
      </w:r>
      <w:r w:rsidRPr="00170B4C">
        <w:rPr>
          <w:rFonts w:ascii="Verdana" w:hAnsi="Verdana"/>
        </w:rPr>
        <w:t xml:space="preserve"> succeed, </w:t>
      </w:r>
      <w:r w:rsidRPr="00170B4C">
        <w:rPr>
          <w:rFonts w:ascii="Verdana" w:hAnsi="Verdana"/>
        </w:rPr>
        <w:t xml:space="preserve">practices and </w:t>
      </w:r>
      <w:r w:rsidRPr="00170B4C">
        <w:rPr>
          <w:rFonts w:ascii="Verdana" w:hAnsi="Verdana"/>
        </w:rPr>
        <w:t xml:space="preserve">processes that enable preventative investment </w:t>
      </w:r>
      <w:r w:rsidRPr="00170B4C">
        <w:rPr>
          <w:rFonts w:ascii="Verdana" w:hAnsi="Verdana"/>
        </w:rPr>
        <w:t>require</w:t>
      </w:r>
      <w:r w:rsidRPr="00170B4C">
        <w:rPr>
          <w:rFonts w:ascii="Verdana" w:hAnsi="Verdana"/>
        </w:rPr>
        <w:t xml:space="preserve"> those tasked with developing and implementing proposals to be </w:t>
      </w:r>
      <w:r w:rsidRPr="00170B4C">
        <w:rPr>
          <w:rFonts w:ascii="Verdana" w:hAnsi="Verdana"/>
        </w:rPr>
        <w:t xml:space="preserve">properly </w:t>
      </w:r>
      <w:r w:rsidRPr="00170B4C">
        <w:rPr>
          <w:rFonts w:ascii="Verdana" w:hAnsi="Verdana"/>
        </w:rPr>
        <w:t xml:space="preserve">supported </w:t>
      </w:r>
      <w:r w:rsidRPr="00170B4C">
        <w:rPr>
          <w:rFonts w:ascii="Verdana" w:hAnsi="Verdana"/>
        </w:rPr>
        <w:t xml:space="preserve">and incentivised to </w:t>
      </w:r>
      <w:r w:rsidRPr="00170B4C">
        <w:rPr>
          <w:rFonts w:ascii="Verdana" w:hAnsi="Verdana"/>
        </w:rPr>
        <w:t>transition</w:t>
      </w:r>
      <w:r w:rsidRPr="00170B4C">
        <w:rPr>
          <w:rFonts w:ascii="Verdana" w:hAnsi="Verdana"/>
        </w:rPr>
        <w:t xml:space="preserve"> towards </w:t>
      </w:r>
      <w:r w:rsidRPr="00170B4C">
        <w:rPr>
          <w:rFonts w:ascii="Verdana" w:hAnsi="Verdana"/>
        </w:rPr>
        <w:t xml:space="preserve">working </w:t>
      </w:r>
      <w:r w:rsidRPr="00170B4C">
        <w:rPr>
          <w:rFonts w:ascii="Verdana" w:hAnsi="Verdana"/>
        </w:rPr>
        <w:t xml:space="preserve">approaches that value long-term outcomes </w:t>
      </w:r>
      <w:r w:rsidRPr="00170B4C">
        <w:rPr>
          <w:rFonts w:ascii="Verdana" w:hAnsi="Verdana"/>
        </w:rPr>
        <w:t>above short-term</w:t>
      </w:r>
      <w:r w:rsidRPr="00170B4C">
        <w:rPr>
          <w:rFonts w:ascii="Verdana" w:hAnsi="Verdana"/>
        </w:rPr>
        <w:t xml:space="preserve"> outputs</w:t>
      </w:r>
      <w:r w:rsidRPr="00170B4C">
        <w:rPr>
          <w:rFonts w:ascii="Verdana" w:hAnsi="Verdana"/>
        </w:rPr>
        <w:t>.</w:t>
      </w:r>
      <w:r w:rsidRPr="00170B4C">
        <w:rPr>
          <w:rFonts w:ascii="Verdana" w:hAnsi="Verdana"/>
          <w:i/>
          <w:iCs/>
        </w:rPr>
        <w:t xml:space="preserve"> </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What risks does the Government need to consider in any further fiscal devolution?</w:t>
      </w:r>
    </w:p>
    <w:p w:rsidR="008D1BBE" w:rsidRPr="00170B4C" w:rsidP="00170B4C">
      <w:pPr>
        <w:pStyle w:val="ListParagraph"/>
        <w:numPr>
          <w:ilvl w:val="1"/>
          <w:numId w:val="5"/>
        </w:numPr>
        <w:spacing w:line="480" w:lineRule="auto"/>
        <w:rPr>
          <w:rFonts w:ascii="Verdana" w:hAnsi="Verdana"/>
        </w:rPr>
      </w:pPr>
      <w:r w:rsidRPr="00170B4C">
        <w:rPr>
          <w:rFonts w:ascii="Verdana" w:hAnsi="Verdana"/>
        </w:rPr>
        <w:t>Carnegie UK’s work highlights several significant risks that must be addressed if fiscal devolution is to succeed.</w:t>
      </w:r>
    </w:p>
    <w:p w:rsidR="008D1BBE" w:rsidRPr="00170B4C" w:rsidP="00170B4C">
      <w:pPr>
        <w:pStyle w:val="Heading4"/>
        <w:spacing w:line="480" w:lineRule="auto"/>
        <w:rPr>
          <w:rFonts w:ascii="Verdana" w:hAnsi="Verdana"/>
          <w:color w:val="auto"/>
        </w:rPr>
      </w:pPr>
      <w:r w:rsidRPr="00170B4C">
        <w:rPr>
          <w:rFonts w:ascii="Verdana" w:hAnsi="Verdana"/>
          <w:color w:val="auto"/>
        </w:rPr>
        <w:t>Entrenching regional inequalities</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Carnegie UK’s Life in the UK wellbeing data consistently shows lower levels of wellbeing among people in more deprived neighbourhoods and on lower incomes.</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There </w:t>
      </w:r>
      <w:r w:rsidRPr="00170B4C">
        <w:rPr>
          <w:rFonts w:ascii="Verdana" w:hAnsi="Verdana"/>
        </w:rPr>
        <w:t xml:space="preserve">is a risk that fiscal devolution </w:t>
      </w:r>
      <w:r w:rsidRPr="00170B4C">
        <w:rPr>
          <w:rFonts w:ascii="Verdana" w:hAnsi="Verdana"/>
        </w:rPr>
        <w:t xml:space="preserve">may </w:t>
      </w:r>
      <w:r w:rsidRPr="00170B4C">
        <w:rPr>
          <w:rFonts w:ascii="Verdana" w:hAnsi="Verdana"/>
        </w:rPr>
        <w:t>deepen existing inequalities if new powers accrue primarily to places that already have stronger tax bases, institutional capacity or economic advantage.</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 xml:space="preserve">The Chancellor’s statement indicating that reforms may initially target “places that have the greatest capacity to deliver them, and the greatest potential to benefit” raises </w:t>
      </w:r>
      <w:r w:rsidRPr="00170B4C">
        <w:rPr>
          <w:rFonts w:ascii="Verdana" w:hAnsi="Verdana"/>
        </w:rPr>
        <w:t>important questions</w:t>
      </w:r>
      <w:r w:rsidRPr="00170B4C">
        <w:rPr>
          <w:rFonts w:ascii="Verdana" w:hAnsi="Verdana"/>
        </w:rPr>
        <w:t xml:space="preserve"> in this context</w:t>
      </w:r>
      <w:r w:rsidRPr="00170B4C">
        <w:rPr>
          <w:rFonts w:ascii="Verdana" w:hAnsi="Verdana"/>
        </w:rPr>
        <w:t xml:space="preserve">. Without </w:t>
      </w:r>
      <w:r w:rsidRPr="00170B4C">
        <w:rPr>
          <w:rFonts w:ascii="Verdana" w:hAnsi="Verdana"/>
        </w:rPr>
        <w:t xml:space="preserve">consideration on effective </w:t>
      </w:r>
      <w:r w:rsidRPr="00170B4C">
        <w:rPr>
          <w:rFonts w:ascii="Verdana" w:hAnsi="Verdana"/>
        </w:rPr>
        <w:t xml:space="preserve">equalisation and redistribution mechanisms, </w:t>
      </w:r>
      <w:r w:rsidRPr="00170B4C">
        <w:rPr>
          <w:rFonts w:ascii="Verdana" w:hAnsi="Verdana"/>
        </w:rPr>
        <w:t xml:space="preserve">there is a risk of </w:t>
      </w:r>
      <w:r w:rsidRPr="00170B4C">
        <w:rPr>
          <w:rFonts w:ascii="Verdana" w:hAnsi="Verdana"/>
        </w:rPr>
        <w:t>reinforcing disparities rather than narrowing them</w:t>
      </w:r>
      <w:r w:rsidRPr="00170B4C">
        <w:rPr>
          <w:rFonts w:ascii="Verdana" w:hAnsi="Verdana"/>
        </w:rPr>
        <w:t xml:space="preserve"> </w:t>
      </w:r>
      <w:r w:rsidRPr="00170B4C">
        <w:rPr>
          <w:rFonts w:ascii="Verdana" w:hAnsi="Verdana"/>
        </w:rPr>
        <w:t>to</w:t>
      </w:r>
      <w:r w:rsidRPr="00170B4C">
        <w:rPr>
          <w:rFonts w:ascii="Verdana" w:hAnsi="Verdana"/>
        </w:rPr>
        <w:t xml:space="preserve"> </w:t>
      </w:r>
      <w:r w:rsidRPr="00170B4C">
        <w:rPr>
          <w:rFonts w:ascii="Verdana" w:hAnsi="Verdana"/>
        </w:rPr>
        <w:t>contribute</w:t>
      </w:r>
      <w:r w:rsidRPr="00170B4C">
        <w:rPr>
          <w:rFonts w:ascii="Verdana" w:hAnsi="Verdana"/>
        </w:rPr>
        <w:t xml:space="preserve"> to improving people’s wellbeing</w:t>
      </w:r>
      <w:r w:rsidRPr="00170B4C">
        <w:rPr>
          <w:rFonts w:ascii="Verdana" w:hAnsi="Verdana"/>
        </w:rPr>
        <w:t>.</w:t>
      </w:r>
    </w:p>
    <w:p w:rsidR="008D1BBE" w:rsidRPr="00170B4C" w:rsidP="00170B4C">
      <w:pPr>
        <w:pStyle w:val="Heading4"/>
        <w:spacing w:line="480" w:lineRule="auto"/>
        <w:rPr>
          <w:rFonts w:ascii="Verdana" w:hAnsi="Verdana"/>
          <w:color w:val="auto"/>
        </w:rPr>
      </w:pPr>
      <w:r w:rsidRPr="00170B4C">
        <w:rPr>
          <w:rFonts w:ascii="Verdana" w:hAnsi="Verdana"/>
          <w:color w:val="auto"/>
        </w:rPr>
        <w:t>Institutional incoherence and complexity</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Our expert roundtable discussions repeatedly highlighted the fragmented and asymmetric nature of the UK’s devolved governance arrangements. Powers, responsibilities and accountability mechanisms differ across devolved nations, combined authorities, local authorities, and other public bodies in ways that are often unclear to decision</w:t>
      </w:r>
      <w:r w:rsidRPr="00170B4C">
        <w:rPr>
          <w:rFonts w:ascii="Cambria Math" w:hAnsi="Cambria Math" w:cs="Cambria Math"/>
        </w:rPr>
        <w:t>‑</w:t>
      </w:r>
      <w:r w:rsidRPr="00170B4C">
        <w:rPr>
          <w:rFonts w:ascii="Verdana" w:hAnsi="Verdana"/>
        </w:rPr>
        <w:t>makers.</w:t>
      </w:r>
      <w:r w:rsidRPr="00170B4C">
        <w:rPr>
          <w:rFonts w:ascii="Verdana" w:hAnsi="Verdana"/>
        </w:rPr>
        <w:t xml:space="preserve"> </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T</w:t>
      </w:r>
      <w:r w:rsidRPr="00170B4C">
        <w:rPr>
          <w:rFonts w:ascii="Verdana" w:hAnsi="Verdana"/>
        </w:rPr>
        <w:t>his incoherence leads to duplication, inefficiency and blurred accountability, limiting the ability of fiscal policy to support coherent, outcomes</w:t>
      </w:r>
      <w:r w:rsidRPr="00170B4C">
        <w:rPr>
          <w:rFonts w:ascii="Cambria Math" w:hAnsi="Cambria Math" w:cs="Cambria Math"/>
        </w:rPr>
        <w:t>‑</w:t>
      </w:r>
      <w:r w:rsidRPr="00170B4C">
        <w:rPr>
          <w:rFonts w:ascii="Verdana" w:hAnsi="Verdana"/>
        </w:rPr>
        <w:t>focused decision</w:t>
      </w:r>
      <w:r w:rsidRPr="00170B4C">
        <w:rPr>
          <w:rFonts w:ascii="Cambria Math" w:hAnsi="Cambria Math" w:cs="Cambria Math"/>
        </w:rPr>
        <w:t>‑</w:t>
      </w:r>
      <w:r w:rsidRPr="00170B4C">
        <w:rPr>
          <w:rFonts w:ascii="Verdana" w:hAnsi="Verdana"/>
        </w:rPr>
        <w:t xml:space="preserve">making. Any expansion of fiscal powers </w:t>
      </w:r>
      <w:r w:rsidRPr="00170B4C">
        <w:rPr>
          <w:rFonts w:ascii="Verdana" w:hAnsi="Verdana"/>
        </w:rPr>
        <w:t>should</w:t>
      </w:r>
      <w:r w:rsidRPr="00170B4C">
        <w:rPr>
          <w:rFonts w:ascii="Verdana" w:hAnsi="Verdana"/>
        </w:rPr>
        <w:t xml:space="preserve"> be accompanied by greater clarity on who is responsible for what, and how decisions are scrutinised.</w:t>
      </w:r>
    </w:p>
    <w:p w:rsidR="008D1BBE" w:rsidRPr="00170B4C" w:rsidP="00170B4C">
      <w:pPr>
        <w:pStyle w:val="Heading4"/>
        <w:spacing w:line="480" w:lineRule="auto"/>
        <w:rPr>
          <w:rFonts w:ascii="Verdana" w:hAnsi="Verdana"/>
          <w:color w:val="auto"/>
        </w:rPr>
      </w:pPr>
      <w:r w:rsidRPr="00170B4C">
        <w:rPr>
          <w:rFonts w:ascii="Verdana" w:hAnsi="Verdana"/>
          <w:color w:val="auto"/>
        </w:rPr>
        <w:t>Capacity and capability constraints</w:t>
      </w:r>
    </w:p>
    <w:p w:rsidR="008D1BBE" w:rsidRPr="00170B4C" w:rsidP="00170B4C">
      <w:pPr>
        <w:pStyle w:val="ListParagraph"/>
        <w:numPr>
          <w:ilvl w:val="1"/>
          <w:numId w:val="5"/>
        </w:numPr>
        <w:spacing w:line="480" w:lineRule="auto"/>
        <w:rPr>
          <w:rFonts w:ascii="Verdana" w:hAnsi="Verdana"/>
        </w:rPr>
      </w:pPr>
      <w:r w:rsidRPr="00170B4C">
        <w:rPr>
          <w:rFonts w:ascii="Verdana" w:hAnsi="Verdana"/>
        </w:rPr>
        <w:t xml:space="preserve">Fiscal devolution imposes new technical, analytical and democratic demands on institutions. Many local authorities are operating under </w:t>
      </w:r>
      <w:r w:rsidRPr="00170B4C">
        <w:rPr>
          <w:rFonts w:ascii="Verdana" w:hAnsi="Verdana"/>
        </w:rPr>
        <w:t>severe resource pressure, with limited headroom to absorb complex new fiscal responsibilities.</w:t>
      </w:r>
      <w:r w:rsidRPr="00170B4C">
        <w:rPr>
          <w:rFonts w:ascii="Verdana" w:hAnsi="Verdana"/>
        </w:rPr>
        <w:t xml:space="preserve"> </w:t>
      </w:r>
      <w:r w:rsidRPr="00170B4C">
        <w:rPr>
          <w:rFonts w:ascii="Verdana" w:hAnsi="Verdana"/>
        </w:rPr>
        <w:t>Without sustained investment in people, systems and learning, there is a risk that fiscal devolution becomes either symbolic or administratively burdensome, rather than transformative.</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Does fiscal devolution require wider constitutional change to be successful?</w:t>
      </w:r>
    </w:p>
    <w:p w:rsidR="008D1BBE" w:rsidRPr="00170B4C" w:rsidP="00170B4C">
      <w:pPr>
        <w:spacing w:line="480" w:lineRule="auto"/>
        <w:rPr>
          <w:rFonts w:ascii="Verdana" w:hAnsi="Verdana"/>
        </w:rPr>
      </w:pPr>
      <w:r w:rsidRPr="00170B4C">
        <w:rPr>
          <w:rFonts w:ascii="Verdana" w:hAnsi="Verdana"/>
        </w:rPr>
        <w:t>No comment</w:t>
      </w:r>
      <w:r w:rsidRPr="00170B4C">
        <w:rPr>
          <w:rFonts w:ascii="Verdana" w:hAnsi="Verdana"/>
        </w:rPr>
        <w:t>.</w:t>
      </w:r>
    </w:p>
    <w:p w:rsidR="008D1BBE" w:rsidRPr="00170B4C" w:rsidP="00170B4C">
      <w:pPr>
        <w:pStyle w:val="Heading3"/>
        <w:spacing w:line="480" w:lineRule="auto"/>
        <w:rPr>
          <w:rFonts w:ascii="Verdana" w:hAnsi="Verdana"/>
          <w:color w:val="auto"/>
          <w:sz w:val="24"/>
          <w:szCs w:val="24"/>
        </w:rPr>
      </w:pPr>
      <w:r w:rsidRPr="00170B4C">
        <w:rPr>
          <w:rFonts w:ascii="Verdana" w:hAnsi="Verdana"/>
          <w:color w:val="auto"/>
          <w:sz w:val="24"/>
          <w:szCs w:val="24"/>
        </w:rPr>
        <w:t>Which forms of fiscal devolution in other countries can the UK learn from?</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Carnegie UK has identified several examples of international practices in relation to fiscal processes and devolution</w:t>
      </w:r>
      <w:r w:rsidRPr="00170B4C">
        <w:rPr>
          <w:rFonts w:ascii="Verdana" w:hAnsi="Verdana"/>
        </w:rPr>
        <w:t>, specifically in relation to borrowing frameworks</w:t>
      </w:r>
      <w:r w:rsidRPr="00170B4C">
        <w:rPr>
          <w:rFonts w:ascii="Verdana" w:hAnsi="Verdana"/>
        </w:rPr>
        <w:t>.</w:t>
      </w:r>
      <w:r w:rsidRPr="00170B4C">
        <w:rPr>
          <w:rFonts w:ascii="Verdana" w:hAnsi="Verdana"/>
        </w:rPr>
        <w:t xml:space="preserve"> </w:t>
      </w:r>
      <w:r w:rsidRPr="00170B4C">
        <w:rPr>
          <w:rFonts w:ascii="Verdana" w:hAnsi="Verdana"/>
        </w:rPr>
        <w:t>These</w:t>
      </w:r>
      <w:r w:rsidRPr="00170B4C">
        <w:rPr>
          <w:rFonts w:ascii="Verdana" w:hAnsi="Verdana"/>
        </w:rPr>
        <w:t xml:space="preserve"> include </w:t>
      </w:r>
      <w:r w:rsidRPr="00170B4C">
        <w:rPr>
          <w:rFonts w:ascii="Verdana" w:hAnsi="Verdana" w:eastAsiaTheme="minorEastAsia"/>
        </w:rPr>
        <w:t xml:space="preserve">Australian states, which have substantial borrowing autonomy alongside a well-established system of GST redistribution and fiscal equalisation; </w:t>
      </w:r>
      <w:r w:rsidRPr="00170B4C">
        <w:rPr>
          <w:rFonts w:ascii="Verdana" w:hAnsi="Verdana"/>
        </w:rPr>
        <w:t>Canadian provinces</w:t>
      </w:r>
      <w:r w:rsidRPr="00170B4C">
        <w:rPr>
          <w:rFonts w:ascii="Verdana" w:hAnsi="Verdana"/>
        </w:rPr>
        <w:t xml:space="preserve">, which can borrow </w:t>
      </w:r>
      <w:r w:rsidRPr="00170B4C">
        <w:rPr>
          <w:rFonts w:ascii="Verdana" w:hAnsi="Verdana"/>
        </w:rPr>
        <w:t>with significant autonomy</w:t>
      </w:r>
      <w:r w:rsidRPr="00170B4C">
        <w:rPr>
          <w:rFonts w:ascii="Verdana" w:hAnsi="Verdana"/>
        </w:rPr>
        <w:t xml:space="preserve">; </w:t>
      </w:r>
      <w:r w:rsidRPr="00170B4C">
        <w:rPr>
          <w:rFonts w:ascii="Verdana" w:hAnsi="Verdana"/>
        </w:rPr>
        <w:t xml:space="preserve">US </w:t>
      </w:r>
      <w:r w:rsidRPr="00170B4C">
        <w:rPr>
          <w:rFonts w:ascii="Verdana" w:hAnsi="Verdana"/>
        </w:rPr>
        <w:t>s</w:t>
      </w:r>
      <w:r w:rsidRPr="00170B4C">
        <w:rPr>
          <w:rFonts w:ascii="Verdana" w:hAnsi="Verdana"/>
        </w:rPr>
        <w:t>tates</w:t>
      </w:r>
      <w:r w:rsidRPr="00170B4C">
        <w:rPr>
          <w:rFonts w:ascii="Verdana" w:hAnsi="Verdana"/>
        </w:rPr>
        <w:t xml:space="preserve">, which </w:t>
      </w:r>
      <w:r w:rsidRPr="00170B4C">
        <w:rPr>
          <w:rFonts w:ascii="Verdana" w:hAnsi="Verdana"/>
        </w:rPr>
        <w:t>mostly operate to balanced budget rules</w:t>
      </w:r>
      <w:r w:rsidRPr="00170B4C">
        <w:rPr>
          <w:rFonts w:ascii="Verdana" w:hAnsi="Verdana"/>
        </w:rPr>
        <w:t xml:space="preserve"> but can</w:t>
      </w:r>
      <w:r w:rsidRPr="00170B4C">
        <w:rPr>
          <w:rFonts w:ascii="Verdana" w:hAnsi="Verdana"/>
        </w:rPr>
        <w:t xml:space="preserve"> borrow for </w:t>
      </w:r>
      <w:r w:rsidRPr="00170B4C">
        <w:rPr>
          <w:rFonts w:ascii="Verdana" w:hAnsi="Verdana" w:eastAsiaTheme="minorEastAsia"/>
        </w:rPr>
        <w:t>capital projects</w:t>
      </w:r>
      <w:r w:rsidRPr="00170B4C">
        <w:rPr>
          <w:rFonts w:ascii="Verdana" w:hAnsi="Verdana" w:eastAsiaTheme="minorEastAsia"/>
        </w:rPr>
        <w:t xml:space="preserve"> subject to state</w:t>
      </w:r>
      <w:r w:rsidRPr="00170B4C">
        <w:rPr>
          <w:rFonts w:ascii="Verdana" w:hAnsi="Verdana" w:eastAsiaTheme="minorEastAsia"/>
        </w:rPr>
        <w:t>-</w:t>
      </w:r>
      <w:r w:rsidRPr="00170B4C">
        <w:rPr>
          <w:rFonts w:ascii="Verdana" w:hAnsi="Verdana" w:eastAsiaTheme="minorEastAsia"/>
        </w:rPr>
        <w:t>level legal frameworks</w:t>
      </w:r>
      <w:r w:rsidRPr="00170B4C">
        <w:rPr>
          <w:rFonts w:ascii="Verdana" w:hAnsi="Verdana" w:eastAsiaTheme="minorEastAsia"/>
        </w:rPr>
        <w:t>;</w:t>
      </w:r>
      <w:r w:rsidRPr="00170B4C">
        <w:rPr>
          <w:rFonts w:ascii="Verdana" w:hAnsi="Verdana"/>
        </w:rPr>
        <w:t xml:space="preserve"> </w:t>
      </w:r>
      <w:r w:rsidRPr="00170B4C">
        <w:rPr>
          <w:rFonts w:ascii="Verdana" w:hAnsi="Verdana"/>
        </w:rPr>
        <w:t xml:space="preserve">and </w:t>
      </w:r>
      <w:r w:rsidRPr="00170B4C">
        <w:rPr>
          <w:rFonts w:ascii="Verdana" w:hAnsi="Verdana"/>
        </w:rPr>
        <w:t xml:space="preserve">German </w:t>
      </w:r>
      <w:r w:rsidRPr="00170B4C">
        <w:rPr>
          <w:rFonts w:ascii="Verdana" w:hAnsi="Verdana"/>
        </w:rPr>
        <w:t>Länder</w:t>
      </w:r>
      <w:r w:rsidRPr="00170B4C">
        <w:rPr>
          <w:rFonts w:ascii="Verdana" w:hAnsi="Verdana"/>
        </w:rPr>
        <w:t xml:space="preserve">, which </w:t>
      </w:r>
      <w:r w:rsidRPr="00170B4C">
        <w:rPr>
          <w:rFonts w:ascii="Verdana" w:hAnsi="Verdana"/>
        </w:rPr>
        <w:t xml:space="preserve">must balance budgets </w:t>
      </w:r>
      <w:r w:rsidRPr="00170B4C">
        <w:rPr>
          <w:rFonts w:ascii="Verdana" w:hAnsi="Verdana"/>
        </w:rPr>
        <w:t>(with exceptions for</w:t>
      </w:r>
      <w:r w:rsidRPr="00170B4C">
        <w:rPr>
          <w:rFonts w:ascii="Verdana" w:hAnsi="Verdana"/>
        </w:rPr>
        <w:t xml:space="preserve"> downturns or emergencies</w:t>
      </w:r>
      <w:r w:rsidRPr="00170B4C">
        <w:rPr>
          <w:rFonts w:ascii="Verdana" w:hAnsi="Verdana"/>
        </w:rPr>
        <w:t>)</w:t>
      </w:r>
      <w:r w:rsidRPr="00170B4C">
        <w:rPr>
          <w:rFonts w:ascii="Verdana" w:hAnsi="Verdana"/>
        </w:rPr>
        <w:t xml:space="preserve"> </w:t>
      </w:r>
      <w:r w:rsidRPr="00170B4C">
        <w:rPr>
          <w:rFonts w:ascii="Verdana" w:hAnsi="Verdana"/>
        </w:rPr>
        <w:t>but can bor</w:t>
      </w:r>
      <w:r w:rsidRPr="00170B4C">
        <w:rPr>
          <w:rFonts w:ascii="Verdana" w:hAnsi="Verdana"/>
        </w:rPr>
        <w:t xml:space="preserve">row </w:t>
      </w:r>
      <w:r w:rsidRPr="00170B4C">
        <w:rPr>
          <w:rFonts w:ascii="Verdana" w:hAnsi="Verdana"/>
        </w:rPr>
        <w:t xml:space="preserve">within rules that limit deficits </w:t>
      </w:r>
      <w:r w:rsidRPr="00170B4C">
        <w:rPr>
          <w:rFonts w:ascii="Verdana" w:hAnsi="Verdana"/>
        </w:rPr>
        <w:t>relative to GDP</w:t>
      </w:r>
      <w:r w:rsidRPr="00170B4C">
        <w:rPr>
          <w:rFonts w:ascii="Verdana" w:hAnsi="Verdana"/>
        </w:rPr>
        <w:t xml:space="preserve"> rather than</w:t>
      </w:r>
      <w:r w:rsidRPr="00170B4C">
        <w:rPr>
          <w:rFonts w:ascii="Verdana" w:hAnsi="Verdana"/>
        </w:rPr>
        <w:t xml:space="preserve"> </w:t>
      </w:r>
      <w:r w:rsidRPr="00170B4C">
        <w:rPr>
          <w:rFonts w:ascii="Verdana" w:hAnsi="Verdana"/>
        </w:rPr>
        <w:t xml:space="preserve">through </w:t>
      </w:r>
      <w:r w:rsidRPr="00170B4C">
        <w:rPr>
          <w:rFonts w:ascii="Verdana" w:hAnsi="Verdana"/>
        </w:rPr>
        <w:t xml:space="preserve">fixed cash </w:t>
      </w:r>
      <w:r w:rsidRPr="00170B4C">
        <w:rPr>
          <w:rFonts w:ascii="Verdana" w:hAnsi="Verdana"/>
        </w:rPr>
        <w:t>caps</w:t>
      </w:r>
      <w:r w:rsidRPr="00170B4C">
        <w:rPr>
          <w:rFonts w:ascii="Verdana" w:hAnsi="Verdana"/>
        </w:rPr>
        <w:t>.</w:t>
      </w:r>
      <w:r w:rsidRPr="00170B4C">
        <w:rPr>
          <w:rFonts w:ascii="Verdana" w:hAnsi="Verdana"/>
        </w:rPr>
        <w:t xml:space="preserve"> </w:t>
      </w:r>
    </w:p>
    <w:p w:rsidR="008D1BBE" w:rsidRPr="00170B4C" w:rsidP="00170B4C">
      <w:pPr>
        <w:pStyle w:val="ListParagraph"/>
        <w:numPr>
          <w:ilvl w:val="1"/>
          <w:numId w:val="5"/>
        </w:numPr>
        <w:spacing w:line="480" w:lineRule="auto"/>
        <w:contextualSpacing w:val="0"/>
        <w:rPr>
          <w:rFonts w:ascii="Verdana" w:hAnsi="Verdana"/>
        </w:rPr>
      </w:pPr>
      <w:r w:rsidRPr="00170B4C">
        <w:rPr>
          <w:rFonts w:ascii="Verdana" w:hAnsi="Verdana"/>
        </w:rPr>
        <w:t>Compared to these international examples</w:t>
      </w:r>
      <w:r w:rsidRPr="00170B4C">
        <w:rPr>
          <w:rFonts w:ascii="Verdana" w:hAnsi="Verdana"/>
        </w:rPr>
        <w:t>,</w:t>
      </w:r>
      <w:r w:rsidRPr="00170B4C">
        <w:rPr>
          <w:rFonts w:ascii="Verdana" w:hAnsi="Verdana"/>
        </w:rPr>
        <w:t xml:space="preserve"> </w:t>
      </w:r>
      <w:r w:rsidRPr="00170B4C">
        <w:rPr>
          <w:rFonts w:ascii="Verdana" w:hAnsi="Verdana"/>
        </w:rPr>
        <w:t>devolved</w:t>
      </w:r>
      <w:r w:rsidRPr="00170B4C">
        <w:rPr>
          <w:rFonts w:ascii="Verdana" w:hAnsi="Verdana"/>
        </w:rPr>
        <w:t xml:space="preserve"> borrowing </w:t>
      </w:r>
      <w:r w:rsidRPr="00170B4C">
        <w:rPr>
          <w:rFonts w:ascii="Verdana" w:hAnsi="Verdana"/>
        </w:rPr>
        <w:t>powers</w:t>
      </w:r>
      <w:r w:rsidRPr="00170B4C">
        <w:rPr>
          <w:rFonts w:ascii="Verdana" w:hAnsi="Verdana"/>
        </w:rPr>
        <w:t xml:space="preserve"> </w:t>
      </w:r>
      <w:r w:rsidRPr="00170B4C">
        <w:rPr>
          <w:rFonts w:ascii="Verdana" w:hAnsi="Verdana"/>
        </w:rPr>
        <w:t>within the</w:t>
      </w:r>
      <w:r w:rsidRPr="00170B4C">
        <w:rPr>
          <w:rFonts w:ascii="Verdana" w:hAnsi="Verdana"/>
        </w:rPr>
        <w:t xml:space="preserve"> UK </w:t>
      </w:r>
      <w:r w:rsidRPr="00170B4C">
        <w:rPr>
          <w:rFonts w:ascii="Verdana" w:hAnsi="Verdana"/>
        </w:rPr>
        <w:t>remain</w:t>
      </w:r>
      <w:r w:rsidRPr="00170B4C">
        <w:rPr>
          <w:rFonts w:ascii="Verdana" w:hAnsi="Verdana"/>
        </w:rPr>
        <w:t xml:space="preserve"> small, limited</w:t>
      </w:r>
      <w:r w:rsidRPr="00170B4C">
        <w:rPr>
          <w:rFonts w:ascii="Verdana" w:hAnsi="Verdana"/>
        </w:rPr>
        <w:t>,</w:t>
      </w:r>
      <w:r w:rsidRPr="00170B4C">
        <w:rPr>
          <w:rFonts w:ascii="Verdana" w:hAnsi="Verdana"/>
        </w:rPr>
        <w:t xml:space="preserve"> and tightly controlled by the central UK Treasury</w:t>
      </w:r>
      <w:r w:rsidRPr="00170B4C">
        <w:rPr>
          <w:rFonts w:ascii="Verdana" w:hAnsi="Verdana"/>
        </w:rPr>
        <w:t xml:space="preserve">, both for devolved governments and </w:t>
      </w:r>
      <w:r w:rsidRPr="00170B4C">
        <w:rPr>
          <w:rFonts w:ascii="Verdana" w:hAnsi="Verdana"/>
        </w:rPr>
        <w:t xml:space="preserve">subnational </w:t>
      </w:r>
      <w:r w:rsidRPr="00170B4C">
        <w:rPr>
          <w:rFonts w:ascii="Verdana" w:hAnsi="Verdana"/>
        </w:rPr>
        <w:t>authorities</w:t>
      </w:r>
      <w:r w:rsidRPr="00170B4C">
        <w:rPr>
          <w:rFonts w:ascii="Verdana" w:hAnsi="Verdana"/>
        </w:rPr>
        <w:t>.</w:t>
      </w:r>
    </w:p>
    <w:p w:rsidR="00170B4C" w:rsidRPr="00170B4C" w:rsidP="00170B4C">
      <w:pPr>
        <w:spacing w:line="480" w:lineRule="auto"/>
        <w:rPr>
          <w:rFonts w:ascii="Verdana" w:hAnsi="Verdana"/>
          <w:i/>
          <w:iCs/>
          <w:lang w:val="en-US"/>
        </w:rPr>
      </w:pPr>
      <w:r w:rsidRPr="00170B4C">
        <w:rPr>
          <w:rFonts w:ascii="Verdana" w:hAnsi="Verdana"/>
          <w:i/>
          <w:iCs/>
        </w:rPr>
        <w:t>4 June 2026</w:t>
      </w:r>
    </w:p>
    <w:sectPr>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BBE">
    <w:pPr>
      <w:pStyle w:val="Footer"/>
      <w:jc w:val="right"/>
    </w:pPr>
  </w:p>
  <w:p w:rsidR="008D1BB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85B24"/>
    <w:multiLevelType w:val="multilevel"/>
    <w:tmpl w:val="64324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F6913"/>
    <w:multiLevelType w:val="multilevel"/>
    <w:tmpl w:val="7910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F0C47"/>
    <w:multiLevelType w:val="multilevel"/>
    <w:tmpl w:val="E58A87FC"/>
    <w:lvl w:ilvl="0">
      <w:start w:val="1"/>
      <w:numFmt w:val="decimal"/>
      <w:lvlText w:val="%1."/>
      <w:lvlJc w:val="left"/>
      <w:pPr>
        <w:ind w:left="0" w:hanging="510"/>
      </w:pPr>
      <w:rPr>
        <w:rFonts w:hint="default"/>
      </w:rPr>
    </w:lvl>
    <w:lvl w:ilvl="1">
      <w:start w:val="1"/>
      <w:numFmt w:val="decimalZero"/>
      <w:lvlText w:val="%1.%2."/>
      <w:lvlJc w:val="left"/>
      <w:pPr>
        <w:ind w:left="0" w:hanging="624"/>
      </w:pPr>
      <w:rPr>
        <w:rFonts w:ascii="Raleway" w:hAnsi="Raleway"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CC33C0"/>
    <w:multiLevelType w:val="hybridMultilevel"/>
    <w:tmpl w:val="20360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2E4892"/>
    <w:multiLevelType w:val="multilevel"/>
    <w:tmpl w:val="762C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B4E5B"/>
    <w:multiLevelType w:val="hybridMultilevel"/>
    <w:tmpl w:val="642A1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E03949"/>
    <w:multiLevelType w:val="multilevel"/>
    <w:tmpl w:val="B2B8EAA6"/>
    <w:lvl w:ilvl="0">
      <w:start w:val="0"/>
      <w:numFmt w:val="decimal"/>
      <w:lvlText w:val="%1."/>
      <w:lvlJc w:val="left"/>
      <w:pPr>
        <w:ind w:left="0" w:hanging="510"/>
      </w:pPr>
      <w:rPr>
        <w:rFonts w:hint="default"/>
      </w:rPr>
    </w:lvl>
    <w:lvl w:ilvl="1">
      <w:start w:val="1"/>
      <w:numFmt w:val="decimal"/>
      <w:lvlText w:val="%1.%2."/>
      <w:lvlJc w:val="left"/>
      <w:pPr>
        <w:ind w:left="0" w:hanging="680"/>
      </w:pPr>
      <w:rPr>
        <w:rFonts w:ascii="Raleway" w:hAnsi="Raleway"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5994F5E"/>
    <w:multiLevelType w:val="hybridMultilevel"/>
    <w:tmpl w:val="0D2A66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9186FD6"/>
    <w:multiLevelType w:val="hybridMultilevel"/>
    <w:tmpl w:val="4392A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DB4545"/>
    <w:multiLevelType w:val="hybridMultilevel"/>
    <w:tmpl w:val="3B628C76"/>
    <w:lvl w:ilvl="0">
      <w:start w:val="0"/>
      <w:numFmt w:val="decimal"/>
      <w:lvlText w:val="%1."/>
      <w:lvlJc w:val="left"/>
      <w:pPr>
        <w:ind w:left="0" w:hanging="56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CE4FF7"/>
    <w:multiLevelType w:val="hybridMultilevel"/>
    <w:tmpl w:val="D6868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144710"/>
    <w:multiLevelType w:val="multilevel"/>
    <w:tmpl w:val="E2C4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313BA4"/>
    <w:multiLevelType w:val="multilevel"/>
    <w:tmpl w:val="8E44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C82A4B"/>
    <w:multiLevelType w:val="hybridMultilevel"/>
    <w:tmpl w:val="3A702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785E16"/>
    <w:multiLevelType w:val="hybridMultilevel"/>
    <w:tmpl w:val="83586FBA"/>
    <w:lvl w:ilvl="0">
      <w:start w:val="0"/>
      <w:numFmt w:val="decimal"/>
      <w:lvlText w:val="%1."/>
      <w:lvlJc w:val="left"/>
      <w:pPr>
        <w:ind w:left="0" w:hanging="5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0046DB"/>
    <w:multiLevelType w:val="hybridMultilevel"/>
    <w:tmpl w:val="E1F63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F996786"/>
    <w:multiLevelType w:val="multilevel"/>
    <w:tmpl w:val="8D741242"/>
    <w:lvl w:ilvl="0">
      <w:start w:val="1"/>
      <w:numFmt w:val="decimal"/>
      <w:pStyle w:val="Heading3"/>
      <w:lvlText w:val="%1."/>
      <w:lvlJc w:val="left"/>
      <w:pPr>
        <w:ind w:left="0" w:hanging="567"/>
      </w:pPr>
      <w:rPr>
        <w:rFonts w:hint="default"/>
      </w:rPr>
    </w:lvl>
    <w:lvl w:ilvl="1">
      <w:start w:val="1"/>
      <w:numFmt w:val="decimal"/>
      <w:lvlText w:val="%1.%2."/>
      <w:lvlJc w:val="left"/>
      <w:pPr>
        <w:ind w:left="0" w:hanging="680"/>
      </w:pPr>
      <w:rPr>
        <w:rFonts w:ascii="Raleway" w:hAnsi="Raleway"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1C234EC"/>
    <w:multiLevelType w:val="hybridMultilevel"/>
    <w:tmpl w:val="17207F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FCA252F"/>
    <w:multiLevelType w:val="multilevel"/>
    <w:tmpl w:val="E58A87FC"/>
    <w:lvl w:ilvl="0">
      <w:start w:val="1"/>
      <w:numFmt w:val="decimal"/>
      <w:lvlText w:val="%1."/>
      <w:lvlJc w:val="left"/>
      <w:pPr>
        <w:ind w:left="0" w:hanging="510"/>
      </w:pPr>
      <w:rPr>
        <w:rFonts w:hint="default"/>
      </w:rPr>
    </w:lvl>
    <w:lvl w:ilvl="1">
      <w:start w:val="1"/>
      <w:numFmt w:val="decimalZero"/>
      <w:lvlText w:val="%1.%2."/>
      <w:lvlJc w:val="left"/>
      <w:pPr>
        <w:ind w:left="0" w:hanging="624"/>
      </w:pPr>
      <w:rPr>
        <w:rFonts w:ascii="Raleway" w:hAnsi="Raleway"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A034FA8"/>
    <w:multiLevelType w:val="hybridMultilevel"/>
    <w:tmpl w:val="463E1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D8D18DB"/>
    <w:multiLevelType w:val="hybridMultilevel"/>
    <w:tmpl w:val="9AD2F3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2"/>
  </w:num>
  <w:num w:numId="4">
    <w:abstractNumId w:val="7"/>
  </w:num>
  <w:num w:numId="5">
    <w:abstractNumId w:val="16"/>
  </w:num>
  <w:num w:numId="6">
    <w:abstractNumId w:val="20"/>
  </w:num>
  <w:num w:numId="7">
    <w:abstractNumId w:val="19"/>
  </w:num>
  <w:num w:numId="8">
    <w:abstractNumId w:val="11"/>
  </w:num>
  <w:num w:numId="9">
    <w:abstractNumId w:val="13"/>
  </w:num>
  <w:num w:numId="10">
    <w:abstractNumId w:val="1"/>
  </w:num>
  <w:num w:numId="11">
    <w:abstractNumId w:val="17"/>
  </w:num>
  <w:num w:numId="12">
    <w:abstractNumId w:val="0"/>
  </w:num>
  <w:num w:numId="13">
    <w:abstractNumId w:val="10"/>
  </w:num>
  <w:num w:numId="14">
    <w:abstractNumId w:val="5"/>
  </w:num>
  <w:num w:numId="15">
    <w:abstractNumId w:val="15"/>
  </w:num>
  <w:num w:numId="16">
    <w:abstractNumId w:val="4"/>
  </w:num>
  <w:num w:numId="17">
    <w:abstractNumId w:val="14"/>
  </w:num>
  <w:num w:numId="18">
    <w:abstractNumId w:val="9"/>
  </w:num>
  <w:num w:numId="19">
    <w:abstractNumId w:val="6"/>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0884"/>
  </w:style>
  <w:style w:type="paragraph" w:styleId="Heading1">
    <w:name w:val="heading 1"/>
    <w:basedOn w:val="Normal"/>
    <w:next w:val="Normal"/>
    <w:link w:val="Heading1Char"/>
    <w:uiPriority w:val="9"/>
    <w:qFormat/>
    <w:rsid w:val="00250884"/>
    <w:pPr>
      <w:keepNext/>
      <w:keepLines/>
      <w:spacing w:before="360" w:after="80"/>
      <w:outlineLvl w:val="0"/>
    </w:pPr>
    <w:rPr>
      <w:rFonts w:asciiTheme="majorHAnsi" w:eastAsiaTheme="majorEastAsia" w:hAnsiTheme="majorHAnsi" w:cstheme="majorBidi"/>
      <w:color w:val="3B767C" w:themeColor="accent1" w:themeShade="BF"/>
      <w:sz w:val="40"/>
      <w:szCs w:val="40"/>
    </w:rPr>
  </w:style>
  <w:style w:type="paragraph" w:styleId="Heading2">
    <w:name w:val="heading 2"/>
    <w:basedOn w:val="Normal"/>
    <w:next w:val="Normal"/>
    <w:link w:val="Heading2Char"/>
    <w:uiPriority w:val="9"/>
    <w:unhideWhenUsed/>
    <w:qFormat/>
    <w:rsid w:val="00250884"/>
    <w:pPr>
      <w:keepNext/>
      <w:keepLines/>
      <w:spacing w:before="160" w:after="80"/>
      <w:outlineLvl w:val="1"/>
    </w:pPr>
    <w:rPr>
      <w:rFonts w:asciiTheme="majorHAnsi" w:eastAsiaTheme="majorEastAsia" w:hAnsiTheme="majorHAnsi" w:cstheme="majorBidi"/>
      <w:color w:val="3B767C" w:themeColor="accent1" w:themeShade="BF"/>
      <w:sz w:val="32"/>
      <w:szCs w:val="32"/>
    </w:rPr>
  </w:style>
  <w:style w:type="paragraph" w:styleId="Heading3">
    <w:name w:val="heading 3"/>
    <w:basedOn w:val="Normal"/>
    <w:next w:val="Normal"/>
    <w:link w:val="Heading3Char"/>
    <w:uiPriority w:val="9"/>
    <w:unhideWhenUsed/>
    <w:qFormat/>
    <w:rsid w:val="00250884"/>
    <w:pPr>
      <w:keepNext/>
      <w:keepLines/>
      <w:numPr>
        <w:numId w:val="5"/>
      </w:numPr>
      <w:spacing w:before="160" w:after="80"/>
      <w:outlineLvl w:val="2"/>
    </w:pPr>
    <w:rPr>
      <w:rFonts w:eastAsiaTheme="majorEastAsia" w:cstheme="majorBidi"/>
      <w:color w:val="3B767C" w:themeColor="accent1" w:themeShade="BF"/>
      <w:sz w:val="28"/>
      <w:szCs w:val="28"/>
    </w:rPr>
  </w:style>
  <w:style w:type="paragraph" w:styleId="Heading4">
    <w:name w:val="heading 4"/>
    <w:basedOn w:val="Normal"/>
    <w:next w:val="Normal"/>
    <w:link w:val="Heading4Char"/>
    <w:uiPriority w:val="9"/>
    <w:unhideWhenUsed/>
    <w:qFormat/>
    <w:rsid w:val="00250884"/>
    <w:pPr>
      <w:keepNext/>
      <w:keepLines/>
      <w:spacing w:before="80" w:after="40"/>
      <w:outlineLvl w:val="3"/>
    </w:pPr>
    <w:rPr>
      <w:rFonts w:eastAsiaTheme="majorEastAsia" w:cstheme="majorBidi"/>
      <w:i/>
      <w:iCs/>
      <w:color w:val="3B767C" w:themeColor="accent1" w:themeShade="BF"/>
    </w:rPr>
  </w:style>
  <w:style w:type="paragraph" w:styleId="Heading5">
    <w:name w:val="heading 5"/>
    <w:basedOn w:val="Normal"/>
    <w:next w:val="Normal"/>
    <w:link w:val="Heading5Char"/>
    <w:uiPriority w:val="9"/>
    <w:semiHidden/>
    <w:unhideWhenUsed/>
    <w:qFormat/>
    <w:rsid w:val="00250884"/>
    <w:pPr>
      <w:keepNext/>
      <w:keepLines/>
      <w:spacing w:before="80" w:after="40"/>
      <w:outlineLvl w:val="4"/>
    </w:pPr>
    <w:rPr>
      <w:rFonts w:eastAsiaTheme="majorEastAsia" w:cstheme="majorBidi"/>
      <w:color w:val="3B767C" w:themeColor="accent1" w:themeShade="BF"/>
    </w:rPr>
  </w:style>
  <w:style w:type="paragraph" w:styleId="Heading6">
    <w:name w:val="heading 6"/>
    <w:basedOn w:val="Normal"/>
    <w:next w:val="Normal"/>
    <w:link w:val="Heading6Char"/>
    <w:uiPriority w:val="9"/>
    <w:semiHidden/>
    <w:unhideWhenUsed/>
    <w:qFormat/>
    <w:rsid w:val="00250884"/>
    <w:pPr>
      <w:keepNext/>
      <w:keepLines/>
      <w:spacing w:before="40" w:after="0"/>
      <w:outlineLvl w:val="5"/>
    </w:pPr>
    <w:rPr>
      <w:rFonts w:eastAsiaTheme="majorEastAsia" w:cstheme="majorBidi"/>
      <w:i/>
      <w:iCs/>
      <w:color w:val="1C9EB7" w:themeColor="text1" w:themeTint="A6"/>
    </w:rPr>
  </w:style>
  <w:style w:type="paragraph" w:styleId="Heading7">
    <w:name w:val="heading 7"/>
    <w:basedOn w:val="Normal"/>
    <w:next w:val="Normal"/>
    <w:link w:val="Heading7Char"/>
    <w:uiPriority w:val="9"/>
    <w:semiHidden/>
    <w:unhideWhenUsed/>
    <w:qFormat/>
    <w:rsid w:val="00250884"/>
    <w:pPr>
      <w:keepNext/>
      <w:keepLines/>
      <w:spacing w:before="40" w:after="0"/>
      <w:outlineLvl w:val="6"/>
    </w:pPr>
    <w:rPr>
      <w:rFonts w:eastAsiaTheme="majorEastAsia" w:cstheme="majorBidi"/>
      <w:color w:val="1C9EB7" w:themeColor="text1" w:themeTint="A6"/>
    </w:rPr>
  </w:style>
  <w:style w:type="paragraph" w:styleId="Heading8">
    <w:name w:val="heading 8"/>
    <w:basedOn w:val="Normal"/>
    <w:next w:val="Normal"/>
    <w:link w:val="Heading8Char"/>
    <w:uiPriority w:val="9"/>
    <w:semiHidden/>
    <w:unhideWhenUsed/>
    <w:qFormat/>
    <w:rsid w:val="00250884"/>
    <w:pPr>
      <w:keepNext/>
      <w:keepLines/>
      <w:spacing w:after="0"/>
      <w:outlineLvl w:val="7"/>
    </w:pPr>
    <w:rPr>
      <w:rFonts w:eastAsiaTheme="majorEastAsia" w:cstheme="majorBidi"/>
      <w:i/>
      <w:iCs/>
      <w:color w:val="105B69" w:themeColor="text1" w:themeTint="D8"/>
    </w:rPr>
  </w:style>
  <w:style w:type="paragraph" w:styleId="Heading9">
    <w:name w:val="heading 9"/>
    <w:basedOn w:val="Normal"/>
    <w:next w:val="Normal"/>
    <w:link w:val="Heading9Char"/>
    <w:uiPriority w:val="9"/>
    <w:semiHidden/>
    <w:unhideWhenUsed/>
    <w:qFormat/>
    <w:rsid w:val="00250884"/>
    <w:pPr>
      <w:keepNext/>
      <w:keepLines/>
      <w:spacing w:after="0"/>
      <w:outlineLvl w:val="8"/>
    </w:pPr>
    <w:rPr>
      <w:rFonts w:eastAsiaTheme="majorEastAsia" w:cstheme="majorBidi"/>
      <w:color w:val="105B6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884"/>
    <w:rPr>
      <w:rFonts w:asciiTheme="majorHAnsi" w:eastAsiaTheme="majorEastAsia" w:hAnsiTheme="majorHAnsi" w:cstheme="majorBidi"/>
      <w:color w:val="3B767C" w:themeColor="accent1" w:themeShade="BF"/>
      <w:sz w:val="40"/>
      <w:szCs w:val="40"/>
    </w:rPr>
  </w:style>
  <w:style w:type="character" w:customStyle="1" w:styleId="Heading2Char">
    <w:name w:val="Heading 2 Char"/>
    <w:basedOn w:val="DefaultParagraphFont"/>
    <w:link w:val="Heading2"/>
    <w:uiPriority w:val="9"/>
    <w:rsid w:val="00250884"/>
    <w:rPr>
      <w:rFonts w:asciiTheme="majorHAnsi" w:eastAsiaTheme="majorEastAsia" w:hAnsiTheme="majorHAnsi" w:cstheme="majorBidi"/>
      <w:color w:val="3B767C" w:themeColor="accent1" w:themeShade="BF"/>
      <w:sz w:val="32"/>
      <w:szCs w:val="32"/>
    </w:rPr>
  </w:style>
  <w:style w:type="character" w:customStyle="1" w:styleId="Heading3Char">
    <w:name w:val="Heading 3 Char"/>
    <w:basedOn w:val="DefaultParagraphFont"/>
    <w:link w:val="Heading3"/>
    <w:uiPriority w:val="9"/>
    <w:rsid w:val="00250884"/>
    <w:rPr>
      <w:rFonts w:eastAsiaTheme="majorEastAsia" w:cstheme="majorBidi"/>
      <w:color w:val="3B767C" w:themeColor="accent1" w:themeShade="BF"/>
      <w:sz w:val="28"/>
      <w:szCs w:val="28"/>
    </w:rPr>
  </w:style>
  <w:style w:type="character" w:customStyle="1" w:styleId="Heading4Char">
    <w:name w:val="Heading 4 Char"/>
    <w:basedOn w:val="DefaultParagraphFont"/>
    <w:link w:val="Heading4"/>
    <w:uiPriority w:val="9"/>
    <w:rsid w:val="00250884"/>
    <w:rPr>
      <w:rFonts w:eastAsiaTheme="majorEastAsia" w:cstheme="majorBidi"/>
      <w:i/>
      <w:iCs/>
      <w:color w:val="3B767C" w:themeColor="accent1" w:themeShade="BF"/>
    </w:rPr>
  </w:style>
  <w:style w:type="character" w:customStyle="1" w:styleId="Heading5Char">
    <w:name w:val="Heading 5 Char"/>
    <w:basedOn w:val="DefaultParagraphFont"/>
    <w:link w:val="Heading5"/>
    <w:uiPriority w:val="9"/>
    <w:semiHidden/>
    <w:rsid w:val="00250884"/>
    <w:rPr>
      <w:rFonts w:eastAsiaTheme="majorEastAsia" w:cstheme="majorBidi"/>
      <w:color w:val="3B767C" w:themeColor="accent1" w:themeShade="BF"/>
    </w:rPr>
  </w:style>
  <w:style w:type="character" w:customStyle="1" w:styleId="Heading6Char">
    <w:name w:val="Heading 6 Char"/>
    <w:basedOn w:val="DefaultParagraphFont"/>
    <w:link w:val="Heading6"/>
    <w:uiPriority w:val="9"/>
    <w:semiHidden/>
    <w:rsid w:val="00250884"/>
    <w:rPr>
      <w:rFonts w:eastAsiaTheme="majorEastAsia" w:cstheme="majorBidi"/>
      <w:i/>
      <w:iCs/>
      <w:color w:val="1C9EB7" w:themeColor="text1" w:themeTint="A6"/>
    </w:rPr>
  </w:style>
  <w:style w:type="character" w:customStyle="1" w:styleId="Heading7Char">
    <w:name w:val="Heading 7 Char"/>
    <w:basedOn w:val="DefaultParagraphFont"/>
    <w:link w:val="Heading7"/>
    <w:uiPriority w:val="9"/>
    <w:semiHidden/>
    <w:rsid w:val="00250884"/>
    <w:rPr>
      <w:rFonts w:eastAsiaTheme="majorEastAsia" w:cstheme="majorBidi"/>
      <w:color w:val="1C9EB7" w:themeColor="text1" w:themeTint="A6"/>
    </w:rPr>
  </w:style>
  <w:style w:type="character" w:customStyle="1" w:styleId="Heading8Char">
    <w:name w:val="Heading 8 Char"/>
    <w:basedOn w:val="DefaultParagraphFont"/>
    <w:link w:val="Heading8"/>
    <w:uiPriority w:val="9"/>
    <w:semiHidden/>
    <w:rsid w:val="00250884"/>
    <w:rPr>
      <w:rFonts w:eastAsiaTheme="majorEastAsia" w:cstheme="majorBidi"/>
      <w:i/>
      <w:iCs/>
      <w:color w:val="105B69" w:themeColor="text1" w:themeTint="D8"/>
    </w:rPr>
  </w:style>
  <w:style w:type="character" w:customStyle="1" w:styleId="Heading9Char">
    <w:name w:val="Heading 9 Char"/>
    <w:basedOn w:val="DefaultParagraphFont"/>
    <w:link w:val="Heading9"/>
    <w:uiPriority w:val="9"/>
    <w:semiHidden/>
    <w:rsid w:val="00250884"/>
    <w:rPr>
      <w:rFonts w:eastAsiaTheme="majorEastAsia" w:cstheme="majorBidi"/>
      <w:color w:val="105B69" w:themeColor="text1" w:themeTint="D8"/>
    </w:rPr>
  </w:style>
  <w:style w:type="paragraph" w:styleId="Title">
    <w:name w:val="Title"/>
    <w:basedOn w:val="Normal"/>
    <w:next w:val="Normal"/>
    <w:link w:val="TitleChar"/>
    <w:uiPriority w:val="10"/>
    <w:qFormat/>
    <w:rsid w:val="00250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884"/>
    <w:pPr>
      <w:numPr>
        <w:ilvl w:val="1"/>
      </w:numPr>
    </w:pPr>
    <w:rPr>
      <w:rFonts w:eastAsiaTheme="majorEastAsia" w:cstheme="majorBidi"/>
      <w:color w:val="1C9EB7" w:themeColor="text1" w:themeTint="A6"/>
      <w:spacing w:val="15"/>
      <w:sz w:val="28"/>
      <w:szCs w:val="28"/>
    </w:rPr>
  </w:style>
  <w:style w:type="character" w:customStyle="1" w:styleId="SubtitleChar">
    <w:name w:val="Subtitle Char"/>
    <w:basedOn w:val="DefaultParagraphFont"/>
    <w:link w:val="Subtitle"/>
    <w:uiPriority w:val="11"/>
    <w:rsid w:val="00250884"/>
    <w:rPr>
      <w:rFonts w:eastAsiaTheme="majorEastAsia" w:cstheme="majorBidi"/>
      <w:color w:val="1C9EB7" w:themeColor="text1" w:themeTint="A6"/>
      <w:spacing w:val="15"/>
      <w:sz w:val="28"/>
      <w:szCs w:val="28"/>
    </w:rPr>
  </w:style>
  <w:style w:type="paragraph" w:styleId="ListParagraph">
    <w:name w:val="List Paragraph"/>
    <w:basedOn w:val="Normal"/>
    <w:uiPriority w:val="34"/>
    <w:qFormat/>
    <w:rsid w:val="00250884"/>
    <w:pPr>
      <w:ind w:left="720"/>
      <w:contextualSpacing/>
    </w:pPr>
  </w:style>
  <w:style w:type="paragraph" w:styleId="Quote">
    <w:name w:val="Quote"/>
    <w:basedOn w:val="Normal"/>
    <w:next w:val="Normal"/>
    <w:link w:val="QuoteChar"/>
    <w:uiPriority w:val="29"/>
    <w:qFormat/>
    <w:rsid w:val="00250884"/>
    <w:pPr>
      <w:spacing w:before="160"/>
      <w:jc w:val="center"/>
    </w:pPr>
    <w:rPr>
      <w:i/>
      <w:iCs/>
      <w:color w:val="167C90" w:themeColor="text1" w:themeTint="BF"/>
    </w:rPr>
  </w:style>
  <w:style w:type="character" w:customStyle="1" w:styleId="QuoteChar">
    <w:name w:val="Quote Char"/>
    <w:basedOn w:val="DefaultParagraphFont"/>
    <w:link w:val="Quote"/>
    <w:uiPriority w:val="29"/>
    <w:rsid w:val="00250884"/>
    <w:rPr>
      <w:i/>
      <w:iCs/>
      <w:color w:val="167C90" w:themeColor="text1" w:themeTint="BF"/>
    </w:rPr>
  </w:style>
  <w:style w:type="paragraph" w:styleId="IntenseQuote">
    <w:name w:val="Intense Quote"/>
    <w:basedOn w:val="Normal"/>
    <w:next w:val="Normal"/>
    <w:link w:val="IntenseQuoteChar"/>
    <w:uiPriority w:val="30"/>
    <w:qFormat/>
    <w:rsid w:val="00250884"/>
    <w:pPr>
      <w:pBdr>
        <w:top w:val="single" w:sz="4" w:space="10" w:color="3B767C" w:themeColor="accent1" w:themeShade="BF"/>
        <w:bottom w:val="single" w:sz="4" w:space="10" w:color="3B767C" w:themeColor="accent1" w:themeShade="BF"/>
      </w:pBdr>
      <w:spacing w:before="360" w:after="360"/>
      <w:ind w:left="864" w:right="864"/>
      <w:jc w:val="center"/>
    </w:pPr>
    <w:rPr>
      <w:i/>
      <w:iCs/>
      <w:color w:val="3B767C" w:themeColor="accent1" w:themeShade="BF"/>
    </w:rPr>
  </w:style>
  <w:style w:type="character" w:customStyle="1" w:styleId="IntenseQuoteChar">
    <w:name w:val="Intense Quote Char"/>
    <w:basedOn w:val="DefaultParagraphFont"/>
    <w:link w:val="IntenseQuote"/>
    <w:uiPriority w:val="30"/>
    <w:rsid w:val="00250884"/>
    <w:rPr>
      <w:i/>
      <w:iCs/>
      <w:color w:val="3B767C" w:themeColor="accent1" w:themeShade="BF"/>
    </w:rPr>
  </w:style>
  <w:style w:type="character" w:styleId="IntenseEmphasis">
    <w:name w:val="Intense Emphasis"/>
    <w:basedOn w:val="DefaultParagraphFont"/>
    <w:uiPriority w:val="21"/>
    <w:qFormat/>
    <w:rsid w:val="00250884"/>
    <w:rPr>
      <w:i/>
      <w:iCs/>
      <w:color w:val="3B767C" w:themeColor="accent1" w:themeShade="BF"/>
    </w:rPr>
  </w:style>
  <w:style w:type="character" w:styleId="IntenseReference">
    <w:name w:val="Intense Reference"/>
    <w:basedOn w:val="DefaultParagraphFont"/>
    <w:uiPriority w:val="32"/>
    <w:qFormat/>
    <w:rsid w:val="00250884"/>
    <w:rPr>
      <w:b/>
      <w:bCs/>
      <w:smallCaps/>
      <w:color w:val="3B767C" w:themeColor="accent1" w:themeShade="BF"/>
      <w:spacing w:val="5"/>
    </w:rPr>
  </w:style>
  <w:style w:type="character" w:styleId="Hyperlink">
    <w:name w:val="Hyperlink"/>
    <w:basedOn w:val="DefaultParagraphFont"/>
    <w:uiPriority w:val="99"/>
    <w:unhideWhenUsed/>
    <w:rsid w:val="00B858A8"/>
    <w:rPr>
      <w:color w:val="FF6D6A" w:themeColor="hyperlink"/>
      <w:u w:val="single"/>
    </w:rPr>
  </w:style>
  <w:style w:type="character" w:customStyle="1" w:styleId="UnresolvedMention1">
    <w:name w:val="Unresolved Mention1"/>
    <w:basedOn w:val="DefaultParagraphFont"/>
    <w:uiPriority w:val="99"/>
    <w:semiHidden/>
    <w:unhideWhenUsed/>
    <w:rsid w:val="00B858A8"/>
    <w:rPr>
      <w:color w:val="605E5C"/>
      <w:shd w:val="clear" w:color="auto" w:fill="E1DFDD"/>
    </w:rPr>
  </w:style>
  <w:style w:type="paragraph" w:styleId="NormalWeb">
    <w:name w:val="Normal (Web)"/>
    <w:basedOn w:val="Normal"/>
    <w:uiPriority w:val="99"/>
    <w:semiHidden/>
    <w:unhideWhenUsed/>
    <w:rsid w:val="00B858A8"/>
    <w:rPr>
      <w:rFonts w:ascii="Times New Roman" w:hAnsi="Times New Roman" w:cs="Times New Roman"/>
    </w:rPr>
  </w:style>
  <w:style w:type="character" w:styleId="CommentReference">
    <w:name w:val="annotation reference"/>
    <w:basedOn w:val="DefaultParagraphFont"/>
    <w:uiPriority w:val="99"/>
    <w:semiHidden/>
    <w:unhideWhenUsed/>
    <w:rsid w:val="00571575"/>
    <w:rPr>
      <w:sz w:val="16"/>
      <w:szCs w:val="16"/>
    </w:rPr>
  </w:style>
  <w:style w:type="paragraph" w:styleId="CommentText">
    <w:name w:val="annotation text"/>
    <w:basedOn w:val="Normal"/>
    <w:link w:val="CommentTextChar"/>
    <w:uiPriority w:val="99"/>
    <w:unhideWhenUsed/>
    <w:rsid w:val="00571575"/>
    <w:pPr>
      <w:spacing w:line="240" w:lineRule="auto"/>
    </w:pPr>
    <w:rPr>
      <w:sz w:val="20"/>
      <w:szCs w:val="20"/>
    </w:rPr>
  </w:style>
  <w:style w:type="character" w:customStyle="1" w:styleId="CommentTextChar">
    <w:name w:val="Comment Text Char"/>
    <w:basedOn w:val="DefaultParagraphFont"/>
    <w:link w:val="CommentText"/>
    <w:uiPriority w:val="99"/>
    <w:rsid w:val="00571575"/>
    <w:rPr>
      <w:sz w:val="20"/>
      <w:szCs w:val="20"/>
    </w:rPr>
  </w:style>
  <w:style w:type="paragraph" w:styleId="Header">
    <w:name w:val="header"/>
    <w:basedOn w:val="Normal"/>
    <w:link w:val="HeaderChar"/>
    <w:uiPriority w:val="99"/>
    <w:unhideWhenUsed/>
    <w:rsid w:val="007B0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C88"/>
  </w:style>
  <w:style w:type="paragraph" w:styleId="Footer">
    <w:name w:val="footer"/>
    <w:basedOn w:val="Normal"/>
    <w:link w:val="FooterChar"/>
    <w:uiPriority w:val="99"/>
    <w:unhideWhenUsed/>
    <w:rsid w:val="007B0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C88"/>
  </w:style>
  <w:style w:type="paragraph" w:styleId="CommentSubject">
    <w:name w:val="annotation subject"/>
    <w:basedOn w:val="CommentText"/>
    <w:next w:val="CommentText"/>
    <w:link w:val="CommentSubjectChar"/>
    <w:uiPriority w:val="99"/>
    <w:semiHidden/>
    <w:unhideWhenUsed/>
    <w:rsid w:val="00E85778"/>
    <w:rPr>
      <w:b/>
      <w:bCs/>
    </w:rPr>
  </w:style>
  <w:style w:type="character" w:customStyle="1" w:styleId="CommentSubjectChar">
    <w:name w:val="Comment Subject Char"/>
    <w:basedOn w:val="CommentTextChar"/>
    <w:link w:val="CommentSubject"/>
    <w:uiPriority w:val="99"/>
    <w:semiHidden/>
    <w:rsid w:val="00E85778"/>
    <w:rPr>
      <w:b/>
      <w:bCs/>
      <w:sz w:val="20"/>
      <w:szCs w:val="20"/>
    </w:rPr>
  </w:style>
  <w:style w:type="character" w:styleId="FollowedHyperlink">
    <w:name w:val="FollowedHyperlink"/>
    <w:basedOn w:val="DefaultParagraphFont"/>
    <w:uiPriority w:val="99"/>
    <w:semiHidden/>
    <w:unhideWhenUsed/>
    <w:rsid w:val="000D1E35"/>
    <w:rPr>
      <w:color w:val="88DBDF" w:themeColor="followedHyperlink"/>
      <w:u w:val="single"/>
    </w:rPr>
  </w:style>
  <w:style w:type="character" w:customStyle="1" w:styleId="Mention1">
    <w:name w:val="Mention1"/>
    <w:basedOn w:val="DefaultParagraphFont"/>
    <w:uiPriority w:val="99"/>
    <w:unhideWhenUsed/>
    <w:rsid w:val="0052305C"/>
    <w:rPr>
      <w:color w:val="2B579A"/>
      <w:shd w:val="clear" w:color="auto" w:fill="E1DFDD"/>
    </w:rPr>
  </w:style>
  <w:style w:type="paragraph" w:styleId="Revision">
    <w:name w:val="Revision"/>
    <w:hidden/>
    <w:uiPriority w:val="99"/>
    <w:semiHidden/>
    <w:rsid w:val="008E1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Carnegie UK Colours and Font">
  <a:themeElements>
    <a:clrScheme name="Carnegie UK Colours">
      <a:dk1>
        <a:srgbClr val="07272D"/>
      </a:dk1>
      <a:lt1>
        <a:srgbClr val="FFFFFF"/>
      </a:lt1>
      <a:dk2>
        <a:srgbClr val="004851"/>
      </a:dk2>
      <a:lt2>
        <a:srgbClr val="007377"/>
      </a:lt2>
      <a:accent1>
        <a:srgbClr val="4F9FA6"/>
      </a:accent1>
      <a:accent2>
        <a:srgbClr val="ABC7CA"/>
      </a:accent2>
      <a:accent3>
        <a:srgbClr val="FF6D6A"/>
      </a:accent3>
      <a:accent4>
        <a:srgbClr val="8FE2B0"/>
      </a:accent4>
      <a:accent5>
        <a:srgbClr val="88DBDF"/>
      </a:accent5>
      <a:accent6>
        <a:srgbClr val="D9C756"/>
      </a:accent6>
      <a:hlink>
        <a:srgbClr val="FF6D6A"/>
      </a:hlink>
      <a:folHlink>
        <a:srgbClr val="88DBDF"/>
      </a:folHlink>
    </a:clrScheme>
    <a:fontScheme name="Carnegie UK Font">
      <a:majorFont>
        <a:latin typeface="Raleway"/>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d8d98-0d9b-4b8f-ada0-b2e6da0a254f">
      <Terms xmlns="http://schemas.microsoft.com/office/infopath/2007/PartnerControls"/>
    </lcf76f155ced4ddcb4097134ff3c332f>
    <TaxCatchAll xmlns="f5ebd28d-1d20-4589-ba91-42f2f983dc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456FC1C35ADE4F81251BA0E6F563DE" ma:contentTypeVersion="15" ma:contentTypeDescription="Create a new document." ma:contentTypeScope="" ma:versionID="d7ab98b6ca33163255c5875a74ca3769">
  <xsd:schema xmlns:xsd="http://www.w3.org/2001/XMLSchema" xmlns:xs="http://www.w3.org/2001/XMLSchema" xmlns:p="http://schemas.microsoft.com/office/2006/metadata/properties" xmlns:ns2="01ad8d98-0d9b-4b8f-ada0-b2e6da0a254f" xmlns:ns3="f5ebd28d-1d20-4589-ba91-42f2f983dca2" targetNamespace="http://schemas.microsoft.com/office/2006/metadata/properties" ma:root="true" ma:fieldsID="105c972d100ff7f71040a9222b1c4df2" ns2:_="" ns3:_="">
    <xsd:import namespace="01ad8d98-0d9b-4b8f-ada0-b2e6da0a254f"/>
    <xsd:import namespace="f5ebd28d-1d20-4589-ba91-42f2f983dc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8d98-0d9b-4b8f-ada0-b2e6da0a2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69f0f0f-64d4-4266-a98b-a97ee29c79e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ebd28d-1d20-4589-ba91-42f2f983dc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ed6f77-af9b-42dd-83ca-920fb2a1d9cf}" ma:internalName="TaxCatchAll" ma:showField="CatchAllData" ma:web="f5ebd28d-1d20-4589-ba91-42f2f983d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0F29E-5AF9-4EB0-8C8D-0DCD742C0718}">
  <ds:schemaRefs>
    <ds:schemaRef ds:uri="http://schemas.microsoft.com/sharepoint/v3/contenttype/forms"/>
  </ds:schemaRefs>
</ds:datastoreItem>
</file>

<file path=customXml/itemProps2.xml><?xml version="1.0" encoding="utf-8"?>
<ds:datastoreItem xmlns:ds="http://schemas.openxmlformats.org/officeDocument/2006/customXml" ds:itemID="{DBF8CF31-6037-45EA-B688-9F36C1E947D9}">
  <ds:schemaRefs>
    <ds:schemaRef ds:uri="http://schemas.microsoft.com/office/2006/metadata/properties"/>
    <ds:schemaRef ds:uri="http://schemas.microsoft.com/office/infopath/2007/PartnerControls"/>
    <ds:schemaRef ds:uri="01ad8d98-0d9b-4b8f-ada0-b2e6da0a254f"/>
    <ds:schemaRef ds:uri="f5ebd28d-1d20-4589-ba91-42f2f983dca2"/>
  </ds:schemaRefs>
</ds:datastoreItem>
</file>

<file path=customXml/itemProps3.xml><?xml version="1.0" encoding="utf-8"?>
<ds:datastoreItem xmlns:ds="http://schemas.openxmlformats.org/officeDocument/2006/customXml" ds:itemID="{30D69330-809B-4A9F-9C17-0EEBD88AB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8d98-0d9b-4b8f-ada0-b2e6da0a254f"/>
    <ds:schemaRef ds:uri="f5ebd28d-1d20-4589-ba91-42f2f983d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FDE0012</dc:title>
  <cp:revision>0</cp:revision>
</cp:coreProperties>
</file>