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6179" w:rsidRPr="00AB7EAF" w:rsidP="00AB7EAF">
      <w:pPr>
        <w:rPr>
          <w:rFonts w:ascii="Verdana" w:eastAsia="Garamond" w:hAnsi="Verdana" w:cs="Garamond"/>
          <w:color w:val="000000" w:themeColor="text1"/>
          <w:sz w:val="28"/>
          <w:szCs w:val="28"/>
        </w:rPr>
      </w:pPr>
      <w:r w:rsidRPr="00AB7EAF">
        <w:rPr>
          <w:rFonts w:ascii="Verdana" w:eastAsia="Garamond" w:hAnsi="Verdana" w:cs="Garamond"/>
          <w:b/>
          <w:bCs/>
          <w:color w:val="000000" w:themeColor="text1"/>
          <w:sz w:val="28"/>
          <w:szCs w:val="28"/>
        </w:rPr>
        <w:t>UK Women’s Budget Group</w:t>
      </w:r>
      <w:r w:rsidR="00AB7EAF">
        <w:rPr>
          <w:rFonts w:ascii="Verdana" w:eastAsia="Garamond" w:hAnsi="Verdana" w:cs="Garamond"/>
          <w:b/>
          <w:bCs/>
          <w:color w:val="000000" w:themeColor="text1"/>
          <w:sz w:val="28"/>
          <w:szCs w:val="28"/>
        </w:rPr>
        <w:t xml:space="preserve"> – Written evidence FDE0010</w:t>
      </w:r>
    </w:p>
    <w:p w:rsidR="00AB7EAF" w:rsidP="00AB7EAF">
      <w:pPr>
        <w:spacing w:line="480" w:lineRule="auto"/>
        <w:rPr>
          <w:rFonts w:ascii="Verdana" w:eastAsia="Segoe UI" w:hAnsi="Verdana" w:cs="Segoe UI"/>
          <w:b/>
          <w:bCs/>
        </w:rPr>
      </w:pPr>
    </w:p>
    <w:p w:rsidR="00886179" w:rsidRPr="00AB7EAF" w:rsidP="00AB7EAF">
      <w:pPr>
        <w:spacing w:line="480" w:lineRule="auto"/>
        <w:rPr>
          <w:rFonts w:ascii="Verdana" w:eastAsia="Segoe UI" w:hAnsi="Verdana" w:cs="Segoe UI"/>
        </w:rPr>
      </w:pPr>
      <w:r w:rsidRPr="00AB7EAF">
        <w:rPr>
          <w:rFonts w:ascii="Verdana" w:eastAsia="Segoe UI" w:hAnsi="Verdana" w:cs="Segoe UI"/>
          <w:b/>
          <w:bCs/>
        </w:rPr>
        <w:t xml:space="preserve">About Us </w:t>
      </w:r>
    </w:p>
    <w:p w:rsidR="00886179" w:rsidRPr="00AB7EAF" w:rsidP="00AB7EAF">
      <w:pPr>
        <w:spacing w:line="480" w:lineRule="auto"/>
        <w:rPr>
          <w:rFonts w:ascii="Verdana" w:eastAsia="Segoe UI" w:hAnsi="Verdana" w:cs="Segoe UI"/>
        </w:rPr>
      </w:pPr>
      <w:r w:rsidRPr="00AB7EAF">
        <w:rPr>
          <w:rFonts w:ascii="Verdana" w:eastAsia="Segoe UI" w:hAnsi="Verdana" w:cs="Segoe UI"/>
        </w:rPr>
        <w:t>The UK Women’s Budget Group (WBG) is a feminist think tank that provides evidence and capacity building on women’s economic position and that proposes policy alternatives for a gender</w:t>
      </w:r>
      <w:r w:rsidRPr="00AB7EAF">
        <w:rPr>
          <w:rFonts w:ascii="Verdana" w:eastAsia="Segoe UI" w:hAnsi="Verdana" w:cs="Segoe UI"/>
        </w:rPr>
        <w:t xml:space="preserve"> eq</w:t>
      </w:r>
      <w:r w:rsidRPr="00AB7EAF">
        <w:rPr>
          <w:rFonts w:ascii="Verdana" w:eastAsia="Segoe UI" w:hAnsi="Verdana" w:cs="Segoe UI"/>
        </w:rPr>
        <w:t xml:space="preserve">ual economy. We act as a link between academia, the women’s voluntary sector and the social policy world of think tanks. We </w:t>
      </w:r>
      <w:r w:rsidRPr="00AB7EAF">
        <w:rPr>
          <w:rFonts w:ascii="Verdana" w:eastAsia="Segoe UI" w:hAnsi="Verdana" w:cs="Segoe UI"/>
        </w:rPr>
        <w:t>draw on</w:t>
      </w:r>
      <w:r w:rsidRPr="00AB7EAF">
        <w:rPr>
          <w:rFonts w:ascii="Verdana" w:eastAsia="Segoe UI" w:hAnsi="Verdana" w:cs="Segoe UI"/>
        </w:rPr>
        <w:t xml:space="preserve"> our network of pro-bono experts from academia and the new economics and women’s movements, alongside a professional staff team.</w:t>
      </w:r>
    </w:p>
    <w:p w:rsidR="00886179" w:rsidRPr="00AB7EAF" w:rsidP="00AB7EAF">
      <w:pPr>
        <w:shd w:val="clear" w:color="auto" w:fill="FFFFFF" w:themeFill="background1"/>
        <w:spacing w:line="480" w:lineRule="auto"/>
        <w:rPr>
          <w:rFonts w:ascii="Verdana" w:eastAsia="Segoe UI" w:hAnsi="Verdana" w:cs="Segoe UI"/>
          <w:b/>
          <w:bCs/>
        </w:rPr>
      </w:pPr>
    </w:p>
    <w:p w:rsidR="00886179" w:rsidRPr="00AB7EAF" w:rsidP="00AB7EAF">
      <w:pPr>
        <w:pStyle w:val="ListParagraph"/>
        <w:numPr>
          <w:ilvl w:val="0"/>
          <w:numId w:val="4"/>
        </w:numPr>
        <w:shd w:val="clear" w:color="auto" w:fill="FFFFFF" w:themeFill="background1"/>
        <w:spacing w:after="0" w:line="480" w:lineRule="auto"/>
        <w:rPr>
          <w:rFonts w:ascii="Verdana" w:eastAsia="Segoe UI" w:hAnsi="Verdana" w:cs="Segoe UI"/>
          <w:b/>
          <w:bCs/>
        </w:rPr>
      </w:pPr>
      <w:r w:rsidRPr="00AB7EAF">
        <w:rPr>
          <w:rFonts w:ascii="Verdana" w:eastAsia="Segoe UI" w:hAnsi="Verdana" w:cs="Segoe UI"/>
          <w:b/>
          <w:bCs/>
        </w:rPr>
        <w:t>What revenue-raising powers should be devolved to local areas?</w:t>
      </w:r>
    </w:p>
    <w:p w:rsidR="00886179" w:rsidRPr="00AB7EAF" w:rsidP="00AB7EAF">
      <w:pPr>
        <w:pStyle w:val="ListParagraph"/>
        <w:shd w:val="clear" w:color="auto" w:fill="FFFFFF" w:themeFill="background1"/>
        <w:spacing w:after="0" w:line="480" w:lineRule="auto"/>
        <w:rPr>
          <w:rFonts w:ascii="Verdana" w:eastAsia="Segoe UI" w:hAnsi="Verdana" w:cs="Segoe UI"/>
          <w:b/>
          <w:bCs/>
          <w:i/>
          <w:iCs/>
        </w:rPr>
      </w:pPr>
    </w:p>
    <w:p w:rsidR="00886179" w:rsidRPr="00AB7EAF" w:rsidP="00AB7EAF">
      <w:pPr>
        <w:spacing w:line="480" w:lineRule="auto"/>
        <w:rPr>
          <w:rFonts w:ascii="Verdana" w:eastAsia="Segoe UI" w:hAnsi="Verdana" w:cs="Segoe UI"/>
        </w:rPr>
      </w:pPr>
      <w:r w:rsidRPr="00AB7EAF">
        <w:rPr>
          <w:rFonts w:ascii="Verdana" w:eastAsia="Segoe UI" w:hAnsi="Verdana" w:cs="Segoe UI"/>
        </w:rPr>
        <w:t>The Government's current proposals for fiscal devolution appear to focus primarily on allowing regional authorities to retain a share of revenues from national taxes raised within their area rather than granting substantial new tax-setting powers. It is therefore important to distinguish between different forms of fiscal devolution. Fiscal devolution may involve the devolution of tax-setting powers, the retention of revenues from national taxes, greater spending autonomy, greater borrowing powers, or a comb</w:t>
      </w:r>
      <w:r w:rsidRPr="00AB7EAF">
        <w:rPr>
          <w:rFonts w:ascii="Verdana" w:eastAsia="Segoe UI" w:hAnsi="Verdana" w:cs="Segoe UI"/>
        </w:rPr>
        <w:t xml:space="preserve">ination of these approaches. Each has different implications for equality, redistribution and local democracy. </w:t>
      </w:r>
    </w:p>
    <w:p w:rsidR="00886179" w:rsidRPr="00AB7EAF" w:rsidP="00AB7EAF">
      <w:pPr>
        <w:spacing w:line="480" w:lineRule="auto"/>
        <w:rPr>
          <w:rFonts w:ascii="Verdana" w:eastAsia="Segoe UI" w:hAnsi="Verdana" w:cs="Segoe UI"/>
        </w:rPr>
      </w:pPr>
      <w:r w:rsidRPr="00AB7EAF">
        <w:rPr>
          <w:rFonts w:ascii="Verdana" w:eastAsia="Segoe UI" w:hAnsi="Verdana" w:cs="Segoe UI"/>
        </w:rPr>
        <w:t>England is one of the most fiscally centralised countries in the developed world. Only around 5% of tax revenue is raised locally, compared with almost 50% in Canada and substantially higher proportions across other G7 countries</w:t>
      </w:r>
      <w:r>
        <w:rPr>
          <w:rStyle w:val="FootnoteReference"/>
          <w:rFonts w:ascii="Verdana" w:eastAsia="Segoe UI" w:hAnsi="Verdana" w:cs="Segoe UI"/>
        </w:rPr>
        <w:footnoteReference w:id="2"/>
      </w:r>
      <w:r w:rsidRPr="00AB7EAF">
        <w:rPr>
          <w:rFonts w:ascii="Verdana" w:eastAsia="Segoe UI" w:hAnsi="Verdana" w:cs="Segoe UI"/>
        </w:rPr>
        <w:t>.</w:t>
      </w:r>
      <w:r w:rsidRPr="00AB7EAF">
        <w:rPr>
          <w:rFonts w:ascii="Verdana" w:eastAsia="Segoe UI" w:hAnsi="Verdana" w:cs="Segoe UI"/>
        </w:rPr>
        <w:t xml:space="preserve"> Greater local fiscal autonomy may provide opportunities for authorities to align spending more closely with local priorities and to pursue more innovative approaches to economic development and service delivery. However, the potential benefits of fiscal devolution will depend on how it is designed and whether it strengthens the capacity of local authorities to meet local needs.</w:t>
      </w:r>
    </w:p>
    <w:p w:rsidR="00886179" w:rsidRPr="00AB7EAF" w:rsidP="00AB7EAF">
      <w:pPr>
        <w:spacing w:line="480" w:lineRule="auto"/>
        <w:rPr>
          <w:rFonts w:ascii="Verdana" w:eastAsia="Segoe UI" w:hAnsi="Verdana" w:cs="Segoe UI"/>
        </w:rPr>
      </w:pPr>
      <w:r w:rsidRPr="00AB7EAF">
        <w:rPr>
          <w:rFonts w:ascii="Verdana" w:eastAsia="Segoe UI" w:hAnsi="Verdana" w:cs="Segoe UI"/>
        </w:rPr>
        <w:t>Proposals for fiscal devolution must not undermine the principle that funding should be distributed according to need, especially given that local tax bases vary enormously across England. Areas with higher levels of deprivation, poorer health outcomes, older populations and greater demand for public services are often those least able to generate revenue locally</w:t>
      </w:r>
      <w:r>
        <w:rPr>
          <w:rStyle w:val="FootnoteReference"/>
          <w:rFonts w:ascii="Verdana" w:eastAsia="Segoe UI" w:hAnsi="Verdana" w:cs="Segoe UI"/>
        </w:rPr>
        <w:footnoteReference w:id="3"/>
      </w:r>
      <w:r w:rsidRPr="00AB7EAF">
        <w:rPr>
          <w:rFonts w:ascii="Verdana" w:eastAsia="Segoe UI" w:hAnsi="Verdana" w:cs="Segoe UI"/>
        </w:rPr>
        <w:t>. This is particularly important because local government is responsible for many of the services that are most important to women's economic security and wellbeing, including social care, housing support, public health, transport, childcare and community services.</w:t>
      </w:r>
      <w:r w:rsidRPr="00AB7EAF">
        <w:rPr>
          <w:rFonts w:ascii="Verdana" w:eastAsia="Segoe UI" w:hAnsi="Verdana" w:cs="Segoe UI"/>
        </w:rPr>
        <w:t xml:space="preserve"> Th</w:t>
      </w:r>
      <w:r w:rsidRPr="00AB7EAF">
        <w:rPr>
          <w:rFonts w:ascii="Verdana" w:eastAsia="Segoe UI" w:hAnsi="Verdana" w:cs="Segoe UI"/>
        </w:rPr>
        <w:t>is means that fiscal devolution runs the risk of widening gender inequalities unless there are mitigations to ensure that funding remains proportionate to needs.</w:t>
      </w:r>
    </w:p>
    <w:p w:rsidR="00886179" w:rsidRPr="00AB7EAF" w:rsidP="00AB7EAF">
      <w:pPr>
        <w:spacing w:line="480" w:lineRule="auto"/>
        <w:rPr>
          <w:rFonts w:ascii="Verdana" w:eastAsia="Segoe UI" w:hAnsi="Verdana" w:cs="Segoe UI"/>
        </w:rPr>
      </w:pPr>
      <w:r w:rsidRPr="00AB7EAF">
        <w:rPr>
          <w:rFonts w:ascii="Verdana" w:eastAsia="Segoe UI" w:hAnsi="Verdana" w:cs="Segoe UI"/>
        </w:rPr>
        <w:t>Where fiscal powers are devolved, priority should be given to retention of a share of national tax revenues alongside robust equalisation mechanisms, greater flexibility over spending decisions and fewer fragmented funding streams</w:t>
      </w:r>
      <w:r w:rsidRPr="00AB7EAF">
        <w:rPr>
          <w:rFonts w:ascii="Verdana" w:eastAsia="Segoe UI" w:hAnsi="Verdana" w:cs="Segoe UI"/>
        </w:rPr>
        <w:t>.</w:t>
      </w:r>
      <w:r w:rsidRPr="00AB7EAF">
        <w:rPr>
          <w:rFonts w:ascii="Verdana" w:eastAsia="Segoe UI" w:hAnsi="Verdana" w:cs="Segoe UI"/>
        </w:rPr>
        <w:t xml:space="preserve"> In addition, this should be coupled with</w:t>
      </w:r>
      <w:r w:rsidRPr="00AB7EAF">
        <w:rPr>
          <w:rFonts w:ascii="Verdana" w:eastAsia="Segoe UI" w:hAnsi="Verdana" w:cs="Segoe UI"/>
        </w:rPr>
        <w:t xml:space="preserve"> increased use of</w:t>
      </w:r>
      <w:r w:rsidRPr="00AB7EAF">
        <w:rPr>
          <w:rFonts w:ascii="Verdana" w:eastAsia="Segoe UI" w:hAnsi="Verdana" w:cs="Segoe UI"/>
        </w:rPr>
        <w:t xml:space="preserve"> multi-year funding settlements that provide certainty for long-term planning and prevention,</w:t>
      </w:r>
      <w:r w:rsidRPr="00AB7EAF">
        <w:rPr>
          <w:rFonts w:ascii="Verdana" w:eastAsia="Segoe UI" w:hAnsi="Verdana" w:cs="Segoe UI"/>
        </w:rPr>
        <w:t xml:space="preserve"> and</w:t>
      </w:r>
      <w:r w:rsidRPr="00AB7EAF">
        <w:rPr>
          <w:rFonts w:ascii="Verdana" w:eastAsia="Segoe UI" w:hAnsi="Verdana" w:cs="Segoe UI"/>
        </w:rPr>
        <w:t xml:space="preserve"> greater borrowing flexibility for productive investment in </w:t>
      </w:r>
      <w:r w:rsidRPr="00AB7EAF">
        <w:rPr>
          <w:rFonts w:ascii="Verdana" w:eastAsia="Segoe UI" w:hAnsi="Verdana" w:cs="Segoe UI"/>
        </w:rPr>
        <w:t>physical</w:t>
      </w:r>
      <w:r w:rsidRPr="00AB7EAF">
        <w:rPr>
          <w:rFonts w:ascii="Verdana" w:eastAsia="Segoe UI" w:hAnsi="Verdana" w:cs="Segoe UI"/>
        </w:rPr>
        <w:t xml:space="preserve"> and social infrastructure</w:t>
      </w:r>
      <w:r>
        <w:rPr>
          <w:rStyle w:val="FootnoteReference"/>
          <w:rFonts w:ascii="Verdana" w:eastAsia="Segoe UI" w:hAnsi="Verdana" w:cs="Segoe UI"/>
        </w:rPr>
        <w:footnoteReference w:id="4"/>
      </w:r>
      <w:r w:rsidRPr="00AB7EAF">
        <w:rPr>
          <w:rFonts w:ascii="Verdana" w:eastAsia="Segoe UI" w:hAnsi="Verdana" w:cs="Segoe UI"/>
        </w:rPr>
        <w:t>. Fiscal devolution should also be accompanied by reform of existing local taxation. Council Tax remains the largest source of local authority income</w:t>
      </w:r>
      <w:r>
        <w:rPr>
          <w:rStyle w:val="FootnoteReference"/>
          <w:rFonts w:ascii="Verdana" w:eastAsia="Segoe UI" w:hAnsi="Verdana" w:cs="Segoe UI"/>
        </w:rPr>
        <w:footnoteReference w:id="5"/>
      </w:r>
      <w:r w:rsidRPr="00AB7EAF">
        <w:rPr>
          <w:rFonts w:ascii="Verdana" w:eastAsia="Segoe UI" w:hAnsi="Verdana" w:cs="Segoe UI"/>
        </w:rPr>
        <w:t xml:space="preserve"> but is widely recognised as regressive and outdated</w:t>
      </w:r>
      <w:r>
        <w:rPr>
          <w:rStyle w:val="FootnoteReference"/>
          <w:rFonts w:ascii="Verdana" w:eastAsia="Segoe UI" w:hAnsi="Verdana" w:cs="Segoe UI"/>
        </w:rPr>
        <w:footnoteReference w:id="6"/>
      </w:r>
      <w:r w:rsidRPr="00AB7EAF">
        <w:rPr>
          <w:rFonts w:ascii="Verdana" w:eastAsia="Segoe UI" w:hAnsi="Verdana" w:cs="Segoe UI"/>
        </w:rPr>
        <w:t>. Increasing local reliance on Council Tax without addressing these structural weaknesses would risk reinforcing existing inequalities</w:t>
      </w:r>
      <w:r w:rsidRPr="00AB7EAF">
        <w:rPr>
          <w:rFonts w:ascii="Verdana" w:eastAsia="Segoe UI" w:hAnsi="Verdana" w:cs="Segoe UI"/>
        </w:rPr>
        <w:t xml:space="preserve"> (see Q5 for further details)</w:t>
      </w:r>
      <w:r w:rsidRPr="00AB7EAF">
        <w:rPr>
          <w:rFonts w:ascii="Verdana" w:eastAsia="Segoe UI" w:hAnsi="Verdana" w:cs="Segoe UI"/>
        </w:rPr>
        <w:t xml:space="preserve">. </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Fiscal devolution should not be viewed solely as a mechanism for stimulating economic growth or increasing local revenue retention. It should also be </w:t>
      </w:r>
      <w:r w:rsidRPr="00AB7EAF">
        <w:rPr>
          <w:rFonts w:ascii="Verdana" w:eastAsia="Segoe UI" w:hAnsi="Verdana" w:cs="Segoe UI"/>
        </w:rPr>
        <w:t>seen</w:t>
      </w:r>
      <w:r w:rsidRPr="00AB7EAF">
        <w:rPr>
          <w:rFonts w:ascii="Verdana" w:eastAsia="Segoe UI" w:hAnsi="Verdana" w:cs="Segoe UI"/>
        </w:rPr>
        <w:t xml:space="preserve"> as an opportunity to strengthen investment in </w:t>
      </w:r>
      <w:r w:rsidRPr="00AB7EAF">
        <w:rPr>
          <w:rFonts w:ascii="Verdana" w:eastAsia="Segoe UI" w:hAnsi="Verdana" w:cs="Segoe UI"/>
        </w:rPr>
        <w:t xml:space="preserve">the </w:t>
      </w:r>
      <w:r w:rsidRPr="00AB7EAF">
        <w:rPr>
          <w:rFonts w:ascii="Verdana" w:eastAsia="Segoe UI" w:hAnsi="Verdana" w:cs="Segoe UI"/>
        </w:rPr>
        <w:t>social infrastructure</w:t>
      </w:r>
      <w:r w:rsidRPr="00AB7EAF">
        <w:rPr>
          <w:rFonts w:ascii="Verdana" w:eastAsia="Segoe UI" w:hAnsi="Verdana" w:cs="Segoe UI"/>
        </w:rPr>
        <w:t xml:space="preserve">, where </w:t>
      </w:r>
      <w:r w:rsidRPr="00AB7EAF">
        <w:rPr>
          <w:rFonts w:ascii="Verdana" w:eastAsia="Segoe UI" w:hAnsi="Verdana" w:cs="Segoe UI"/>
        </w:rPr>
        <w:t>this is understood as</w:t>
      </w:r>
      <w:r w:rsidRPr="00AB7EAF">
        <w:rPr>
          <w:rFonts w:ascii="Verdana" w:eastAsia="Segoe UI" w:hAnsi="Verdana" w:cs="Segoe UI"/>
        </w:rPr>
        <w:t xml:space="preserve"> the services and systems that support everyday life and enable participation in society and the economy, including childcare, social care, public transport, public health services, community facilities and housing support. These services </w:t>
      </w:r>
      <w:r w:rsidRPr="00AB7EAF">
        <w:rPr>
          <w:rFonts w:ascii="Verdana" w:eastAsia="Segoe UI" w:hAnsi="Verdana" w:cs="Segoe UI"/>
        </w:rPr>
        <w:t>are essential to economic functioning but have often been overlooked in favour of physical infrastructure and business development. Women are both the primary users and</w:t>
      </w:r>
      <w:r w:rsidRPr="00AB7EAF">
        <w:rPr>
          <w:rFonts w:ascii="Verdana" w:eastAsia="Segoe UI" w:hAnsi="Verdana" w:cs="Segoe UI"/>
        </w:rPr>
        <w:t xml:space="preserve"> providers of much of this infrastructure, meaning that decisions about its funding have profound implications for gender equality</w:t>
      </w:r>
      <w:r>
        <w:rPr>
          <w:rStyle w:val="FootnoteReference"/>
          <w:rFonts w:ascii="Verdana" w:eastAsia="Segoe UI" w:hAnsi="Verdana" w:cs="Segoe UI"/>
        </w:rPr>
        <w:footnoteReference w:id="7"/>
      </w:r>
      <w:r w:rsidRPr="00AB7EAF">
        <w:rPr>
          <w:rFonts w:ascii="Verdana" w:eastAsia="Segoe UI" w:hAnsi="Verdana" w:cs="Segoe UI"/>
        </w:rPr>
        <w:t>.</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It is crucial for discussions of fiscal devolution to </w:t>
      </w:r>
      <w:r w:rsidRPr="00AB7EAF">
        <w:rPr>
          <w:rFonts w:ascii="Verdana" w:eastAsia="Segoe UI" w:hAnsi="Verdana" w:cs="Segoe UI"/>
        </w:rPr>
        <w:t>consider how social care is funded in the future</w:t>
      </w:r>
      <w:r w:rsidRPr="00AB7EAF">
        <w:rPr>
          <w:rFonts w:ascii="Verdana" w:eastAsia="Segoe UI" w:hAnsi="Verdana" w:cs="Segoe UI"/>
        </w:rPr>
        <w:t>. Social care places substantial and growing pressures on local government finances, yet the current system relies heavily on</w:t>
      </w:r>
      <w:r w:rsidRPr="00AB7EAF">
        <w:rPr>
          <w:rFonts w:ascii="Verdana" w:eastAsia="Segoe UI" w:hAnsi="Verdana" w:cs="Segoe UI"/>
        </w:rPr>
        <w:t xml:space="preserve"> locally raised</w:t>
      </w:r>
      <w:r w:rsidRPr="00AB7EAF">
        <w:rPr>
          <w:rFonts w:ascii="Verdana" w:eastAsia="Segoe UI" w:hAnsi="Verdana" w:cs="Segoe UI"/>
        </w:rPr>
        <w:t xml:space="preserve"> revenues that vary significantly between places. This creates a structural mismatch between need and funding capacity. Areas with older populations, poorer health outcomes, higher levels of disability and greater deprivation often face the highest demand for publicly funded care, while simultaneously having weaker local t</w:t>
      </w:r>
      <w:r w:rsidRPr="00AB7EAF">
        <w:rPr>
          <w:rFonts w:ascii="Verdana" w:eastAsia="Segoe UI" w:hAnsi="Verdana" w:cs="Segoe UI"/>
        </w:rPr>
        <w:t>ax bases and lower capacity to raise revenue</w:t>
      </w:r>
      <w:r>
        <w:rPr>
          <w:rStyle w:val="FootnoteReference"/>
          <w:rFonts w:ascii="Verdana" w:eastAsia="Segoe UI" w:hAnsi="Verdana" w:cs="Segoe UI"/>
        </w:rPr>
        <w:footnoteReference w:id="8"/>
      </w:r>
      <w:r w:rsidRPr="00AB7EAF">
        <w:rPr>
          <w:rFonts w:ascii="Verdana" w:eastAsia="Segoe UI" w:hAnsi="Verdana" w:cs="Segoe UI"/>
        </w:rPr>
        <w:t>. In other words, the areas most in need are frequently those least able to fund that need through local taxation or locally retained revenues.</w:t>
      </w:r>
    </w:p>
    <w:p w:rsidR="00886179" w:rsidRPr="00AB7EAF" w:rsidP="00AB7EAF">
      <w:pPr>
        <w:spacing w:line="480" w:lineRule="auto"/>
        <w:rPr>
          <w:rFonts w:ascii="Verdana" w:eastAsia="Segoe UI" w:hAnsi="Verdana" w:cs="Segoe UI"/>
        </w:rPr>
      </w:pPr>
      <w:r w:rsidRPr="00AB7EAF">
        <w:rPr>
          <w:rFonts w:ascii="Verdana" w:eastAsia="Segoe UI" w:hAnsi="Verdana" w:cs="Segoe UI"/>
        </w:rPr>
        <w:t>This tension is likely to become more pronounced under fiscal devolution unless strong redistribution mechanisms are maintained. Social care currently accounts for around two thirds of local authority spending and is a major component of the social infrastructure that supports wellbeing, labour market participation and gender equality</w:t>
      </w:r>
      <w:r>
        <w:rPr>
          <w:rStyle w:val="FootnoteReference"/>
          <w:rFonts w:ascii="Verdana" w:eastAsia="Segoe UI" w:hAnsi="Verdana" w:cs="Segoe UI"/>
        </w:rPr>
        <w:footnoteReference w:id="9"/>
      </w:r>
      <w:r w:rsidRPr="00AB7EAF">
        <w:rPr>
          <w:rFonts w:ascii="Verdana" w:eastAsia="Segoe UI" w:hAnsi="Verdana" w:cs="Segoe UI"/>
        </w:rPr>
        <w:t xml:space="preserve">. Given the scale of need </w:t>
      </w:r>
      <w:r w:rsidRPr="00AB7EAF">
        <w:rPr>
          <w:rFonts w:ascii="Verdana" w:eastAsia="Segoe UI" w:hAnsi="Verdana" w:cs="Segoe UI"/>
        </w:rPr>
        <w:t>and the uneven distribution of both need and resources across England, there is a strong case for moving towards a more nationally funded model of social care, similar to the principles underpinning the NHS. Fiscal devolution should not result in access to care becoming increasingly dependent on the fiscal capacity of individual places.</w:t>
      </w:r>
    </w:p>
    <w:p w:rsidR="00886179" w:rsidRPr="00AB7EAF" w:rsidP="00AB7EAF">
      <w:pPr>
        <w:shd w:val="clear" w:color="auto" w:fill="FFFFFF" w:themeFill="background1"/>
        <w:spacing w:after="0" w:line="480" w:lineRule="auto"/>
        <w:rPr>
          <w:rFonts w:ascii="Verdana" w:eastAsia="Segoe UI" w:hAnsi="Verdana" w:cs="Segoe UI"/>
          <w:b/>
          <w:bCs/>
          <w:i/>
          <w:iCs/>
        </w:rPr>
      </w:pPr>
    </w:p>
    <w:p w:rsidR="00886179" w:rsidRPr="00AB7EAF" w:rsidP="00AB7EAF">
      <w:pPr>
        <w:pStyle w:val="ListParagraph"/>
        <w:numPr>
          <w:ilvl w:val="0"/>
          <w:numId w:val="4"/>
        </w:numPr>
        <w:shd w:val="clear" w:color="auto" w:fill="FFFFFF" w:themeFill="background1"/>
        <w:spacing w:after="0" w:line="480" w:lineRule="auto"/>
        <w:rPr>
          <w:rFonts w:ascii="Verdana" w:eastAsia="Segoe UI" w:hAnsi="Verdana" w:cs="Segoe UI"/>
          <w:b/>
          <w:bCs/>
        </w:rPr>
      </w:pPr>
      <w:r w:rsidRPr="00AB7EAF">
        <w:rPr>
          <w:rFonts w:ascii="Verdana" w:eastAsia="Segoe UI" w:hAnsi="Verdana" w:cs="Segoe UI"/>
          <w:b/>
          <w:bCs/>
        </w:rPr>
        <w:t>What mechanisms of equalisation between areas should the Government consider and how might these be updated as differences between regions change? What mechanisms might be needed to avoid inter-region tax competition leading to insufficient aggregate tax collection?</w:t>
      </w:r>
    </w:p>
    <w:p w:rsidR="00886179" w:rsidRPr="00AB7EAF" w:rsidP="00AB7EAF">
      <w:pPr>
        <w:spacing w:line="480" w:lineRule="auto"/>
        <w:rPr>
          <w:rFonts w:ascii="Verdana" w:eastAsia="Segoe UI" w:hAnsi="Verdana" w:cs="Segoe UI"/>
        </w:rPr>
      </w:pPr>
    </w:p>
    <w:p w:rsidR="00886179" w:rsidRPr="00AB7EAF" w:rsidP="00AB7EAF">
      <w:pPr>
        <w:spacing w:line="480" w:lineRule="auto"/>
        <w:rPr>
          <w:rFonts w:ascii="Verdana" w:eastAsia="Segoe UI" w:hAnsi="Verdana" w:cs="Segoe UI"/>
        </w:rPr>
      </w:pPr>
      <w:r w:rsidRPr="00AB7EAF">
        <w:rPr>
          <w:rFonts w:ascii="Verdana" w:eastAsia="Segoe UI" w:hAnsi="Verdana" w:cs="Segoe UI"/>
        </w:rPr>
        <w:t>Strong equalisation mechanisms are essential if fiscal devolution is to reduce rather than exacerbate inequalities.</w:t>
      </w:r>
      <w:r w:rsidRPr="00AB7EAF">
        <w:rPr>
          <w:rFonts w:ascii="Verdana" w:eastAsia="Segoe UI" w:hAnsi="Verdana" w:cs="Segoe UI"/>
        </w:rPr>
        <w:t xml:space="preserve"> </w:t>
      </w:r>
      <w:r w:rsidRPr="00AB7EAF">
        <w:rPr>
          <w:rFonts w:ascii="Verdana" w:eastAsia="Segoe UI" w:hAnsi="Verdana" w:cs="Segoe UI"/>
        </w:rPr>
        <w:t>The UK has some of the widest regional inequalities in the OECD</w:t>
      </w:r>
      <w:r>
        <w:rPr>
          <w:rStyle w:val="FootnoteReference"/>
          <w:rFonts w:ascii="Verdana" w:eastAsia="Segoe UI" w:hAnsi="Verdana" w:cs="Segoe UI"/>
        </w:rPr>
        <w:footnoteReference w:id="10"/>
      </w:r>
      <w:r w:rsidRPr="00AB7EAF">
        <w:rPr>
          <w:rFonts w:ascii="Verdana" w:eastAsia="Segoe UI" w:hAnsi="Verdana" w:cs="Segoe UI"/>
        </w:rPr>
        <w:t xml:space="preserve">. Local tax-raising capacity varies dramatically between places. Previous analysis </w:t>
      </w:r>
      <w:r w:rsidRPr="00AB7EAF">
        <w:rPr>
          <w:rFonts w:ascii="Verdana" w:eastAsia="Segoe UI" w:hAnsi="Verdana" w:cs="Segoe UI"/>
        </w:rPr>
        <w:t xml:space="preserve">by the IFS has </w:t>
      </w:r>
      <w:r w:rsidRPr="00AB7EAF">
        <w:rPr>
          <w:rFonts w:ascii="Verdana" w:eastAsia="Segoe UI" w:hAnsi="Verdana" w:cs="Segoe UI"/>
        </w:rPr>
        <w:t>found that local tax-raising capacity was approximately fourteen times higher in Westminster than in Lewisham</w:t>
      </w:r>
      <w:r>
        <w:rPr>
          <w:rStyle w:val="FootnoteReference"/>
          <w:rFonts w:ascii="Verdana" w:eastAsia="Segoe UI" w:hAnsi="Verdana" w:cs="Segoe UI"/>
        </w:rPr>
        <w:footnoteReference w:id="11"/>
      </w:r>
      <w:r w:rsidRPr="00AB7EAF">
        <w:rPr>
          <w:rFonts w:ascii="Verdana" w:eastAsia="Segoe UI" w:hAnsi="Verdana" w:cs="Segoe UI"/>
        </w:rPr>
        <w:t xml:space="preserve">. </w:t>
      </w:r>
    </w:p>
    <w:p w:rsidR="00886179" w:rsidRPr="00AB7EAF" w:rsidP="00AB7EAF">
      <w:pPr>
        <w:spacing w:line="480" w:lineRule="auto"/>
        <w:rPr>
          <w:rFonts w:ascii="Verdana" w:eastAsia="Segoe UI" w:hAnsi="Verdana" w:cs="Segoe UI"/>
        </w:rPr>
      </w:pPr>
      <w:r w:rsidRPr="00AB7EAF">
        <w:rPr>
          <w:rFonts w:ascii="Verdana" w:eastAsia="Segoe UI" w:hAnsi="Verdana" w:cs="Segoe UI"/>
        </w:rPr>
        <w:t>There is a substantial body of evidence demonstrating that places with the highest levels of need frequently have the weakest capacity to generate local revenues</w:t>
      </w:r>
      <w:r>
        <w:rPr>
          <w:rStyle w:val="FootnoteReference"/>
          <w:rFonts w:ascii="Verdana" w:eastAsia="Segoe UI" w:hAnsi="Verdana" w:cs="Segoe UI"/>
        </w:rPr>
        <w:footnoteReference w:id="12"/>
      </w:r>
      <w:r w:rsidRPr="00AB7EAF">
        <w:rPr>
          <w:rFonts w:ascii="Verdana" w:eastAsia="Segoe UI" w:hAnsi="Verdana" w:cs="Segoe UI"/>
        </w:rPr>
        <w:t xml:space="preserve">. This was one of the key concerns raised </w:t>
      </w:r>
      <w:r w:rsidRPr="00AB7EAF">
        <w:rPr>
          <w:rFonts w:ascii="Verdana" w:eastAsia="Segoe UI" w:hAnsi="Verdana" w:cs="Segoe UI"/>
        </w:rPr>
        <w:t>regarding the Business Rates Retention Scheme introduced in 2013, which weakened the connection between assessed need and local authority funding</w:t>
      </w:r>
      <w:r>
        <w:rPr>
          <w:rStyle w:val="FootnoteReference"/>
          <w:rFonts w:ascii="Verdana" w:eastAsia="Segoe UI" w:hAnsi="Verdana" w:cs="Segoe UI"/>
        </w:rPr>
        <w:footnoteReference w:id="13"/>
      </w:r>
      <w:r w:rsidRPr="00AB7EAF">
        <w:rPr>
          <w:rFonts w:ascii="Verdana" w:eastAsia="Segoe UI" w:hAnsi="Verdana" w:cs="Segoe UI"/>
        </w:rPr>
        <w:t>.</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The case for equalisation is particularly strong when viewed through the lens of social infrastructure. Demand for care and support services is not evenly distributed across the country. </w:t>
      </w:r>
      <w:r w:rsidRPr="00AB7EAF">
        <w:rPr>
          <w:rFonts w:ascii="Verdana" w:eastAsia="Segoe UI" w:hAnsi="Verdana" w:cs="Segoe UI"/>
        </w:rPr>
        <w:t>As previously mentioned, a</w:t>
      </w:r>
      <w:r w:rsidRPr="00AB7EAF">
        <w:rPr>
          <w:rFonts w:ascii="Verdana" w:eastAsia="Segoe UI" w:hAnsi="Verdana" w:cs="Segoe UI"/>
        </w:rPr>
        <w:t>reas with older populations, higher levels of disability, poorer health outcomes, higher child poverty rates or greater levels of deprivation often face significantly greater demand for social care, public health and family support services. At the same time, these areas are frequently less able to generate revenue locally through property taxes or revenue-sharing arrangements linked to local economic activity. Fiscal devolution must therefore be designed to recognise both differen</w:t>
      </w:r>
      <w:r w:rsidRPr="00AB7EAF">
        <w:rPr>
          <w:rFonts w:ascii="Verdana" w:eastAsia="Segoe UI" w:hAnsi="Verdana" w:cs="Segoe UI"/>
        </w:rPr>
        <w:t>ces in revenue capacity and differences in need.</w:t>
      </w:r>
    </w:p>
    <w:p w:rsidR="00886179" w:rsidRPr="00AB7EAF" w:rsidP="00AB7EAF">
      <w:pPr>
        <w:spacing w:line="480" w:lineRule="auto"/>
        <w:rPr>
          <w:rFonts w:ascii="Verdana" w:eastAsia="Segoe UI" w:hAnsi="Verdana" w:cs="Segoe UI"/>
        </w:rPr>
      </w:pPr>
      <w:r w:rsidRPr="00AB7EAF">
        <w:rPr>
          <w:rFonts w:ascii="Verdana" w:eastAsia="Segoe UI" w:hAnsi="Verdana" w:cs="Segoe UI"/>
        </w:rPr>
        <w:t>This is particularly important given the role of local government in funding social care. Adult and children's social care accounted for approximately 65 per cent of local authority spending in 2024</w:t>
      </w:r>
      <w:r>
        <w:rPr>
          <w:rStyle w:val="FootnoteReference"/>
          <w:rFonts w:ascii="Verdana" w:eastAsia="Segoe UI" w:hAnsi="Verdana" w:cs="Segoe UI"/>
        </w:rPr>
        <w:footnoteReference w:id="14"/>
      </w:r>
      <w:r w:rsidRPr="00AB7EAF">
        <w:rPr>
          <w:rFonts w:ascii="Verdana" w:eastAsia="Segoe UI" w:hAnsi="Verdana" w:cs="Segoe UI"/>
        </w:rPr>
        <w:t xml:space="preserve">. Any equalisation mechanism that fails to reflect care needs risks undermining the provision of essential services and increasing inequalities between places. </w:t>
      </w:r>
      <w:r w:rsidRPr="00AB7EAF">
        <w:rPr>
          <w:rFonts w:ascii="Verdana" w:eastAsia="Segoe UI" w:hAnsi="Verdana" w:cs="Segoe UI"/>
        </w:rPr>
        <w:t>Redistribution according to need should therefore remain a core principle of the local government finance system.</w:t>
      </w:r>
    </w:p>
    <w:p w:rsidR="00886179" w:rsidRPr="00AB7EAF" w:rsidP="00AB7EAF">
      <w:pPr>
        <w:spacing w:after="0" w:line="480" w:lineRule="auto"/>
        <w:rPr>
          <w:rFonts w:ascii="Verdana" w:eastAsia="Segoe UI" w:hAnsi="Verdana" w:cs="Segoe UI"/>
        </w:rPr>
      </w:pPr>
      <w:r w:rsidRPr="00AB7EAF">
        <w:rPr>
          <w:rFonts w:ascii="Verdana" w:eastAsia="Segoe UI" w:hAnsi="Verdana" w:cs="Segoe UI"/>
        </w:rPr>
        <w:t>Funding formulas should be updated regularly to reflect demographic and economic change. The recent Fair Funding Review reforms, which seek to restore the connection between need and funding, represent an important step in this direction and should not be undermined by future fiscal devolution arrangements</w:t>
      </w:r>
      <w:r>
        <w:rPr>
          <w:rStyle w:val="FootnoteReference"/>
          <w:rFonts w:ascii="Verdana" w:eastAsia="Segoe UI" w:hAnsi="Verdana" w:cs="Segoe UI"/>
        </w:rPr>
        <w:footnoteReference w:id="15"/>
      </w:r>
      <w:r w:rsidRPr="00AB7EAF">
        <w:rPr>
          <w:rFonts w:ascii="Verdana" w:eastAsia="Segoe UI" w:hAnsi="Verdana" w:cs="Segoe UI"/>
        </w:rPr>
        <w:t>.</w:t>
      </w:r>
      <w:r w:rsidRPr="00AB7EAF">
        <w:rPr>
          <w:rFonts w:ascii="Verdana" w:eastAsia="Segoe UI" w:hAnsi="Verdana" w:cs="Segoe UI"/>
        </w:rPr>
        <w:t xml:space="preserve"> </w:t>
      </w:r>
      <w:r w:rsidRPr="00AB7EAF">
        <w:rPr>
          <w:rFonts w:ascii="Verdana" w:eastAsia="Segoe UI" w:hAnsi="Verdana" w:cs="Segoe UI"/>
        </w:rPr>
        <w:t>Particular attention should be paid to the interaction between retained revenues and central government grants. The Government has indicated that future fiscal devolution may involve strategic authorities retaining a share of revenues from national taxes raised in their area. A key question is whether these revenues will be genuinely additional or whether they will be offset by reductions in central government funding. If the latter, there is a significant risk that wealthier areas will benefit disproportio</w:t>
      </w:r>
      <w:r w:rsidRPr="00AB7EAF">
        <w:rPr>
          <w:rFonts w:ascii="Verdana" w:eastAsia="Segoe UI" w:hAnsi="Verdana" w:cs="Segoe UI"/>
        </w:rPr>
        <w:t>nately unless robust equalisation mechanisms are in place.</w:t>
      </w:r>
    </w:p>
    <w:p w:rsidR="00886179" w:rsidRPr="00AB7EAF" w:rsidP="00AB7EAF">
      <w:pPr>
        <w:spacing w:after="0" w:line="480" w:lineRule="auto"/>
        <w:rPr>
          <w:rFonts w:ascii="Verdana" w:eastAsia="Segoe UI" w:hAnsi="Verdana" w:cs="Segoe UI"/>
        </w:rPr>
      </w:pPr>
    </w:p>
    <w:p w:rsidR="00886179" w:rsidRPr="00AB7EAF" w:rsidP="00AB7EAF">
      <w:pPr>
        <w:spacing w:after="0" w:line="480" w:lineRule="auto"/>
        <w:rPr>
          <w:rFonts w:ascii="Verdana" w:eastAsia="Segoe UI" w:hAnsi="Verdana" w:cs="Segoe UI"/>
        </w:rPr>
      </w:pPr>
      <w:r w:rsidRPr="00AB7EAF">
        <w:rPr>
          <w:rFonts w:ascii="Verdana" w:eastAsia="Segoe UI" w:hAnsi="Verdana" w:cs="Segoe UI"/>
        </w:rPr>
        <w:t>International experience demonstrates that fiscal devolution and redistribution can coexist. Germany combines significant regional fiscal autonomy with strong equalisation arrangements between Länder</w:t>
      </w:r>
      <w:r>
        <w:rPr>
          <w:rStyle w:val="FootnoteReference"/>
          <w:rFonts w:ascii="Verdana" w:eastAsia="Segoe UI" w:hAnsi="Verdana" w:cs="Segoe UI"/>
        </w:rPr>
        <w:footnoteReference w:id="16"/>
      </w:r>
      <w:r w:rsidRPr="00AB7EAF">
        <w:rPr>
          <w:rFonts w:ascii="Verdana" w:eastAsia="Segoe UI" w:hAnsi="Verdana" w:cs="Segoe UI"/>
        </w:rPr>
        <w:t>. Scotland combines devolved tax powers with continued fiscal transfers through the wider UK fiscal framework</w:t>
      </w:r>
      <w:r>
        <w:rPr>
          <w:rStyle w:val="FootnoteReference"/>
          <w:rFonts w:ascii="Verdana" w:eastAsia="Segoe UI" w:hAnsi="Verdana" w:cs="Segoe UI"/>
        </w:rPr>
        <w:footnoteReference w:id="17"/>
      </w:r>
      <w:r w:rsidRPr="00AB7EAF">
        <w:rPr>
          <w:rFonts w:ascii="Verdana" w:eastAsia="Segoe UI" w:hAnsi="Verdana" w:cs="Segoe UI"/>
        </w:rPr>
        <w:t xml:space="preserve">. These examples demonstrate </w:t>
      </w:r>
      <w:r w:rsidRPr="00AB7EAF">
        <w:rPr>
          <w:rFonts w:ascii="Verdana" w:eastAsia="Segoe UI" w:hAnsi="Verdana" w:cs="Segoe UI"/>
        </w:rPr>
        <w:t>that devolved fiscal systems do not require a retreat from solidarity or redistribution.</w:t>
      </w:r>
    </w:p>
    <w:p w:rsidR="00886179" w:rsidRPr="00AB7EAF" w:rsidP="00AB7EAF">
      <w:pPr>
        <w:spacing w:after="0" w:line="480" w:lineRule="auto"/>
        <w:rPr>
          <w:rFonts w:ascii="Verdana" w:eastAsia="Segoe UI" w:hAnsi="Verdana" w:cs="Segoe UI"/>
        </w:rPr>
      </w:pPr>
    </w:p>
    <w:p w:rsidR="00886179" w:rsidRPr="00AB7EAF" w:rsidP="00AB7EAF">
      <w:pPr>
        <w:spacing w:after="0" w:line="480" w:lineRule="auto"/>
        <w:rPr>
          <w:rFonts w:ascii="Verdana" w:eastAsia="Segoe UI" w:hAnsi="Verdana" w:cs="Segoe UI"/>
        </w:rPr>
      </w:pPr>
      <w:r w:rsidRPr="00AB7EAF">
        <w:rPr>
          <w:rFonts w:ascii="Verdana" w:eastAsia="Segoe UI" w:hAnsi="Verdana" w:cs="Segoe UI"/>
        </w:rPr>
        <w:t>The Government should also avoid creating incentives for harmful competition between places. Local authorities and strategic authorities should not be encouraged to pursue revenue-maximising strategies at the expense of wider social goals or to compete for tax bases in ways that undermine aggregate revenues.</w:t>
      </w:r>
      <w:r w:rsidRPr="00AB7EAF">
        <w:rPr>
          <w:rFonts w:ascii="Verdana" w:eastAsia="Segoe UI" w:hAnsi="Verdana" w:cs="Segoe UI"/>
        </w:rPr>
        <w:t xml:space="preserve"> This could include shared revenue arrangements, where regions benefit from broader national tax bases rather than relying solely on local economic strength, alongside clear national frameworks to ensure that essential services are available to a consistent standard across the country.</w:t>
      </w:r>
      <w:r w:rsidRPr="00AB7EAF">
        <w:rPr>
          <w:rFonts w:ascii="Verdana" w:eastAsia="Segoe UI" w:hAnsi="Verdana" w:cs="Segoe UI"/>
        </w:rPr>
        <w:t xml:space="preserve"> Fiscal devolution should support inclusive and sustainable development rather than creating incentives for a race to the bottom.</w:t>
      </w:r>
      <w:r w:rsidRPr="00AB7EAF">
        <w:rPr>
          <w:rFonts w:ascii="Verdana" w:eastAsia="Segoe UI" w:hAnsi="Verdana" w:cs="Segoe UI"/>
        </w:rPr>
        <w:t xml:space="preserve"> Countries with higher levels of fiscal devolution, such as Germany, combine regional fiscal auto</w:t>
      </w:r>
      <w:r w:rsidRPr="00AB7EAF">
        <w:rPr>
          <w:rFonts w:ascii="Verdana" w:eastAsia="Segoe UI" w:hAnsi="Verdana" w:cs="Segoe UI"/>
        </w:rPr>
        <w:t xml:space="preserve">nomy with formal equalisation arrangements between regions to ensure that devolved powers do not undermine territorial solidarity. </w:t>
      </w:r>
    </w:p>
    <w:p w:rsidR="00886179" w:rsidRPr="00AB7EAF" w:rsidP="00AB7EAF">
      <w:pPr>
        <w:spacing w:after="0" w:line="480" w:lineRule="auto"/>
        <w:rPr>
          <w:rFonts w:ascii="Verdana" w:eastAsia="Segoe UI" w:hAnsi="Verdana" w:cs="Segoe UI"/>
        </w:rPr>
      </w:pPr>
    </w:p>
    <w:p w:rsidR="00886179" w:rsidRPr="00AB7EAF" w:rsidP="00AB7EAF">
      <w:pPr>
        <w:spacing w:after="0" w:line="480" w:lineRule="auto"/>
        <w:rPr>
          <w:rFonts w:ascii="Verdana" w:eastAsia="Segoe UI" w:hAnsi="Verdana" w:cs="Segoe UI"/>
        </w:rPr>
      </w:pPr>
      <w:r w:rsidRPr="00AB7EAF">
        <w:rPr>
          <w:rFonts w:ascii="Verdana" w:eastAsia="Segoe UI" w:hAnsi="Verdana" w:cs="Segoe UI"/>
        </w:rPr>
        <w:t>Ultimately, the success of fiscal devolution will depend on whether it enables all places to meet local needs and improve outcomes, not simply on whether it increases local revenue retention.</w:t>
      </w:r>
      <w:r w:rsidRPr="00AB7EAF">
        <w:rPr>
          <w:rFonts w:ascii="Verdana" w:eastAsia="Segoe UI" w:hAnsi="Verdana" w:cs="Segoe UI"/>
        </w:rPr>
        <w:t xml:space="preserve"> </w:t>
      </w:r>
      <w:r w:rsidRPr="00AB7EAF">
        <w:rPr>
          <w:rFonts w:ascii="Verdana" w:eastAsia="Segoe UI" w:hAnsi="Verdana" w:cs="Segoe UI"/>
        </w:rPr>
        <w:t xml:space="preserve">If grant reductions offset locally retained revenues, there is a significant risk that wealthier areas will gain disproportionately while poorer areas lose out. This would </w:t>
      </w:r>
      <w:r w:rsidRPr="00AB7EAF">
        <w:rPr>
          <w:rFonts w:ascii="Verdana" w:eastAsia="Segoe UI" w:hAnsi="Verdana" w:cs="Segoe UI"/>
        </w:rPr>
        <w:t>undermine recent efforts through the Fair Funding Review 2.0 to restore the link between funding and need.</w:t>
      </w:r>
    </w:p>
    <w:p w:rsidR="00886179" w:rsidRPr="00AB7EAF" w:rsidP="00AB7EAF">
      <w:pPr>
        <w:spacing w:line="480" w:lineRule="auto"/>
        <w:rPr>
          <w:rFonts w:ascii="Verdana" w:eastAsia="Segoe UI" w:hAnsi="Verdana" w:cs="Segoe UI"/>
        </w:rPr>
      </w:pPr>
    </w:p>
    <w:p w:rsidR="00886179" w:rsidRPr="00AB7EAF" w:rsidP="00AB7EAF">
      <w:pPr>
        <w:pStyle w:val="ListParagraph"/>
        <w:numPr>
          <w:ilvl w:val="0"/>
          <w:numId w:val="4"/>
        </w:numPr>
        <w:shd w:val="clear" w:color="auto" w:fill="FFFFFF" w:themeFill="background1"/>
        <w:spacing w:after="0" w:line="480" w:lineRule="auto"/>
        <w:rPr>
          <w:rFonts w:ascii="Verdana" w:eastAsia="Segoe UI" w:hAnsi="Verdana" w:cs="Segoe UI"/>
          <w:b/>
          <w:bCs/>
        </w:rPr>
      </w:pPr>
      <w:r w:rsidRPr="00AB7EAF">
        <w:rPr>
          <w:rFonts w:ascii="Verdana" w:eastAsia="Segoe UI" w:hAnsi="Verdana" w:cs="Segoe UI"/>
          <w:b/>
          <w:bCs/>
        </w:rPr>
        <w:t>What are the distributional consequences of further fiscal devolution?</w:t>
      </w:r>
    </w:p>
    <w:p w:rsidR="00886179" w:rsidRPr="00AB7EAF" w:rsidP="00AB7EAF">
      <w:pPr>
        <w:spacing w:line="480" w:lineRule="auto"/>
        <w:rPr>
          <w:rFonts w:ascii="Verdana" w:eastAsia="Segoe UI" w:hAnsi="Verdana" w:cs="Segoe UI"/>
        </w:rPr>
      </w:pPr>
    </w:p>
    <w:p w:rsidR="00886179" w:rsidRPr="00AB7EAF" w:rsidP="00AB7EAF">
      <w:pPr>
        <w:spacing w:line="480" w:lineRule="auto"/>
        <w:rPr>
          <w:rFonts w:ascii="Verdana" w:eastAsia="Segoe UI" w:hAnsi="Verdana" w:cs="Segoe UI"/>
        </w:rPr>
      </w:pPr>
      <w:r w:rsidRPr="00AB7EAF">
        <w:rPr>
          <w:rFonts w:ascii="Verdana" w:eastAsia="Segoe UI" w:hAnsi="Verdana" w:cs="Segoe UI"/>
        </w:rPr>
        <w:t>The distributional consequences of fiscal devolution depend almost entirely on how it is designed.</w:t>
      </w:r>
      <w:r w:rsidRPr="00AB7EAF">
        <w:rPr>
          <w:rFonts w:ascii="Verdana" w:eastAsia="Segoe UI" w:hAnsi="Verdana" w:cs="Segoe UI"/>
        </w:rPr>
        <w:t xml:space="preserve"> </w:t>
      </w:r>
      <w:r w:rsidRPr="00AB7EAF">
        <w:rPr>
          <w:rFonts w:ascii="Verdana" w:eastAsia="Segoe UI" w:hAnsi="Verdana" w:cs="Segoe UI"/>
        </w:rPr>
        <w:t xml:space="preserve">Any </w:t>
      </w:r>
      <w:r w:rsidRPr="00AB7EAF">
        <w:rPr>
          <w:rFonts w:ascii="Verdana" w:eastAsia="Segoe UI" w:hAnsi="Verdana" w:cs="Segoe UI"/>
        </w:rPr>
        <w:t>design of mechanisms should be gender informed and draw on best practice by incorporating gender budgeting</w:t>
      </w:r>
      <w:r w:rsidRPr="00AB7EAF">
        <w:rPr>
          <w:rFonts w:ascii="Verdana" w:eastAsia="Segoe UI" w:hAnsi="Verdana" w:cs="Segoe UI"/>
        </w:rPr>
        <w:t xml:space="preserve">, participatory oversight and inclusive representative governance. </w:t>
      </w:r>
      <w:r w:rsidRPr="00AB7EAF">
        <w:rPr>
          <w:rFonts w:ascii="Verdana" w:eastAsia="Segoe UI" w:hAnsi="Verdana" w:cs="Segoe UI"/>
        </w:rPr>
        <w:t xml:space="preserve">The most important distributional question </w:t>
      </w:r>
      <w:r w:rsidRPr="00AB7EAF">
        <w:rPr>
          <w:rFonts w:ascii="Verdana" w:eastAsia="Segoe UI" w:hAnsi="Verdana" w:cs="Segoe UI"/>
        </w:rPr>
        <w:t xml:space="preserve">for WBG </w:t>
      </w:r>
      <w:r w:rsidRPr="00AB7EAF">
        <w:rPr>
          <w:rFonts w:ascii="Verdana" w:eastAsia="Segoe UI" w:hAnsi="Verdana" w:cs="Segoe UI"/>
        </w:rPr>
        <w:t xml:space="preserve">is whether fiscal devolution strengthens or weakens local capacity to </w:t>
      </w:r>
      <w:r w:rsidRPr="00AB7EAF">
        <w:rPr>
          <w:rFonts w:ascii="Verdana" w:eastAsia="Segoe UI" w:hAnsi="Verdana" w:cs="Segoe UI"/>
        </w:rPr>
        <w:t xml:space="preserve">meet needs. This means that local areas need to have sufficient resourcing </w:t>
      </w:r>
      <w:r w:rsidRPr="00AB7EAF">
        <w:rPr>
          <w:rFonts w:ascii="Verdana" w:eastAsia="Segoe UI" w:hAnsi="Verdana" w:cs="Segoe UI"/>
        </w:rPr>
        <w:t>to fund</w:t>
      </w:r>
      <w:r w:rsidRPr="00AB7EAF">
        <w:rPr>
          <w:rFonts w:ascii="Verdana" w:eastAsia="Segoe UI" w:hAnsi="Verdana" w:cs="Segoe UI"/>
        </w:rPr>
        <w:t xml:space="preserve"> social infrastructure, particularly social care. </w:t>
      </w:r>
    </w:p>
    <w:p w:rsidR="00886179" w:rsidRPr="00AB7EAF" w:rsidP="00AB7EAF">
      <w:pPr>
        <w:spacing w:line="480" w:lineRule="auto"/>
        <w:rPr>
          <w:rFonts w:ascii="Verdana" w:eastAsia="Segoe UI" w:hAnsi="Verdana" w:cs="Segoe UI"/>
        </w:rPr>
      </w:pPr>
      <w:r w:rsidRPr="00AB7EAF">
        <w:rPr>
          <w:rFonts w:ascii="Verdana" w:eastAsia="Segoe UI" w:hAnsi="Verdana" w:cs="Segoe UI"/>
        </w:rPr>
        <w:t>Without robust redistribution mechanisms, fiscal devolution risks widening inequalities between places because richer areas are better positioned to benefit from locally retained revenues. In practice, this could mean that areas with the greatest social and economic need face tighter resource constraints despite higher demand for public services.</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Women are likely to be disproportionately affected by </w:t>
      </w:r>
      <w:r w:rsidRPr="00AB7EAF">
        <w:rPr>
          <w:rFonts w:ascii="Verdana" w:eastAsia="Segoe UI" w:hAnsi="Verdana" w:cs="Segoe UI"/>
        </w:rPr>
        <w:t>widening spatial inequalities</w:t>
      </w:r>
      <w:r w:rsidRPr="00AB7EAF">
        <w:rPr>
          <w:rFonts w:ascii="Verdana" w:eastAsia="Segoe UI" w:hAnsi="Verdana" w:cs="Segoe UI"/>
        </w:rPr>
        <w:t xml:space="preserve"> as they </w:t>
      </w:r>
      <w:r w:rsidRPr="00AB7EAF">
        <w:rPr>
          <w:rFonts w:ascii="Verdana" w:eastAsia="Segoe UI" w:hAnsi="Verdana" w:cs="Segoe UI"/>
        </w:rPr>
        <w:t xml:space="preserve">rely more heavily on local public services because </w:t>
      </w:r>
      <w:r w:rsidRPr="00AB7EAF">
        <w:rPr>
          <w:rFonts w:ascii="Verdana" w:eastAsia="Segoe UI" w:hAnsi="Verdana" w:cs="Segoe UI"/>
        </w:rPr>
        <w:t>they continue to undertake the majority of unpaid care</w:t>
      </w:r>
      <w:r>
        <w:rPr>
          <w:rStyle w:val="FootnoteReference"/>
          <w:rFonts w:ascii="Verdana" w:eastAsia="Segoe UI" w:hAnsi="Verdana" w:cs="Segoe UI"/>
        </w:rPr>
        <w:footnoteReference w:id="18"/>
      </w:r>
      <w:r w:rsidRPr="00AB7EAF">
        <w:rPr>
          <w:rFonts w:ascii="Verdana" w:eastAsia="Segoe UI" w:hAnsi="Verdana" w:cs="Segoe UI"/>
        </w:rPr>
        <w:t xml:space="preserve"> and</w:t>
      </w:r>
      <w:r w:rsidRPr="00AB7EAF">
        <w:rPr>
          <w:rFonts w:ascii="Verdana" w:eastAsia="Segoe UI" w:hAnsi="Verdana" w:cs="Segoe UI"/>
        </w:rPr>
        <w:t xml:space="preserve"> </w:t>
      </w:r>
      <w:r w:rsidRPr="00AB7EAF">
        <w:rPr>
          <w:rFonts w:ascii="Verdana" w:eastAsia="Segoe UI" w:hAnsi="Verdana" w:cs="Segoe UI"/>
        </w:rPr>
        <w:t xml:space="preserve">are </w:t>
      </w:r>
      <w:r w:rsidRPr="00AB7EAF">
        <w:rPr>
          <w:rFonts w:ascii="Verdana" w:eastAsia="Segoe UI" w:hAnsi="Verdana" w:cs="Segoe UI"/>
        </w:rPr>
        <w:t>more likely than men to use social care services, public transport, children's services and community-based support services. Women also make up a large proportion of the local government workforce and the wider care economy</w:t>
      </w:r>
      <w:r>
        <w:rPr>
          <w:rStyle w:val="FootnoteReference"/>
          <w:rFonts w:ascii="Verdana" w:eastAsia="Segoe UI" w:hAnsi="Verdana" w:cs="Segoe UI"/>
        </w:rPr>
        <w:footnoteReference w:id="19"/>
      </w:r>
      <w:r w:rsidRPr="00AB7EAF">
        <w:rPr>
          <w:rFonts w:ascii="Verdana" w:eastAsia="Segoe UI" w:hAnsi="Verdana" w:cs="Segoe UI"/>
        </w:rPr>
        <w:t>.</w:t>
      </w:r>
      <w:r w:rsidRPr="00AB7EAF">
        <w:rPr>
          <w:rFonts w:ascii="Verdana" w:eastAsia="Segoe UI" w:hAnsi="Verdana" w:cs="Segoe UI"/>
        </w:rPr>
        <w:t xml:space="preserve"> </w:t>
      </w:r>
      <w:r w:rsidRPr="00AB7EAF">
        <w:rPr>
          <w:rFonts w:ascii="Verdana" w:eastAsia="Segoe UI" w:hAnsi="Verdana" w:cs="Segoe UI"/>
        </w:rPr>
        <w:t>Cuts to local services therefore affect women as service users</w:t>
      </w:r>
      <w:r w:rsidRPr="00AB7EAF">
        <w:rPr>
          <w:rFonts w:ascii="Verdana" w:eastAsia="Segoe UI" w:hAnsi="Verdana" w:cs="Segoe UI"/>
        </w:rPr>
        <w:t>,</w:t>
      </w:r>
      <w:r w:rsidRPr="00AB7EAF">
        <w:rPr>
          <w:rFonts w:ascii="Verdana" w:eastAsia="Segoe UI" w:hAnsi="Verdana" w:cs="Segoe UI"/>
        </w:rPr>
        <w:t xml:space="preserve"> workers</w:t>
      </w:r>
      <w:r w:rsidRPr="00AB7EAF">
        <w:rPr>
          <w:rFonts w:ascii="Verdana" w:eastAsia="Segoe UI" w:hAnsi="Verdana" w:cs="Segoe UI"/>
        </w:rPr>
        <w:t>, and as carers</w:t>
      </w:r>
      <w:r>
        <w:rPr>
          <w:rStyle w:val="FootnoteReference"/>
          <w:rFonts w:ascii="Verdana" w:eastAsia="Segoe UI" w:hAnsi="Verdana" w:cs="Segoe UI"/>
        </w:rPr>
        <w:footnoteReference w:id="20"/>
      </w:r>
      <w:r w:rsidRPr="00AB7EAF">
        <w:rPr>
          <w:rFonts w:ascii="Verdana" w:eastAsia="Segoe UI" w:hAnsi="Verdana" w:cs="Segoe UI"/>
        </w:rPr>
        <w:t>.</w:t>
      </w:r>
    </w:p>
    <w:p w:rsidR="00886179" w:rsidRPr="00AB7EAF" w:rsidP="00AB7EAF">
      <w:pPr>
        <w:spacing w:line="480" w:lineRule="auto"/>
        <w:rPr>
          <w:rFonts w:ascii="Verdana" w:eastAsia="Segoe UI" w:hAnsi="Verdana" w:cs="Segoe UI"/>
        </w:rPr>
      </w:pPr>
      <w:r w:rsidRPr="00AB7EAF">
        <w:rPr>
          <w:rFonts w:ascii="Verdana" w:eastAsia="Segoe UI" w:hAnsi="Verdana" w:cs="Segoe UI"/>
        </w:rPr>
        <w:t>This has been observed over</w:t>
      </w:r>
      <w:r w:rsidRPr="00AB7EAF">
        <w:rPr>
          <w:rFonts w:ascii="Verdana" w:eastAsia="Segoe UI" w:hAnsi="Verdana" w:cs="Segoe UI"/>
        </w:rPr>
        <w:t xml:space="preserve"> the past decade, </w:t>
      </w:r>
      <w:r w:rsidRPr="00AB7EAF">
        <w:rPr>
          <w:rFonts w:ascii="Verdana" w:eastAsia="Segoe UI" w:hAnsi="Verdana" w:cs="Segoe UI"/>
        </w:rPr>
        <w:t xml:space="preserve">with </w:t>
      </w:r>
      <w:r w:rsidRPr="00AB7EAF">
        <w:rPr>
          <w:rFonts w:ascii="Verdana" w:eastAsia="Segoe UI" w:hAnsi="Verdana" w:cs="Segoe UI"/>
        </w:rPr>
        <w:t>reductions in local government funding</w:t>
      </w:r>
      <w:r w:rsidRPr="00AB7EAF">
        <w:rPr>
          <w:rFonts w:ascii="Verdana" w:eastAsia="Segoe UI" w:hAnsi="Verdana" w:cs="Segoe UI"/>
        </w:rPr>
        <w:t xml:space="preserve"> leading to</w:t>
      </w:r>
      <w:r w:rsidRPr="00AB7EAF">
        <w:rPr>
          <w:rFonts w:ascii="Verdana" w:eastAsia="Segoe UI" w:hAnsi="Verdana" w:cs="Segoe UI"/>
        </w:rPr>
        <w:t xml:space="preserve"> significant consequences for the services that support women's economic participation and wellbeing. Cuts to social care, youth services, public health, community services, libraries and transport have increased pressures on unpaid carers, the majority of whom are women, while reducing access to support that enables participation in paid work and community life</w:t>
      </w:r>
      <w:r>
        <w:rPr>
          <w:rStyle w:val="FootnoteReference"/>
          <w:rFonts w:ascii="Verdana" w:eastAsia="Segoe UI" w:hAnsi="Verdana" w:cs="Segoe UI"/>
        </w:rPr>
        <w:footnoteReference w:id="21"/>
      </w:r>
      <w:r w:rsidRPr="00AB7EAF">
        <w:rPr>
          <w:rFonts w:ascii="Verdana" w:eastAsia="Segoe UI" w:hAnsi="Verdana" w:cs="Segoe UI"/>
        </w:rPr>
        <w:t>.</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Specialist women's organisations should also be recognised as </w:t>
      </w:r>
      <w:r w:rsidRPr="00AB7EAF">
        <w:rPr>
          <w:rFonts w:ascii="Verdana" w:eastAsia="Segoe UI" w:hAnsi="Verdana" w:cs="Segoe UI"/>
        </w:rPr>
        <w:t xml:space="preserve">an essential </w:t>
      </w:r>
      <w:r w:rsidRPr="00AB7EAF">
        <w:rPr>
          <w:rFonts w:ascii="Verdana" w:eastAsia="Segoe UI" w:hAnsi="Verdana" w:cs="Segoe UI"/>
        </w:rPr>
        <w:t>part of</w:t>
      </w:r>
      <w:r w:rsidRPr="00AB7EAF">
        <w:rPr>
          <w:rFonts w:ascii="Verdana" w:eastAsia="Segoe UI" w:hAnsi="Verdana" w:cs="Segoe UI"/>
        </w:rPr>
        <w:t xml:space="preserve"> </w:t>
      </w:r>
      <w:r w:rsidRPr="00AB7EAF">
        <w:rPr>
          <w:rFonts w:ascii="Verdana" w:eastAsia="Segoe UI" w:hAnsi="Verdana" w:cs="Segoe UI"/>
        </w:rPr>
        <w:t>the</w:t>
      </w:r>
      <w:r w:rsidRPr="00AB7EAF">
        <w:rPr>
          <w:rFonts w:ascii="Verdana" w:eastAsia="Segoe UI" w:hAnsi="Verdana" w:cs="Segoe UI"/>
        </w:rPr>
        <w:t xml:space="preserve"> local social infrastructure. Women's organisations provide </w:t>
      </w:r>
      <w:r w:rsidRPr="00AB7EAF">
        <w:rPr>
          <w:rFonts w:ascii="Verdana" w:eastAsia="Segoe UI" w:hAnsi="Verdana" w:cs="Segoe UI"/>
        </w:rPr>
        <w:t>vit</w:t>
      </w:r>
      <w:r w:rsidRPr="00AB7EAF">
        <w:rPr>
          <w:rFonts w:ascii="Verdana" w:eastAsia="Segoe UI" w:hAnsi="Verdana" w:cs="Segoe UI"/>
        </w:rPr>
        <w:t xml:space="preserve">al support for </w:t>
      </w:r>
      <w:r w:rsidRPr="00AB7EAF">
        <w:rPr>
          <w:rFonts w:ascii="Verdana" w:eastAsia="Segoe UI" w:hAnsi="Verdana" w:cs="Segoe UI"/>
        </w:rPr>
        <w:t>victim-</w:t>
      </w:r>
      <w:r w:rsidRPr="00AB7EAF">
        <w:rPr>
          <w:rFonts w:ascii="Verdana" w:eastAsia="Segoe UI" w:hAnsi="Verdana" w:cs="Segoe UI"/>
        </w:rPr>
        <w:t xml:space="preserve">survivors of domestic abuse and sexual violence, deliver preventative services and contribute to community wellbeing. Many operate within fragile and fragmented funding environments. As fiscal powers are devolved, consideration should be given to how stable and sustainable funding can be secured for these </w:t>
      </w:r>
      <w:r w:rsidRPr="00AB7EAF">
        <w:rPr>
          <w:rFonts w:ascii="Verdana" w:eastAsia="Segoe UI" w:hAnsi="Verdana" w:cs="Segoe UI"/>
        </w:rPr>
        <w:t>organisations, particularly in light of wider changes to local and national funding structures.</w:t>
      </w:r>
    </w:p>
    <w:p w:rsidR="00886179" w:rsidRPr="00AB7EAF" w:rsidP="00AB7EAF">
      <w:pPr>
        <w:spacing w:line="480" w:lineRule="auto"/>
        <w:rPr>
          <w:rFonts w:ascii="Verdana" w:eastAsia="Segoe UI" w:hAnsi="Verdana" w:cs="Segoe UI"/>
        </w:rPr>
      </w:pPr>
      <w:r w:rsidRPr="00AB7EAF">
        <w:rPr>
          <w:rFonts w:ascii="Verdana" w:eastAsia="Segoe UI" w:hAnsi="Verdana" w:cs="Segoe UI"/>
        </w:rPr>
        <w:t>There are also specific gendered risks associated with local revenue generation. Increased financial pressure on local authorities may create incentives for more aggressive approaches to Council Tax collection and debt enforcement. Evidence from women's organisations suggests that such practices can have disproportionate impacts on women, particularly lone mothers and women managing household finances</w:t>
      </w:r>
      <w:r>
        <w:rPr>
          <w:rStyle w:val="FootnoteReference"/>
          <w:rFonts w:ascii="Verdana" w:eastAsia="Segoe UI" w:hAnsi="Verdana" w:cs="Segoe UI"/>
        </w:rPr>
        <w:footnoteReference w:id="22"/>
      </w:r>
      <w:r w:rsidRPr="00AB7EAF">
        <w:rPr>
          <w:rFonts w:ascii="Verdana" w:eastAsia="Segoe UI" w:hAnsi="Verdana" w:cs="Segoe UI"/>
        </w:rPr>
        <w:t>. Similarly, local welfare policies and local eligibility criteria can have unintended gendered consequences, including for women experiencing domestic abuse</w:t>
      </w:r>
      <w:r w:rsidRPr="00AB7EAF">
        <w:rPr>
          <w:rFonts w:ascii="Verdana" w:eastAsia="Segoe UI" w:hAnsi="Verdana" w:cs="Segoe UI"/>
        </w:rPr>
        <w:t xml:space="preserve"> for whom access to an independent source of income may be </w:t>
      </w:r>
      <w:r w:rsidRPr="00AB7EAF">
        <w:rPr>
          <w:rFonts w:ascii="Verdana" w:eastAsia="Segoe UI" w:hAnsi="Verdana" w:cs="Segoe UI"/>
        </w:rPr>
        <w:t>lifesaving</w:t>
      </w:r>
      <w:r>
        <w:rPr>
          <w:rStyle w:val="FootnoteReference"/>
          <w:rFonts w:ascii="Verdana" w:eastAsia="Segoe UI" w:hAnsi="Verdana" w:cs="Segoe UI"/>
        </w:rPr>
        <w:footnoteReference w:id="23"/>
      </w:r>
      <w:r w:rsidRPr="00AB7EAF">
        <w:rPr>
          <w:rFonts w:ascii="Verdana" w:eastAsia="Segoe UI" w:hAnsi="Verdana" w:cs="Segoe UI"/>
        </w:rPr>
        <w:t>.</w:t>
      </w:r>
    </w:p>
    <w:p w:rsidR="00886179" w:rsidRPr="00AB7EAF" w:rsidP="00AB7EAF">
      <w:pPr>
        <w:spacing w:line="480" w:lineRule="auto"/>
        <w:rPr>
          <w:rFonts w:ascii="Verdana" w:eastAsia="Segoe UI" w:hAnsi="Verdana" w:cs="Segoe UI"/>
        </w:rPr>
      </w:pPr>
      <w:r w:rsidRPr="00AB7EAF">
        <w:rPr>
          <w:rFonts w:ascii="Verdana" w:eastAsia="Segoe UI" w:hAnsi="Verdana" w:cs="Segoe UI"/>
        </w:rPr>
        <w:t>However, fiscal devolution may also create opportunities. Local authorities are often better placed than central government to understand local patterns of inequality and local needs. Greater autonomy</w:t>
      </w:r>
      <w:r w:rsidRPr="00AB7EAF">
        <w:rPr>
          <w:rFonts w:ascii="Verdana" w:eastAsia="Segoe UI" w:hAnsi="Verdana" w:cs="Segoe UI"/>
        </w:rPr>
        <w:t xml:space="preserve"> around spending decisions</w:t>
      </w:r>
      <w:r w:rsidRPr="00AB7EAF">
        <w:rPr>
          <w:rFonts w:ascii="Verdana" w:eastAsia="Segoe UI" w:hAnsi="Verdana" w:cs="Segoe UI"/>
        </w:rPr>
        <w:t xml:space="preserve"> could support investment in childcare, social care, transport, public health and anti-poverty initiatives that reflect local circumstances. Some combined authorities have already begun developing approaches that emphasise the foundational economy, child poverty reduction and social infrastructure as key economic priorities. The example of the West of England Combined Authority's focus on the "everyday economy", social infrastructure and child poverty demonstrates how local institu</w:t>
      </w:r>
      <w:r w:rsidRPr="00AB7EAF">
        <w:rPr>
          <w:rFonts w:ascii="Verdana" w:eastAsia="Segoe UI" w:hAnsi="Verdana" w:cs="Segoe UI"/>
        </w:rPr>
        <w:t xml:space="preserve">tions can </w:t>
      </w:r>
      <w:r w:rsidRPr="00AB7EAF">
        <w:rPr>
          <w:rFonts w:ascii="Verdana" w:eastAsia="Segoe UI" w:hAnsi="Verdana" w:cs="Segoe UI"/>
        </w:rPr>
        <w:t>adopt broader measures of economic success that better reflect women's experiences and priorities</w:t>
      </w:r>
      <w:r>
        <w:rPr>
          <w:rStyle w:val="FootnoteReference"/>
          <w:rFonts w:ascii="Verdana" w:eastAsia="Segoe UI" w:hAnsi="Verdana" w:cs="Segoe UI"/>
        </w:rPr>
        <w:footnoteReference w:id="24"/>
      </w:r>
      <w:r w:rsidRPr="00AB7EAF">
        <w:rPr>
          <w:rFonts w:ascii="Verdana" w:eastAsia="Segoe UI" w:hAnsi="Verdana" w:cs="Segoe UI"/>
        </w:rPr>
        <w:t>.</w:t>
      </w:r>
    </w:p>
    <w:p w:rsidR="00886179" w:rsidRPr="00AB7EAF" w:rsidP="00AB7EAF">
      <w:pPr>
        <w:spacing w:line="480" w:lineRule="auto"/>
        <w:rPr>
          <w:rFonts w:ascii="Verdana" w:eastAsia="Segoe UI" w:hAnsi="Verdana" w:cs="Segoe UI"/>
        </w:rPr>
      </w:pPr>
      <w:r w:rsidRPr="00AB7EAF">
        <w:rPr>
          <w:rFonts w:ascii="Verdana" w:eastAsia="Segoe UI" w:hAnsi="Verdana" w:cs="Segoe UI"/>
        </w:rPr>
        <w:t>The overall distributional impact of fiscal devolution will therefore depend on whether it is designed primarily as a growth incentive or as a mechanism for enabling all places to meet local needs and improve wellbeing.</w:t>
      </w:r>
    </w:p>
    <w:p w:rsidR="00886179" w:rsidRPr="00AB7EAF" w:rsidP="00AB7EAF">
      <w:pPr>
        <w:shd w:val="clear" w:color="auto" w:fill="FFFFFF" w:themeFill="background1"/>
        <w:spacing w:after="0" w:line="480" w:lineRule="auto"/>
        <w:rPr>
          <w:rFonts w:ascii="Verdana" w:eastAsia="Segoe UI" w:hAnsi="Verdana" w:cs="Segoe UI"/>
        </w:rPr>
      </w:pPr>
    </w:p>
    <w:p w:rsidR="00886179" w:rsidRPr="00AB7EAF" w:rsidP="00AB7EAF">
      <w:pPr>
        <w:pStyle w:val="ListParagraph"/>
        <w:numPr>
          <w:ilvl w:val="0"/>
          <w:numId w:val="4"/>
        </w:numPr>
        <w:shd w:val="clear" w:color="auto" w:fill="FFFFFF" w:themeFill="background1"/>
        <w:spacing w:after="0" w:line="480" w:lineRule="auto"/>
        <w:rPr>
          <w:rFonts w:ascii="Verdana" w:eastAsia="Segoe UI" w:hAnsi="Verdana" w:cs="Segoe UI"/>
          <w:b/>
          <w:bCs/>
        </w:rPr>
      </w:pPr>
      <w:r w:rsidRPr="00AB7EAF">
        <w:rPr>
          <w:rFonts w:ascii="Verdana" w:eastAsia="Segoe UI" w:hAnsi="Verdana" w:cs="Segoe UI"/>
          <w:b/>
          <w:bCs/>
        </w:rPr>
        <w:t>What governance arrangements are needed as more powers are devolved to local areas? How should local and mayoral strategic authorities be best scrutinised and held to account for the exercise of any new powers?</w:t>
      </w:r>
    </w:p>
    <w:p w:rsidR="00886179" w:rsidRPr="00AB7EAF" w:rsidP="00AB7EAF">
      <w:pPr>
        <w:spacing w:line="480" w:lineRule="auto"/>
        <w:rPr>
          <w:rFonts w:ascii="Verdana" w:eastAsia="Segoe UI" w:hAnsi="Verdana" w:cs="Segoe UI"/>
        </w:rPr>
      </w:pPr>
    </w:p>
    <w:p w:rsidR="00886179" w:rsidRPr="00AB7EAF" w:rsidP="00AB7EAF">
      <w:pPr>
        <w:spacing w:line="480" w:lineRule="auto"/>
        <w:rPr>
          <w:rFonts w:ascii="Verdana" w:eastAsia="Segoe UI" w:hAnsi="Verdana" w:cs="Segoe UI"/>
        </w:rPr>
      </w:pPr>
      <w:r w:rsidRPr="00AB7EAF">
        <w:rPr>
          <w:rFonts w:ascii="Verdana" w:eastAsia="Segoe UI" w:hAnsi="Verdana" w:cs="Segoe UI"/>
        </w:rPr>
        <w:t>Governance arrangements will be critical in determining whether fiscal devolution contributes to greater equality and improved outcomes. Fiscal devolution should not be viewed simply as a technical exercise in transferring financial powers, but as a question of who makes decisions, whose voices are heard, and how decision makers are held accountable.</w:t>
      </w:r>
    </w:p>
    <w:p w:rsidR="00886179" w:rsidRPr="00AB7EAF" w:rsidP="00AB7EAF">
      <w:pPr>
        <w:spacing w:line="480" w:lineRule="auto"/>
        <w:rPr>
          <w:rFonts w:ascii="Verdana" w:eastAsia="Segoe UI" w:hAnsi="Verdana" w:cs="Segoe UI"/>
        </w:rPr>
      </w:pPr>
      <w:r w:rsidRPr="00AB7EAF">
        <w:rPr>
          <w:rFonts w:ascii="Verdana" w:eastAsia="Segoe UI" w:hAnsi="Verdana" w:cs="Segoe UI"/>
        </w:rPr>
        <w:t>The creation of strategic authorities through the English Devolution and Community Empowerment Act 2026 represents a significant reorganisation of governance in England</w:t>
      </w:r>
      <w:r>
        <w:rPr>
          <w:rStyle w:val="FootnoteReference"/>
          <w:rFonts w:ascii="Verdana" w:eastAsia="Segoe UI" w:hAnsi="Verdana" w:cs="Segoe UI"/>
        </w:rPr>
        <w:footnoteReference w:id="25"/>
      </w:r>
      <w:r w:rsidRPr="00AB7EAF">
        <w:rPr>
          <w:rFonts w:ascii="Verdana" w:eastAsia="Segoe UI" w:hAnsi="Verdana" w:cs="Segoe UI"/>
        </w:rPr>
        <w:t xml:space="preserve">. While these new structures may support greater strategic coordination, they also raise important </w:t>
      </w:r>
      <w:r w:rsidRPr="00AB7EAF">
        <w:rPr>
          <w:rFonts w:ascii="Verdana" w:eastAsia="Segoe UI" w:hAnsi="Verdana" w:cs="Segoe UI"/>
        </w:rPr>
        <w:t>questions about accountability, participation and representation. There is a risk that devolution becomes a transfer of power from Westminster to regional institutions without increasing the influence of local communities over decision making.</w:t>
      </w:r>
      <w:r w:rsidRPr="00AB7EAF">
        <w:rPr>
          <w:rFonts w:ascii="Verdana" w:eastAsia="Segoe UI" w:hAnsi="Verdana" w:cs="Segoe UI"/>
        </w:rPr>
        <w:t xml:space="preserve"> </w:t>
      </w:r>
      <w:r w:rsidRPr="00AB7EAF">
        <w:rPr>
          <w:rFonts w:ascii="Verdana" w:eastAsia="Segoe UI" w:hAnsi="Verdana" w:cs="Segoe UI"/>
        </w:rPr>
        <w:t>I</w:t>
      </w:r>
      <w:r w:rsidRPr="00AB7EAF">
        <w:rPr>
          <w:rFonts w:ascii="Verdana" w:eastAsia="Segoe UI" w:hAnsi="Verdana" w:cs="Segoe UI"/>
        </w:rPr>
        <w:t>t is essential that accountability mechanisms evolve in parallel to</w:t>
      </w:r>
      <w:r w:rsidRPr="00AB7EAF">
        <w:rPr>
          <w:rFonts w:ascii="Verdana" w:eastAsia="Segoe UI" w:hAnsi="Verdana" w:cs="Segoe UI"/>
        </w:rPr>
        <w:t xml:space="preserve"> these changes</w:t>
      </w:r>
      <w:r w:rsidRPr="00AB7EAF">
        <w:rPr>
          <w:rFonts w:ascii="Verdana" w:eastAsia="Segoe UI" w:hAnsi="Verdana" w:cs="Segoe UI"/>
        </w:rPr>
        <w:t xml:space="preserve"> ensure that transparency and democratic oversight are not weakened but strengthened.</w:t>
      </w:r>
    </w:p>
    <w:p w:rsidR="00886179" w:rsidRPr="00AB7EAF" w:rsidP="00AB7EAF">
      <w:pPr>
        <w:spacing w:line="480" w:lineRule="auto"/>
        <w:rPr>
          <w:rFonts w:ascii="Verdana" w:eastAsia="Segoe UI" w:hAnsi="Verdana" w:cs="Segoe UI"/>
        </w:rPr>
      </w:pPr>
      <w:r w:rsidRPr="00AB7EAF">
        <w:rPr>
          <w:rFonts w:ascii="Verdana" w:eastAsia="Segoe UI" w:hAnsi="Verdana" w:cs="Segoe UI"/>
        </w:rPr>
        <w:t>Local and regional authorities exercising new fiscal powers should be required to publish transparent information about spending decisions, funding allocations and outcomes. They should also be expected to undertake robust assessments of the distributional impacts of fiscal decisions</w:t>
      </w:r>
      <w:r w:rsidRPr="00AB7EAF">
        <w:rPr>
          <w:rFonts w:ascii="Verdana" w:eastAsia="Segoe UI" w:hAnsi="Verdana" w:cs="Segoe UI"/>
        </w:rPr>
        <w:t xml:space="preserve"> across the axes of gender, ethnicity, socio-economic status, disability and other intersecting lived experiences of marginalisation.</w:t>
      </w:r>
    </w:p>
    <w:p w:rsidR="00886179" w:rsidRPr="00AB7EAF" w:rsidP="00AB7EAF">
      <w:pPr>
        <w:spacing w:line="480" w:lineRule="auto"/>
        <w:rPr>
          <w:rFonts w:ascii="Verdana" w:eastAsia="Segoe UI" w:hAnsi="Verdana" w:cs="Segoe UI"/>
        </w:rPr>
      </w:pPr>
      <w:r w:rsidRPr="00AB7EAF">
        <w:rPr>
          <w:rFonts w:ascii="Verdana" w:eastAsia="Segoe UI" w:hAnsi="Verdana" w:cs="Segoe UI"/>
        </w:rPr>
        <w:t>However, transparency alone is insufficient. If fiscal devolution is to contribute to greater equality, women and marginalised groups must have meaningful opportunities to influence spending priorities before decisions are made, with governance structures going beyond consultation and towards participation in decision making.</w:t>
      </w:r>
      <w:r w:rsidRPr="00AB7EAF">
        <w:rPr>
          <w:rFonts w:ascii="Verdana" w:eastAsia="Segoe UI" w:hAnsi="Verdana" w:cs="Segoe UI"/>
        </w:rPr>
        <w:t xml:space="preserve"> The use of </w:t>
      </w:r>
      <w:r w:rsidRPr="00AB7EAF">
        <w:rPr>
          <w:rFonts w:ascii="Verdana" w:eastAsia="Segoe UI" w:hAnsi="Verdana" w:cs="Segoe UI"/>
        </w:rPr>
        <w:t>an Equality Budgeting Expert Advisory Group</w:t>
      </w:r>
      <w:r w:rsidRPr="00AB7EAF">
        <w:rPr>
          <w:rFonts w:ascii="Verdana" w:eastAsia="Segoe UI" w:hAnsi="Verdana" w:cs="Segoe UI"/>
        </w:rPr>
        <w:t xml:space="preserve"> </w:t>
      </w:r>
      <w:r w:rsidRPr="00AB7EAF">
        <w:rPr>
          <w:rFonts w:ascii="Verdana" w:eastAsia="Segoe UI" w:hAnsi="Verdana" w:cs="Segoe UI"/>
        </w:rPr>
        <w:t xml:space="preserve">to provide ongoing strategic guidance within a formal gender budgeting framework increases </w:t>
      </w:r>
      <w:r w:rsidRPr="00AB7EAF">
        <w:rPr>
          <w:rFonts w:ascii="Verdana" w:eastAsia="Segoe UI" w:hAnsi="Verdana" w:cs="Segoe UI"/>
        </w:rPr>
        <w:t>participation, transparency and provides valuable gendered insight to policy makers</w:t>
      </w:r>
      <w:r>
        <w:rPr>
          <w:rStyle w:val="FootnoteReference"/>
          <w:rFonts w:ascii="Verdana" w:eastAsia="Segoe UI" w:hAnsi="Verdana" w:cs="Segoe UI"/>
        </w:rPr>
        <w:footnoteReference w:id="26"/>
      </w:r>
      <w:r w:rsidRPr="00AB7EAF">
        <w:rPr>
          <w:rFonts w:ascii="Verdana" w:eastAsia="Segoe UI" w:hAnsi="Verdana" w:cs="Segoe UI"/>
        </w:rPr>
        <w:t>. Equality Impact Assessments are an important safeguard but should not be treated as a substitute for participation.</w:t>
      </w:r>
    </w:p>
    <w:p w:rsidR="00886179" w:rsidRPr="00AB7EAF" w:rsidP="00AB7EAF">
      <w:pPr>
        <w:spacing w:line="480" w:lineRule="auto"/>
        <w:rPr>
          <w:rFonts w:ascii="Verdana" w:eastAsia="Segoe UI" w:hAnsi="Verdana" w:cs="Segoe UI"/>
        </w:rPr>
      </w:pPr>
      <w:r w:rsidRPr="00AB7EAF">
        <w:rPr>
          <w:rFonts w:ascii="Verdana" w:eastAsia="Segoe UI" w:hAnsi="Verdana" w:cs="Segoe UI"/>
        </w:rPr>
        <w:t>Gender mainstreaming in budgeting decisions requires that gender is considered at every stage of the budget cycle, including ex-ante impact assessment using tools such as gender index marking that have been successfully used in other countries and cities such as Barcelona. This method identifies priorities for gender equality early in the cycle allowing for effective budget setting and ensures that money is equitably spent. Evidence from other countries also shows that this method is helpful in ensuring val</w:t>
      </w:r>
      <w:r w:rsidRPr="00AB7EAF">
        <w:rPr>
          <w:rFonts w:ascii="Verdana" w:eastAsia="Segoe UI" w:hAnsi="Verdana" w:cs="Segoe UI"/>
        </w:rPr>
        <w:t>ue for money.</w:t>
      </w:r>
    </w:p>
    <w:p w:rsidR="00886179" w:rsidRPr="00AB7EAF" w:rsidP="00AB7EAF">
      <w:pPr>
        <w:spacing w:line="480" w:lineRule="auto"/>
        <w:rPr>
          <w:rFonts w:ascii="Verdana" w:eastAsia="Segoe UI" w:hAnsi="Verdana" w:cs="Segoe UI"/>
        </w:rPr>
      </w:pPr>
      <w:r w:rsidRPr="00AB7EAF">
        <w:rPr>
          <w:rFonts w:ascii="Verdana" w:eastAsia="Segoe UI" w:hAnsi="Verdana" w:cs="Segoe UI"/>
        </w:rPr>
        <w:t>A key element of this is ensuring that the voices of women</w:t>
      </w:r>
      <w:r w:rsidRPr="00AB7EAF">
        <w:rPr>
          <w:rFonts w:ascii="Verdana" w:eastAsia="Segoe UI" w:hAnsi="Verdana" w:cs="Segoe UI"/>
        </w:rPr>
        <w:t>, including via local women’s organisations and wider civil society,</w:t>
      </w:r>
      <w:r w:rsidRPr="00AB7EAF">
        <w:rPr>
          <w:rFonts w:ascii="Verdana" w:eastAsia="Segoe UI" w:hAnsi="Verdana" w:cs="Segoe UI"/>
        </w:rPr>
        <w:t xml:space="preserve"> are systematically included in decision-making processes. This requires more than formal consultation. Practical barriers to participation should be addressed, including the timing and location of meetings, accessibility of decision-making forums, and the extent to which deliberative spaces are open, inclusive and designed to enable participation from those with caring responsibilities. Given that women are more likely to undertake unpaid </w:t>
      </w:r>
      <w:r w:rsidRPr="00AB7EAF">
        <w:rPr>
          <w:rFonts w:ascii="Verdana" w:eastAsia="Segoe UI" w:hAnsi="Verdana" w:cs="Segoe UI"/>
        </w:rPr>
        <w:t xml:space="preserve">care and therefore face greater time constraints, governance structures that do not actively account for these constraints risk reproducing existing inequalities in political voice and influence. </w:t>
      </w:r>
    </w:p>
    <w:p w:rsidR="00886179" w:rsidRPr="00AB7EAF" w:rsidP="00AB7EAF">
      <w:pPr>
        <w:spacing w:line="480" w:lineRule="auto"/>
        <w:rPr>
          <w:rFonts w:ascii="Verdana" w:eastAsia="Segoe UI" w:hAnsi="Verdana" w:cs="Segoe UI"/>
        </w:rPr>
      </w:pPr>
      <w:r w:rsidRPr="00AB7EAF">
        <w:rPr>
          <w:rFonts w:ascii="Verdana" w:eastAsia="Segoe UI" w:hAnsi="Verdana" w:cs="Segoe UI"/>
        </w:rPr>
        <w:t>T</w:t>
      </w:r>
      <w:r w:rsidRPr="00AB7EAF">
        <w:rPr>
          <w:rFonts w:ascii="Verdana" w:eastAsia="Segoe UI" w:hAnsi="Verdana" w:cs="Segoe UI"/>
        </w:rPr>
        <w:t>here is</w:t>
      </w:r>
      <w:r w:rsidRPr="00AB7EAF">
        <w:rPr>
          <w:rFonts w:ascii="Verdana" w:eastAsia="Segoe UI" w:hAnsi="Verdana" w:cs="Segoe UI"/>
        </w:rPr>
        <w:t xml:space="preserve"> also</w:t>
      </w:r>
      <w:r w:rsidRPr="00AB7EAF">
        <w:rPr>
          <w:rFonts w:ascii="Verdana" w:eastAsia="Segoe UI" w:hAnsi="Verdana" w:cs="Segoe UI"/>
        </w:rPr>
        <w:t xml:space="preserve"> a need for robust, transparent and comparable audit mechanisms. Fiscal devolution should be accompanied by audit systems that are not only locally accountable but also capable of producing comparable data across regions, enabling national oversight of how </w:t>
      </w:r>
      <w:r w:rsidRPr="00AB7EAF">
        <w:rPr>
          <w:rFonts w:ascii="Verdana" w:eastAsia="Segoe UI" w:hAnsi="Verdana" w:cs="Segoe UI"/>
        </w:rPr>
        <w:t>devolved funds are being used and what outcomes are being achieved. Transparency should include clear reporting on spending decisions, outcomes and distributional impacts, with information made publicly accessible and comparable across authorities.</w:t>
      </w:r>
    </w:p>
    <w:p w:rsidR="00886179" w:rsidRPr="00AB7EAF" w:rsidP="00AB7EAF">
      <w:pPr>
        <w:spacing w:line="480" w:lineRule="auto"/>
        <w:rPr>
          <w:rFonts w:ascii="Verdana" w:eastAsia="Segoe UI" w:hAnsi="Verdana" w:cs="Segoe UI"/>
        </w:rPr>
      </w:pPr>
      <w:r w:rsidRPr="00AB7EAF">
        <w:rPr>
          <w:rFonts w:ascii="Verdana" w:eastAsia="Segoe UI" w:hAnsi="Verdana" w:cs="Segoe UI"/>
        </w:rPr>
        <w:t>There is also a strong case for developing more representative and deliberative governance structures at the local and regional level. Deliberative approaches, including citizens’ assemblies and representative panels, have been shown to improve the legitimacy and quality of decision-making by incorporating a broader range of lived experience into policy development</w:t>
      </w:r>
      <w:r>
        <w:rPr>
          <w:rStyle w:val="FootnoteReference"/>
          <w:rFonts w:ascii="Verdana" w:eastAsia="Segoe UI" w:hAnsi="Verdana" w:cs="Segoe UI"/>
        </w:rPr>
        <w:footnoteReference w:id="27"/>
      </w:r>
      <w:r w:rsidRPr="00AB7EAF">
        <w:rPr>
          <w:rFonts w:ascii="Verdana" w:eastAsia="Segoe UI" w:hAnsi="Verdana" w:cs="Segoe UI"/>
        </w:rPr>
        <w:t>. In the context of fiscal devolution, such approaches could help ensure that budgetary decisions reflect the needs of diverse communities, including women, carers and those experiencing disadvantage. The feasibility and desirability of embedding such structures within strategic authorities should be explicitly considered as part of the devolution framework.</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The importance of strong audit and oversight mechanisms has been underscored by recent experience during the Covid-19 pandemic, when significant public funds were distributed rapidly through emergency schemes. </w:t>
      </w:r>
      <w:r w:rsidRPr="00AB7EAF">
        <w:rPr>
          <w:rFonts w:ascii="Verdana" w:eastAsia="Segoe UI" w:hAnsi="Verdana" w:cs="Segoe UI"/>
        </w:rPr>
        <w:t xml:space="preserve">The </w:t>
      </w:r>
      <w:r w:rsidRPr="00AB7EAF">
        <w:rPr>
          <w:rFonts w:ascii="Verdana" w:eastAsia="Segoe UI" w:hAnsi="Verdana" w:cs="Segoe UI"/>
        </w:rPr>
        <w:t xml:space="preserve">National Audit Office and parliamentary scrutiny identified substantial levels of fraud and error within some Covid-related support schemes, with estimates of losses </w:t>
      </w:r>
      <w:r w:rsidRPr="00AB7EAF">
        <w:rPr>
          <w:rFonts w:ascii="Verdana" w:eastAsia="Segoe UI" w:hAnsi="Verdana" w:cs="Segoe UI"/>
        </w:rPr>
        <w:t xml:space="preserve">of over ten billion </w:t>
      </w:r>
      <w:r w:rsidRPr="00AB7EAF">
        <w:rPr>
          <w:rFonts w:ascii="Verdana" w:eastAsia="Segoe UI" w:hAnsi="Verdana" w:cs="Segoe UI"/>
        </w:rPr>
        <w:t>pounds at the national level across pandemic-era support programmes</w:t>
      </w:r>
      <w:r>
        <w:rPr>
          <w:rStyle w:val="FootnoteReference"/>
          <w:rFonts w:ascii="Verdana" w:eastAsia="Segoe UI" w:hAnsi="Verdana" w:cs="Segoe UI"/>
        </w:rPr>
        <w:footnoteReference w:id="28"/>
      </w:r>
      <w:r w:rsidRPr="00AB7EAF">
        <w:rPr>
          <w:rFonts w:ascii="Verdana" w:eastAsia="Segoe UI" w:hAnsi="Verdana" w:cs="Segoe UI"/>
        </w:rPr>
        <w:t xml:space="preserve">. These </w:t>
      </w:r>
      <w:r w:rsidRPr="00AB7EAF">
        <w:rPr>
          <w:rFonts w:ascii="Verdana" w:eastAsia="Segoe UI" w:hAnsi="Verdana" w:cs="Segoe UI"/>
        </w:rPr>
        <w:t>experiences highlight the importance of ensuring that rapid or devolved funding systems are accompanied by strong safeguards, clear accountability structures and effective scrutiny mechanisms. Fiscal devolution should therefore be designed not only to enable local autonomy, but also to ensure that public funds are protected and used effectively.</w:t>
      </w:r>
    </w:p>
    <w:p w:rsidR="00886179" w:rsidRPr="00AB7EAF" w:rsidP="00AB7EAF">
      <w:pPr>
        <w:shd w:val="clear" w:color="auto" w:fill="FFFFFF" w:themeFill="background1"/>
        <w:spacing w:after="0" w:line="480" w:lineRule="auto"/>
        <w:rPr>
          <w:rFonts w:ascii="Verdana" w:eastAsia="Segoe UI" w:hAnsi="Verdana" w:cs="Segoe UI"/>
          <w:b/>
          <w:bCs/>
          <w:i/>
          <w:iCs/>
        </w:rPr>
      </w:pPr>
    </w:p>
    <w:p w:rsidR="00886179" w:rsidRPr="00AB7EAF" w:rsidP="00AB7EAF">
      <w:pPr>
        <w:shd w:val="clear" w:color="auto" w:fill="FFFFFF" w:themeFill="background1"/>
        <w:spacing w:after="0" w:line="480" w:lineRule="auto"/>
        <w:rPr>
          <w:rFonts w:ascii="Verdana" w:eastAsia="Segoe UI" w:hAnsi="Verdana" w:cs="Segoe UI"/>
          <w:b/>
          <w:bCs/>
          <w:i/>
          <w:iCs/>
        </w:rPr>
      </w:pPr>
    </w:p>
    <w:p w:rsidR="00886179" w:rsidRPr="00AB7EAF" w:rsidP="00AB7EAF">
      <w:pPr>
        <w:pStyle w:val="ListParagraph"/>
        <w:numPr>
          <w:ilvl w:val="0"/>
          <w:numId w:val="4"/>
        </w:numPr>
        <w:shd w:val="clear" w:color="auto" w:fill="FFFFFF" w:themeFill="background1"/>
        <w:spacing w:after="0" w:line="480" w:lineRule="auto"/>
        <w:rPr>
          <w:rFonts w:ascii="Verdana" w:eastAsia="Segoe UI" w:hAnsi="Verdana" w:cs="Segoe UI"/>
          <w:b/>
          <w:bCs/>
        </w:rPr>
      </w:pPr>
      <w:r w:rsidRPr="00AB7EAF">
        <w:rPr>
          <w:rFonts w:ascii="Verdana" w:eastAsia="Segoe UI" w:hAnsi="Verdana" w:cs="Segoe UI"/>
          <w:b/>
          <w:bCs/>
        </w:rPr>
        <w:t>Should devolution be paired with tax reforms, such as council tax revaluations, or can it be carried out separately?</w:t>
      </w:r>
    </w:p>
    <w:p w:rsidR="00886179" w:rsidRPr="00AB7EAF" w:rsidP="00AB7EAF">
      <w:pPr>
        <w:shd w:val="clear" w:color="auto" w:fill="FFFFFF" w:themeFill="background1"/>
        <w:spacing w:after="0" w:line="480" w:lineRule="auto"/>
        <w:rPr>
          <w:rFonts w:ascii="Verdana" w:eastAsia="Segoe UI" w:hAnsi="Verdana" w:cs="Segoe UI"/>
        </w:rPr>
      </w:pPr>
    </w:p>
    <w:p w:rsidR="00886179" w:rsidRPr="00AB7EAF" w:rsidP="00AB7EAF">
      <w:pPr>
        <w:spacing w:line="480" w:lineRule="auto"/>
        <w:rPr>
          <w:rFonts w:ascii="Verdana" w:eastAsia="Segoe UI" w:hAnsi="Verdana" w:cs="Segoe UI"/>
        </w:rPr>
      </w:pPr>
      <w:r w:rsidRPr="00AB7EAF">
        <w:rPr>
          <w:rFonts w:ascii="Verdana" w:eastAsia="Segoe UI" w:hAnsi="Verdana" w:cs="Segoe UI"/>
        </w:rPr>
        <w:t>Fiscal devolution can be implemented without major reforms to local taxation, but doing so risks entrenching existing inequalities between places and households. We therefore believe that fiscal devolution should be accompanied by a broader programme of local government finance reform, including reform of Council Tax and consideration of how local tax systems</w:t>
      </w:r>
      <w:r w:rsidRPr="00AB7EAF">
        <w:rPr>
          <w:rFonts w:ascii="Verdana" w:eastAsia="Segoe UI" w:hAnsi="Verdana" w:cs="Segoe UI"/>
        </w:rPr>
        <w:t xml:space="preserve"> (e.g. Business Rates)</w:t>
      </w:r>
      <w:r w:rsidRPr="00AB7EAF">
        <w:rPr>
          <w:rFonts w:ascii="Verdana" w:eastAsia="Segoe UI" w:hAnsi="Verdana" w:cs="Segoe UI"/>
        </w:rPr>
        <w:t xml:space="preserve"> can better support social and economic objectives.</w:t>
      </w:r>
    </w:p>
    <w:p w:rsidR="00886179" w:rsidRPr="00AB7EAF" w:rsidP="00AB7EAF">
      <w:pPr>
        <w:spacing w:line="480" w:lineRule="auto"/>
        <w:rPr>
          <w:rFonts w:ascii="Verdana" w:eastAsia="Segoe UI" w:hAnsi="Verdana" w:cs="Segoe UI"/>
        </w:rPr>
      </w:pPr>
      <w:r w:rsidRPr="00AB7EAF">
        <w:rPr>
          <w:rFonts w:ascii="Verdana" w:eastAsia="Segoe UI" w:hAnsi="Verdana" w:cs="Segoe UI"/>
        </w:rPr>
        <w:t>The current local government finance system rests heavily on Council Tax, which accounted for approximately 46% of local authority income in 2024/25</w:t>
      </w:r>
      <w:r>
        <w:rPr>
          <w:rStyle w:val="FootnoteReference"/>
          <w:rFonts w:ascii="Verdana" w:eastAsia="Segoe UI" w:hAnsi="Verdana" w:cs="Segoe UI"/>
        </w:rPr>
        <w:footnoteReference w:id="29"/>
      </w:r>
      <w:r w:rsidRPr="00AB7EAF">
        <w:rPr>
          <w:rFonts w:ascii="Verdana" w:eastAsia="Segoe UI" w:hAnsi="Verdana" w:cs="Segoe UI"/>
        </w:rPr>
        <w:t xml:space="preserve">. Council Tax is widely recognised as an outdated and regressive tax. It is based on property valuations from 1991 and places a </w:t>
      </w:r>
      <w:r w:rsidRPr="00AB7EAF">
        <w:rPr>
          <w:rFonts w:ascii="Verdana" w:eastAsia="Segoe UI" w:hAnsi="Verdana" w:cs="Segoe UI"/>
        </w:rPr>
        <w:t>proportionately greater burden on households in lower</w:t>
      </w:r>
      <w:r w:rsidRPr="00AB7EAF">
        <w:rPr>
          <w:rFonts w:ascii="Verdana" w:eastAsia="Segoe UI" w:hAnsi="Verdana" w:cs="Segoe UI"/>
        </w:rPr>
        <w:t xml:space="preserve"> </w:t>
      </w:r>
      <w:r w:rsidRPr="00AB7EAF">
        <w:rPr>
          <w:rFonts w:ascii="Verdana" w:eastAsia="Segoe UI" w:hAnsi="Verdana" w:cs="Segoe UI"/>
        </w:rPr>
        <w:t>value properties than on those living in the most expensive homes. As a result, it does not reflect either current property values or ability to pay. Increasing reliance on Council Tax as a source of local revenue has been one of the consequences of the substantial reduction in central government grant funding</w:t>
      </w:r>
      <w:r w:rsidRPr="00AB7EAF">
        <w:rPr>
          <w:rFonts w:ascii="Verdana" w:eastAsia="Segoe UI" w:hAnsi="Verdana" w:cs="Segoe UI"/>
        </w:rPr>
        <w:t xml:space="preserve"> to Local Authoriti</w:t>
      </w:r>
      <w:r w:rsidRPr="00AB7EAF">
        <w:rPr>
          <w:rFonts w:ascii="Verdana" w:eastAsia="Segoe UI" w:hAnsi="Verdana" w:cs="Segoe UI"/>
        </w:rPr>
        <w:t>es</w:t>
      </w:r>
      <w:r w:rsidRPr="00AB7EAF">
        <w:rPr>
          <w:rFonts w:ascii="Verdana" w:eastAsia="Segoe UI" w:hAnsi="Verdana" w:cs="Segoe UI"/>
        </w:rPr>
        <w:t xml:space="preserve"> since 2010.</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The design of Council Tax also contributes to inequalities between places. Areas with higher property values </w:t>
      </w:r>
      <w:r w:rsidRPr="00AB7EAF">
        <w:rPr>
          <w:rFonts w:ascii="Verdana" w:eastAsia="Segoe UI" w:hAnsi="Verdana" w:cs="Segoe UI"/>
        </w:rPr>
        <w:t>can</w:t>
      </w:r>
      <w:r w:rsidRPr="00AB7EAF">
        <w:rPr>
          <w:rFonts w:ascii="Verdana" w:eastAsia="Segoe UI" w:hAnsi="Verdana" w:cs="Segoe UI"/>
        </w:rPr>
        <w:t xml:space="preserve"> generate substantially more revenue from equivalent tax rates than areas with lower property values. Fiscal devolution that increases reliance on local revenue sources without addressing these structural issues could therefore reinforce existing regional inequalities. This is particularly concerning given that areas with the highest levels of deprivation often face the greatest demand for public services while having the weakest local tax base.</w:t>
      </w:r>
    </w:p>
    <w:p w:rsidR="00886179" w:rsidRPr="00AB7EAF" w:rsidP="00AB7EAF">
      <w:pPr>
        <w:spacing w:line="480" w:lineRule="auto"/>
        <w:rPr>
          <w:rFonts w:ascii="Verdana" w:eastAsia="Segoe UI" w:hAnsi="Verdana" w:cs="Segoe UI"/>
        </w:rPr>
      </w:pPr>
      <w:r w:rsidRPr="00AB7EAF">
        <w:rPr>
          <w:rFonts w:ascii="Verdana" w:eastAsia="Segoe UI" w:hAnsi="Verdana" w:cs="Segoe UI"/>
        </w:rPr>
        <w:t>WBG has previously argued for more fundamental reform of property taxation, including replacing Council Tax and Stamp Duty Land Tax with a progressive property tax levied on owners and based on up-to-date property values</w:t>
      </w:r>
      <w:r>
        <w:rPr>
          <w:rStyle w:val="FootnoteReference"/>
          <w:rFonts w:ascii="Verdana" w:eastAsia="Segoe UI" w:hAnsi="Verdana" w:cs="Segoe UI"/>
        </w:rPr>
        <w:footnoteReference w:id="30"/>
      </w:r>
      <w:r w:rsidRPr="00AB7EAF">
        <w:rPr>
          <w:rFonts w:ascii="Verdana" w:eastAsia="Segoe UI" w:hAnsi="Verdana" w:cs="Segoe UI"/>
        </w:rPr>
        <w:t xml:space="preserve">. </w:t>
      </w:r>
      <w:r w:rsidRPr="00AB7EAF">
        <w:rPr>
          <w:rFonts w:ascii="Verdana" w:eastAsia="Segoe UI" w:hAnsi="Verdana" w:cs="Segoe UI"/>
        </w:rPr>
        <w:t>In the current context of widening property values between richest and poorest areas</w:t>
      </w:r>
      <w:r>
        <w:rPr>
          <w:rStyle w:val="FootnoteReference"/>
          <w:rFonts w:ascii="Verdana" w:eastAsia="Segoe UI" w:hAnsi="Verdana" w:cs="Segoe UI"/>
        </w:rPr>
        <w:footnoteReference w:id="31"/>
      </w:r>
      <w:r w:rsidRPr="00AB7EAF">
        <w:rPr>
          <w:rFonts w:ascii="Verdana" w:eastAsia="Segoe UI" w:hAnsi="Verdana" w:cs="Segoe UI"/>
        </w:rPr>
        <w:t>, s</w:t>
      </w:r>
      <w:r w:rsidRPr="00AB7EAF">
        <w:rPr>
          <w:rFonts w:ascii="Verdana" w:eastAsia="Segoe UI" w:hAnsi="Verdana" w:cs="Segoe UI"/>
        </w:rPr>
        <w:t xml:space="preserve">uch reforms would improve fairness, reduce distortions within the housing market and create a more sustainable basis for local government funding. Regardless of the model </w:t>
      </w:r>
      <w:r w:rsidRPr="00AB7EAF">
        <w:rPr>
          <w:rFonts w:ascii="Verdana" w:eastAsia="Segoe UI" w:hAnsi="Verdana" w:cs="Segoe UI"/>
        </w:rPr>
        <w:t>adopted, reform should seek to ensure that local taxation contributes to reducing rather than reinforcing economic inequalities.</w:t>
      </w:r>
    </w:p>
    <w:p w:rsidR="00886179" w:rsidRPr="00AB7EAF" w:rsidP="00AB7EAF">
      <w:pPr>
        <w:spacing w:line="480" w:lineRule="auto"/>
        <w:rPr>
          <w:rFonts w:ascii="Verdana" w:eastAsia="Segoe UI" w:hAnsi="Verdana" w:cs="Segoe UI"/>
        </w:rPr>
      </w:pPr>
      <w:r w:rsidRPr="00AB7EAF">
        <w:rPr>
          <w:rFonts w:ascii="Verdana" w:eastAsia="Segoe UI" w:hAnsi="Verdana" w:cs="Segoe UI"/>
        </w:rPr>
        <w:t>Tax reform should also be considered in relation to gender equality. Women are disproportionately affected by weaknesses in local government finance because they are more likely to rely on local public services, more likely to undertake unpaid care and more likely to work in sectors funded by local government, including social care and community services</w:t>
      </w:r>
      <w:r>
        <w:rPr>
          <w:rStyle w:val="FootnoteReference"/>
          <w:rFonts w:ascii="Verdana" w:eastAsia="Segoe UI" w:hAnsi="Verdana" w:cs="Segoe UI"/>
        </w:rPr>
        <w:footnoteReference w:id="32"/>
      </w:r>
      <w:r w:rsidRPr="00AB7EAF">
        <w:rPr>
          <w:rFonts w:ascii="Verdana" w:eastAsia="Segoe UI" w:hAnsi="Verdana" w:cs="Segoe UI"/>
        </w:rPr>
        <w:t>. When local authorities face financial pressures, reductions in services often result in unpaid responsibilities being transferred to households, where they are most commonly absorbed by women. A sustainable and equitable local government funding system is therefore an important component of gender equality.</w:t>
      </w:r>
    </w:p>
    <w:p w:rsidR="00886179" w:rsidRPr="00AB7EAF" w:rsidP="00AB7EAF">
      <w:pPr>
        <w:spacing w:line="480" w:lineRule="auto"/>
        <w:rPr>
          <w:rFonts w:ascii="Verdana" w:eastAsia="Segoe UI" w:hAnsi="Verdana" w:cs="Segoe UI"/>
        </w:rPr>
      </w:pPr>
      <w:r w:rsidRPr="00AB7EAF">
        <w:rPr>
          <w:rFonts w:ascii="Verdana" w:eastAsia="Segoe UI" w:hAnsi="Verdana" w:cs="Segoe UI"/>
        </w:rPr>
        <w:t>Alongside Council Tax reform, fiscal devolution creates an opportunity to consider how local tax systems can support wider social objectives. Business rates, for example, shape not only local authority revenues but also the character of local economies. Reform of the business rates system could be used to promote community wealth building objectives, support social value, reduce long-term commercial vacancy and encourage businesses that contribute positively to local wellbeing. Local taxation should be view</w:t>
      </w:r>
      <w:r w:rsidRPr="00AB7EAF">
        <w:rPr>
          <w:rFonts w:ascii="Verdana" w:eastAsia="Segoe UI" w:hAnsi="Verdana" w:cs="Segoe UI"/>
        </w:rPr>
        <w:t>ed not simply as a revenue-raising mechanism but as a tool that can help shape inclusive and sustainable local economies.</w:t>
      </w:r>
    </w:p>
    <w:p w:rsidR="00886179" w:rsidRPr="00AB7EAF" w:rsidP="00AB7EAF">
      <w:pPr>
        <w:spacing w:line="480" w:lineRule="auto"/>
        <w:rPr>
          <w:rFonts w:ascii="Verdana" w:eastAsia="Segoe UI" w:hAnsi="Verdana" w:cs="Segoe UI"/>
        </w:rPr>
      </w:pPr>
      <w:r w:rsidRPr="00AB7EAF">
        <w:rPr>
          <w:rFonts w:ascii="Verdana" w:eastAsia="Segoe UI" w:hAnsi="Verdana" w:cs="Segoe UI"/>
        </w:rPr>
        <w:t>This is particularly relevant to women's lives and to the functioning of the care economy. Local planning decisions, high street provision, transport networks and access to essential services all affect the amount of time people spend meeting everyday needs. Women continue to undertake the majority of unpaid care and are therefore particularly affected by the availability of childcare, food shops, health services, community facilities and public transport within local neighbourhoods. Fiscal powers should su</w:t>
      </w:r>
      <w:r w:rsidRPr="00AB7EAF">
        <w:rPr>
          <w:rFonts w:ascii="Verdana" w:eastAsia="Segoe UI" w:hAnsi="Verdana" w:cs="Segoe UI"/>
        </w:rPr>
        <w:t>pport the creation of places that enable people to access these services easily and participate fully in economic and community life.</w:t>
      </w:r>
    </w:p>
    <w:p w:rsidR="00886179" w:rsidRPr="00AB7EAF" w:rsidP="00AB7EAF">
      <w:pPr>
        <w:spacing w:line="480" w:lineRule="auto"/>
        <w:rPr>
          <w:rFonts w:ascii="Verdana" w:eastAsia="Segoe UI" w:hAnsi="Verdana" w:cs="Segoe UI"/>
        </w:rPr>
      </w:pPr>
      <w:r w:rsidRPr="00AB7EAF">
        <w:rPr>
          <w:rFonts w:ascii="Verdana" w:eastAsia="Segoe UI" w:hAnsi="Verdana" w:cs="Segoe UI"/>
        </w:rPr>
        <w:t>Fiscal devolution should also be considered alongside reforms that strengthen investment in social infrastructure. Social infrastructure includes childcare, social care, public health, housing support, libraries, youth services, community centres and public transport. These services underpin economic participation and wellbeing but have often been overlooked in debates about economic development. The Women's Budget Group has consistently argued that investment in care and social infrastructure should be und</w:t>
      </w:r>
      <w:r w:rsidRPr="00AB7EAF">
        <w:rPr>
          <w:rFonts w:ascii="Verdana" w:eastAsia="Segoe UI" w:hAnsi="Verdana" w:cs="Segoe UI"/>
        </w:rPr>
        <w:t>erstood as productive economic investment. Research has shown that investment in care creates more jobs than equivalent expenditure on construction and is more likely to generate employment opportunities across a wide range of local economies.</w:t>
      </w:r>
      <w:r>
        <w:rPr>
          <w:rStyle w:val="FootnoteReference"/>
          <w:rFonts w:ascii="Verdana" w:eastAsia="Segoe UI" w:hAnsi="Verdana" w:cs="Segoe UI"/>
        </w:rPr>
        <w:footnoteReference w:id="33"/>
      </w:r>
      <w:r w:rsidRPr="00AB7EAF">
        <w:rPr>
          <w:rFonts w:ascii="Verdana" w:eastAsia="Segoe UI" w:hAnsi="Verdana" w:cs="Segoe UI"/>
        </w:rPr>
        <w:t xml:space="preserve"> Fiscal devolution should therefore support local authorities and strategic </w:t>
      </w:r>
      <w:r w:rsidRPr="00AB7EAF">
        <w:rPr>
          <w:rFonts w:ascii="Verdana" w:eastAsia="Segoe UI" w:hAnsi="Verdana" w:cs="Segoe UI"/>
        </w:rPr>
        <w:t>authorities to invest in the social infrastructure that underpins inclusive growth and gender equality.</w:t>
      </w:r>
    </w:p>
    <w:p w:rsidR="00886179" w:rsidRPr="00AB7EAF" w:rsidP="00AB7EAF">
      <w:pPr>
        <w:spacing w:line="480" w:lineRule="auto"/>
        <w:rPr>
          <w:rFonts w:ascii="Verdana" w:eastAsia="Segoe UI" w:hAnsi="Verdana" w:cs="Segoe UI"/>
        </w:rPr>
      </w:pPr>
      <w:r w:rsidRPr="00AB7EAF">
        <w:rPr>
          <w:rFonts w:ascii="Verdana" w:eastAsia="Segoe UI" w:hAnsi="Verdana" w:cs="Segoe UI"/>
        </w:rPr>
        <w:t>Ultimately, fiscal devolution should not be viewed as a substitute for reforming local government finance. The financial pressures facing local authorities stem from a combination of rising demand, a decade of austerity, and weaknesses within the existing funding system. Reforming local taxation, maintaining redistribution according to need and strengthening investment in social infrastructure should be seen as complementary elements of a successful devolution settlement. Fiscal devolution is most likely to</w:t>
      </w:r>
      <w:r w:rsidRPr="00AB7EAF">
        <w:rPr>
          <w:rFonts w:ascii="Verdana" w:eastAsia="Segoe UI" w:hAnsi="Verdana" w:cs="Segoe UI"/>
        </w:rPr>
        <w:t xml:space="preserve"> succeed when it forms part of a wider strategy to reduce inequalities, strengthen public services and improve the wellbeing of communities across England.</w:t>
      </w:r>
    </w:p>
    <w:p w:rsidR="00886179" w:rsidRPr="00AB7EAF" w:rsidP="00AB7EAF">
      <w:pPr>
        <w:spacing w:after="0" w:line="480" w:lineRule="auto"/>
        <w:rPr>
          <w:rFonts w:ascii="Verdana" w:eastAsia="Segoe UI" w:hAnsi="Verdana" w:cs="Segoe UI"/>
        </w:rPr>
      </w:pPr>
    </w:p>
    <w:p w:rsidR="00886179" w:rsidRPr="00AB7EAF" w:rsidP="00AB7EAF">
      <w:pPr>
        <w:pStyle w:val="ListParagraph"/>
        <w:numPr>
          <w:ilvl w:val="0"/>
          <w:numId w:val="4"/>
        </w:numPr>
        <w:shd w:val="clear" w:color="auto" w:fill="FFFFFF" w:themeFill="background1"/>
        <w:spacing w:after="0" w:line="480" w:lineRule="auto"/>
        <w:rPr>
          <w:rFonts w:ascii="Verdana" w:eastAsia="Segoe UI" w:hAnsi="Verdana" w:cs="Segoe UI"/>
          <w:b/>
          <w:bCs/>
        </w:rPr>
      </w:pPr>
      <w:r w:rsidRPr="00AB7EAF">
        <w:rPr>
          <w:rFonts w:ascii="Verdana" w:eastAsia="Segoe UI" w:hAnsi="Verdana" w:cs="Segoe UI"/>
          <w:b/>
          <w:bCs/>
        </w:rPr>
        <w:t>What risks does the Government need to consider in any further fiscal devolution?</w:t>
      </w:r>
    </w:p>
    <w:p w:rsidR="00886179" w:rsidRPr="00AB7EAF" w:rsidP="00AB7EAF">
      <w:pPr>
        <w:shd w:val="clear" w:color="auto" w:fill="FFFFFF" w:themeFill="background1"/>
        <w:spacing w:after="0" w:line="480" w:lineRule="auto"/>
        <w:rPr>
          <w:rFonts w:ascii="Verdana" w:eastAsia="Segoe UI" w:hAnsi="Verdana" w:cs="Segoe UI"/>
          <w:b/>
          <w:bCs/>
          <w:i/>
          <w:iCs/>
        </w:rPr>
      </w:pPr>
    </w:p>
    <w:p w:rsidR="00886179" w:rsidRPr="00AB7EAF" w:rsidP="00AB7EAF">
      <w:pPr>
        <w:spacing w:line="480" w:lineRule="auto"/>
        <w:rPr>
          <w:rFonts w:ascii="Verdana" w:eastAsia="Segoe UI" w:hAnsi="Verdana" w:cs="Segoe UI"/>
        </w:rPr>
      </w:pPr>
      <w:r w:rsidRPr="00AB7EAF">
        <w:rPr>
          <w:rFonts w:ascii="Verdana" w:eastAsia="Segoe UI" w:hAnsi="Verdana" w:cs="Segoe UI"/>
        </w:rPr>
        <w:t>The risks associated with fiscal devolution depend heavily on how it is designed and implemented. Fiscal devolution has the potential to improve local decision-making, strengthen democratic accountability and enable more responsive investment in local priorities. However, without appropriate safeguards it also carries significant risks, particularly for regional equality, public service provision and gender equality.</w:t>
      </w:r>
    </w:p>
    <w:p w:rsidR="00886179" w:rsidRPr="00AB7EAF" w:rsidP="00AB7EAF">
      <w:pPr>
        <w:spacing w:line="480" w:lineRule="auto"/>
        <w:rPr>
          <w:rFonts w:ascii="Verdana" w:eastAsia="Segoe UI" w:hAnsi="Verdana" w:cs="Segoe UI"/>
        </w:rPr>
      </w:pPr>
      <w:r w:rsidRPr="00AB7EAF">
        <w:rPr>
          <w:rFonts w:ascii="Verdana" w:eastAsia="Segoe UI" w:hAnsi="Verdana" w:cs="Segoe UI"/>
        </w:rPr>
        <w:t>The most significant risk is that fiscal devolution becomes a mechanism for devolving responsibility without devolving sufficient resources. Local government has experienced sustained financial pressure over the past fifteen years. Local authority spending power fell by 22.6% in real terms between 2010/11 and 2019/20</w:t>
      </w:r>
      <w:r>
        <w:rPr>
          <w:rStyle w:val="FootnoteReference"/>
          <w:rFonts w:ascii="Verdana" w:eastAsia="Segoe UI" w:hAnsi="Verdana" w:cs="Segoe UI"/>
        </w:rPr>
        <w:footnoteReference w:id="34"/>
      </w:r>
      <w:r w:rsidRPr="00AB7EAF">
        <w:rPr>
          <w:rFonts w:ascii="Verdana" w:eastAsia="Segoe UI" w:hAnsi="Verdana" w:cs="Segoe UI"/>
        </w:rPr>
        <w:t>. Although central government funding has increased in recent years, spending power per person is still projected to be 13.7% lower in 2028/29 than it was in 2010/11</w:t>
      </w:r>
      <w:r>
        <w:rPr>
          <w:rStyle w:val="FootnoteReference"/>
          <w:rFonts w:ascii="Verdana" w:eastAsia="Segoe UI" w:hAnsi="Verdana" w:cs="Segoe UI"/>
        </w:rPr>
        <w:footnoteReference w:id="35"/>
      </w:r>
      <w:r w:rsidRPr="00AB7EAF">
        <w:rPr>
          <w:rFonts w:ascii="Verdana" w:eastAsia="Segoe UI" w:hAnsi="Verdana" w:cs="Segoe UI"/>
        </w:rPr>
        <w:t>. Fiscal devolution cannot be expected to address these structural funding pressures if it is not accompanied by adequate resources and a sustainable funding settlement.</w:t>
      </w:r>
    </w:p>
    <w:p w:rsidR="00886179" w:rsidRPr="00AB7EAF" w:rsidP="00AB7EAF">
      <w:pPr>
        <w:spacing w:line="480" w:lineRule="auto"/>
        <w:rPr>
          <w:rFonts w:ascii="Verdana" w:eastAsia="Segoe UI" w:hAnsi="Verdana" w:cs="Segoe UI"/>
        </w:rPr>
      </w:pPr>
      <w:r w:rsidRPr="00AB7EAF">
        <w:rPr>
          <w:rFonts w:ascii="Verdana" w:eastAsia="Segoe UI" w:hAnsi="Verdana" w:cs="Segoe UI"/>
        </w:rPr>
        <w:t>A related risk is that fiscal devolution increases</w:t>
      </w:r>
      <w:r w:rsidRPr="00AB7EAF">
        <w:rPr>
          <w:rFonts w:ascii="Verdana" w:eastAsia="Segoe UI" w:hAnsi="Verdana" w:cs="Segoe UI"/>
        </w:rPr>
        <w:t xml:space="preserve"> regionalised</w:t>
      </w:r>
      <w:r w:rsidRPr="00AB7EAF">
        <w:rPr>
          <w:rFonts w:ascii="Verdana" w:eastAsia="Segoe UI" w:hAnsi="Verdana" w:cs="Segoe UI"/>
        </w:rPr>
        <w:t xml:space="preserve"> inequalities. The Government's current proposals appear to focus on allowing strategic authorities to retain a share of revenues from national taxes generated within their area. While this may strengthen local incentives and provide greater autonomy, there is a significant danger that areas with stronger economies and higher incomes will benefit disproportionately. Local revenue-generating capacity varies dramatically across England, reflecting long-standing regional inequalities in income, em</w:t>
      </w:r>
      <w:r w:rsidRPr="00AB7EAF">
        <w:rPr>
          <w:rFonts w:ascii="Verdana" w:eastAsia="Segoe UI" w:hAnsi="Verdana" w:cs="Segoe UI"/>
        </w:rPr>
        <w:t xml:space="preserve">ployment, productivity and property values. Areas with the greatest need for public services are often those least able to generate revenue locally. Without strong equalisation mechanisms and continued redistribution according to need, </w:t>
      </w:r>
      <w:r w:rsidRPr="00AB7EAF">
        <w:rPr>
          <w:rFonts w:ascii="Verdana" w:eastAsia="Segoe UI" w:hAnsi="Verdana" w:cs="Segoe UI"/>
        </w:rPr>
        <w:t>fiscal devolution risks widening rather than narrowing regional inequalities.</w:t>
      </w:r>
    </w:p>
    <w:p w:rsidR="00886179" w:rsidRPr="00AB7EAF" w:rsidP="00AB7EAF">
      <w:pPr>
        <w:spacing w:line="480" w:lineRule="auto"/>
        <w:rPr>
          <w:rFonts w:ascii="Verdana" w:eastAsia="Segoe UI" w:hAnsi="Verdana" w:cs="Segoe UI"/>
        </w:rPr>
      </w:pPr>
      <w:r w:rsidRPr="00AB7EAF">
        <w:rPr>
          <w:rFonts w:ascii="Verdana" w:eastAsia="Segoe UI" w:hAnsi="Verdana" w:cs="Segoe UI"/>
        </w:rPr>
        <w:t>This risk is particularly important because local government plays a central role in funding and delivering social infrastructure. Social infrastructure includes social care, childcare, public health services, community facilities, housing support, libraries, youth services and public transport. These services are essential to individual wellbeing, economic participation and community resilience. Yet they have been disproportionately affected by reductions in local government funding over the past decade. I</w:t>
      </w:r>
      <w:r w:rsidRPr="00AB7EAF">
        <w:rPr>
          <w:rFonts w:ascii="Verdana" w:eastAsia="Segoe UI" w:hAnsi="Verdana" w:cs="Segoe UI"/>
        </w:rPr>
        <w:t>f fiscal devolution leads to greater divergence in the resources available to local authorities, there is a risk that access to these services becomes increasingly unequal</w:t>
      </w:r>
      <w:r w:rsidRPr="00AB7EAF">
        <w:rPr>
          <w:rFonts w:ascii="Verdana" w:eastAsia="Segoe UI" w:hAnsi="Verdana" w:cs="Segoe UI"/>
        </w:rPr>
        <w:t xml:space="preserve"> and</w:t>
      </w:r>
      <w:r w:rsidRPr="00AB7EAF">
        <w:rPr>
          <w:rFonts w:ascii="Verdana" w:eastAsia="Segoe UI" w:hAnsi="Verdana" w:cs="Segoe UI"/>
        </w:rPr>
        <w:t xml:space="preserve"> depend</w:t>
      </w:r>
      <w:r w:rsidRPr="00AB7EAF">
        <w:rPr>
          <w:rFonts w:ascii="Verdana" w:eastAsia="Segoe UI" w:hAnsi="Verdana" w:cs="Segoe UI"/>
        </w:rPr>
        <w:t>ent</w:t>
      </w:r>
      <w:r w:rsidRPr="00AB7EAF">
        <w:rPr>
          <w:rFonts w:ascii="Verdana" w:eastAsia="Segoe UI" w:hAnsi="Verdana" w:cs="Segoe UI"/>
        </w:rPr>
        <w:t xml:space="preserve"> on where people live.</w:t>
      </w:r>
    </w:p>
    <w:p w:rsidR="00886179" w:rsidRPr="00AB7EAF" w:rsidP="00AB7EAF">
      <w:pPr>
        <w:spacing w:line="480" w:lineRule="auto"/>
        <w:rPr>
          <w:rFonts w:ascii="Verdana" w:eastAsia="Segoe UI" w:hAnsi="Verdana" w:cs="Segoe UI"/>
        </w:rPr>
      </w:pPr>
      <w:r w:rsidRPr="00AB7EAF">
        <w:rPr>
          <w:rFonts w:ascii="Verdana" w:eastAsia="Segoe UI" w:hAnsi="Verdana" w:cs="Segoe UI"/>
        </w:rPr>
        <w:t>Women are likely to be disproportionately affected by such outcomes. Women continue to undertake the majority of unpaid care and are therefore more reliant on the services that make paid work and community participation possible. Women are also more likely to use local public services and are heavily represented within sectors funded by local government, including social care, education, public health and community services. The consequences of underfunding local government are therefore not gender neutral.</w:t>
      </w:r>
      <w:r w:rsidRPr="00AB7EAF">
        <w:rPr>
          <w:rFonts w:ascii="Verdana" w:eastAsia="Segoe UI" w:hAnsi="Verdana" w:cs="Segoe UI"/>
        </w:rPr>
        <w:t xml:space="preserve"> Where services are reduced or withdrawn, the costs are frequently transferred to households and absorbed through unpaid labour, most often by women.</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There is also a risk that fiscal devolution exacerbates inequalities in access to specialist support services. Women's organisations and services supporting survivors of domestic abuse and sexual violence form a vital part of local social infrastructure. These organisations frequently operate within fragmented and insecure funding environments, drawing resources from local authorities, police and crime commissioners, NHS bodies and charitable sources. Ongoing reforms to local governance and public services </w:t>
      </w:r>
      <w:r w:rsidRPr="00AB7EAF">
        <w:rPr>
          <w:rFonts w:ascii="Verdana" w:eastAsia="Segoe UI" w:hAnsi="Verdana" w:cs="Segoe UI"/>
        </w:rPr>
        <w:t>may create additional uncertainty. Without mechanisms to ensure sustainable funding and minimum standards of provision, fiscal devolution could result in increasing geographical disparities in access to support, creating a postcode lottery for some of the most vulnerable women and girls.</w:t>
      </w:r>
    </w:p>
    <w:p w:rsidR="00886179" w:rsidRPr="00AB7EAF" w:rsidP="00AB7EAF">
      <w:pPr>
        <w:spacing w:line="480" w:lineRule="auto"/>
        <w:rPr>
          <w:rFonts w:ascii="Verdana" w:eastAsia="Segoe UI" w:hAnsi="Verdana" w:cs="Segoe UI"/>
        </w:rPr>
      </w:pPr>
      <w:r w:rsidRPr="00AB7EAF">
        <w:rPr>
          <w:rFonts w:ascii="Verdana" w:eastAsia="Segoe UI" w:hAnsi="Verdana" w:cs="Segoe UI"/>
        </w:rPr>
        <w:t>Another important risk concerns democratic accountability. Fiscal devolution is often presented as a means of bringing decision-making closer to communities. However, the current devolution agenda is also creating a new regional tier of governance through strategic authorities and combined authorities. There is therefore a risk that power is transferred away from local councils and communities rather than genuinely devolved to them. Fiscal devolution should not simply mean relocating decision-making from We</w:t>
      </w:r>
      <w:r w:rsidRPr="00AB7EAF">
        <w:rPr>
          <w:rFonts w:ascii="Verdana" w:eastAsia="Segoe UI" w:hAnsi="Verdana" w:cs="Segoe UI"/>
        </w:rPr>
        <w:t>stminster to regional institutions. It must be accompanied by governance arrangements that ensure transparency, accountability and meaningful public participation.</w:t>
      </w:r>
    </w:p>
    <w:p w:rsidR="00886179" w:rsidRPr="00AB7EAF" w:rsidP="00AB7EAF">
      <w:pPr>
        <w:spacing w:line="480" w:lineRule="auto"/>
        <w:rPr>
          <w:rFonts w:ascii="Verdana" w:eastAsia="Segoe UI" w:hAnsi="Verdana" w:cs="Segoe UI"/>
        </w:rPr>
      </w:pPr>
      <w:r w:rsidRPr="00AB7EAF">
        <w:rPr>
          <w:rFonts w:ascii="Verdana" w:eastAsia="Segoe UI" w:hAnsi="Verdana" w:cs="Segoe UI"/>
        </w:rPr>
        <w:t>This is particularly important from a gender equality perspective. Women remain underrepresented in many political and economic decision-making structures, while local women's organisations often have limited influence over budgetary decisions despite possessing valuable expertise about local needs. There is a risk that fiscal devolution reproduces existing inequalities in voice and representation unless specific measures are taken to ensure that women and marginalised groups are able to participate meaning</w:t>
      </w:r>
      <w:r w:rsidRPr="00AB7EAF">
        <w:rPr>
          <w:rFonts w:ascii="Verdana" w:eastAsia="Segoe UI" w:hAnsi="Verdana" w:cs="Segoe UI"/>
        </w:rPr>
        <w:t>fully in decision-making processes. Gender</w:t>
      </w:r>
      <w:r w:rsidRPr="00AB7EAF">
        <w:rPr>
          <w:rFonts w:ascii="Verdana" w:eastAsia="Segoe UI" w:hAnsi="Verdana" w:cs="Segoe UI"/>
        </w:rPr>
        <w:t xml:space="preserve"> </w:t>
      </w:r>
      <w:r w:rsidRPr="00AB7EAF">
        <w:rPr>
          <w:rFonts w:ascii="Verdana" w:eastAsia="Segoe UI" w:hAnsi="Verdana" w:cs="Segoe UI"/>
        </w:rPr>
        <w:t>responsive budgeting, participatory budgeting and structured engagement with civil society organisations should therefore be considered important safeguards.</w:t>
      </w:r>
    </w:p>
    <w:p w:rsidR="00886179" w:rsidRPr="00AB7EAF" w:rsidP="00AB7EAF">
      <w:pPr>
        <w:spacing w:line="480" w:lineRule="auto"/>
        <w:rPr>
          <w:rFonts w:ascii="Verdana" w:hAnsi="Verdana"/>
        </w:rPr>
      </w:pPr>
      <w:r w:rsidRPr="00AB7EAF">
        <w:rPr>
          <w:rFonts w:ascii="Verdana" w:eastAsia="Segoe UI" w:hAnsi="Verdana" w:cs="Segoe UI"/>
        </w:rPr>
        <w:t>Gender</w:t>
      </w:r>
      <w:r w:rsidRPr="00AB7EAF">
        <w:rPr>
          <w:rFonts w:ascii="Verdana" w:eastAsia="Segoe UI" w:hAnsi="Verdana" w:cs="Segoe UI"/>
        </w:rPr>
        <w:t xml:space="preserve"> </w:t>
      </w:r>
      <w:r w:rsidRPr="00AB7EAF">
        <w:rPr>
          <w:rFonts w:ascii="Verdana" w:eastAsia="Segoe UI" w:hAnsi="Verdana" w:cs="Segoe UI"/>
        </w:rPr>
        <w:t>responsive budgeting is an approach that integrates gender analysis into budget processes from the outset, assessing how revenue-raising and spending decisions affect different groups of women and men and ensuring that equality objectives are embedded into financial decision-making</w:t>
      </w:r>
      <w:r>
        <w:rPr>
          <w:rStyle w:val="FootnoteReference"/>
          <w:rFonts w:ascii="Verdana" w:eastAsia="Segoe UI" w:hAnsi="Verdana" w:cs="Segoe UI"/>
        </w:rPr>
        <w:footnoteReference w:id="36"/>
      </w:r>
      <w:r w:rsidRPr="00AB7EAF">
        <w:rPr>
          <w:rFonts w:ascii="Verdana" w:eastAsia="Segoe UI" w:hAnsi="Verdana" w:cs="Segoe UI"/>
        </w:rPr>
        <w:t>. It moves beyond assessing equality impacts after decisions have been made, towards incorporating gender considerations into the design of policies, programmes and investments from the beginning. It</w:t>
      </w:r>
      <w:r w:rsidRPr="00AB7EAF">
        <w:rPr>
          <w:rFonts w:ascii="Verdana" w:eastAsia="Segoe UI" w:hAnsi="Verdana" w:cs="Segoe UI"/>
        </w:rPr>
        <w:t xml:space="preserve"> has been developed and adopted internationally, including by institutions such as the International Monetary Fund and the European Union, recognising that public budgets are not gender neutral and that </w:t>
      </w:r>
      <w:r w:rsidRPr="00AB7EAF">
        <w:rPr>
          <w:rFonts w:ascii="Verdana" w:eastAsia="Segoe UI" w:hAnsi="Verdana" w:cs="Segoe UI"/>
        </w:rPr>
        <w:t>fiscal decisions can have different impacts on different groups</w:t>
      </w:r>
      <w:r>
        <w:rPr>
          <w:rStyle w:val="FootnoteReference"/>
          <w:rFonts w:ascii="Verdana" w:eastAsia="Segoe UI" w:hAnsi="Verdana" w:cs="Segoe UI"/>
        </w:rPr>
        <w:footnoteReference w:id="37"/>
      </w:r>
      <w:r w:rsidRPr="00AB7EAF">
        <w:rPr>
          <w:rFonts w:ascii="Verdana" w:eastAsia="Segoe UI" w:hAnsi="Verdana" w:cs="Segoe UI"/>
        </w:rPr>
        <w:t>. Drawing on this international experience would help ensure that devolved fiscal systems support equality rather than unintentionally reinforc</w:t>
      </w:r>
      <w:r w:rsidRPr="00AB7EAF">
        <w:rPr>
          <w:rFonts w:ascii="Verdana" w:eastAsia="Segoe UI" w:hAnsi="Verdana" w:cs="Segoe UI"/>
        </w:rPr>
        <w:t>e</w:t>
      </w:r>
      <w:r w:rsidRPr="00AB7EAF">
        <w:rPr>
          <w:rFonts w:ascii="Verdana" w:eastAsia="Segoe UI" w:hAnsi="Verdana" w:cs="Segoe UI"/>
        </w:rPr>
        <w:t xml:space="preserve"> existing inequalities.</w:t>
      </w:r>
    </w:p>
    <w:p w:rsidR="00886179" w:rsidRPr="00AB7EAF" w:rsidP="00AB7EAF">
      <w:pPr>
        <w:spacing w:line="480" w:lineRule="auto"/>
        <w:rPr>
          <w:rFonts w:ascii="Verdana" w:eastAsia="Segoe UI" w:hAnsi="Verdana" w:cs="Segoe UI"/>
        </w:rPr>
      </w:pPr>
      <w:r w:rsidRPr="00AB7EAF">
        <w:rPr>
          <w:rFonts w:ascii="Verdana" w:eastAsia="Segoe UI" w:hAnsi="Verdana" w:cs="Segoe UI"/>
        </w:rPr>
        <w:t xml:space="preserve">There is also a risk that devolved authorities are incentivised to prioritise activities that generate </w:t>
      </w:r>
      <w:r w:rsidRPr="00AB7EAF">
        <w:rPr>
          <w:rFonts w:ascii="Verdana" w:eastAsia="Segoe UI" w:hAnsi="Verdana" w:cs="Segoe UI"/>
        </w:rPr>
        <w:t xml:space="preserve">highly </w:t>
      </w:r>
      <w:r w:rsidRPr="00AB7EAF">
        <w:rPr>
          <w:rFonts w:ascii="Verdana" w:eastAsia="Segoe UI" w:hAnsi="Verdana" w:cs="Segoe UI"/>
        </w:rPr>
        <w:t>visible economic returns at the expense of investment in social infrastructure. Traditional approaches to local economic development have often focused on physical infrastructure, commercial development and business growth. While these investments are important, they are not sufficient on their own to support inclusive and sustainable prosperity. Childcare, social care, public transport and public health services are equally important forms of economic infrastructure because they enable people to par</w:t>
      </w:r>
      <w:r w:rsidRPr="00AB7EAF">
        <w:rPr>
          <w:rFonts w:ascii="Verdana" w:eastAsia="Segoe UI" w:hAnsi="Verdana" w:cs="Segoe UI"/>
        </w:rPr>
        <w:t>ticipate in paid work, education and community life. Fiscal devolution should not inadvertently encourage short-term revenue generation or growth-focused strategies at the expense of these foundational services.</w:t>
      </w:r>
    </w:p>
    <w:p w:rsidR="00886179" w:rsidP="00AB7EAF">
      <w:pPr>
        <w:spacing w:line="480" w:lineRule="auto"/>
        <w:rPr>
          <w:rFonts w:ascii="Verdana" w:eastAsia="Segoe UI" w:hAnsi="Verdana" w:cs="Segoe UI"/>
        </w:rPr>
      </w:pPr>
      <w:r w:rsidRPr="00AB7EAF">
        <w:rPr>
          <w:rFonts w:ascii="Verdana" w:eastAsia="Segoe UI" w:hAnsi="Verdana" w:cs="Segoe UI"/>
        </w:rPr>
        <w:t>For fiscal devolution to succeed, it must therefore be underpinned by three core principles: adequate funding, redistribution according to need and democratic accountability. Without these safeguards, there is a substantial risk that fiscal devolution will reinforce existing inequalities rather than contribute to more inclusive and equitable local development.</w:t>
      </w:r>
    </w:p>
    <w:p w:rsidR="00AB7EAF" w:rsidRPr="00AB7EAF" w:rsidP="00AB7EAF">
      <w:pPr>
        <w:spacing w:line="480" w:lineRule="auto"/>
        <w:rPr>
          <w:rFonts w:ascii="Verdana" w:eastAsia="Segoe UI" w:hAnsi="Verdana" w:cs="Segoe UI"/>
          <w:i/>
          <w:iCs/>
        </w:rPr>
      </w:pPr>
      <w:r w:rsidRPr="00AB7EAF">
        <w:rPr>
          <w:rFonts w:ascii="Verdana" w:eastAsia="Segoe UI" w:hAnsi="Verdana" w:cs="Segoe UI"/>
          <w:i/>
          <w:iCs/>
        </w:rPr>
        <w:t>4 June 2026</w:t>
      </w:r>
    </w:p>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86179">
      <w:pPr>
        <w:spacing w:after="0" w:line="240" w:lineRule="auto"/>
      </w:pPr>
      <w:r>
        <w:separator/>
      </w:r>
    </w:p>
  </w:footnote>
  <w:footnote w:type="continuationSeparator" w:id="1">
    <w:p w:rsidR="00886179">
      <w:pPr>
        <w:spacing w:after="0" w:line="240" w:lineRule="auto"/>
      </w:pPr>
      <w:r>
        <w:continuationSeparator/>
      </w:r>
    </w:p>
  </w:footnote>
  <w:footnote w:id="2">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OECD (2025) </w:t>
      </w:r>
      <w:r>
        <w:fldChar w:fldCharType="begin"/>
      </w:r>
      <w:r>
        <w:instrText xml:space="preserve"> HYPERLINK "https://www.oecd.org/en/publications/2025/12/revenue-statistics-2025_07ca0a8e/full-report/tax-levels-and-tax-structures-1965-2024_2033f3ea.html" </w:instrText>
      </w:r>
      <w:r>
        <w:fldChar w:fldCharType="separate"/>
      </w:r>
      <w:r w:rsidRPr="00AB7EAF">
        <w:rPr>
          <w:rStyle w:val="Hyperlink"/>
          <w:rFonts w:ascii="Verdana" w:hAnsi="Verdana"/>
          <w:color w:val="auto"/>
        </w:rPr>
        <w:t>Revenue Statistics 2025</w:t>
      </w:r>
      <w:r>
        <w:fldChar w:fldCharType="end"/>
      </w:r>
      <w:r w:rsidRPr="00AB7EAF">
        <w:rPr>
          <w:rFonts w:ascii="Verdana" w:hAnsi="Verdana"/>
        </w:rPr>
        <w:t xml:space="preserve"> </w:t>
      </w:r>
    </w:p>
  </w:footnote>
  <w:footnote w:id="3">
    <w:p w:rsidR="00886179" w:rsidP="1CFC6CAE">
      <w:pPr>
        <w:pStyle w:val="FootnoteText"/>
      </w:pPr>
      <w:r w:rsidRPr="00AB7EAF">
        <w:rPr>
          <w:rStyle w:val="FootnoteReference"/>
          <w:rFonts w:ascii="Verdana" w:hAnsi="Verdana"/>
        </w:rPr>
        <w:footnoteRef/>
      </w:r>
      <w:r w:rsidRPr="00AB7EAF">
        <w:rPr>
          <w:rFonts w:ascii="Verdana" w:hAnsi="Verdana"/>
        </w:rPr>
        <w:t xml:space="preserve"> WBG (2024) </w:t>
      </w:r>
      <w:r>
        <w:fldChar w:fldCharType="begin"/>
      </w:r>
      <w:r>
        <w:instrText xml:space="preserve"> HYPERLINK "https://www.wbg.org.uk/publication/local-government-and-gender-briefing-for-a-new-government/" </w:instrText>
      </w:r>
      <w:r>
        <w:fldChar w:fldCharType="separate"/>
      </w:r>
      <w:r w:rsidRPr="00AB7EAF">
        <w:rPr>
          <w:rStyle w:val="Hyperlink"/>
          <w:rFonts w:ascii="Verdana" w:hAnsi="Verdana"/>
          <w:color w:val="auto"/>
        </w:rPr>
        <w:t>Local Government and Gender</w:t>
      </w:r>
      <w:r>
        <w:fldChar w:fldCharType="end"/>
      </w:r>
      <w:r w:rsidRPr="00AB7EAF">
        <w:rPr>
          <w:rFonts w:ascii="Verdana" w:hAnsi="Verdana"/>
        </w:rPr>
        <w:t xml:space="preserve"> </w:t>
      </w:r>
    </w:p>
  </w:footnote>
  <w:footnote w:id="4">
    <w:p w:rsidR="00886179" w:rsidRPr="00AB7EAF" w:rsidP="73CA6B14">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Social infrastructure refers to the services and systems that support everyday life and enable participation in society and the economy, including childcare, social care, public transport, and community facilities.</w:t>
      </w:r>
    </w:p>
  </w:footnote>
  <w:footnote w:id="5">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Ministry of Housing, Communities &amp; Local Government (2025) </w:t>
      </w:r>
      <w:r>
        <w:fldChar w:fldCharType="begin"/>
      </w:r>
      <w:r>
        <w:instrText xml:space="preserve"> HYPERLINK "https://assets.publishing.service.gov.uk/media/686e3751fe1a249e937cbe6d/E03370926_-_Local_Government_Financial_Statistics_England_2025__No._35_.pdf" </w:instrText>
      </w:r>
      <w:r>
        <w:fldChar w:fldCharType="separate"/>
      </w:r>
      <w:r w:rsidRPr="00AB7EAF">
        <w:rPr>
          <w:rStyle w:val="Hyperlink"/>
          <w:rFonts w:ascii="Verdana" w:hAnsi="Verdana"/>
          <w:color w:val="auto"/>
        </w:rPr>
        <w:t>Local Government Financial Statistics England</w:t>
      </w:r>
      <w:r>
        <w:fldChar w:fldCharType="end"/>
      </w:r>
      <w:r w:rsidRPr="00AB7EAF">
        <w:rPr>
          <w:rFonts w:ascii="Verdana" w:hAnsi="Verdana"/>
        </w:rPr>
        <w:t xml:space="preserve"> </w:t>
      </w:r>
    </w:p>
  </w:footnote>
  <w:footnote w:id="6">
    <w:p w:rsidR="00886179" w:rsidP="1CFC6CAE">
      <w:pPr>
        <w:pStyle w:val="FootnoteText"/>
      </w:pPr>
      <w:r w:rsidRPr="00AB7EAF">
        <w:rPr>
          <w:rStyle w:val="FootnoteReference"/>
          <w:rFonts w:ascii="Verdana" w:hAnsi="Verdana"/>
        </w:rPr>
        <w:footnoteRef/>
      </w:r>
      <w:r w:rsidRPr="00AB7EAF">
        <w:rPr>
          <w:rFonts w:ascii="Verdana" w:hAnsi="Verdana"/>
        </w:rPr>
        <w:t xml:space="preserve"> Resolution Foundation (2025) </w:t>
      </w:r>
      <w:r>
        <w:fldChar w:fldCharType="begin"/>
      </w:r>
      <w:r>
        <w:instrText xml:space="preserve"> HYPERLINK "https://www.resolutionfoundation.org/comment/rising-council-tax-bills-and-the-spectre-of-the-poll-tax/" </w:instrText>
      </w:r>
      <w:r>
        <w:fldChar w:fldCharType="separate"/>
      </w:r>
      <w:r w:rsidRPr="00AB7EAF">
        <w:rPr>
          <w:rStyle w:val="Hyperlink"/>
          <w:rFonts w:ascii="Verdana" w:hAnsi="Verdana"/>
          <w:color w:val="auto"/>
        </w:rPr>
        <w:t>Rising Council Tax bills and the spectre of the poll tax</w:t>
      </w:r>
      <w:r>
        <w:fldChar w:fldCharType="end"/>
      </w:r>
    </w:p>
  </w:footnote>
  <w:footnote w:id="7">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WBG (2024) </w:t>
      </w:r>
      <w:r>
        <w:fldChar w:fldCharType="begin"/>
      </w:r>
      <w:r>
        <w:instrText xml:space="preserve"> HYPERLINK "https://www.wbg.org.uk/publication/making-care-visible-and-valued/" </w:instrText>
      </w:r>
      <w:r>
        <w:fldChar w:fldCharType="separate"/>
      </w:r>
      <w:r w:rsidRPr="00AB7EAF">
        <w:rPr>
          <w:rStyle w:val="Hyperlink"/>
          <w:rFonts w:ascii="Verdana" w:hAnsi="Verdana"/>
          <w:color w:val="auto"/>
        </w:rPr>
        <w:t>Making social care visible and valued</w:t>
      </w:r>
      <w:r>
        <w:fldChar w:fldCharType="end"/>
      </w:r>
    </w:p>
  </w:footnote>
  <w:footnote w:id="8">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Ministry of Housing, Communities &amp; Local Government (2025) </w:t>
      </w:r>
      <w:r>
        <w:fldChar w:fldCharType="begin"/>
      </w:r>
      <w:r>
        <w:instrText xml:space="preserve"> HYPERLINK "https://www.gov.uk/government/consultations/the-fair-funding-review-20/the-fair-funding-review-20" </w:instrText>
      </w:r>
      <w:r>
        <w:fldChar w:fldCharType="separate"/>
      </w:r>
      <w:r w:rsidRPr="00AB7EAF">
        <w:rPr>
          <w:rStyle w:val="Hyperlink"/>
          <w:rFonts w:ascii="Verdana" w:hAnsi="Verdana"/>
          <w:color w:val="auto"/>
        </w:rPr>
        <w:t>The Fair Funding Review 2.0</w:t>
      </w:r>
      <w:r>
        <w:fldChar w:fldCharType="end"/>
      </w:r>
    </w:p>
  </w:footnote>
  <w:footnote w:id="9">
    <w:p w:rsidR="00886179" w:rsidP="1CFC6CAE">
      <w:pPr>
        <w:pStyle w:val="FootnoteText"/>
      </w:pPr>
      <w:r w:rsidRPr="00AB7EAF">
        <w:rPr>
          <w:rStyle w:val="FootnoteReference"/>
          <w:rFonts w:ascii="Verdana" w:hAnsi="Verdana"/>
        </w:rPr>
        <w:footnoteRef/>
      </w:r>
      <w:r w:rsidRPr="00AB7EAF">
        <w:rPr>
          <w:rFonts w:ascii="Verdana" w:hAnsi="Verdana"/>
        </w:rPr>
        <w:t xml:space="preserve"> LGA (2026) </w:t>
      </w:r>
      <w:r>
        <w:fldChar w:fldCharType="begin"/>
      </w:r>
      <w:r>
        <w:instrText xml:space="preserve"> HYPERLINK "https://www.local.gov.uk/parliament/briefings-and-responses/introduction-adult-social-care-briefing-pack-chief-executives" </w:instrText>
      </w:r>
      <w:r>
        <w:fldChar w:fldCharType="separate"/>
      </w:r>
      <w:r w:rsidRPr="00AB7EAF">
        <w:rPr>
          <w:rStyle w:val="Hyperlink"/>
          <w:rFonts w:ascii="Verdana" w:hAnsi="Verdana"/>
          <w:color w:val="auto"/>
        </w:rPr>
        <w:t>Introduction to adult social care</w:t>
      </w:r>
      <w:r>
        <w:fldChar w:fldCharType="end"/>
      </w:r>
    </w:p>
  </w:footnote>
  <w:footnote w:id="10">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Resolution Foundation (2023) </w:t>
      </w:r>
      <w:r>
        <w:fldChar w:fldCharType="begin"/>
      </w:r>
      <w:r>
        <w:instrText xml:space="preserve"> HYPERLINK "https://economy2030.resolutionfoundation.org/reports/in-place-of-centralisation/?mc_cid=194f61e7a9&amp;mc_eid=5a3da2283c" </w:instrText>
      </w:r>
      <w:r>
        <w:fldChar w:fldCharType="separate"/>
      </w:r>
      <w:r w:rsidRPr="00AB7EAF">
        <w:rPr>
          <w:rStyle w:val="Hyperlink"/>
          <w:rFonts w:ascii="Verdana" w:hAnsi="Verdana"/>
          <w:color w:val="auto"/>
        </w:rPr>
        <w:t>In place of centralisation</w:t>
      </w:r>
      <w:r>
        <w:fldChar w:fldCharType="end"/>
      </w:r>
    </w:p>
  </w:footnote>
  <w:footnote w:id="11">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IFS (2024) </w:t>
      </w:r>
      <w:r>
        <w:fldChar w:fldCharType="begin"/>
      </w:r>
      <w:r>
        <w:instrText xml:space="preserve"> HYPERLINK "https://ifs.org.uk/articles/2025-26-english-local-government-finance-settlement-explained" </w:instrText>
      </w:r>
      <w:r>
        <w:fldChar w:fldCharType="separate"/>
      </w:r>
      <w:r w:rsidRPr="00AB7EAF">
        <w:rPr>
          <w:rStyle w:val="Hyperlink"/>
          <w:rFonts w:ascii="Verdana" w:hAnsi="Verdana"/>
          <w:color w:val="auto"/>
        </w:rPr>
        <w:t>The 2025-26 English Local Government Finance Settlement explained</w:t>
      </w:r>
      <w:r>
        <w:fldChar w:fldCharType="end"/>
      </w:r>
    </w:p>
  </w:footnote>
  <w:footnote w:id="12">
    <w:p w:rsidR="00886179" w:rsidP="1CFC6CAE">
      <w:pPr>
        <w:pStyle w:val="FootnoteText"/>
      </w:pPr>
      <w:r w:rsidRPr="00AB7EAF">
        <w:rPr>
          <w:rStyle w:val="FootnoteReference"/>
          <w:rFonts w:ascii="Verdana" w:hAnsi="Verdana"/>
        </w:rPr>
        <w:footnoteRef/>
      </w:r>
      <w:r w:rsidRPr="00AB7EAF">
        <w:rPr>
          <w:rFonts w:ascii="Verdana" w:hAnsi="Verdana"/>
        </w:rPr>
        <w:t xml:space="preserve"> IFS (2025) </w:t>
      </w:r>
      <w:r>
        <w:fldChar w:fldCharType="begin"/>
      </w:r>
      <w:r>
        <w:instrText xml:space="preserve"> HYPERLINK "https://ifs.org.uk/sites/default/files/2025-08/IFS_report_Fair-Funding-Review2_0_0.pdf" </w:instrText>
      </w:r>
      <w:r>
        <w:fldChar w:fldCharType="separate"/>
      </w:r>
      <w:r w:rsidRPr="00AB7EAF">
        <w:rPr>
          <w:rStyle w:val="Hyperlink"/>
          <w:rFonts w:ascii="Verdana" w:hAnsi="Verdana"/>
          <w:color w:val="auto"/>
        </w:rPr>
        <w:t>Fair Funding Review 2.0: the impacts on council funding across England</w:t>
      </w:r>
      <w:r>
        <w:fldChar w:fldCharType="end"/>
      </w:r>
      <w:r w:rsidRPr="00AB7EAF">
        <w:rPr>
          <w:rFonts w:ascii="Verdana" w:hAnsi="Verdana"/>
        </w:rPr>
        <w:t xml:space="preserve"> </w:t>
      </w:r>
    </w:p>
  </w:footnote>
  <w:footnote w:id="13">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IFS (2018) </w:t>
      </w:r>
      <w:r>
        <w:fldChar w:fldCharType="begin"/>
      </w:r>
      <w:r>
        <w:instrText xml:space="preserve"> HYPERLINK "https://ifs.org.uk/publications/100-business-rate-retention-pilots-what-can-be-learnt-and-what-cost" </w:instrText>
      </w:r>
      <w:r>
        <w:fldChar w:fldCharType="separate"/>
      </w:r>
      <w:r w:rsidRPr="00AB7EAF">
        <w:rPr>
          <w:rStyle w:val="Hyperlink"/>
          <w:rFonts w:ascii="Verdana" w:hAnsi="Verdana"/>
          <w:color w:val="auto"/>
        </w:rPr>
        <w:t>100% business rate retention pilots: what can be learnt and at what cost?</w:t>
      </w:r>
      <w:r>
        <w:fldChar w:fldCharType="end"/>
      </w:r>
    </w:p>
  </w:footnote>
  <w:footnote w:id="14">
    <w:p w:rsidR="00886179" w:rsidP="1CFC6CAE">
      <w:pPr>
        <w:pStyle w:val="FootnoteText"/>
      </w:pPr>
      <w:r w:rsidRPr="00AB7EAF">
        <w:rPr>
          <w:rStyle w:val="FootnoteReference"/>
          <w:rFonts w:ascii="Verdana" w:hAnsi="Verdana"/>
        </w:rPr>
        <w:footnoteRef/>
      </w:r>
      <w:r w:rsidRPr="00AB7EAF">
        <w:rPr>
          <w:rFonts w:ascii="Verdana" w:hAnsi="Verdana"/>
        </w:rPr>
        <w:t xml:space="preserve"> </w:t>
      </w:r>
      <w:r w:rsidRPr="00AB7EAF">
        <w:rPr>
          <w:rFonts w:ascii="Verdana" w:eastAsia="Aptos" w:hAnsi="Verdana" w:cs="Aptos"/>
        </w:rPr>
        <w:t xml:space="preserve">County Councils Network (2024) </w:t>
      </w:r>
      <w:r>
        <w:fldChar w:fldCharType="begin"/>
      </w:r>
      <w:r>
        <w:instrText xml:space="preserve"> HYPERLINK "https://www.countycouncilsnetwork.org.uk/councils-call-for-honest-discussion-on-what-they-should-be-expected-to-deliver-as-new-data-reveals-local-authorities-spend-two-thirds-of-their-budgets-on-care-services/" </w:instrText>
      </w:r>
      <w:r>
        <w:fldChar w:fldCharType="separate"/>
      </w:r>
      <w:r w:rsidRPr="00AB7EAF">
        <w:rPr>
          <w:rStyle w:val="Hyperlink"/>
          <w:rFonts w:ascii="Verdana" w:hAnsi="Verdana"/>
          <w:color w:val="auto"/>
        </w:rPr>
        <w:t>Councils call for ‘honest discussion’ on what they should be expected to deliver as new data reveals local authorities spend two-thirds of their budgets on care services</w:t>
      </w:r>
      <w:r>
        <w:fldChar w:fldCharType="end"/>
      </w:r>
    </w:p>
  </w:footnote>
  <w:footnote w:id="15">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Ministry of Housing, Communities &amp; Local Government (2025) </w:t>
      </w:r>
      <w:r>
        <w:fldChar w:fldCharType="begin"/>
      </w:r>
      <w:r>
        <w:instrText xml:space="preserve"> HYPERLINK "https://www.gov.uk/government/consultations/the-fair-funding-review-20/the-fair-funding-review-20" </w:instrText>
      </w:r>
      <w:r>
        <w:fldChar w:fldCharType="separate"/>
      </w:r>
      <w:r w:rsidRPr="00AB7EAF">
        <w:rPr>
          <w:rStyle w:val="Hyperlink"/>
          <w:rFonts w:ascii="Verdana" w:hAnsi="Verdana"/>
          <w:color w:val="auto"/>
        </w:rPr>
        <w:t>The Fair Funding Review 2.0</w:t>
      </w:r>
      <w:r>
        <w:fldChar w:fldCharType="end"/>
      </w:r>
    </w:p>
  </w:footnote>
  <w:footnote w:id="16">
    <w:p w:rsidR="00886179" w:rsidRPr="00AB7EAF" w:rsidP="1CFC6CAE">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OECD (2021) </w:t>
      </w:r>
      <w:r>
        <w:fldChar w:fldCharType="begin"/>
      </w:r>
      <w:r>
        <w:instrText xml:space="preserve"> HYPERLINK "https://www.oecd.org/en/publications/fiscal-federalism-2022_201c75b6-en.html" </w:instrText>
      </w:r>
      <w:r>
        <w:fldChar w:fldCharType="separate"/>
      </w:r>
      <w:r w:rsidRPr="00AB7EAF">
        <w:rPr>
          <w:rStyle w:val="Hyperlink"/>
          <w:rFonts w:ascii="Verdana" w:hAnsi="Verdana"/>
          <w:color w:val="auto"/>
        </w:rPr>
        <w:t>Fiscal Federalism 2022</w:t>
      </w:r>
      <w:r>
        <w:fldChar w:fldCharType="end"/>
      </w:r>
    </w:p>
  </w:footnote>
  <w:footnote w:id="17">
    <w:p w:rsidR="00886179" w:rsidP="1CFC6CAE">
      <w:pPr>
        <w:pStyle w:val="FootnoteText"/>
      </w:pPr>
      <w:r w:rsidRPr="00AB7EAF">
        <w:rPr>
          <w:rStyle w:val="FootnoteReference"/>
          <w:rFonts w:ascii="Verdana" w:hAnsi="Verdana"/>
        </w:rPr>
        <w:footnoteRef/>
      </w:r>
      <w:r w:rsidRPr="00AB7EAF">
        <w:rPr>
          <w:rFonts w:ascii="Verdana" w:hAnsi="Verdana"/>
        </w:rPr>
        <w:t xml:space="preserve"> IFS (2026) </w:t>
      </w:r>
      <w:r>
        <w:fldChar w:fldCharType="begin"/>
      </w:r>
      <w:r>
        <w:instrText xml:space="preserve"> HYPERLINK "https://ifs.org.uk/publications/ifs-scottish-budget-report-2026-27" </w:instrText>
      </w:r>
      <w:r>
        <w:fldChar w:fldCharType="separate"/>
      </w:r>
      <w:r w:rsidRPr="00AB7EAF">
        <w:rPr>
          <w:rStyle w:val="Hyperlink"/>
          <w:rFonts w:ascii="Verdana" w:hAnsi="Verdana"/>
          <w:color w:val="auto"/>
        </w:rPr>
        <w:t>The IFS Scottish Budget Report 2026-27</w:t>
      </w:r>
      <w:r>
        <w:fldChar w:fldCharType="end"/>
      </w:r>
    </w:p>
  </w:footnote>
  <w:footnote w:id="18">
    <w:p w:rsidR="00886179" w:rsidRPr="00AB7EAF" w:rsidP="1783F1B5">
      <w:pPr>
        <w:pStyle w:val="FootnoteText"/>
        <w:rPr>
          <w:rFonts w:ascii="Verdana" w:eastAsia="Aptos" w:hAnsi="Verdana" w:cs="Aptos"/>
          <w:sz w:val="24"/>
          <w:szCs w:val="24"/>
        </w:rPr>
      </w:pPr>
      <w:r w:rsidRPr="00AB7EAF">
        <w:rPr>
          <w:rStyle w:val="FootnoteReference"/>
          <w:rFonts w:ascii="Verdana" w:hAnsi="Verdana"/>
        </w:rPr>
        <w:footnoteRef/>
      </w:r>
      <w:r w:rsidRPr="00AB7EAF">
        <w:rPr>
          <w:rFonts w:ascii="Verdana" w:hAnsi="Verdana"/>
        </w:rPr>
        <w:t xml:space="preserve"> </w:t>
      </w:r>
      <w:r w:rsidRPr="00AB7EAF">
        <w:rPr>
          <w:rFonts w:ascii="Verdana" w:eastAsia="Aptos" w:hAnsi="Verdana" w:cs="Aptos"/>
          <w:sz w:val="24"/>
          <w:szCs w:val="24"/>
        </w:rPr>
        <w:t xml:space="preserve">WBG (2024) </w:t>
      </w:r>
      <w:r>
        <w:fldChar w:fldCharType="begin"/>
      </w:r>
      <w:r>
        <w:instrText xml:space="preserve"> HYPERLINK "https://www.wbg.org.uk/publication/local-government-and-gender-briefing-for-a-new-government/" </w:instrText>
      </w:r>
      <w:r>
        <w:fldChar w:fldCharType="separate"/>
      </w:r>
      <w:r w:rsidRPr="00AB7EAF">
        <w:rPr>
          <w:rStyle w:val="Hyperlink"/>
          <w:rFonts w:ascii="Verdana" w:hAnsi="Verdana"/>
          <w:color w:val="auto"/>
        </w:rPr>
        <w:t>Local Government and Gender</w:t>
      </w:r>
      <w:r>
        <w:fldChar w:fldCharType="end"/>
      </w:r>
    </w:p>
  </w:footnote>
  <w:footnote w:id="19">
    <w:p w:rsidR="00886179" w:rsidRPr="00AB7EAF" w:rsidP="1783F1B5">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w:t>
      </w:r>
      <w:r w:rsidRPr="00AB7EAF">
        <w:rPr>
          <w:rFonts w:ascii="Verdana" w:eastAsia="Aptos" w:hAnsi="Verdana" w:cs="Aptos"/>
          <w:sz w:val="24"/>
          <w:szCs w:val="24"/>
        </w:rPr>
        <w:t xml:space="preserve">WBG (2024) </w:t>
      </w:r>
      <w:r>
        <w:fldChar w:fldCharType="begin"/>
      </w:r>
      <w:r>
        <w:instrText xml:space="preserve"> HYPERLINK "https://www.wbg.org.uk/publication/making-care-visible-and-valued/" </w:instrText>
      </w:r>
      <w:r>
        <w:fldChar w:fldCharType="separate"/>
      </w:r>
      <w:r w:rsidRPr="00AB7EAF">
        <w:rPr>
          <w:rStyle w:val="Hyperlink"/>
          <w:rFonts w:ascii="Verdana" w:hAnsi="Verdana"/>
          <w:color w:val="auto"/>
        </w:rPr>
        <w:t>Making social care visible and valued</w:t>
      </w:r>
      <w:r>
        <w:fldChar w:fldCharType="end"/>
      </w:r>
    </w:p>
  </w:footnote>
  <w:footnote w:id="20">
    <w:p w:rsidR="00886179" w:rsidRPr="00AB7EAF" w:rsidP="1783F1B5">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WBG (2024) </w:t>
      </w:r>
      <w:r>
        <w:fldChar w:fldCharType="begin"/>
      </w:r>
      <w:r>
        <w:instrText xml:space="preserve"> HYPERLINK "https://www.wbg.org.uk/publication/who-bears-the-brunt-intersectional-analysis-of-social-security-cuts-since-2010/" </w:instrText>
      </w:r>
      <w:r>
        <w:fldChar w:fldCharType="separate"/>
      </w:r>
      <w:r w:rsidRPr="00AB7EAF">
        <w:rPr>
          <w:rStyle w:val="Hyperlink"/>
          <w:rFonts w:ascii="Verdana" w:hAnsi="Verdana"/>
          <w:color w:val="auto"/>
        </w:rPr>
        <w:t>Who bears the brunt? Intersectional analysis of social security cuts since 2010</w:t>
      </w:r>
      <w:r>
        <w:fldChar w:fldCharType="end"/>
      </w:r>
      <w:r w:rsidRPr="00AB7EAF">
        <w:rPr>
          <w:rFonts w:ascii="Verdana" w:hAnsi="Verdana"/>
        </w:rPr>
        <w:t xml:space="preserve"> </w:t>
      </w:r>
    </w:p>
  </w:footnote>
  <w:footnote w:id="21">
    <w:p w:rsidR="00886179" w:rsidP="1783F1B5">
      <w:pPr>
        <w:pStyle w:val="FootnoteText"/>
      </w:pPr>
      <w:r w:rsidRPr="00AB7EAF">
        <w:rPr>
          <w:rStyle w:val="FootnoteReference"/>
          <w:rFonts w:ascii="Verdana" w:hAnsi="Verdana"/>
        </w:rPr>
        <w:footnoteRef/>
      </w:r>
      <w:r w:rsidRPr="00AB7EAF">
        <w:rPr>
          <w:rFonts w:ascii="Verdana" w:hAnsi="Verdana"/>
        </w:rPr>
        <w:t xml:space="preserve"> WBG (2024) </w:t>
      </w:r>
      <w:r>
        <w:fldChar w:fldCharType="begin"/>
      </w:r>
      <w:r>
        <w:instrText xml:space="preserve"> HYPERLINK "https://www.wbg.org.uk/publication/where-do-we-go-from-here-an-intersectional-analysis-of-womens-living-standards-since-2010/" </w:instrText>
      </w:r>
      <w:r>
        <w:fldChar w:fldCharType="separate"/>
      </w:r>
      <w:r w:rsidRPr="00AB7EAF">
        <w:rPr>
          <w:rStyle w:val="Hyperlink"/>
          <w:rFonts w:ascii="Verdana" w:hAnsi="Verdana"/>
          <w:color w:val="auto"/>
        </w:rPr>
        <w:t>Where do we go from here? An intersectional analysis of women’s living standards since 2010</w:t>
      </w:r>
      <w:r>
        <w:fldChar w:fldCharType="end"/>
      </w:r>
    </w:p>
  </w:footnote>
  <w:footnote w:id="22">
    <w:p w:rsidR="00886179" w:rsidP="1783F1B5">
      <w:pPr>
        <w:pStyle w:val="FootnoteText"/>
      </w:pPr>
      <w:r w:rsidRPr="1783F1B5">
        <w:rPr>
          <w:rStyle w:val="FootnoteReference"/>
        </w:rPr>
        <w:footnoteRef/>
      </w:r>
      <w:r>
        <w:t xml:space="preserve"> </w:t>
      </w:r>
      <w:r w:rsidRPr="1783F1B5">
        <w:rPr>
          <w:rFonts w:ascii="Open Sans" w:eastAsia="Open Sans" w:hAnsi="Open Sans" w:cs="Open Sans"/>
          <w:color w:val="333333"/>
          <w:sz w:val="21"/>
          <w:szCs w:val="21"/>
        </w:rPr>
        <w:t xml:space="preserve">MEERS, Jed, Cole Norton, Freya and Mears, Rosie Alice (Accepted: 2026) </w:t>
      </w:r>
      <w:r w:rsidRPr="1783F1B5">
        <w:rPr>
          <w:rFonts w:ascii="Open Sans" w:eastAsia="Open Sans" w:hAnsi="Open Sans" w:cs="Open Sans"/>
          <w:i/>
          <w:iCs/>
          <w:color w:val="333333"/>
          <w:sz w:val="21"/>
          <w:szCs w:val="21"/>
        </w:rPr>
        <w:t>‘Can’t pay’ or ‘won’t pay’: Local Authority Approaches to Council Tax Arrears</w:t>
      </w:r>
    </w:p>
  </w:footnote>
  <w:footnote w:id="23">
    <w:p w:rsidR="00886179" w:rsidP="1783F1B5">
      <w:pPr>
        <w:pStyle w:val="FootnoteText"/>
      </w:pPr>
      <w:r w:rsidRPr="1783F1B5">
        <w:rPr>
          <w:rStyle w:val="FootnoteReference"/>
        </w:rPr>
        <w:footnoteRef/>
      </w:r>
      <w:r>
        <w:t xml:space="preserve"> SEA (2026) </w:t>
      </w:r>
      <w:r>
        <w:fldChar w:fldCharType="begin"/>
      </w:r>
      <w:r>
        <w:instrText xml:space="preserve"> HYPERLINK "https://survivingeconomicabuse.org/what-we-do/policy-influencing/welfare-benefits/" </w:instrText>
      </w:r>
      <w:r>
        <w:fldChar w:fldCharType="separate"/>
      </w:r>
      <w:r w:rsidRPr="1783F1B5">
        <w:rPr>
          <w:rStyle w:val="Hyperlink"/>
        </w:rPr>
        <w:t>Welfare Benefits</w:t>
      </w:r>
      <w:r>
        <w:fldChar w:fldCharType="end"/>
      </w:r>
      <w:r>
        <w:t xml:space="preserve"> </w:t>
      </w:r>
    </w:p>
  </w:footnote>
  <w:footnote w:id="24">
    <w:p w:rsidR="00886179" w:rsidRPr="00AB7EAF" w:rsidP="1783F1B5">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West of England (2026) </w:t>
      </w:r>
      <w:r>
        <w:fldChar w:fldCharType="begin"/>
      </w:r>
      <w:r>
        <w:instrText xml:space="preserve"> HYPERLINK "https://www.westofengland-ca.gov.uk/about-us/our-strategy/west-of-england-growth-plan/" </w:instrText>
      </w:r>
      <w:r>
        <w:fldChar w:fldCharType="separate"/>
      </w:r>
      <w:r w:rsidRPr="00AB7EAF">
        <w:rPr>
          <w:rStyle w:val="Hyperlink"/>
          <w:rFonts w:ascii="Verdana" w:hAnsi="Verdana"/>
          <w:color w:val="auto"/>
        </w:rPr>
        <w:t>The West of England Growth Strateg</w:t>
      </w:r>
      <w:r>
        <w:fldChar w:fldCharType="end"/>
      </w:r>
      <w:r w:rsidRPr="00AB7EAF">
        <w:rPr>
          <w:rFonts w:ascii="Verdana" w:hAnsi="Verdana"/>
        </w:rPr>
        <w:t>y</w:t>
      </w:r>
    </w:p>
  </w:footnote>
  <w:footnote w:id="25">
    <w:p w:rsidR="00886179" w:rsidP="1783F1B5">
      <w:pPr>
        <w:pStyle w:val="FootnoteText"/>
      </w:pPr>
      <w:r w:rsidRPr="00AB7EAF">
        <w:rPr>
          <w:rStyle w:val="FootnoteReference"/>
          <w:rFonts w:ascii="Verdana" w:hAnsi="Verdana"/>
        </w:rPr>
        <w:footnoteRef/>
      </w:r>
      <w:r w:rsidRPr="00AB7EAF">
        <w:rPr>
          <w:rFonts w:ascii="Verdana" w:hAnsi="Verdana"/>
        </w:rPr>
        <w:t xml:space="preserve"> </w:t>
      </w:r>
      <w:r>
        <w:fldChar w:fldCharType="begin"/>
      </w:r>
      <w:r>
        <w:instrText xml:space="preserve"> HYPERLINK "https://www.legislation.gov.uk/ukpga/2026/23/contents/enacted" </w:instrText>
      </w:r>
      <w:r>
        <w:fldChar w:fldCharType="separate"/>
      </w:r>
      <w:r w:rsidRPr="00AB7EAF">
        <w:rPr>
          <w:rStyle w:val="Hyperlink"/>
          <w:rFonts w:ascii="Verdana" w:hAnsi="Verdana"/>
          <w:color w:val="auto"/>
        </w:rPr>
        <w:t>English Devolution and Community Empowerment Act</w:t>
      </w:r>
      <w:r>
        <w:fldChar w:fldCharType="end"/>
      </w:r>
    </w:p>
  </w:footnote>
  <w:footnote w:id="26">
    <w:p w:rsidR="00886179" w:rsidRPr="00AB7EAF" w:rsidP="41F8652C">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OECD (2023) </w:t>
      </w:r>
      <w:r>
        <w:fldChar w:fldCharType="begin"/>
      </w:r>
      <w:r>
        <w:instrText xml:space="preserve"> HYPERLINK "https://one.oecd.org/document/GOV/SBO(2023)2/en/pdf" </w:instrText>
      </w:r>
      <w:r>
        <w:fldChar w:fldCharType="separate"/>
      </w:r>
      <w:r w:rsidRPr="00AB7EAF">
        <w:rPr>
          <w:rStyle w:val="Hyperlink"/>
          <w:rFonts w:ascii="Verdana" w:hAnsi="Verdana"/>
          <w:color w:val="auto"/>
        </w:rPr>
        <w:t>OECD Best Practice for Gender Budgeting</w:t>
      </w:r>
      <w:r>
        <w:fldChar w:fldCharType="end"/>
      </w:r>
      <w:r w:rsidRPr="00AB7EAF">
        <w:rPr>
          <w:rFonts w:ascii="Verdana" w:hAnsi="Verdana"/>
        </w:rPr>
        <w:t xml:space="preserve"> </w:t>
      </w:r>
    </w:p>
  </w:footnote>
  <w:footnote w:id="27">
    <w:p w:rsidR="00886179" w:rsidRPr="00AB7EAF" w:rsidP="1783F1B5">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Institute for Government (2022) </w:t>
      </w:r>
      <w:r>
        <w:fldChar w:fldCharType="begin"/>
      </w:r>
      <w:r>
        <w:instrText xml:space="preserve"> HYPERLINK "https://www.instituteforgovernment.org.uk/sites/default/files/2023-09/Putting-citizens-at-heart-of-UK-constitution.pdf" </w:instrText>
      </w:r>
      <w:r>
        <w:fldChar w:fldCharType="separate"/>
      </w:r>
      <w:r w:rsidRPr="00AB7EAF">
        <w:rPr>
          <w:rStyle w:val="Hyperlink"/>
          <w:rFonts w:ascii="Verdana" w:hAnsi="Verdana"/>
          <w:color w:val="auto"/>
        </w:rPr>
        <w:t>Putting citizens at the heart of the UK constitution</w:t>
      </w:r>
      <w:r>
        <w:fldChar w:fldCharType="end"/>
      </w:r>
    </w:p>
  </w:footnote>
  <w:footnote w:id="28">
    <w:p w:rsidR="00886179" w:rsidP="1783F1B5">
      <w:pPr>
        <w:pStyle w:val="FootnoteText"/>
      </w:pPr>
      <w:r w:rsidRPr="00AB7EAF">
        <w:rPr>
          <w:rStyle w:val="FootnoteReference"/>
          <w:rFonts w:ascii="Verdana" w:hAnsi="Verdana"/>
        </w:rPr>
        <w:footnoteRef/>
      </w:r>
      <w:r w:rsidRPr="00AB7EAF">
        <w:rPr>
          <w:rFonts w:ascii="Verdana" w:hAnsi="Verdana"/>
        </w:rPr>
        <w:t xml:space="preserve"> HM Treasury (2025) </w:t>
      </w:r>
      <w:r>
        <w:fldChar w:fldCharType="begin"/>
      </w:r>
      <w:r>
        <w:instrText xml:space="preserve"> HYPERLINK "https://www.gov.uk/government/publications/final-report-of-the-covid-counter-fraud-commissioner" </w:instrText>
      </w:r>
      <w:r>
        <w:fldChar w:fldCharType="separate"/>
      </w:r>
      <w:r w:rsidRPr="00AB7EAF">
        <w:rPr>
          <w:rStyle w:val="Hyperlink"/>
          <w:rFonts w:ascii="Verdana" w:hAnsi="Verdana"/>
          <w:color w:val="auto"/>
        </w:rPr>
        <w:t>Final Report of the Covid Counter Fraud Commissioner</w:t>
      </w:r>
      <w:r>
        <w:fldChar w:fldCharType="end"/>
      </w:r>
    </w:p>
  </w:footnote>
  <w:footnote w:id="29">
    <w:p w:rsidR="00886179" w:rsidRPr="00AB7EAF" w:rsidP="1783F1B5">
      <w:pPr>
        <w:pStyle w:val="FootnoteText"/>
        <w:rPr>
          <w:rFonts w:ascii="Verdana" w:eastAsia="Aptos" w:hAnsi="Verdana" w:cs="Aptos"/>
        </w:rPr>
      </w:pPr>
      <w:r w:rsidRPr="00AB7EAF">
        <w:rPr>
          <w:rStyle w:val="FootnoteReference"/>
          <w:rFonts w:ascii="Verdana" w:hAnsi="Verdana"/>
        </w:rPr>
        <w:footnoteRef/>
      </w:r>
      <w:r w:rsidRPr="00AB7EAF">
        <w:rPr>
          <w:rFonts w:ascii="Verdana" w:hAnsi="Verdana"/>
        </w:rPr>
        <w:t xml:space="preserve"> </w:t>
      </w:r>
      <w:r w:rsidRPr="00AB7EAF">
        <w:rPr>
          <w:rFonts w:ascii="Verdana" w:eastAsia="Aptos" w:hAnsi="Verdana" w:cs="Aptos"/>
        </w:rPr>
        <w:t xml:space="preserve">Ministry of Housing, Communities &amp; Local Government (2025) </w:t>
      </w:r>
      <w:r>
        <w:fldChar w:fldCharType="begin"/>
      </w:r>
      <w:r>
        <w:instrText xml:space="preserve"> HYPERLINK "https://assets.publishing.service.gov.uk/media/686e3751fe1a249e937cbe6d/E03370926_-_Local_Government_Financial_Statistics_England_2025__No._35_.pdf" </w:instrText>
      </w:r>
      <w:r>
        <w:fldChar w:fldCharType="separate"/>
      </w:r>
      <w:r w:rsidRPr="00AB7EAF">
        <w:rPr>
          <w:rStyle w:val="Hyperlink"/>
          <w:rFonts w:ascii="Verdana" w:hAnsi="Verdana"/>
          <w:color w:val="auto"/>
        </w:rPr>
        <w:t>Local Government Financial Statistics England</w:t>
      </w:r>
      <w:r>
        <w:fldChar w:fldCharType="end"/>
      </w:r>
    </w:p>
  </w:footnote>
  <w:footnote w:id="30">
    <w:p w:rsidR="00886179" w:rsidRPr="00AB7EAF" w:rsidP="41F8652C">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WBG (2025) </w:t>
      </w:r>
      <w:r>
        <w:fldChar w:fldCharType="begin"/>
      </w:r>
      <w:r>
        <w:instrText xml:space="preserve"> HYPERLINK "https://www.wbg.org.uk/publication/taxation-and-gender-2/" </w:instrText>
      </w:r>
      <w:r>
        <w:fldChar w:fldCharType="separate"/>
      </w:r>
      <w:r w:rsidRPr="00AB7EAF">
        <w:rPr>
          <w:rStyle w:val="Hyperlink"/>
          <w:rFonts w:ascii="Verdana" w:hAnsi="Verdana"/>
          <w:color w:val="auto"/>
        </w:rPr>
        <w:t>Taxation and Gender</w:t>
      </w:r>
      <w:r>
        <w:fldChar w:fldCharType="end"/>
      </w:r>
    </w:p>
  </w:footnote>
  <w:footnote w:id="31">
    <w:p w:rsidR="00886179" w:rsidP="41F8652C">
      <w:pPr>
        <w:pStyle w:val="FootnoteText"/>
      </w:pPr>
      <w:r w:rsidRPr="00AB7EAF">
        <w:rPr>
          <w:rStyle w:val="FootnoteReference"/>
          <w:rFonts w:ascii="Verdana" w:hAnsi="Verdana"/>
        </w:rPr>
        <w:footnoteRef/>
      </w:r>
      <w:r w:rsidRPr="00AB7EAF">
        <w:rPr>
          <w:rFonts w:ascii="Verdana" w:hAnsi="Verdana"/>
        </w:rPr>
        <w:t xml:space="preserve"> Dutta (2025) </w:t>
      </w:r>
      <w:r>
        <w:fldChar w:fldCharType="begin"/>
      </w:r>
      <w:r>
        <w:instrText xml:space="preserve"> HYPERLINK "https://onlinelibrary.wiley.com/doi/full/10.1111/1467-923x.70012" </w:instrText>
      </w:r>
      <w:r>
        <w:fldChar w:fldCharType="separate"/>
      </w:r>
      <w:r w:rsidRPr="00AB7EAF">
        <w:rPr>
          <w:rStyle w:val="Hyperlink"/>
          <w:rFonts w:ascii="Verdana" w:hAnsi="Verdana"/>
          <w:color w:val="auto"/>
        </w:rPr>
        <w:t>Understanding Inequality in the UK: What Can We Learn from the Deaton Review?</w:t>
      </w:r>
      <w:r>
        <w:fldChar w:fldCharType="end"/>
      </w:r>
    </w:p>
  </w:footnote>
  <w:footnote w:id="32">
    <w:p w:rsidR="00886179" w:rsidRPr="00AB7EAF" w:rsidP="1783F1B5">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WBG (2025) </w:t>
      </w:r>
      <w:r>
        <w:fldChar w:fldCharType="begin"/>
      </w:r>
      <w:r>
        <w:instrText xml:space="preserve"> HYPERLINK "https://www.wbg.org.uk/publication/taxation-and-gender-2/" </w:instrText>
      </w:r>
      <w:r>
        <w:fldChar w:fldCharType="separate"/>
      </w:r>
      <w:r w:rsidRPr="00AB7EAF">
        <w:rPr>
          <w:rStyle w:val="Hyperlink"/>
          <w:rFonts w:ascii="Verdana" w:hAnsi="Verdana"/>
          <w:color w:val="auto"/>
        </w:rPr>
        <w:t>Taxation and Gender</w:t>
      </w:r>
      <w:r>
        <w:fldChar w:fldCharType="end"/>
      </w:r>
      <w:r w:rsidRPr="00AB7EAF">
        <w:rPr>
          <w:rFonts w:ascii="Verdana" w:hAnsi="Verdana"/>
        </w:rPr>
        <w:t xml:space="preserve"> </w:t>
      </w:r>
    </w:p>
  </w:footnote>
  <w:footnote w:id="33">
    <w:p w:rsidR="00886179" w:rsidRPr="00AB7EAF" w:rsidP="73CA6B14">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w:t>
      </w:r>
      <w:r w:rsidRPr="00AB7EAF">
        <w:rPr>
          <w:rFonts w:ascii="Verdana" w:hAnsi="Verdana"/>
        </w:rPr>
        <w:t>WBG (2020) A care-led recovery from coronavirus, calculations from Eurostat data 2020 https://bit.ly/2FWjzIC</w:t>
      </w:r>
    </w:p>
  </w:footnote>
  <w:footnote w:id="34">
    <w:p w:rsidR="00886179" w:rsidRPr="00AB7EAF" w:rsidP="1783F1B5">
      <w:pPr>
        <w:pStyle w:val="FootnoteText"/>
        <w:rPr>
          <w:rFonts w:ascii="Verdana" w:eastAsia="Aptos" w:hAnsi="Verdana" w:cs="Aptos"/>
        </w:rPr>
      </w:pPr>
      <w:r w:rsidRPr="00AB7EAF">
        <w:rPr>
          <w:rStyle w:val="FootnoteReference"/>
          <w:rFonts w:ascii="Verdana" w:hAnsi="Verdana"/>
        </w:rPr>
        <w:footnoteRef/>
      </w:r>
      <w:r w:rsidRPr="00AB7EAF">
        <w:rPr>
          <w:rFonts w:ascii="Verdana" w:hAnsi="Verdana"/>
        </w:rPr>
        <w:t xml:space="preserve"> </w:t>
      </w:r>
      <w:r w:rsidRPr="00AB7EAF">
        <w:rPr>
          <w:rFonts w:ascii="Verdana" w:eastAsia="Aptos" w:hAnsi="Verdana" w:cs="Aptos"/>
        </w:rPr>
        <w:t xml:space="preserve">WBG (2024) </w:t>
      </w:r>
      <w:r>
        <w:fldChar w:fldCharType="begin"/>
      </w:r>
      <w:r>
        <w:instrText xml:space="preserve"> HYPERLINK "https://www.wbg.org.uk/publication/local-government-and-gender-briefing-for-a-new-government/" </w:instrText>
      </w:r>
      <w:r>
        <w:fldChar w:fldCharType="separate"/>
      </w:r>
      <w:r w:rsidRPr="00AB7EAF">
        <w:rPr>
          <w:rStyle w:val="Hyperlink"/>
          <w:rFonts w:ascii="Verdana" w:hAnsi="Verdana"/>
          <w:color w:val="auto"/>
        </w:rPr>
        <w:t>Local Government and Gender</w:t>
      </w:r>
      <w:r>
        <w:fldChar w:fldCharType="end"/>
      </w:r>
    </w:p>
  </w:footnote>
  <w:footnote w:id="35">
    <w:p w:rsidR="00886179" w:rsidP="1783F1B5">
      <w:pPr>
        <w:pStyle w:val="FootnoteText"/>
        <w:rPr>
          <w:rFonts w:ascii="Aptos" w:eastAsia="Aptos" w:hAnsi="Aptos" w:cs="Aptos"/>
          <w:sz w:val="24"/>
          <w:szCs w:val="24"/>
        </w:rPr>
      </w:pPr>
      <w:r w:rsidRPr="00AB7EAF">
        <w:rPr>
          <w:rStyle w:val="FootnoteReference"/>
          <w:rFonts w:ascii="Verdana" w:hAnsi="Verdana"/>
        </w:rPr>
        <w:footnoteRef/>
      </w:r>
      <w:r w:rsidRPr="00AB7EAF">
        <w:rPr>
          <w:rFonts w:ascii="Verdana" w:hAnsi="Verdana"/>
        </w:rPr>
        <w:t xml:space="preserve"> </w:t>
      </w:r>
      <w:r w:rsidRPr="00AB7EAF">
        <w:rPr>
          <w:rFonts w:ascii="Verdana" w:eastAsia="Aptos" w:hAnsi="Verdana" w:cs="Aptos"/>
        </w:rPr>
        <w:t xml:space="preserve">WBG (2024) </w:t>
      </w:r>
      <w:r>
        <w:fldChar w:fldCharType="begin"/>
      </w:r>
      <w:r>
        <w:instrText xml:space="preserve"> HYPERLINK "https://www.wbg.org.uk/publication/local-government-and-gender-briefing-for-a-new-government/" </w:instrText>
      </w:r>
      <w:r>
        <w:fldChar w:fldCharType="separate"/>
      </w:r>
      <w:r w:rsidRPr="00AB7EAF">
        <w:rPr>
          <w:rStyle w:val="Hyperlink"/>
          <w:rFonts w:ascii="Verdana" w:hAnsi="Verdana"/>
          <w:color w:val="auto"/>
        </w:rPr>
        <w:t>Local Government and Gender</w:t>
      </w:r>
      <w:r>
        <w:fldChar w:fldCharType="end"/>
      </w:r>
    </w:p>
  </w:footnote>
  <w:footnote w:id="36">
    <w:p w:rsidR="00886179" w:rsidRPr="00AB7EAF" w:rsidP="41F8652C">
      <w:pPr>
        <w:pStyle w:val="FootnoteText"/>
        <w:rPr>
          <w:rFonts w:ascii="Verdana" w:hAnsi="Verdana" w:cs="Arial"/>
        </w:rPr>
      </w:pPr>
      <w:r w:rsidRPr="00AB7EAF">
        <w:rPr>
          <w:rStyle w:val="FootnoteReference"/>
          <w:rFonts w:ascii="Verdana" w:hAnsi="Verdana" w:cs="Arial"/>
        </w:rPr>
        <w:footnoteRef/>
      </w:r>
      <w:r w:rsidRPr="00AB7EAF">
        <w:rPr>
          <w:rFonts w:ascii="Verdana" w:hAnsi="Verdana" w:cs="Arial"/>
        </w:rPr>
        <w:t xml:space="preserve"> Elson, Diane (1998) </w:t>
      </w:r>
      <w:r>
        <w:fldChar w:fldCharType="begin"/>
      </w:r>
      <w:r>
        <w:instrText xml:space="preserve"> HYPERLINK "https://onlinelibrary.wiley.com/doi/abs/10.1002/%28SICI%291099-1328%281998110%2910%3A7%3C929%3A%3AAID-JID563%3E3.0.CO%3B2-5" </w:instrText>
      </w:r>
      <w:r>
        <w:fldChar w:fldCharType="separate"/>
      </w:r>
      <w:r w:rsidRPr="00AB7EAF">
        <w:rPr>
          <w:rStyle w:val="Hyperlink"/>
          <w:rFonts w:ascii="Verdana" w:hAnsi="Verdana" w:cs="Arial"/>
          <w:color w:val="auto"/>
        </w:rPr>
        <w:t>Integrating gender issues into national budgetary policies and procedures: some policy options</w:t>
      </w:r>
      <w:r>
        <w:fldChar w:fldCharType="end"/>
      </w:r>
      <w:r w:rsidRPr="00AB7EAF">
        <w:rPr>
          <w:rFonts w:ascii="Verdana" w:hAnsi="Verdana" w:cs="Arial"/>
        </w:rPr>
        <w:t xml:space="preserve"> </w:t>
      </w:r>
    </w:p>
  </w:footnote>
  <w:footnote w:id="37">
    <w:p w:rsidR="00886179" w:rsidRPr="00AB7EAF" w:rsidP="41F8652C">
      <w:pPr>
        <w:pStyle w:val="FootnoteText"/>
        <w:rPr>
          <w:rFonts w:ascii="Verdana" w:hAnsi="Verdana"/>
        </w:rPr>
      </w:pPr>
      <w:r w:rsidRPr="00AB7EAF">
        <w:rPr>
          <w:rStyle w:val="FootnoteReference"/>
          <w:rFonts w:ascii="Verdana" w:hAnsi="Verdana"/>
        </w:rPr>
        <w:footnoteRef/>
      </w:r>
      <w:r w:rsidRPr="00AB7EAF">
        <w:rPr>
          <w:rFonts w:ascii="Verdana" w:hAnsi="Verdana"/>
        </w:rPr>
        <w:t xml:space="preserve"> IMF (2025) </w:t>
      </w:r>
      <w:r>
        <w:fldChar w:fldCharType="begin"/>
      </w:r>
      <w:r>
        <w:instrText xml:space="preserve"> HYPERLINK "https://blog-pfm.imf.org/en/pfmblog/2025/06/making-gender-responsive-budgeting-more-effective" </w:instrText>
      </w:r>
      <w:r>
        <w:fldChar w:fldCharType="separate"/>
      </w:r>
      <w:r w:rsidRPr="00AB7EAF">
        <w:rPr>
          <w:rStyle w:val="Hyperlink"/>
          <w:rFonts w:ascii="Verdana" w:hAnsi="Verdana"/>
          <w:color w:val="auto"/>
        </w:rPr>
        <w:t>Making Gender-Responsive Budgeting More Effective</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EC320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5C7AC3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76B549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67A657D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F70F3B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771F98B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uiPriority w:val="9"/>
    <w:unhideWhenUsed/>
    <w:qFormat/>
    <w:rsid w:val="7F9CED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uiPriority w:val="99"/>
    <w:semiHidden/>
    <w:unhideWhenUsed/>
    <w:rsid w:val="1CFC6CAE"/>
    <w:pPr>
      <w:spacing w:after="0" w:line="240" w:lineRule="auto"/>
    </w:pPr>
    <w:rPr>
      <w:sz w:val="20"/>
      <w:szCs w:val="20"/>
    </w:rPr>
  </w:style>
  <w:style w:type="character" w:styleId="FootnoteReference">
    <w:name w:val="footnote reference"/>
    <w:basedOn w:val="DefaultParagraphFont"/>
    <w:uiPriority w:val="99"/>
    <w:semiHidden/>
    <w:unhideWhenUsed/>
    <w:rsid w:val="1CFC6CAE"/>
    <w:rPr>
      <w:vertAlign w:val="superscript"/>
    </w:rPr>
  </w:style>
  <w:style w:type="character" w:styleId="Hyperlink">
    <w:name w:val="Hyperlink"/>
    <w:basedOn w:val="DefaultParagraphFont"/>
    <w:uiPriority w:val="99"/>
    <w:unhideWhenUsed/>
    <w:rsid w:val="1CFC6CAE"/>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5254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549F"/>
  </w:style>
  <w:style w:type="paragraph" w:styleId="Footer">
    <w:name w:val="footer"/>
    <w:basedOn w:val="Normal"/>
    <w:link w:val="FooterChar"/>
    <w:uiPriority w:val="99"/>
    <w:semiHidden/>
    <w:unhideWhenUsed/>
    <w:rsid w:val="005254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5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420E9E2326F749BC1E1BE6C4984EBA" ma:contentTypeVersion="15" ma:contentTypeDescription="Create a new document." ma:contentTypeScope="" ma:versionID="8ebff53e5bab175b1d3b292143e5ba7a">
  <xsd:schema xmlns:xsd="http://www.w3.org/2001/XMLSchema" xmlns:xs="http://www.w3.org/2001/XMLSchema" xmlns:p="http://schemas.microsoft.com/office/2006/metadata/properties" xmlns:ns2="786d8edc-626c-49be-bbea-8ae23cf0a81b" xmlns:ns3="87348d19-11c6-4710-89de-74bddd165e1d" targetNamespace="http://schemas.microsoft.com/office/2006/metadata/properties" ma:root="true" ma:fieldsID="ee08e28c746c2df34c8a93f09da058f7" ns2:_="" ns3:_="">
    <xsd:import namespace="786d8edc-626c-49be-bbea-8ae23cf0a81b"/>
    <xsd:import namespace="87348d19-11c6-4710-89de-74bddd165e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Type"/>
                <xsd:element ref="ns2:Please_x0020_submit_x0020_the_x0020_issue_x002f_question_x0020_with_x0020_as_x0020_much_x0020_detail_x0020_as_x0020_you_x0020_can_x002e_" minOccurs="0"/>
                <xsd:element ref="ns2:Add_x0020_an_x0020_image_x0020_to_x0020_help_x0020_raise_x0020_this_x0020_with_x0020_Penelope_x0020_"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d8edc-626c-49be-bbea-8ae23cf0a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Type" ma:index="16" ma:displayName="Type" ma:internalName="Type">
      <xsd:simpleType>
        <xsd:restriction base="dms:Text">
          <xsd:maxLength value="255"/>
        </xsd:restriction>
      </xsd:simpleType>
    </xsd:element>
    <xsd:element name="Please_x0020_submit_x0020_the_x0020_issue_x002f_question_x0020_with_x0020_as_x0020_much_x0020_detail_x0020_as_x0020_you_x0020_can_x002e_" ma:index="17" nillable="true" ma:displayName="Please submit the issue/question with as much detail as you can." ma:internalName="Please_x0020_submit_x0020_the_x0020_issue_x002f_question_x0020_with_x0020_as_x0020_much_x0020_detail_x0020_as_x0020_you_x0020_can_x002e_">
      <xsd:simpleType>
        <xsd:restriction base="dms:Note">
          <xsd:maxLength value="255"/>
        </xsd:restriction>
      </xsd:simpleType>
    </xsd:element>
    <xsd:element name="Add_x0020_an_x0020_image_x0020_to_x0020_help_x0020_raise_x0020_this_x0020_with_x0020_Penelope_x0020_" ma:index="18" nillable="true" ma:displayName="Add an image to help raise this with Penelope " ma:internalName="Add_x0020_an_x0020_image_x0020_to_x0020_help_x0020_raise_x0020_this_x0020_with_x0020_Penelope_x0020_">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a1724c8-554d-4dd3-b3b3-bc04f6dc406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348d19-11c6-4710-89de-74bddd165e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0e65932-640f-4930-8336-434f30f5df15}" ma:internalName="TaxCatchAll" ma:showField="CatchAllData" ma:web="87348d19-11c6-4710-89de-74bddd165e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dd_x0020_an_x0020_image_x0020_to_x0020_help_x0020_raise_x0020_this_x0020_with_x0020_Penelope_x0020_ xmlns="786d8edc-626c-49be-bbea-8ae23cf0a81b" xsi:nil="true"/>
    <lcf76f155ced4ddcb4097134ff3c332f xmlns="786d8edc-626c-49be-bbea-8ae23cf0a81b">
      <Terms xmlns="http://schemas.microsoft.com/office/infopath/2007/PartnerControls"/>
    </lcf76f155ced4ddcb4097134ff3c332f>
    <Type xmlns="786d8edc-626c-49be-bbea-8ae23cf0a81b"/>
    <TaxCatchAll xmlns="87348d19-11c6-4710-89de-74bddd165e1d" xsi:nil="true"/>
    <Please_x0020_submit_x0020_the_x0020_issue_x002f_question_x0020_with_x0020_as_x0020_much_x0020_detail_x0020_as_x0020_you_x0020_can_x002e_ xmlns="786d8edc-626c-49be-bbea-8ae23cf0a81b" xsi:nil="true"/>
  </documentManagement>
</p:properties>
</file>

<file path=customXml/itemProps1.xml><?xml version="1.0" encoding="utf-8"?>
<ds:datastoreItem xmlns:ds="http://schemas.openxmlformats.org/officeDocument/2006/customXml" ds:itemID="{0652EF2D-96A6-4AB2-933C-805E9365E6DB}">
  <ds:schemaRefs>
    <ds:schemaRef ds:uri="http://schemas.microsoft.com/sharepoint/v3/contenttype/forms"/>
  </ds:schemaRefs>
</ds:datastoreItem>
</file>

<file path=customXml/itemProps2.xml><?xml version="1.0" encoding="utf-8"?>
<ds:datastoreItem xmlns:ds="http://schemas.openxmlformats.org/officeDocument/2006/customXml" ds:itemID="{6DE6D580-479F-432F-A8A0-1E1ABB169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d8edc-626c-49be-bbea-8ae23cf0a81b"/>
    <ds:schemaRef ds:uri="87348d19-11c6-4710-89de-74bddd165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596D3-3BCA-46FC-B169-32FF4E17E1F4}">
  <ds:schemaRefs>
    <ds:schemaRef ds:uri="http://schemas.microsoft.com/office/2006/metadata/properties"/>
    <ds:schemaRef ds:uri="http://schemas.microsoft.com/office/infopath/2007/PartnerControls"/>
    <ds:schemaRef ds:uri="786d8edc-626c-49be-bbea-8ae23cf0a81b"/>
    <ds:schemaRef ds:uri="87348d19-11c6-4710-89de-74bddd165e1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FDE0010</dc:title>
  <cp:revision>0</cp:revision>
</cp:coreProperties>
</file>