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0F41" w:rsidP="00A20F41">
      <w:pPr>
        <w:spacing w:line="480" w:lineRule="auto"/>
        <w:rPr>
          <w:rFonts w:ascii="Verdana" w:hAnsi="Verdana"/>
          <w:b/>
          <w:bCs/>
          <w:sz w:val="28"/>
          <w:szCs w:val="28"/>
        </w:rPr>
      </w:pPr>
      <w:r w:rsidRPr="00A20F41">
        <w:rPr>
          <w:rFonts w:ascii="Verdana" w:hAnsi="Verdana"/>
          <w:b/>
          <w:bCs/>
          <w:sz w:val="28"/>
          <w:szCs w:val="28"/>
        </w:rPr>
        <w:t>Professor Joanie Willett, Associate Professor in Regional Development, University of Exeter – Written evidence FDE0009</w:t>
      </w:r>
    </w:p>
    <w:p w:rsidR="00A20F41" w:rsidRPr="00A20F41" w:rsidP="00A20F41">
      <w:pPr>
        <w:spacing w:line="480" w:lineRule="auto"/>
        <w:rPr>
          <w:rFonts w:ascii="Verdana" w:hAnsi="Verdana"/>
          <w:sz w:val="24"/>
          <w:szCs w:val="24"/>
        </w:rPr>
      </w:pPr>
      <w:r>
        <w:fldChar w:fldCharType="begin"/>
      </w:r>
      <w:r>
        <w:instrText xml:space="preserve"> HYPERLINK "https://experts.exeter.ac.uk/18721-joanie-willett" </w:instrText>
      </w:r>
      <w:r>
        <w:fldChar w:fldCharType="separate"/>
      </w:r>
      <w:r w:rsidRPr="00A20F41">
        <w:rPr>
          <w:rStyle w:val="Hyperlink"/>
          <w:rFonts w:ascii="Verdana" w:hAnsi="Verdana"/>
          <w:sz w:val="24"/>
          <w:szCs w:val="24"/>
        </w:rPr>
        <w:t>Professor Joanie Will</w:t>
      </w:r>
      <w:r w:rsidRPr="00A20F41">
        <w:rPr>
          <w:rStyle w:val="Hyperlink"/>
          <w:rFonts w:ascii="Verdana" w:hAnsi="Verdana"/>
          <w:sz w:val="24"/>
          <w:szCs w:val="24"/>
        </w:rPr>
        <w:t>e</w:t>
      </w:r>
      <w:r w:rsidRPr="00A20F41">
        <w:rPr>
          <w:rStyle w:val="Hyperlink"/>
          <w:rFonts w:ascii="Verdana" w:hAnsi="Verdana"/>
          <w:sz w:val="24"/>
          <w:szCs w:val="24"/>
        </w:rPr>
        <w:t>tt</w:t>
      </w:r>
      <w:r>
        <w:fldChar w:fldCharType="end"/>
      </w:r>
    </w:p>
    <w:p w:rsidR="007F2660" w:rsidRPr="00A20F41" w:rsidP="00A20F41">
      <w:pPr>
        <w:spacing w:line="480" w:lineRule="auto"/>
        <w:rPr>
          <w:rFonts w:ascii="Verdana" w:hAnsi="Verdana"/>
          <w:sz w:val="24"/>
          <w:szCs w:val="24"/>
        </w:rPr>
      </w:pPr>
      <w:r w:rsidRPr="00A20F41">
        <w:rPr>
          <w:rFonts w:ascii="Verdana" w:hAnsi="Verdana"/>
          <w:sz w:val="24"/>
          <w:szCs w:val="24"/>
        </w:rPr>
        <w:t>My responses to this inquiry</w:t>
      </w:r>
      <w:r w:rsidRPr="00A20F41">
        <w:rPr>
          <w:rFonts w:ascii="Verdana" w:hAnsi="Verdana"/>
          <w:sz w:val="24"/>
          <w:szCs w:val="24"/>
        </w:rPr>
        <w:t xml:space="preserve"> about fiscal decentralisation</w:t>
      </w:r>
      <w:r w:rsidRPr="00A20F41">
        <w:rPr>
          <w:rFonts w:ascii="Verdana" w:hAnsi="Verdana"/>
          <w:sz w:val="24"/>
          <w:szCs w:val="24"/>
        </w:rPr>
        <w:t xml:space="preserve"> </w:t>
      </w:r>
      <w:r w:rsidRPr="00A20F41">
        <w:rPr>
          <w:rFonts w:ascii="Verdana" w:hAnsi="Verdana"/>
          <w:sz w:val="24"/>
          <w:szCs w:val="24"/>
        </w:rPr>
        <w:t>are</w:t>
      </w:r>
      <w:r w:rsidRPr="00A20F41">
        <w:rPr>
          <w:rFonts w:ascii="Verdana" w:hAnsi="Verdana"/>
          <w:sz w:val="24"/>
          <w:szCs w:val="24"/>
        </w:rPr>
        <w:t xml:space="preserve"> based on research that I conducted</w:t>
      </w:r>
      <w:r w:rsidRPr="00A20F41">
        <w:rPr>
          <w:rFonts w:ascii="Verdana" w:hAnsi="Verdana"/>
          <w:sz w:val="24"/>
          <w:szCs w:val="24"/>
        </w:rPr>
        <w:t xml:space="preserve"> with council leaders and elected members</w:t>
      </w:r>
      <w:r w:rsidRPr="00A20F41">
        <w:rPr>
          <w:rFonts w:ascii="Verdana" w:hAnsi="Verdana"/>
          <w:sz w:val="24"/>
          <w:szCs w:val="24"/>
        </w:rPr>
        <w:t xml:space="preserve"> </w:t>
      </w:r>
      <w:r w:rsidRPr="00A20F41">
        <w:rPr>
          <w:rFonts w:ascii="Verdana" w:hAnsi="Verdana"/>
          <w:sz w:val="24"/>
          <w:szCs w:val="24"/>
        </w:rPr>
        <w:t xml:space="preserve">in local government in the United States </w:t>
      </w:r>
      <w:r w:rsidRPr="00A20F41">
        <w:rPr>
          <w:rFonts w:ascii="Verdana" w:hAnsi="Verdana"/>
          <w:sz w:val="24"/>
          <w:szCs w:val="24"/>
        </w:rPr>
        <w:t>between Jan-June 2023</w:t>
      </w:r>
      <w:r w:rsidRPr="00A20F41">
        <w:rPr>
          <w:rFonts w:ascii="Verdana" w:hAnsi="Verdana"/>
          <w:sz w:val="24"/>
          <w:szCs w:val="24"/>
        </w:rPr>
        <w:t>.  This study was</w:t>
      </w:r>
      <w:r w:rsidRPr="00A20F41">
        <w:rPr>
          <w:rFonts w:ascii="Verdana" w:hAnsi="Verdana"/>
          <w:sz w:val="24"/>
          <w:szCs w:val="24"/>
        </w:rPr>
        <w:t xml:space="preserve"> </w:t>
      </w:r>
      <w:r w:rsidRPr="00A20F41">
        <w:rPr>
          <w:rFonts w:ascii="Verdana" w:hAnsi="Verdana"/>
          <w:sz w:val="24"/>
          <w:szCs w:val="24"/>
        </w:rPr>
        <w:t>funded by the</w:t>
      </w:r>
      <w:r w:rsidRPr="00A20F41">
        <w:rPr>
          <w:rFonts w:ascii="Verdana" w:hAnsi="Verdana"/>
          <w:sz w:val="24"/>
          <w:szCs w:val="24"/>
        </w:rPr>
        <w:t xml:space="preserve"> Fulbright </w:t>
      </w:r>
      <w:r w:rsidRPr="00A20F41">
        <w:rPr>
          <w:rFonts w:ascii="Verdana" w:hAnsi="Verdana"/>
          <w:sz w:val="24"/>
          <w:szCs w:val="24"/>
        </w:rPr>
        <w:t>Commission</w:t>
      </w:r>
      <w:r w:rsidRPr="00A20F41">
        <w:rPr>
          <w:rFonts w:ascii="Verdana" w:hAnsi="Verdana"/>
          <w:sz w:val="24"/>
          <w:szCs w:val="24"/>
        </w:rPr>
        <w:t xml:space="preserve"> </w:t>
      </w:r>
      <w:r w:rsidRPr="00A20F41">
        <w:rPr>
          <w:rFonts w:ascii="Verdana" w:hAnsi="Verdana"/>
          <w:sz w:val="24"/>
          <w:szCs w:val="24"/>
        </w:rPr>
        <w:t xml:space="preserve">and </w:t>
      </w:r>
      <w:r w:rsidRPr="00A20F41">
        <w:rPr>
          <w:rFonts w:ascii="Verdana" w:hAnsi="Verdana"/>
          <w:sz w:val="24"/>
          <w:szCs w:val="24"/>
        </w:rPr>
        <w:t xml:space="preserve">forms part of my next book, under contract </w:t>
      </w:r>
      <w:r w:rsidRPr="00A20F41">
        <w:rPr>
          <w:rFonts w:ascii="Verdana" w:hAnsi="Verdana"/>
          <w:sz w:val="24"/>
          <w:szCs w:val="24"/>
        </w:rPr>
        <w:t>with</w:t>
      </w:r>
      <w:r w:rsidRPr="00A20F41">
        <w:rPr>
          <w:rFonts w:ascii="Verdana" w:hAnsi="Verdana"/>
          <w:sz w:val="24"/>
          <w:szCs w:val="24"/>
        </w:rPr>
        <w:t xml:space="preserve"> Bloomsbury.  One of my research questions was sparked by curiosity from the UK debates into devolution, whereby one of the primary justifications for devolution has been with regards to its hoped-for benefits to addressing spatial ine</w:t>
      </w:r>
      <w:r w:rsidRPr="00A20F41">
        <w:rPr>
          <w:rFonts w:ascii="Verdana" w:hAnsi="Verdana"/>
          <w:sz w:val="24"/>
          <w:szCs w:val="24"/>
        </w:rPr>
        <w:t>qualities (</w:t>
      </w:r>
      <w:r w:rsidRPr="00A20F41">
        <w:rPr>
          <w:rFonts w:ascii="Verdana" w:hAnsi="Verdana"/>
          <w:sz w:val="24"/>
          <w:szCs w:val="24"/>
        </w:rPr>
        <w:t>Martin et al 2016</w:t>
      </w:r>
      <w:r w:rsidRPr="00A20F41">
        <w:rPr>
          <w:rFonts w:ascii="Verdana" w:hAnsi="Verdana"/>
          <w:sz w:val="24"/>
          <w:szCs w:val="24"/>
        </w:rPr>
        <w:t>; Tomaney and Colomb 2018</w:t>
      </w:r>
      <w:r w:rsidRPr="00A20F41">
        <w:rPr>
          <w:rFonts w:ascii="Verdana" w:hAnsi="Verdana"/>
          <w:sz w:val="24"/>
          <w:szCs w:val="24"/>
        </w:rPr>
        <w:t xml:space="preserve">).  </w:t>
      </w:r>
    </w:p>
    <w:p w:rsidR="007F2660" w:rsidRPr="00A20F41" w:rsidP="00A20F41">
      <w:pPr>
        <w:spacing w:line="480" w:lineRule="auto"/>
        <w:rPr>
          <w:rFonts w:ascii="Verdana" w:hAnsi="Verdana"/>
          <w:sz w:val="24"/>
          <w:szCs w:val="24"/>
        </w:rPr>
      </w:pPr>
      <w:r w:rsidRPr="00A20F41">
        <w:rPr>
          <w:rFonts w:ascii="Verdana" w:hAnsi="Verdana"/>
          <w:sz w:val="24"/>
          <w:szCs w:val="24"/>
        </w:rPr>
        <w:t xml:space="preserve">The United States was a curious case study because according to the </w:t>
      </w:r>
      <w:r>
        <w:fldChar w:fldCharType="begin"/>
      </w:r>
      <w:r>
        <w:instrText xml:space="preserve"> HYPERLINK "https://www.oecd.org/en/publications/oecd-regional-outlook-2023_92cd40a0-en.html" </w:instrText>
      </w:r>
      <w:r>
        <w:fldChar w:fldCharType="separate"/>
      </w:r>
      <w:r w:rsidRPr="00A20F41">
        <w:rPr>
          <w:rStyle w:val="Hyperlink"/>
          <w:rFonts w:ascii="Verdana" w:hAnsi="Verdana"/>
          <w:sz w:val="24"/>
          <w:szCs w:val="24"/>
        </w:rPr>
        <w:t>OECD</w:t>
      </w:r>
      <w:r>
        <w:fldChar w:fldCharType="end"/>
      </w:r>
      <w:r w:rsidRPr="00A20F41">
        <w:rPr>
          <w:rFonts w:ascii="Verdana" w:hAnsi="Verdana"/>
          <w:sz w:val="24"/>
          <w:szCs w:val="24"/>
        </w:rPr>
        <w:t>, it is one of the most politically decentralised western states, whilst also being one of the most unequal in terms of social and economic outcomes (</w:t>
      </w:r>
      <w:r w:rsidRPr="00A20F41">
        <w:rPr>
          <w:rFonts w:ascii="Verdana" w:hAnsi="Verdana"/>
          <w:sz w:val="24"/>
          <w:szCs w:val="24"/>
        </w:rPr>
        <w:t>Brookings 2017</w:t>
      </w:r>
      <w:r w:rsidRPr="00A20F41">
        <w:rPr>
          <w:rFonts w:ascii="Verdana" w:hAnsi="Verdana"/>
          <w:sz w:val="24"/>
          <w:szCs w:val="24"/>
        </w:rPr>
        <w:t xml:space="preserve">).  I conducted my research at a municipal and county level, which is in itself an under-researched part of </w:t>
      </w:r>
      <w:r w:rsidRPr="00A20F41">
        <w:rPr>
          <w:rFonts w:ascii="Verdana" w:hAnsi="Verdana"/>
          <w:sz w:val="24"/>
          <w:szCs w:val="24"/>
        </w:rPr>
        <w:t xml:space="preserve">US </w:t>
      </w:r>
      <w:r w:rsidRPr="00A20F41">
        <w:rPr>
          <w:rFonts w:ascii="Verdana" w:hAnsi="Verdana"/>
          <w:sz w:val="24"/>
          <w:szCs w:val="24"/>
        </w:rPr>
        <w:t>government.</w:t>
      </w:r>
    </w:p>
    <w:p w:rsidR="007F2660" w:rsidRPr="00A20F41" w:rsidP="00A20F41">
      <w:pPr>
        <w:spacing w:line="480" w:lineRule="auto"/>
        <w:rPr>
          <w:rFonts w:ascii="Verdana" w:hAnsi="Verdana"/>
          <w:sz w:val="24"/>
          <w:szCs w:val="24"/>
        </w:rPr>
      </w:pPr>
      <w:r w:rsidRPr="00A20F41">
        <w:rPr>
          <w:rFonts w:ascii="Verdana" w:hAnsi="Verdana"/>
          <w:sz w:val="24"/>
          <w:szCs w:val="24"/>
        </w:rPr>
        <w:t xml:space="preserve">The following provides a general overview of the </w:t>
      </w:r>
      <w:r w:rsidRPr="00A20F41">
        <w:rPr>
          <w:rFonts w:ascii="Verdana" w:hAnsi="Verdana"/>
          <w:sz w:val="24"/>
          <w:szCs w:val="24"/>
        </w:rPr>
        <w:t>fiscal decentralisation in the US</w:t>
      </w:r>
      <w:r w:rsidRPr="00A20F41">
        <w:rPr>
          <w:rFonts w:ascii="Verdana" w:hAnsi="Verdana"/>
          <w:sz w:val="24"/>
          <w:szCs w:val="24"/>
        </w:rPr>
        <w:t>, before addressing questions</w:t>
      </w:r>
      <w:r w:rsidRPr="00A20F41">
        <w:rPr>
          <w:rFonts w:ascii="Verdana" w:hAnsi="Verdana"/>
          <w:sz w:val="24"/>
          <w:szCs w:val="24"/>
        </w:rPr>
        <w:t xml:space="preserve"> 1, 2, 4, 5 &amp; 6</w:t>
      </w:r>
      <w:r w:rsidRPr="00A20F41">
        <w:rPr>
          <w:rFonts w:ascii="Verdana" w:hAnsi="Verdana"/>
          <w:sz w:val="24"/>
          <w:szCs w:val="24"/>
        </w:rPr>
        <w:t xml:space="preserve"> In turn.</w:t>
      </w:r>
    </w:p>
    <w:p w:rsidR="007F2660" w:rsidRPr="00A20F41" w:rsidP="00A20F41">
      <w:pPr>
        <w:spacing w:line="480" w:lineRule="auto"/>
        <w:rPr>
          <w:rFonts w:ascii="Verdana" w:hAnsi="Verdana"/>
          <w:sz w:val="24"/>
          <w:szCs w:val="24"/>
        </w:rPr>
      </w:pPr>
      <w:r w:rsidRPr="00A20F41">
        <w:rPr>
          <w:rFonts w:ascii="Verdana" w:hAnsi="Verdana"/>
          <w:sz w:val="24"/>
          <w:szCs w:val="24"/>
        </w:rPr>
        <w:t>It should be caveated that fiscal, legislative, and executive devolution varies significantly between states, and my research largely took place in the Commonwealth of Virginia, and the States of West Virginia, Tennessee, Kentucky and North Carolina.</w:t>
      </w:r>
    </w:p>
    <w:p w:rsidR="007F2660" w:rsidRPr="00A20F41" w:rsidP="00A20F41">
      <w:pPr>
        <w:spacing w:line="480" w:lineRule="auto"/>
        <w:rPr>
          <w:rFonts w:ascii="Verdana" w:hAnsi="Verdana"/>
          <w:sz w:val="24"/>
          <w:szCs w:val="24"/>
        </w:rPr>
      </w:pPr>
      <w:r w:rsidRPr="00A20F41">
        <w:rPr>
          <w:rFonts w:ascii="Verdana" w:hAnsi="Verdana"/>
          <w:sz w:val="24"/>
          <w:szCs w:val="24"/>
        </w:rPr>
        <w:t>Some communities in this area have a level of devolution of all types that would be unthinkable from a UK perspective.  Including some municipalities of approx. 20,000 persons where the town pays for and runs the schools, environment and sanitation, courts, police department, and prison service and the town is mandated to provide a level of service across these areas that meet a basic baseline.</w:t>
      </w:r>
    </w:p>
    <w:p w:rsidR="007F2660" w:rsidRPr="00A20F41" w:rsidP="00A20F41">
      <w:pPr>
        <w:spacing w:line="480" w:lineRule="auto"/>
        <w:rPr>
          <w:rFonts w:ascii="Verdana" w:hAnsi="Verdana"/>
          <w:sz w:val="24"/>
          <w:szCs w:val="24"/>
        </w:rPr>
      </w:pPr>
      <w:r w:rsidRPr="00A20F41">
        <w:rPr>
          <w:rFonts w:ascii="Verdana" w:hAnsi="Verdana"/>
          <w:sz w:val="24"/>
          <w:szCs w:val="24"/>
        </w:rPr>
        <w:t>Municipalities have a number of different ways of raising revenue.  These include income taxation, property tax, corporate tax, and sales taxes.  These vary from State to State.  For example, Tennessee does not have an income tax.  However, councils may try to raise revenue in other ways by increasing other forms of ta</w:t>
      </w:r>
      <w:r w:rsidRPr="00A20F41">
        <w:rPr>
          <w:rFonts w:ascii="Verdana" w:hAnsi="Verdana"/>
          <w:sz w:val="24"/>
          <w:szCs w:val="24"/>
        </w:rPr>
        <w:t xml:space="preserve">xation.  A further way that councils raise money, is through council investment.  One municipality told me about how they had put an extra penny on sales tax, which had paid for the building of a sports complex – which, run by the council, was used as a (significant) revenue generator.  </w:t>
      </w:r>
      <w:r w:rsidRPr="00A20F41">
        <w:rPr>
          <w:rFonts w:ascii="Verdana" w:hAnsi="Verdana"/>
          <w:sz w:val="24"/>
          <w:szCs w:val="24"/>
        </w:rPr>
        <w:t xml:space="preserve"> </w:t>
      </w:r>
    </w:p>
    <w:p w:rsidR="007F2660" w:rsidRPr="00A20F41" w:rsidP="00A20F41">
      <w:pPr>
        <w:spacing w:line="480" w:lineRule="auto"/>
        <w:rPr>
          <w:rFonts w:ascii="Verdana" w:hAnsi="Verdana"/>
          <w:sz w:val="24"/>
          <w:szCs w:val="24"/>
        </w:rPr>
      </w:pPr>
      <w:r w:rsidRPr="00A20F41">
        <w:rPr>
          <w:rFonts w:ascii="Verdana" w:hAnsi="Verdana"/>
          <w:sz w:val="24"/>
          <w:szCs w:val="24"/>
        </w:rPr>
        <w:t xml:space="preserve">However, pressure to invest can be particularly challenging for </w:t>
      </w:r>
      <w:r w:rsidRPr="00A20F41">
        <w:rPr>
          <w:rFonts w:ascii="Verdana" w:hAnsi="Verdana"/>
          <w:sz w:val="24"/>
          <w:szCs w:val="24"/>
        </w:rPr>
        <w:t>low income</w:t>
      </w:r>
      <w:r w:rsidRPr="00A20F41">
        <w:rPr>
          <w:rFonts w:ascii="Verdana" w:hAnsi="Verdana"/>
          <w:sz w:val="24"/>
          <w:szCs w:val="24"/>
        </w:rPr>
        <w:t xml:space="preserve"> areas, which provide poor levels of tax revenue.  One community in a remote and deprived part of the very wealthy State of Virginia went bankrupt in the early 2000’</w:t>
      </w:r>
      <w:r w:rsidRPr="00A20F41">
        <w:rPr>
          <w:rFonts w:ascii="Verdana" w:hAnsi="Verdana"/>
          <w:sz w:val="24"/>
          <w:szCs w:val="24"/>
        </w:rPr>
        <w:t>s, and</w:t>
      </w:r>
      <w:r w:rsidRPr="00A20F41">
        <w:rPr>
          <w:rFonts w:ascii="Verdana" w:hAnsi="Verdana"/>
          <w:sz w:val="24"/>
          <w:szCs w:val="24"/>
        </w:rPr>
        <w:t xml:space="preserve"> made some disastrous investments in a </w:t>
      </w:r>
      <w:r w:rsidRPr="00A20F41">
        <w:rPr>
          <w:rFonts w:ascii="Verdana" w:hAnsi="Verdana"/>
          <w:sz w:val="24"/>
          <w:szCs w:val="24"/>
        </w:rPr>
        <w:t>shopping centre which never took off.  In recent years however, they have been able to turn the fortunes of the town – notably through some very good civic activism which has grown the visitor industry</w:t>
      </w:r>
      <w:r w:rsidRPr="00A20F41">
        <w:rPr>
          <w:rFonts w:ascii="Verdana" w:hAnsi="Verdana"/>
          <w:sz w:val="24"/>
          <w:szCs w:val="24"/>
        </w:rPr>
        <w:t xml:space="preserve"> around music tourism</w:t>
      </w:r>
      <w:r w:rsidRPr="00A20F41">
        <w:rPr>
          <w:rFonts w:ascii="Verdana" w:hAnsi="Verdana"/>
          <w:sz w:val="24"/>
          <w:szCs w:val="24"/>
        </w:rPr>
        <w:t>.  One might have expected that if some mechanisms were in place where</w:t>
      </w:r>
      <w:r w:rsidRPr="00A20F41">
        <w:rPr>
          <w:rFonts w:ascii="Verdana" w:hAnsi="Verdana"/>
          <w:sz w:val="24"/>
          <w:szCs w:val="24"/>
        </w:rPr>
        <w:t xml:space="preserve">by wealthy areas contributed to support poorer ones, then some of the indicators of societal problems hampering life chances (such as low educational attainment, drugs, and crime) might have been avoided.  It is also noteworthy that </w:t>
      </w:r>
      <w:r w:rsidRPr="00A20F41">
        <w:rPr>
          <w:rFonts w:ascii="Verdana" w:hAnsi="Verdana"/>
          <w:sz w:val="24"/>
          <w:szCs w:val="24"/>
        </w:rPr>
        <w:t>there is a strong correlation between such intensely ‘left behind’ communities and populist voting patterns.</w:t>
      </w:r>
    </w:p>
    <w:p w:rsidR="007F2660" w:rsidRPr="00A20F41" w:rsidP="00A20F41">
      <w:pPr>
        <w:spacing w:line="480" w:lineRule="auto"/>
        <w:rPr>
          <w:rFonts w:ascii="Verdana" w:hAnsi="Verdana"/>
          <w:sz w:val="24"/>
          <w:szCs w:val="24"/>
        </w:rPr>
      </w:pPr>
      <w:r w:rsidRPr="00A20F41">
        <w:rPr>
          <w:rFonts w:ascii="Verdana" w:hAnsi="Verdana"/>
          <w:sz w:val="24"/>
          <w:szCs w:val="24"/>
        </w:rPr>
        <w:t xml:space="preserve">However, it was also really interesting how frequently, when investment was working well, there was much local support for new developments because the close links between local development and improved services (through local taxation), was closely understood.  Therefore, </w:t>
      </w:r>
      <w:r w:rsidRPr="00A20F41">
        <w:rPr>
          <w:rFonts w:ascii="Verdana" w:hAnsi="Verdana"/>
          <w:sz w:val="24"/>
          <w:szCs w:val="24"/>
        </w:rPr>
        <w:t xml:space="preserve">even of developments which the community might not have been expected to have supported, </w:t>
      </w:r>
      <w:r w:rsidRPr="00A20F41">
        <w:rPr>
          <w:rFonts w:ascii="Verdana" w:hAnsi="Verdana"/>
          <w:sz w:val="24"/>
          <w:szCs w:val="24"/>
        </w:rPr>
        <w:t>you often heard the phrase ‘it’ll bring in the tax dollars to the town’.</w:t>
      </w:r>
    </w:p>
    <w:p w:rsidR="007F2660" w:rsidRPr="00A20F41" w:rsidP="00A20F41">
      <w:pPr>
        <w:spacing w:line="480" w:lineRule="auto"/>
        <w:rPr>
          <w:rFonts w:ascii="Verdana" w:hAnsi="Verdana"/>
          <w:sz w:val="24"/>
          <w:szCs w:val="24"/>
        </w:rPr>
      </w:pPr>
      <w:r w:rsidRPr="00A20F41">
        <w:rPr>
          <w:rFonts w:ascii="Verdana" w:hAnsi="Verdana"/>
          <w:sz w:val="24"/>
          <w:szCs w:val="24"/>
        </w:rPr>
        <w:t xml:space="preserve">Many of these communities also welcomed the visitor industry, often based around amenities such as sports events, music, </w:t>
      </w:r>
      <w:r w:rsidRPr="00A20F41">
        <w:rPr>
          <w:rFonts w:ascii="Verdana" w:hAnsi="Verdana"/>
          <w:sz w:val="24"/>
          <w:szCs w:val="24"/>
        </w:rPr>
        <w:t xml:space="preserve">or </w:t>
      </w:r>
      <w:r w:rsidRPr="00A20F41">
        <w:rPr>
          <w:rFonts w:ascii="Verdana" w:hAnsi="Verdana"/>
          <w:sz w:val="24"/>
          <w:szCs w:val="24"/>
        </w:rPr>
        <w:t>outdoor recreation</w:t>
      </w:r>
      <w:r w:rsidRPr="00A20F41">
        <w:rPr>
          <w:rFonts w:ascii="Verdana" w:hAnsi="Verdana"/>
          <w:sz w:val="24"/>
          <w:szCs w:val="24"/>
        </w:rPr>
        <w:t xml:space="preserve">.  Here, municipalities made trade-offs over the kinds of taxation that they would initiate, to ensure that visitors also contributed to the services which they enjoyed.  For example, councillors would consider what level to set the meals tax or room tax for eating out, and for overnight stays – both considered to be purchases weighted towards </w:t>
      </w:r>
      <w:r w:rsidRPr="00A20F41">
        <w:rPr>
          <w:rFonts w:ascii="Verdana" w:hAnsi="Verdana"/>
          <w:sz w:val="24"/>
          <w:szCs w:val="24"/>
        </w:rPr>
        <w:t xml:space="preserve">visitors.  Such taxation was also used as a way to address market imbalances brought on by the visitor industry.  In 2023 many councillors discussed with me how they </w:t>
      </w:r>
      <w:r w:rsidRPr="00A20F41">
        <w:rPr>
          <w:rFonts w:ascii="Verdana" w:hAnsi="Verdana"/>
          <w:sz w:val="24"/>
          <w:szCs w:val="24"/>
        </w:rPr>
        <w:t>were/were planning to raise taxation on short term rentals of housing stock (such as through Airbnb).</w:t>
      </w:r>
    </w:p>
    <w:p w:rsidR="007F2660" w:rsidRPr="00A20F41" w:rsidP="00A20F41">
      <w:pPr>
        <w:pStyle w:val="ListParagraph"/>
        <w:numPr>
          <w:ilvl w:val="0"/>
          <w:numId w:val="2"/>
        </w:numPr>
        <w:spacing w:line="480" w:lineRule="auto"/>
        <w:rPr>
          <w:rFonts w:ascii="Verdana" w:hAnsi="Verdana"/>
          <w:b/>
          <w:bCs/>
          <w:sz w:val="24"/>
          <w:szCs w:val="24"/>
        </w:rPr>
      </w:pPr>
      <w:r w:rsidRPr="00A20F41">
        <w:rPr>
          <w:rFonts w:ascii="Verdana" w:hAnsi="Verdana"/>
          <w:b/>
          <w:bCs/>
          <w:sz w:val="24"/>
          <w:szCs w:val="24"/>
        </w:rPr>
        <w:t>What are the general aims of fiscal devolution? What can it achieve?</w:t>
      </w:r>
    </w:p>
    <w:p w:rsidR="007F2660" w:rsidRPr="00A20F41" w:rsidP="00A20F41">
      <w:pPr>
        <w:spacing w:line="480" w:lineRule="auto"/>
        <w:ind w:left="360"/>
        <w:rPr>
          <w:rFonts w:ascii="Verdana" w:hAnsi="Verdana"/>
          <w:sz w:val="24"/>
          <w:szCs w:val="24"/>
        </w:rPr>
      </w:pPr>
      <w:r w:rsidRPr="00A20F41">
        <w:rPr>
          <w:rFonts w:ascii="Verdana" w:hAnsi="Verdana"/>
          <w:sz w:val="24"/>
          <w:szCs w:val="24"/>
        </w:rPr>
        <w:t xml:space="preserve">Done well, it can help to generate a sense of local ownership over services and the money that people pay in to support the services provided locally.  As the above example also shows, well thought out fiscal decentralisation can help to address market imbalances.  The </w:t>
      </w:r>
      <w:r w:rsidRPr="00A20F41">
        <w:rPr>
          <w:rFonts w:ascii="Verdana" w:hAnsi="Verdana"/>
          <w:sz w:val="24"/>
          <w:szCs w:val="24"/>
        </w:rPr>
        <w:t>risks</w:t>
      </w:r>
      <w:r w:rsidRPr="00A20F41">
        <w:rPr>
          <w:rFonts w:ascii="Verdana" w:hAnsi="Verdana"/>
          <w:sz w:val="24"/>
          <w:szCs w:val="24"/>
        </w:rPr>
        <w:t xml:space="preserve"> however, are when areas that are already deprived with low incomes, find it difficult to support a basic level of service.  This can entrench, rather than address regional inequalities.  One way around this, would be to combine central government support with fiscal devolution, ensuring that poorer localities are not disadvantaged, but are fiscally supported.  Meanwhile, that areas that are able to be more entrepreneurial, can use this flexibility.</w:t>
      </w:r>
    </w:p>
    <w:p w:rsidR="007F2660" w:rsidRPr="00A20F41" w:rsidP="00A20F41">
      <w:pPr>
        <w:pStyle w:val="ListParagraph"/>
        <w:numPr>
          <w:ilvl w:val="0"/>
          <w:numId w:val="2"/>
        </w:numPr>
        <w:spacing w:line="480" w:lineRule="auto"/>
        <w:rPr>
          <w:rFonts w:ascii="Verdana" w:hAnsi="Verdana"/>
          <w:b/>
          <w:bCs/>
          <w:sz w:val="24"/>
          <w:szCs w:val="24"/>
        </w:rPr>
      </w:pPr>
      <w:r w:rsidRPr="00A20F41">
        <w:rPr>
          <w:rFonts w:ascii="Verdana" w:hAnsi="Verdana"/>
          <w:b/>
          <w:bCs/>
          <w:sz w:val="24"/>
          <w:szCs w:val="24"/>
        </w:rPr>
        <w:t xml:space="preserve">At what level – combined or local authority </w:t>
      </w:r>
    </w:p>
    <w:p w:rsidR="007F2660" w:rsidRPr="00A20F41" w:rsidP="00A20F41">
      <w:pPr>
        <w:spacing w:line="480" w:lineRule="auto"/>
        <w:ind w:left="720"/>
        <w:rPr>
          <w:rFonts w:ascii="Verdana" w:hAnsi="Verdana"/>
          <w:sz w:val="24"/>
          <w:szCs w:val="24"/>
        </w:rPr>
      </w:pPr>
      <w:r w:rsidRPr="00A20F41">
        <w:rPr>
          <w:rFonts w:ascii="Verdana" w:hAnsi="Verdana"/>
          <w:sz w:val="24"/>
          <w:szCs w:val="24"/>
        </w:rPr>
        <w:t>The US examples above are at a municipal level.  The link between taxation, fiscal autonomy</w:t>
      </w:r>
      <w:r w:rsidRPr="00A20F41">
        <w:rPr>
          <w:rFonts w:ascii="Verdana" w:hAnsi="Verdana"/>
          <w:sz w:val="24"/>
          <w:szCs w:val="24"/>
        </w:rPr>
        <w:t>,</w:t>
      </w:r>
      <w:r w:rsidRPr="00A20F41">
        <w:rPr>
          <w:rFonts w:ascii="Verdana" w:hAnsi="Verdana"/>
          <w:sz w:val="24"/>
          <w:szCs w:val="24"/>
        </w:rPr>
        <w:t xml:space="preserve"> services</w:t>
      </w:r>
      <w:r w:rsidRPr="00A20F41">
        <w:rPr>
          <w:rFonts w:ascii="Verdana" w:hAnsi="Verdana"/>
          <w:sz w:val="24"/>
          <w:szCs w:val="24"/>
        </w:rPr>
        <w:t>, and local support</w:t>
      </w:r>
      <w:r w:rsidRPr="00A20F41">
        <w:rPr>
          <w:rFonts w:ascii="Verdana" w:hAnsi="Verdana"/>
          <w:sz w:val="24"/>
          <w:szCs w:val="24"/>
        </w:rPr>
        <w:t xml:space="preserve"> seems to do better at as local level as possible.  In this model, it would need to take place at a local authority level, rather than combined authority.  </w:t>
      </w:r>
      <w:r w:rsidRPr="00A20F41">
        <w:rPr>
          <w:rFonts w:ascii="Verdana" w:hAnsi="Verdana"/>
          <w:sz w:val="24"/>
          <w:szCs w:val="24"/>
        </w:rPr>
        <w:t xml:space="preserve">It’s also worth pointing out that councils are better able to mobilise </w:t>
      </w:r>
      <w:r w:rsidRPr="00A20F41">
        <w:rPr>
          <w:rFonts w:ascii="Verdana" w:hAnsi="Verdana"/>
          <w:sz w:val="24"/>
          <w:szCs w:val="24"/>
        </w:rPr>
        <w:t>civil society volunteerism, support and backing at a level that is closest to the communities in which people live and work.</w:t>
      </w:r>
    </w:p>
    <w:p w:rsidR="007F2660" w:rsidRPr="00A20F41" w:rsidP="00A20F41">
      <w:pPr>
        <w:pStyle w:val="ListParagraph"/>
        <w:numPr>
          <w:ilvl w:val="0"/>
          <w:numId w:val="3"/>
        </w:numPr>
        <w:spacing w:line="480" w:lineRule="auto"/>
        <w:rPr>
          <w:rFonts w:ascii="Verdana" w:hAnsi="Verdana"/>
          <w:b/>
          <w:bCs/>
          <w:sz w:val="24"/>
          <w:szCs w:val="24"/>
        </w:rPr>
      </w:pPr>
      <w:r w:rsidRPr="00A20F41">
        <w:rPr>
          <w:rFonts w:ascii="Verdana" w:hAnsi="Verdana"/>
          <w:b/>
          <w:bCs/>
          <w:sz w:val="24"/>
          <w:szCs w:val="24"/>
        </w:rPr>
        <w:t xml:space="preserve">What revenue-raising powers should be devolved to local areas? </w:t>
      </w:r>
    </w:p>
    <w:p w:rsidR="007F2660" w:rsidRPr="00A20F41" w:rsidP="00A20F41">
      <w:pPr>
        <w:spacing w:line="480" w:lineRule="auto"/>
        <w:ind w:left="720"/>
        <w:rPr>
          <w:rFonts w:ascii="Verdana" w:hAnsi="Verdana"/>
          <w:sz w:val="24"/>
          <w:szCs w:val="24"/>
        </w:rPr>
      </w:pPr>
      <w:r w:rsidRPr="00A20F41">
        <w:rPr>
          <w:rFonts w:ascii="Verdana" w:hAnsi="Verdana"/>
          <w:sz w:val="24"/>
          <w:szCs w:val="24"/>
        </w:rPr>
        <w:t>The US examples offer a suite of different forms of local taxation, which individual councils are able to raise or lower according to local priorities and issues.  These include taxes targeted both at residents, but also at visitors, who enjoy the amenities that the council provides, and otherwise have no way of contributing to those amenities.  In a UK context, this might include a local accommodation tax for hotel, short-term rental, and campsite stays.  It might also include some ability to retain a prop</w:t>
      </w:r>
      <w:r w:rsidRPr="00A20F41">
        <w:rPr>
          <w:rFonts w:ascii="Verdana" w:hAnsi="Verdana"/>
          <w:sz w:val="24"/>
          <w:szCs w:val="24"/>
        </w:rPr>
        <w:t>ortion of VAT.  The idea of a small level of tax increase being ring-fenced for revenue-raising council investment is also an interesting one.</w:t>
      </w:r>
    </w:p>
    <w:p w:rsidR="007F2660" w:rsidRPr="00A20F41" w:rsidP="00A20F41">
      <w:pPr>
        <w:pStyle w:val="ListParagraph"/>
        <w:numPr>
          <w:ilvl w:val="0"/>
          <w:numId w:val="3"/>
        </w:numPr>
        <w:spacing w:line="480" w:lineRule="auto"/>
        <w:rPr>
          <w:rFonts w:ascii="Verdana" w:hAnsi="Verdana"/>
          <w:b/>
          <w:bCs/>
          <w:sz w:val="24"/>
          <w:szCs w:val="24"/>
        </w:rPr>
      </w:pPr>
      <w:r w:rsidRPr="00A20F41">
        <w:rPr>
          <w:rFonts w:ascii="Verdana" w:hAnsi="Verdana"/>
          <w:b/>
          <w:bCs/>
          <w:sz w:val="24"/>
          <w:szCs w:val="24"/>
        </w:rPr>
        <w:t xml:space="preserve">What mechanisms of equalisation between areas should the Government consider and how might these be updated as differences between regions change? What mechanisms might be needed to avoid inter-region tax competition leading to insufficient aggregate tax collection? </w:t>
      </w:r>
    </w:p>
    <w:p w:rsidR="007F2660" w:rsidRPr="00A20F41" w:rsidP="00A20F41">
      <w:pPr>
        <w:pStyle w:val="ListParagraph"/>
        <w:spacing w:line="480" w:lineRule="auto"/>
        <w:rPr>
          <w:rFonts w:ascii="Verdana" w:hAnsi="Verdana"/>
          <w:sz w:val="24"/>
          <w:szCs w:val="24"/>
        </w:rPr>
      </w:pPr>
    </w:p>
    <w:p w:rsidR="007F2660" w:rsidRPr="00A20F41" w:rsidP="00A20F41">
      <w:pPr>
        <w:pStyle w:val="ListParagraph"/>
        <w:spacing w:line="480" w:lineRule="auto"/>
        <w:rPr>
          <w:rFonts w:ascii="Verdana" w:hAnsi="Verdana"/>
          <w:sz w:val="24"/>
          <w:szCs w:val="24"/>
        </w:rPr>
      </w:pPr>
      <w:r w:rsidRPr="00A20F41">
        <w:rPr>
          <w:rFonts w:ascii="Verdana" w:hAnsi="Verdana"/>
          <w:sz w:val="24"/>
          <w:szCs w:val="24"/>
        </w:rPr>
        <w:t xml:space="preserve">Equalisation between areas is really important and this is the big weakness of the US example, which clearly shows the impacts in terms of life chances and political instability for regions which don’t </w:t>
      </w:r>
      <w:r w:rsidRPr="00A20F41">
        <w:rPr>
          <w:rFonts w:ascii="Verdana" w:hAnsi="Verdana"/>
          <w:sz w:val="24"/>
          <w:szCs w:val="24"/>
        </w:rPr>
        <w:t>have access to higher earning/spending individuals.  For this, the example of EU structural funds follow an interesting model whereby a marker of local economic buoyancy is used to decide how to distribute funds (in this case, GVA, but GDP or earned incomes per capita etc could also be used).  This mechanism ensures that central decisions over additional regional support is made on an administrative, rather than political basis.  This would also ensure that changing regional fortunes were readily updated</w:t>
      </w:r>
    </w:p>
    <w:p w:rsidR="007F2660" w:rsidRPr="00A20F41" w:rsidP="00A20F41">
      <w:pPr>
        <w:pStyle w:val="ListParagraph"/>
        <w:spacing w:line="480" w:lineRule="auto"/>
        <w:rPr>
          <w:rFonts w:ascii="Verdana" w:hAnsi="Verdana"/>
          <w:sz w:val="24"/>
          <w:szCs w:val="24"/>
        </w:rPr>
      </w:pPr>
    </w:p>
    <w:p w:rsidR="007F2660" w:rsidRPr="00A20F41" w:rsidP="00A20F41">
      <w:pPr>
        <w:pStyle w:val="ListParagraph"/>
        <w:spacing w:line="480" w:lineRule="auto"/>
        <w:rPr>
          <w:rFonts w:ascii="Verdana" w:hAnsi="Verdana"/>
          <w:sz w:val="24"/>
          <w:szCs w:val="24"/>
        </w:rPr>
      </w:pPr>
    </w:p>
    <w:p w:rsidR="007F2660" w:rsidRPr="00A20F41" w:rsidP="00A20F41">
      <w:pPr>
        <w:pStyle w:val="ListParagraph"/>
        <w:numPr>
          <w:ilvl w:val="0"/>
          <w:numId w:val="3"/>
        </w:numPr>
        <w:spacing w:line="480" w:lineRule="auto"/>
        <w:rPr>
          <w:rFonts w:ascii="Verdana" w:hAnsi="Verdana"/>
          <w:b/>
          <w:bCs/>
          <w:sz w:val="24"/>
          <w:szCs w:val="24"/>
        </w:rPr>
      </w:pPr>
      <w:r w:rsidRPr="00A20F41">
        <w:rPr>
          <w:rFonts w:ascii="Verdana" w:hAnsi="Verdana"/>
          <w:b/>
          <w:bCs/>
          <w:sz w:val="24"/>
          <w:szCs w:val="24"/>
        </w:rPr>
        <w:t>What are the distributional consequences of further fiscal devolution</w:t>
      </w:r>
    </w:p>
    <w:p w:rsidR="007F2660" w:rsidRPr="00A20F41" w:rsidP="00A20F41">
      <w:pPr>
        <w:spacing w:line="480" w:lineRule="auto"/>
        <w:ind w:left="720"/>
        <w:rPr>
          <w:rFonts w:ascii="Verdana" w:hAnsi="Verdana"/>
          <w:sz w:val="24"/>
          <w:szCs w:val="24"/>
        </w:rPr>
      </w:pPr>
      <w:r w:rsidRPr="00A20F41">
        <w:rPr>
          <w:rFonts w:ascii="Verdana" w:hAnsi="Verdana"/>
          <w:sz w:val="24"/>
          <w:szCs w:val="24"/>
        </w:rPr>
        <w:t xml:space="preserve">There is a scholarly consensus within studies of regional development and regional inequalities, that part of the reason why the UK is so regionally unequal, lies in its over-centralised fiscal, executive, and legislative politics.  Providing councils with the ability to better address and fund improvements at a local level is to be welcomed.  However, </w:t>
      </w:r>
      <w:r w:rsidRPr="00A20F41">
        <w:rPr>
          <w:rFonts w:ascii="Verdana" w:hAnsi="Verdana"/>
          <w:sz w:val="24"/>
          <w:szCs w:val="24"/>
        </w:rPr>
        <w:t xml:space="preserve">the US shows us that there needs to be controls put in place to ensure that decentralisation does not also result in </w:t>
      </w:r>
      <w:r w:rsidRPr="00A20F41">
        <w:rPr>
          <w:rFonts w:ascii="Verdana" w:hAnsi="Verdana"/>
          <w:i/>
          <w:iCs/>
          <w:sz w:val="24"/>
          <w:szCs w:val="24"/>
        </w:rPr>
        <w:t>deeper</w:t>
      </w:r>
      <w:r w:rsidRPr="00A20F41">
        <w:rPr>
          <w:rFonts w:ascii="Verdana" w:hAnsi="Verdana"/>
          <w:sz w:val="24"/>
          <w:szCs w:val="24"/>
        </w:rPr>
        <w:t xml:space="preserve"> regional inequalities.</w:t>
      </w:r>
    </w:p>
    <w:p w:rsidR="007F2660" w:rsidRPr="00A20F41" w:rsidP="00A20F41">
      <w:pPr>
        <w:spacing w:line="480" w:lineRule="auto"/>
        <w:ind w:left="720"/>
        <w:rPr>
          <w:rFonts w:ascii="Verdana" w:hAnsi="Verdana"/>
          <w:sz w:val="24"/>
          <w:szCs w:val="24"/>
        </w:rPr>
      </w:pPr>
    </w:p>
    <w:p w:rsidR="007F2660" w:rsidRPr="00A20F41" w:rsidP="00A20F41">
      <w:pPr>
        <w:spacing w:line="480" w:lineRule="auto"/>
        <w:ind w:left="720"/>
        <w:rPr>
          <w:rFonts w:ascii="Verdana" w:hAnsi="Verdana"/>
          <w:b/>
          <w:bCs/>
          <w:sz w:val="24"/>
          <w:szCs w:val="24"/>
        </w:rPr>
      </w:pPr>
      <w:r w:rsidRPr="00A20F41">
        <w:rPr>
          <w:rFonts w:ascii="Verdana" w:hAnsi="Verdana"/>
          <w:b/>
          <w:bCs/>
          <w:sz w:val="24"/>
          <w:szCs w:val="24"/>
        </w:rPr>
        <w:t>References</w:t>
      </w:r>
    </w:p>
    <w:p w:rsidR="007F2660" w:rsidRPr="00A20F41" w:rsidP="00A20F41">
      <w:pPr>
        <w:spacing w:line="480" w:lineRule="auto"/>
        <w:ind w:left="720"/>
        <w:rPr>
          <w:rFonts w:ascii="Verdana" w:hAnsi="Verdana"/>
          <w:sz w:val="24"/>
          <w:szCs w:val="24"/>
        </w:rPr>
      </w:pPr>
      <w:r w:rsidRPr="00A20F41">
        <w:rPr>
          <w:rFonts w:ascii="Verdana" w:hAnsi="Verdana"/>
          <w:sz w:val="24"/>
          <w:szCs w:val="24"/>
        </w:rPr>
        <w:t>Martin, R., Pike, A., Tyler, P., Gardiner, B. 2016. Spatially Rebalancing the UK Economy: Towards a New Policy Model. Regional Studies. 50(2):342-357</w:t>
      </w:r>
    </w:p>
    <w:p w:rsidR="007F2660" w:rsidRPr="00A20F41" w:rsidP="00A20F41">
      <w:pPr>
        <w:spacing w:line="480" w:lineRule="auto"/>
        <w:ind w:left="720"/>
        <w:rPr>
          <w:rFonts w:ascii="Verdana" w:hAnsi="Verdana"/>
          <w:sz w:val="24"/>
          <w:szCs w:val="24"/>
        </w:rPr>
      </w:pPr>
      <w:r w:rsidRPr="00A20F41">
        <w:rPr>
          <w:rFonts w:ascii="Verdana" w:hAnsi="Verdana"/>
          <w:sz w:val="24"/>
          <w:szCs w:val="24"/>
        </w:rPr>
        <w:t>Tomaney, J. and Colomb, C. 201. Devolution and Planning, in Ferm, J. and Tomaney, J. (eds) Planning Practice: Critical Perspectives from the UK. London: Routledge, pp. 20-35.</w:t>
      </w:r>
    </w:p>
    <w:p w:rsidR="007F2660" w:rsidP="00A20F41">
      <w:pPr>
        <w:spacing w:line="480" w:lineRule="auto"/>
        <w:ind w:left="720"/>
        <w:rPr>
          <w:rFonts w:ascii="Verdana" w:hAnsi="Verdana"/>
          <w:sz w:val="24"/>
          <w:szCs w:val="24"/>
        </w:rPr>
      </w:pPr>
      <w:r w:rsidRPr="00A20F41">
        <w:rPr>
          <w:rFonts w:ascii="Verdana" w:hAnsi="Verdana"/>
          <w:sz w:val="24"/>
          <w:szCs w:val="24"/>
        </w:rPr>
        <w:t xml:space="preserve">Bouchet, M., Parilla, J. 2017. </w:t>
      </w:r>
      <w:r w:rsidRPr="00A20F41">
        <w:rPr>
          <w:rFonts w:ascii="Verdana" w:hAnsi="Verdana"/>
          <w:i/>
          <w:iCs/>
          <w:sz w:val="24"/>
          <w:szCs w:val="24"/>
        </w:rPr>
        <w:t>Getting Smart on US Regional Inequality: Lessons from Europe</w:t>
      </w:r>
      <w:r w:rsidRPr="00A20F41">
        <w:rPr>
          <w:rFonts w:ascii="Verdana" w:hAnsi="Verdana"/>
          <w:sz w:val="24"/>
          <w:szCs w:val="24"/>
        </w:rPr>
        <w:t xml:space="preserve">. Brookings Institute. </w:t>
      </w:r>
      <w:r>
        <w:fldChar w:fldCharType="begin"/>
      </w:r>
      <w:r>
        <w:instrText xml:space="preserve"> HYPERLINK "https://www.brookings.edu/articles/getting-smart-on-u-s-regional-inequality-lessons-from-europe/" </w:instrText>
      </w:r>
      <w:r>
        <w:fldChar w:fldCharType="separate"/>
      </w:r>
      <w:r w:rsidRPr="00642BD4" w:rsidR="00A20F41">
        <w:rPr>
          <w:rStyle w:val="Hyperlink"/>
          <w:rFonts w:ascii="Verdana" w:hAnsi="Verdana"/>
          <w:sz w:val="24"/>
          <w:szCs w:val="24"/>
        </w:rPr>
        <w:t>https://www.brookings.edu/articles/getting-smart-on-u-s-regional-inequality-lessons-from-europe/</w:t>
      </w:r>
      <w:r>
        <w:fldChar w:fldCharType="end"/>
      </w:r>
    </w:p>
    <w:p w:rsidR="00A20F41" w:rsidRPr="00A20F41" w:rsidP="00A20F41">
      <w:pPr>
        <w:spacing w:line="480" w:lineRule="auto"/>
        <w:rPr>
          <w:rFonts w:ascii="Verdana" w:hAnsi="Verdana"/>
          <w:i/>
          <w:iCs/>
          <w:sz w:val="24"/>
          <w:szCs w:val="24"/>
        </w:rPr>
      </w:pPr>
      <w:r w:rsidRPr="00A20F41">
        <w:rPr>
          <w:rFonts w:ascii="Verdana" w:hAnsi="Verdana"/>
          <w:i/>
          <w:iCs/>
          <w:sz w:val="24"/>
          <w:szCs w:val="24"/>
        </w:rPr>
        <w:t>4 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EA4C8B"/>
    <w:multiLevelType w:val="hybridMultilevel"/>
    <w:tmpl w:val="8D2C35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4566A8"/>
    <w:multiLevelType w:val="hybridMultilevel"/>
    <w:tmpl w:val="8C565504"/>
    <w:lvl w:ilvl="0">
      <w:start w:val="1"/>
      <w:numFmt w:val="decimal"/>
      <w:lvlText w:val="%1&gt;"/>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62411D"/>
    <w:multiLevelType w:val="hybridMultilevel"/>
    <w:tmpl w:val="5178F6EE"/>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336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36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36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36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36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3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6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36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36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36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36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3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64E"/>
    <w:rPr>
      <w:rFonts w:eastAsiaTheme="majorEastAsia" w:cstheme="majorBidi"/>
      <w:color w:val="272727" w:themeColor="text1" w:themeTint="D8"/>
    </w:rPr>
  </w:style>
  <w:style w:type="paragraph" w:styleId="Title">
    <w:name w:val="Title"/>
    <w:basedOn w:val="Normal"/>
    <w:next w:val="Normal"/>
    <w:link w:val="TitleChar"/>
    <w:uiPriority w:val="10"/>
    <w:qFormat/>
    <w:rsid w:val="00033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64E"/>
    <w:pPr>
      <w:spacing w:before="160"/>
      <w:jc w:val="center"/>
    </w:pPr>
    <w:rPr>
      <w:i/>
      <w:iCs/>
      <w:color w:val="404040" w:themeColor="text1" w:themeTint="BF"/>
    </w:rPr>
  </w:style>
  <w:style w:type="character" w:customStyle="1" w:styleId="QuoteChar">
    <w:name w:val="Quote Char"/>
    <w:basedOn w:val="DefaultParagraphFont"/>
    <w:link w:val="Quote"/>
    <w:uiPriority w:val="29"/>
    <w:rsid w:val="0003364E"/>
    <w:rPr>
      <w:i/>
      <w:iCs/>
      <w:color w:val="404040" w:themeColor="text1" w:themeTint="BF"/>
    </w:rPr>
  </w:style>
  <w:style w:type="paragraph" w:styleId="ListParagraph">
    <w:name w:val="List Paragraph"/>
    <w:basedOn w:val="Normal"/>
    <w:uiPriority w:val="34"/>
    <w:qFormat/>
    <w:rsid w:val="0003364E"/>
    <w:pPr>
      <w:ind w:left="720"/>
      <w:contextualSpacing/>
    </w:pPr>
  </w:style>
  <w:style w:type="character" w:styleId="IntenseEmphasis">
    <w:name w:val="Intense Emphasis"/>
    <w:basedOn w:val="DefaultParagraphFont"/>
    <w:uiPriority w:val="21"/>
    <w:qFormat/>
    <w:rsid w:val="0003364E"/>
    <w:rPr>
      <w:i/>
      <w:iCs/>
      <w:color w:val="2F5496" w:themeColor="accent1" w:themeShade="BF"/>
    </w:rPr>
  </w:style>
  <w:style w:type="paragraph" w:styleId="IntenseQuote">
    <w:name w:val="Intense Quote"/>
    <w:basedOn w:val="Normal"/>
    <w:next w:val="Normal"/>
    <w:link w:val="IntenseQuoteChar"/>
    <w:uiPriority w:val="30"/>
    <w:qFormat/>
    <w:rsid w:val="000336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364E"/>
    <w:rPr>
      <w:i/>
      <w:iCs/>
      <w:color w:val="2F5496" w:themeColor="accent1" w:themeShade="BF"/>
    </w:rPr>
  </w:style>
  <w:style w:type="character" w:styleId="IntenseReference">
    <w:name w:val="Intense Reference"/>
    <w:basedOn w:val="DefaultParagraphFont"/>
    <w:uiPriority w:val="32"/>
    <w:qFormat/>
    <w:rsid w:val="0003364E"/>
    <w:rPr>
      <w:b/>
      <w:bCs/>
      <w:smallCaps/>
      <w:color w:val="2F5496" w:themeColor="accent1" w:themeShade="BF"/>
      <w:spacing w:val="5"/>
    </w:rPr>
  </w:style>
  <w:style w:type="character" w:styleId="Hyperlink">
    <w:name w:val="Hyperlink"/>
    <w:basedOn w:val="DefaultParagraphFont"/>
    <w:uiPriority w:val="99"/>
    <w:unhideWhenUsed/>
    <w:rsid w:val="0062209C"/>
    <w:rPr>
      <w:color w:val="0563C1" w:themeColor="hyperlink"/>
      <w:u w:val="single"/>
    </w:rPr>
  </w:style>
  <w:style w:type="character" w:customStyle="1" w:styleId="UnresolvedMention1">
    <w:name w:val="Unresolved Mention1"/>
    <w:basedOn w:val="DefaultParagraphFont"/>
    <w:uiPriority w:val="99"/>
    <w:semiHidden/>
    <w:unhideWhenUsed/>
    <w:rsid w:val="0062209C"/>
    <w:rPr>
      <w:color w:val="605E5C"/>
      <w:shd w:val="clear" w:color="auto" w:fill="E1DFDD"/>
    </w:rPr>
  </w:style>
  <w:style w:type="character" w:styleId="FollowedHyperlink">
    <w:name w:val="FollowedHyperlink"/>
    <w:basedOn w:val="DefaultParagraphFont"/>
    <w:uiPriority w:val="99"/>
    <w:semiHidden/>
    <w:unhideWhenUsed/>
    <w:rsid w:val="00A20F41"/>
    <w:rPr>
      <w:color w:val="954F72" w:themeColor="followedHyperlink"/>
      <w:u w:val="single"/>
    </w:rPr>
  </w:style>
  <w:style w:type="character" w:customStyle="1" w:styleId="UnresolvedMention">
    <w:name w:val="Unresolved Mention"/>
    <w:basedOn w:val="DefaultParagraphFont"/>
    <w:uiPriority w:val="99"/>
    <w:rsid w:val="00A20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FDE0009</dc:title>
  <cp:revision>0</cp:revision>
</cp:coreProperties>
</file>