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6308" w:rsidRPr="00C87CDF" w:rsidP="00C87CDF">
      <w:pPr>
        <w:spacing w:line="480" w:lineRule="auto"/>
        <w:rPr>
          <w:rFonts w:ascii="Verdana" w:hAnsi="Verdana"/>
          <w:b/>
          <w:bCs/>
          <w:sz w:val="28"/>
          <w:szCs w:val="28"/>
        </w:rPr>
      </w:pPr>
      <w:r w:rsidRPr="00C87CDF">
        <w:rPr>
          <w:rFonts w:ascii="Verdana" w:hAnsi="Verdana"/>
          <w:b/>
          <w:bCs/>
          <w:sz w:val="28"/>
          <w:szCs w:val="28"/>
        </w:rPr>
        <w:t>Heseltine Institute for Public Policy, Practice and Place</w:t>
      </w:r>
      <w:r w:rsidR="00C87CDF">
        <w:rPr>
          <w:rFonts w:ascii="Verdana" w:hAnsi="Verdana"/>
          <w:b/>
          <w:bCs/>
          <w:sz w:val="28"/>
          <w:szCs w:val="28"/>
        </w:rPr>
        <w:t xml:space="preserve">, </w:t>
      </w:r>
      <w:r w:rsidRPr="00C87CDF">
        <w:rPr>
          <w:rFonts w:ascii="Verdana" w:hAnsi="Verdana"/>
          <w:b/>
          <w:bCs/>
          <w:sz w:val="28"/>
          <w:szCs w:val="28"/>
        </w:rPr>
        <w:t>University of Liverpool</w:t>
      </w:r>
      <w:r w:rsidR="00C87CDF">
        <w:rPr>
          <w:rFonts w:ascii="Verdana" w:hAnsi="Verdana"/>
          <w:b/>
          <w:bCs/>
          <w:sz w:val="28"/>
          <w:szCs w:val="28"/>
        </w:rPr>
        <w:t xml:space="preserve"> – Written evidence FDE0008</w:t>
      </w:r>
    </w:p>
    <w:p w:rsidR="00E66308" w:rsidRPr="00C87CDF" w:rsidP="00C87CDF">
      <w:pPr>
        <w:spacing w:line="480" w:lineRule="auto"/>
        <w:rPr>
          <w:rFonts w:ascii="Verdana" w:hAnsi="Verdana"/>
          <w:u w:val="single"/>
        </w:rPr>
      </w:pPr>
      <w:r w:rsidRPr="00C87CDF">
        <w:rPr>
          <w:rFonts w:ascii="Verdana" w:hAnsi="Verdana"/>
          <w:u w:val="single"/>
        </w:rPr>
        <w:t>About</w:t>
      </w:r>
    </w:p>
    <w:p w:rsidR="00E66308" w:rsidRPr="00C87CDF" w:rsidP="00C87CDF">
      <w:pPr>
        <w:spacing w:line="480" w:lineRule="auto"/>
        <w:rPr>
          <w:rFonts w:ascii="Verdana" w:hAnsi="Verdana"/>
        </w:rPr>
      </w:pPr>
      <w:r w:rsidRPr="00C87CDF">
        <w:rPr>
          <w:rFonts w:ascii="Verdana" w:hAnsi="Verdana"/>
        </w:rPr>
        <w:t>The Heseltine Institute for Public Policy, Practice and Place is an interdisciplinary public policy research institute, which brings together academic expertise from across the University of Liverpool with policymakers and practitioners to support the development of sustainable and inclusive cities and city regions.</w:t>
      </w:r>
      <w:r w:rsidRPr="00C87CDF">
        <w:rPr>
          <w:rFonts w:ascii="Verdana" w:hAnsi="Verdana"/>
        </w:rPr>
        <w:t xml:space="preserve"> </w:t>
      </w:r>
      <w:r w:rsidRPr="00C87CDF">
        <w:rPr>
          <w:rFonts w:ascii="Verdana" w:hAnsi="Verdana"/>
        </w:rPr>
        <w:t xml:space="preserve">In producing this evidence submission, we draw upon an established body of research and expertise relating to devolution in England that has been developed within the Heseltine Institute for Public, Policy and Place. We welcome further opportunities to expand upon this submission and share insights gained through our research with Committee members, at their convenience.    </w:t>
      </w:r>
    </w:p>
    <w:p w:rsidR="00E66308" w:rsidRPr="00C87CDF" w:rsidP="00C87CDF">
      <w:pPr>
        <w:spacing w:line="480" w:lineRule="auto"/>
        <w:rPr>
          <w:rFonts w:ascii="Verdana" w:hAnsi="Verdana"/>
        </w:rPr>
      </w:pPr>
      <w:r w:rsidRPr="00C87CDF">
        <w:rPr>
          <w:rFonts w:ascii="Verdana" w:hAnsi="Verdana"/>
        </w:rPr>
        <w:t>This evidence submission has been prepared by:</w:t>
      </w:r>
    </w:p>
    <w:p w:rsidR="00E66308" w:rsidRPr="00C87CDF" w:rsidP="00C87CDF">
      <w:pPr>
        <w:pStyle w:val="ListParagraph"/>
        <w:numPr>
          <w:ilvl w:val="0"/>
          <w:numId w:val="11"/>
        </w:numPr>
        <w:spacing w:line="480" w:lineRule="auto"/>
        <w:rPr>
          <w:rFonts w:ascii="Verdana" w:hAnsi="Verdana"/>
        </w:rPr>
      </w:pPr>
      <w:r w:rsidRPr="00C87CDF">
        <w:rPr>
          <w:rFonts w:ascii="Verdana" w:hAnsi="Verdana"/>
        </w:rPr>
        <w:t>Sue Jarvis</w:t>
      </w:r>
      <w:r w:rsidRPr="00C87CDF">
        <w:rPr>
          <w:rFonts w:ascii="Verdana" w:hAnsi="Verdana"/>
        </w:rPr>
        <w:t>, Co-Director</w:t>
      </w:r>
      <w:r w:rsidRPr="00C87CDF">
        <w:rPr>
          <w:rFonts w:ascii="Verdana" w:hAnsi="Verdana"/>
        </w:rPr>
        <w:t xml:space="preserve"> –  </w:t>
      </w:r>
      <w:r>
        <w:fldChar w:fldCharType="begin"/>
      </w:r>
      <w:r>
        <w:instrText xml:space="preserve"> HYPERLINK "mailto:S.Jarvis@liverpool.ac.uk" </w:instrText>
      </w:r>
      <w:r>
        <w:fldChar w:fldCharType="separate"/>
      </w:r>
      <w:r w:rsidRPr="00C87CDF">
        <w:rPr>
          <w:rStyle w:val="Hyperlink"/>
          <w:rFonts w:ascii="Verdana" w:hAnsi="Verdana"/>
        </w:rPr>
        <w:t>S.Jarvis@liverpool.ac.uk</w:t>
      </w:r>
      <w:r>
        <w:fldChar w:fldCharType="end"/>
      </w:r>
      <w:r w:rsidRPr="00C87CDF">
        <w:rPr>
          <w:rFonts w:ascii="Verdana" w:hAnsi="Verdana"/>
        </w:rPr>
        <w:t xml:space="preserve"> </w:t>
      </w:r>
    </w:p>
    <w:p w:rsidR="00E66308" w:rsidRPr="00C87CDF" w:rsidP="00C87CDF">
      <w:pPr>
        <w:pStyle w:val="ListParagraph"/>
        <w:numPr>
          <w:ilvl w:val="0"/>
          <w:numId w:val="11"/>
        </w:numPr>
        <w:spacing w:line="480" w:lineRule="auto"/>
        <w:rPr>
          <w:rFonts w:ascii="Verdana" w:hAnsi="Verdana"/>
        </w:rPr>
      </w:pPr>
      <w:r w:rsidRPr="00C87CDF">
        <w:rPr>
          <w:rFonts w:ascii="Verdana" w:hAnsi="Verdana"/>
        </w:rPr>
        <w:t>Dr James Hickson</w:t>
      </w:r>
      <w:r w:rsidRPr="00C87CDF">
        <w:rPr>
          <w:rFonts w:ascii="Verdana" w:hAnsi="Verdana"/>
        </w:rPr>
        <w:t>, Research Associate</w:t>
      </w:r>
      <w:r w:rsidRPr="00C87CDF">
        <w:rPr>
          <w:rFonts w:ascii="Verdana" w:hAnsi="Verdana"/>
        </w:rPr>
        <w:t xml:space="preserve"> – </w:t>
      </w:r>
      <w:r>
        <w:fldChar w:fldCharType="begin"/>
      </w:r>
      <w:r>
        <w:instrText xml:space="preserve"> HYPERLINK "mailto:james.hickson@liverpool.ac.uk" </w:instrText>
      </w:r>
      <w:r>
        <w:fldChar w:fldCharType="separate"/>
      </w:r>
      <w:r w:rsidRPr="00C87CDF">
        <w:rPr>
          <w:rStyle w:val="Hyperlink"/>
          <w:rFonts w:ascii="Verdana" w:hAnsi="Verdana"/>
        </w:rPr>
        <w:t>james.hickson@liverpool.ac.uk</w:t>
      </w:r>
      <w:r>
        <w:fldChar w:fldCharType="end"/>
      </w:r>
      <w:r w:rsidRPr="00C87CDF">
        <w:rPr>
          <w:rFonts w:ascii="Verdana" w:hAnsi="Verdana"/>
        </w:rPr>
        <w:t xml:space="preserve"> </w:t>
      </w:r>
    </w:p>
    <w:p w:rsidR="00E66308" w:rsidRPr="00C87CDF" w:rsidP="00C87CDF">
      <w:pPr>
        <w:spacing w:line="480" w:lineRule="auto"/>
        <w:rPr>
          <w:rFonts w:ascii="Verdana" w:hAnsi="Verdana"/>
        </w:rPr>
      </w:pPr>
      <w:r w:rsidRPr="00C87CDF">
        <w:rPr>
          <w:rFonts w:ascii="Verdana" w:hAnsi="Verdana"/>
        </w:rPr>
        <w:t xml:space="preserve">Further information can be found on our website </w:t>
      </w:r>
      <w:r>
        <w:fldChar w:fldCharType="begin"/>
      </w:r>
      <w:r>
        <w:instrText xml:space="preserve"> HYPERLINK "http://www.liverpool.ac.uk/heseltine-institute" </w:instrText>
      </w:r>
      <w:r>
        <w:fldChar w:fldCharType="separate"/>
      </w:r>
      <w:r w:rsidRPr="00C87CDF">
        <w:rPr>
          <w:rStyle w:val="Hyperlink"/>
          <w:rFonts w:ascii="Verdana" w:hAnsi="Verdana"/>
        </w:rPr>
        <w:t>www.liverpool.ac.uk/heseltine-institute</w:t>
      </w:r>
      <w:r>
        <w:fldChar w:fldCharType="end"/>
      </w:r>
    </w:p>
    <w:p w:rsidR="00E66308" w:rsidRPr="00C87CDF" w:rsidP="00C87CDF">
      <w:pPr>
        <w:spacing w:line="480" w:lineRule="auto"/>
        <w:rPr>
          <w:rFonts w:ascii="Verdana" w:hAnsi="Verdana"/>
          <w:u w:val="single"/>
        </w:rPr>
      </w:pPr>
    </w:p>
    <w:p w:rsidR="00E66308" w:rsidRPr="00C87CDF" w:rsidP="00C87CDF">
      <w:pPr>
        <w:spacing w:line="480" w:lineRule="auto"/>
        <w:rPr>
          <w:rFonts w:ascii="Verdana" w:hAnsi="Verdana"/>
          <w:u w:val="single"/>
        </w:rPr>
      </w:pPr>
      <w:r w:rsidRPr="00C87CDF">
        <w:rPr>
          <w:rFonts w:ascii="Verdana" w:hAnsi="Verdana"/>
          <w:u w:val="single"/>
        </w:rPr>
        <w:t>Summary</w:t>
      </w:r>
    </w:p>
    <w:p w:rsidR="00E66308" w:rsidRPr="00C87CDF" w:rsidP="00C87CDF">
      <w:pPr>
        <w:pStyle w:val="ListParagraph"/>
        <w:numPr>
          <w:ilvl w:val="0"/>
          <w:numId w:val="9"/>
        </w:numPr>
        <w:spacing w:line="480" w:lineRule="auto"/>
        <w:rPr>
          <w:rFonts w:ascii="Verdana" w:hAnsi="Verdana"/>
          <w:u w:val="single"/>
        </w:rPr>
      </w:pPr>
      <w:r w:rsidRPr="00C87CDF">
        <w:rPr>
          <w:rFonts w:ascii="Verdana" w:hAnsi="Verdana"/>
        </w:rPr>
        <w:t>Analysis by the Heseltine Institute suggests that f</w:t>
      </w:r>
      <w:r w:rsidRPr="00C87CDF">
        <w:rPr>
          <w:rFonts w:ascii="Verdana" w:hAnsi="Verdana"/>
        </w:rPr>
        <w:t xml:space="preserve">iscal devolution </w:t>
      </w:r>
      <w:r w:rsidRPr="00C87CDF">
        <w:rPr>
          <w:rFonts w:ascii="Verdana" w:hAnsi="Verdana"/>
        </w:rPr>
        <w:t>offers</w:t>
      </w:r>
      <w:r w:rsidRPr="00C87CDF">
        <w:rPr>
          <w:rFonts w:ascii="Verdana" w:hAnsi="Verdana"/>
        </w:rPr>
        <w:t xml:space="preserve"> a critical next step for devolution in England</w:t>
      </w:r>
      <w:r w:rsidRPr="00C87CDF">
        <w:rPr>
          <w:rFonts w:ascii="Verdana" w:hAnsi="Verdana"/>
        </w:rPr>
        <w:t xml:space="preserve">, </w:t>
      </w:r>
      <w:r w:rsidRPr="00C87CDF">
        <w:rPr>
          <w:rFonts w:ascii="Verdana" w:hAnsi="Verdana"/>
        </w:rPr>
        <w:t>with the potential to strengthen the resilience, capacity and autonomy of Mayoral Strategic Authorities</w:t>
      </w:r>
      <w:r w:rsidRPr="00C87CDF">
        <w:rPr>
          <w:rFonts w:ascii="Verdana" w:hAnsi="Verdana"/>
        </w:rPr>
        <w:t xml:space="preserve"> (MSAs)</w:t>
      </w:r>
      <w:r w:rsidRPr="00C87CDF">
        <w:rPr>
          <w:rFonts w:ascii="Verdana" w:hAnsi="Verdana"/>
        </w:rPr>
        <w:t xml:space="preserve">. </w:t>
      </w:r>
    </w:p>
    <w:p w:rsidR="00E66308" w:rsidRPr="00C87CDF" w:rsidP="00C87CDF">
      <w:pPr>
        <w:pStyle w:val="ListParagraph"/>
        <w:numPr>
          <w:ilvl w:val="0"/>
          <w:numId w:val="9"/>
        </w:numPr>
        <w:spacing w:line="480" w:lineRule="auto"/>
        <w:rPr>
          <w:rFonts w:ascii="Verdana" w:hAnsi="Verdana"/>
          <w:u w:val="single"/>
        </w:rPr>
      </w:pPr>
      <w:r w:rsidRPr="00C87CDF">
        <w:rPr>
          <w:rFonts w:ascii="Verdana" w:hAnsi="Verdana"/>
        </w:rPr>
        <w:t xml:space="preserve">Greater fiscal freedom is not only desirable, but also necessary </w:t>
      </w:r>
      <w:r w:rsidRPr="00C87CDF">
        <w:rPr>
          <w:rFonts w:ascii="Verdana" w:hAnsi="Verdana"/>
        </w:rPr>
        <w:t>to disrupt the dominance of Whitehall and enable MSAs to</w:t>
      </w:r>
      <w:r w:rsidRPr="00C87CDF">
        <w:rPr>
          <w:rFonts w:ascii="Verdana" w:hAnsi="Verdana"/>
        </w:rPr>
        <w:t xml:space="preserve"> respond swiftly to local challenges, and </w:t>
      </w:r>
      <w:r w:rsidRPr="00C87CDF">
        <w:rPr>
          <w:rFonts w:ascii="Verdana" w:hAnsi="Verdana"/>
        </w:rPr>
        <w:t xml:space="preserve">pursue innovative local opportunities that </w:t>
      </w:r>
      <w:r w:rsidRPr="00C87CDF">
        <w:rPr>
          <w:rFonts w:ascii="Verdana" w:hAnsi="Verdana"/>
        </w:rPr>
        <w:t xml:space="preserve">can help to address regional inequalities more effectively. </w:t>
      </w:r>
      <w:r w:rsidRPr="00C87CDF">
        <w:rPr>
          <w:rFonts w:ascii="Verdana" w:hAnsi="Verdana"/>
        </w:rPr>
        <w:t xml:space="preserve"> </w:t>
      </w:r>
    </w:p>
    <w:p w:rsidR="00E66308" w:rsidRPr="00C87CDF" w:rsidP="00C87CDF">
      <w:pPr>
        <w:pStyle w:val="ListParagraph"/>
        <w:numPr>
          <w:ilvl w:val="0"/>
          <w:numId w:val="9"/>
        </w:numPr>
        <w:spacing w:line="480" w:lineRule="auto"/>
        <w:rPr>
          <w:rFonts w:ascii="Verdana" w:hAnsi="Verdana"/>
          <w:u w:val="single"/>
        </w:rPr>
      </w:pPr>
      <w:r w:rsidRPr="00C87CDF">
        <w:rPr>
          <w:rFonts w:ascii="Verdana" w:hAnsi="Verdana"/>
        </w:rPr>
        <w:t>Establishing</w:t>
      </w:r>
      <w:r w:rsidRPr="00C87CDF">
        <w:rPr>
          <w:rFonts w:ascii="Verdana" w:hAnsi="Verdana"/>
        </w:rPr>
        <w:t xml:space="preserve"> this kind of </w:t>
      </w:r>
      <w:r w:rsidRPr="00C87CDF">
        <w:rPr>
          <w:rFonts w:ascii="Verdana" w:hAnsi="Verdana"/>
        </w:rPr>
        <w:t xml:space="preserve">clear and consistent rationale will be critical to informing </w:t>
      </w:r>
      <w:r w:rsidRPr="00C87CDF">
        <w:rPr>
          <w:rFonts w:ascii="Verdana" w:hAnsi="Verdana"/>
        </w:rPr>
        <w:t xml:space="preserve">the form of fiscal devolution that is most appropriate. Moreover, </w:t>
      </w:r>
      <w:r w:rsidRPr="00C87CDF">
        <w:rPr>
          <w:rFonts w:ascii="Verdana" w:hAnsi="Verdana"/>
        </w:rPr>
        <w:t xml:space="preserve">clarifying the aims of fiscal devolution in this way also presents an opportunity to </w:t>
      </w:r>
      <w:r w:rsidRPr="00C87CDF">
        <w:rPr>
          <w:rFonts w:ascii="Verdana" w:hAnsi="Verdana"/>
        </w:rPr>
        <w:t>reconcile</w:t>
      </w:r>
      <w:r w:rsidRPr="00C87CDF">
        <w:rPr>
          <w:rFonts w:ascii="Verdana" w:hAnsi="Verdana"/>
        </w:rPr>
        <w:t xml:space="preserve"> </w:t>
      </w:r>
      <w:r w:rsidRPr="00C87CDF">
        <w:rPr>
          <w:rFonts w:ascii="Verdana" w:hAnsi="Verdana"/>
        </w:rPr>
        <w:t xml:space="preserve">more fundamental tensions in the ambiguous justification of </w:t>
      </w:r>
      <w:r w:rsidRPr="00C87CDF">
        <w:rPr>
          <w:rFonts w:ascii="Verdana" w:hAnsi="Verdana"/>
        </w:rPr>
        <w:t xml:space="preserve">English devolution </w:t>
      </w:r>
      <w:r w:rsidRPr="00C87CDF">
        <w:rPr>
          <w:rFonts w:ascii="Verdana" w:hAnsi="Verdana"/>
        </w:rPr>
        <w:t xml:space="preserve">more broadly. </w:t>
      </w:r>
      <w:r w:rsidRPr="00C87CDF">
        <w:rPr>
          <w:rFonts w:ascii="Verdana" w:hAnsi="Verdana"/>
        </w:rPr>
        <w:t>Addressing this</w:t>
      </w:r>
      <w:r w:rsidRPr="00C87CDF">
        <w:rPr>
          <w:rFonts w:ascii="Verdana" w:hAnsi="Verdana"/>
        </w:rPr>
        <w:t>, we argue,</w:t>
      </w:r>
      <w:r w:rsidRPr="00C87CDF">
        <w:rPr>
          <w:rFonts w:ascii="Verdana" w:hAnsi="Verdana"/>
        </w:rPr>
        <w:t xml:space="preserve"> is critical to providing long-term stability for the devolution agenda</w:t>
      </w:r>
      <w:r w:rsidRPr="00C87CDF">
        <w:rPr>
          <w:rFonts w:ascii="Verdana" w:hAnsi="Verdana"/>
        </w:rPr>
        <w:t xml:space="preserve"> in England. </w:t>
      </w:r>
    </w:p>
    <w:p w:rsidR="00E66308" w:rsidRPr="00C87CDF" w:rsidP="00C87CDF">
      <w:pPr>
        <w:pStyle w:val="ListParagraph"/>
        <w:numPr>
          <w:ilvl w:val="0"/>
          <w:numId w:val="9"/>
        </w:numPr>
        <w:spacing w:line="480" w:lineRule="auto"/>
        <w:rPr>
          <w:rFonts w:ascii="Verdana" w:hAnsi="Verdana"/>
        </w:rPr>
      </w:pPr>
      <w:r w:rsidRPr="00C87CDF">
        <w:rPr>
          <w:rFonts w:ascii="Verdana" w:hAnsi="Verdana"/>
        </w:rPr>
        <w:t xml:space="preserve">However, whilst we are supportive of fiscal devolution, it should not be considered a magic bullet. Here we identify several key risks </w:t>
      </w:r>
      <w:r w:rsidRPr="00C87CDF">
        <w:rPr>
          <w:rFonts w:ascii="Verdana" w:hAnsi="Verdana"/>
        </w:rPr>
        <w:t xml:space="preserve">that must </w:t>
      </w:r>
      <w:r w:rsidRPr="00C87CDF">
        <w:rPr>
          <w:rFonts w:ascii="Verdana" w:hAnsi="Verdana"/>
        </w:rPr>
        <w:t xml:space="preserve">first </w:t>
      </w:r>
      <w:r w:rsidRPr="00C87CDF">
        <w:rPr>
          <w:rFonts w:ascii="Verdana" w:hAnsi="Verdana"/>
        </w:rPr>
        <w:t xml:space="preserve">be confronted </w:t>
      </w:r>
      <w:r w:rsidRPr="00C87CDF">
        <w:rPr>
          <w:rFonts w:ascii="Verdana" w:hAnsi="Verdana"/>
        </w:rPr>
        <w:t xml:space="preserve">in order for fiscal devolution to be successful. These include </w:t>
      </w:r>
      <w:r w:rsidRPr="00C87CDF">
        <w:rPr>
          <w:rFonts w:ascii="Verdana" w:hAnsi="Verdana"/>
        </w:rPr>
        <w:t xml:space="preserve">the </w:t>
      </w:r>
      <w:r w:rsidRPr="00C87CDF">
        <w:rPr>
          <w:rFonts w:ascii="Verdana" w:hAnsi="Verdana"/>
        </w:rPr>
        <w:t>risk of</w:t>
      </w:r>
      <w:r w:rsidRPr="00C87CDF">
        <w:rPr>
          <w:rFonts w:ascii="Verdana" w:hAnsi="Verdana"/>
        </w:rPr>
        <w:t xml:space="preserve"> entrench</w:t>
      </w:r>
      <w:r w:rsidRPr="00C87CDF">
        <w:rPr>
          <w:rFonts w:ascii="Verdana" w:hAnsi="Verdana"/>
        </w:rPr>
        <w:t>ing</w:t>
      </w:r>
      <w:r w:rsidRPr="00C87CDF">
        <w:rPr>
          <w:rFonts w:ascii="Verdana" w:hAnsi="Verdana"/>
        </w:rPr>
        <w:t xml:space="preserve"> geographical inequalities</w:t>
      </w:r>
      <w:r w:rsidRPr="00C87CDF">
        <w:rPr>
          <w:rFonts w:ascii="Verdana" w:hAnsi="Verdana"/>
        </w:rPr>
        <w:t xml:space="preserve"> further</w:t>
      </w:r>
      <w:r w:rsidRPr="00C87CDF">
        <w:rPr>
          <w:rFonts w:ascii="Verdana" w:hAnsi="Verdana"/>
        </w:rPr>
        <w:t xml:space="preserve"> by creating a</w:t>
      </w:r>
      <w:r w:rsidRPr="00C87CDF">
        <w:rPr>
          <w:rFonts w:ascii="Verdana" w:hAnsi="Verdana"/>
        </w:rPr>
        <w:t>n uneven</w:t>
      </w:r>
      <w:r w:rsidRPr="00C87CDF">
        <w:rPr>
          <w:rFonts w:ascii="Verdana" w:hAnsi="Verdana"/>
        </w:rPr>
        <w:t xml:space="preserve"> </w:t>
      </w:r>
      <w:r w:rsidRPr="00C87CDF">
        <w:rPr>
          <w:rFonts w:ascii="Verdana" w:hAnsi="Verdana"/>
        </w:rPr>
        <w:t>‘postcode lottery’</w:t>
      </w:r>
      <w:r w:rsidRPr="00C87CDF">
        <w:rPr>
          <w:rFonts w:ascii="Verdana" w:hAnsi="Verdana"/>
        </w:rPr>
        <w:t xml:space="preserve"> </w:t>
      </w:r>
      <w:r w:rsidRPr="00C87CDF">
        <w:rPr>
          <w:rFonts w:ascii="Verdana" w:hAnsi="Verdana"/>
        </w:rPr>
        <w:t xml:space="preserve">of fiscal </w:t>
      </w:r>
      <w:r w:rsidRPr="00C87CDF">
        <w:rPr>
          <w:rFonts w:ascii="Verdana" w:hAnsi="Verdana"/>
        </w:rPr>
        <w:t>power</w:t>
      </w:r>
      <w:r w:rsidRPr="00C87CDF">
        <w:rPr>
          <w:rFonts w:ascii="Verdana" w:hAnsi="Verdana"/>
        </w:rPr>
        <w:t xml:space="preserve"> across the country, as well as</w:t>
      </w:r>
      <w:r w:rsidRPr="00C87CDF">
        <w:rPr>
          <w:rFonts w:ascii="Verdana" w:hAnsi="Verdana"/>
        </w:rPr>
        <w:t xml:space="preserve"> </w:t>
      </w:r>
      <w:r w:rsidRPr="00C87CDF">
        <w:rPr>
          <w:rFonts w:ascii="Verdana" w:hAnsi="Verdana"/>
        </w:rPr>
        <w:t xml:space="preserve">the </w:t>
      </w:r>
      <w:r w:rsidRPr="00C87CDF">
        <w:rPr>
          <w:rFonts w:ascii="Verdana" w:hAnsi="Verdana"/>
        </w:rPr>
        <w:t>need</w:t>
      </w:r>
      <w:r w:rsidRPr="00C87CDF">
        <w:rPr>
          <w:rFonts w:ascii="Verdana" w:hAnsi="Verdana"/>
        </w:rPr>
        <w:t xml:space="preserve"> to </w:t>
      </w:r>
      <w:r w:rsidRPr="00C87CDF">
        <w:rPr>
          <w:rFonts w:ascii="Verdana" w:hAnsi="Verdana"/>
        </w:rPr>
        <w:t xml:space="preserve">develop sufficient </w:t>
      </w:r>
      <w:r w:rsidRPr="00C87CDF">
        <w:rPr>
          <w:rFonts w:ascii="Verdana" w:hAnsi="Verdana"/>
        </w:rPr>
        <w:t>institutional capacity within sub-national government</w:t>
      </w:r>
      <w:r w:rsidRPr="00C87CDF">
        <w:rPr>
          <w:rFonts w:ascii="Verdana" w:hAnsi="Verdana"/>
        </w:rPr>
        <w:t xml:space="preserve"> necessary to deliver fiscal devolution effectively</w:t>
      </w:r>
      <w:r w:rsidRPr="00C87CDF">
        <w:rPr>
          <w:rFonts w:ascii="Verdana" w:hAnsi="Verdana"/>
        </w:rPr>
        <w:t xml:space="preserve">. </w:t>
      </w:r>
    </w:p>
    <w:p w:rsidR="00E66308" w:rsidRPr="00C87CDF" w:rsidP="00C87CDF">
      <w:pPr>
        <w:spacing w:line="480" w:lineRule="auto"/>
        <w:rPr>
          <w:rFonts w:ascii="Verdana" w:hAnsi="Verdana"/>
          <w:u w:val="single"/>
        </w:rPr>
      </w:pPr>
    </w:p>
    <w:p w:rsidR="00E66308" w:rsidRPr="00C87CDF" w:rsidP="00C87CDF">
      <w:pPr>
        <w:spacing w:line="480" w:lineRule="auto"/>
        <w:rPr>
          <w:rFonts w:ascii="Verdana" w:hAnsi="Verdana"/>
          <w:u w:val="single"/>
        </w:rPr>
      </w:pPr>
      <w:r w:rsidRPr="00C87CDF">
        <w:rPr>
          <w:rFonts w:ascii="Verdana" w:hAnsi="Verdana"/>
          <w:u w:val="single"/>
        </w:rPr>
        <w:t>Evidence submission</w:t>
      </w:r>
    </w:p>
    <w:p w:rsidR="00E66308" w:rsidRPr="00C87CDF" w:rsidP="00C87CDF">
      <w:pPr>
        <w:spacing w:line="480" w:lineRule="auto"/>
        <w:rPr>
          <w:rFonts w:ascii="Verdana" w:hAnsi="Verdana"/>
        </w:rPr>
      </w:pPr>
      <w:r w:rsidRPr="00C87CDF">
        <w:rPr>
          <w:rFonts w:ascii="Verdana" w:hAnsi="Verdana"/>
        </w:rPr>
        <w:t>1. In this evidence submission we respond</w:t>
      </w:r>
      <w:r w:rsidRPr="00C87CDF">
        <w:rPr>
          <w:rFonts w:ascii="Verdana" w:hAnsi="Verdana"/>
        </w:rPr>
        <w:t xml:space="preserve"> directly </w:t>
      </w:r>
      <w:r w:rsidRPr="00C87CDF">
        <w:rPr>
          <w:rFonts w:ascii="Verdana" w:hAnsi="Verdana"/>
        </w:rPr>
        <w:t xml:space="preserve">to Question 1: </w:t>
      </w:r>
      <w:r w:rsidRPr="00C87CDF">
        <w:rPr>
          <w:rFonts w:ascii="Verdana" w:hAnsi="Verdana"/>
          <w:b/>
          <w:bCs/>
        </w:rPr>
        <w:t xml:space="preserve">What are the general aims of fiscal devolution? What can it achieve? </w:t>
      </w:r>
      <w:r w:rsidRPr="00C87CDF">
        <w:rPr>
          <w:rFonts w:ascii="Verdana" w:hAnsi="Verdana"/>
        </w:rPr>
        <w:t>However, in doing so</w:t>
      </w:r>
      <w:r w:rsidRPr="00C87CDF">
        <w:rPr>
          <w:rFonts w:ascii="Verdana" w:hAnsi="Verdana"/>
        </w:rPr>
        <w:t>, it should be recognised that</w:t>
      </w:r>
      <w:r w:rsidRPr="00C87CDF">
        <w:rPr>
          <w:rFonts w:ascii="Verdana" w:hAnsi="Verdana"/>
        </w:rPr>
        <w:t xml:space="preserve"> we </w:t>
      </w:r>
      <w:r w:rsidRPr="00C87CDF">
        <w:rPr>
          <w:rFonts w:ascii="Verdana" w:hAnsi="Verdana"/>
        </w:rPr>
        <w:t xml:space="preserve">nonetheless </w:t>
      </w:r>
      <w:r w:rsidRPr="00C87CDF">
        <w:rPr>
          <w:rFonts w:ascii="Verdana" w:hAnsi="Verdana"/>
        </w:rPr>
        <w:t>address</w:t>
      </w:r>
      <w:r w:rsidRPr="00C87CDF">
        <w:rPr>
          <w:rFonts w:ascii="Verdana" w:hAnsi="Verdana"/>
        </w:rPr>
        <w:t xml:space="preserve"> issues that are of relevance to </w:t>
      </w:r>
      <w:r w:rsidRPr="00C87CDF">
        <w:rPr>
          <w:rFonts w:ascii="Verdana" w:hAnsi="Verdana"/>
        </w:rPr>
        <w:t xml:space="preserve">other questions </w:t>
      </w:r>
      <w:r w:rsidRPr="00C87CDF">
        <w:rPr>
          <w:rFonts w:ascii="Verdana" w:hAnsi="Verdana"/>
        </w:rPr>
        <w:t xml:space="preserve">highlighted within </w:t>
      </w:r>
      <w:r w:rsidRPr="00C87CDF">
        <w:rPr>
          <w:rFonts w:ascii="Verdana" w:hAnsi="Verdana"/>
        </w:rPr>
        <w:t xml:space="preserve">the call for evidence, in particular Question 10: What risks does the Government need to consider in any further fiscal devolution? </w:t>
      </w:r>
    </w:p>
    <w:p w:rsidR="00E66308" w:rsidRPr="00C87CDF" w:rsidP="00C87CDF">
      <w:pPr>
        <w:spacing w:line="480" w:lineRule="auto"/>
        <w:rPr>
          <w:rFonts w:ascii="Verdana" w:hAnsi="Verdana"/>
        </w:rPr>
      </w:pPr>
      <w:r w:rsidRPr="00C87CDF">
        <w:rPr>
          <w:rFonts w:ascii="Verdana" w:hAnsi="Verdana"/>
        </w:rPr>
        <w:t>2</w:t>
      </w:r>
      <w:r w:rsidRPr="00C87CDF">
        <w:rPr>
          <w:rFonts w:ascii="Verdana" w:hAnsi="Verdana"/>
        </w:rPr>
        <w:t xml:space="preserve">. In our assessment, </w:t>
      </w:r>
      <w:r w:rsidRPr="00C87CDF">
        <w:rPr>
          <w:rFonts w:ascii="Verdana" w:hAnsi="Verdana"/>
        </w:rPr>
        <w:t>fiscal devolution represents a critical next step for devolution in England</w:t>
      </w:r>
      <w:r w:rsidRPr="00C87CDF">
        <w:rPr>
          <w:rFonts w:ascii="Verdana" w:hAnsi="Verdana"/>
        </w:rPr>
        <w:t xml:space="preserve">, with the potential to strengthen the </w:t>
      </w:r>
      <w:r w:rsidRPr="00C87CDF">
        <w:rPr>
          <w:rFonts w:ascii="Verdana" w:hAnsi="Verdana"/>
        </w:rPr>
        <w:t xml:space="preserve">resilience, capacity, and autonomy of Mayoral Strategic Authorities (MSAs) </w:t>
      </w:r>
      <w:r w:rsidRPr="00C87CDF">
        <w:rPr>
          <w:rFonts w:ascii="Verdana" w:hAnsi="Verdana"/>
        </w:rPr>
        <w:t xml:space="preserve">in ways that help to address deep-rooted </w:t>
      </w:r>
      <w:r w:rsidRPr="00C87CDF">
        <w:rPr>
          <w:rFonts w:ascii="Verdana" w:hAnsi="Verdana"/>
        </w:rPr>
        <w:t xml:space="preserve">inequalities of power and prosperity across the country. However, </w:t>
      </w:r>
      <w:r w:rsidRPr="00C87CDF">
        <w:rPr>
          <w:rFonts w:ascii="Verdana" w:hAnsi="Verdana"/>
        </w:rPr>
        <w:t>fiscal devolution</w:t>
      </w:r>
      <w:r w:rsidRPr="00C87CDF">
        <w:rPr>
          <w:rFonts w:ascii="Verdana" w:hAnsi="Verdana"/>
        </w:rPr>
        <w:t xml:space="preserve"> is not a magic bullet, and </w:t>
      </w:r>
      <w:r w:rsidRPr="00C87CDF">
        <w:rPr>
          <w:rFonts w:ascii="Verdana" w:hAnsi="Verdana"/>
        </w:rPr>
        <w:t xml:space="preserve">government must not be naïve to the risks </w:t>
      </w:r>
      <w:r w:rsidRPr="00C87CDF">
        <w:rPr>
          <w:rFonts w:ascii="Verdana" w:hAnsi="Verdana"/>
        </w:rPr>
        <w:t xml:space="preserve">associated </w:t>
      </w:r>
      <w:r w:rsidRPr="00C87CDF">
        <w:rPr>
          <w:rFonts w:ascii="Verdana" w:hAnsi="Verdana"/>
        </w:rPr>
        <w:t xml:space="preserve">with </w:t>
      </w:r>
      <w:r w:rsidRPr="00C87CDF">
        <w:rPr>
          <w:rFonts w:ascii="Verdana" w:hAnsi="Verdana"/>
        </w:rPr>
        <w:t xml:space="preserve">a transfer </w:t>
      </w:r>
      <w:r w:rsidRPr="00C87CDF">
        <w:rPr>
          <w:rFonts w:ascii="Verdana" w:hAnsi="Verdana"/>
        </w:rPr>
        <w:t xml:space="preserve">of tax and spend powers </w:t>
      </w:r>
      <w:r w:rsidRPr="00C87CDF">
        <w:rPr>
          <w:rFonts w:ascii="Verdana" w:hAnsi="Verdana"/>
        </w:rPr>
        <w:t xml:space="preserve">that is rushed, </w:t>
      </w:r>
      <w:r w:rsidRPr="00C87CDF">
        <w:rPr>
          <w:rFonts w:ascii="Verdana" w:hAnsi="Verdana"/>
        </w:rPr>
        <w:t>poorly-managed</w:t>
      </w:r>
      <w:r w:rsidRPr="00C87CDF">
        <w:rPr>
          <w:rFonts w:ascii="Verdana" w:hAnsi="Verdana"/>
        </w:rPr>
        <w:t>, or fails to build necessa</w:t>
      </w:r>
      <w:r w:rsidRPr="00C87CDF">
        <w:rPr>
          <w:rFonts w:ascii="Verdana" w:hAnsi="Verdana"/>
        </w:rPr>
        <w:t xml:space="preserve">ry capacity </w:t>
      </w:r>
      <w:r w:rsidRPr="00C87CDF">
        <w:rPr>
          <w:rFonts w:ascii="Verdana" w:hAnsi="Verdana"/>
        </w:rPr>
        <w:t xml:space="preserve">within MSAs </w:t>
      </w:r>
      <w:r w:rsidRPr="00C87CDF">
        <w:rPr>
          <w:rFonts w:ascii="Verdana" w:hAnsi="Verdana"/>
        </w:rPr>
        <w:t>in advance.</w:t>
      </w:r>
      <w:r w:rsidRPr="00C87CDF">
        <w:rPr>
          <w:rFonts w:ascii="Verdana" w:hAnsi="Verdana"/>
        </w:rPr>
        <w:t xml:space="preserve"> </w:t>
      </w:r>
    </w:p>
    <w:p w:rsidR="00E66308" w:rsidRPr="00C87CDF" w:rsidP="00C87CDF">
      <w:pPr>
        <w:spacing w:line="480" w:lineRule="auto"/>
        <w:rPr>
          <w:rFonts w:ascii="Verdana" w:hAnsi="Verdana"/>
        </w:rPr>
      </w:pPr>
      <w:r w:rsidRPr="00C87CDF">
        <w:rPr>
          <w:rFonts w:ascii="Verdana" w:hAnsi="Verdana"/>
        </w:rPr>
        <w:t>3. Currently</w:t>
      </w:r>
      <w:r w:rsidRPr="00C87CDF">
        <w:rPr>
          <w:rFonts w:ascii="Verdana" w:hAnsi="Verdana"/>
        </w:rPr>
        <w:t>,</w:t>
      </w:r>
      <w:r w:rsidRPr="00C87CDF">
        <w:rPr>
          <w:rFonts w:ascii="Verdana" w:hAnsi="Verdana"/>
        </w:rPr>
        <w:t xml:space="preserve"> the scope </w:t>
      </w:r>
      <w:r w:rsidRPr="00C87CDF">
        <w:rPr>
          <w:rFonts w:ascii="Verdana" w:hAnsi="Verdana"/>
        </w:rPr>
        <w:t xml:space="preserve">of fiscal devolution under consideration remains ill-defined. International comparison suggests that </w:t>
      </w:r>
      <w:r w:rsidRPr="00C87CDF">
        <w:rPr>
          <w:rFonts w:ascii="Verdana" w:hAnsi="Verdana"/>
        </w:rPr>
        <w:t xml:space="preserve">this can range from </w:t>
      </w:r>
      <w:r w:rsidRPr="00C87CDF">
        <w:rPr>
          <w:rFonts w:ascii="Verdana" w:hAnsi="Verdana"/>
        </w:rPr>
        <w:t>limited decentralisation</w:t>
      </w:r>
      <w:r w:rsidRPr="00C87CDF">
        <w:rPr>
          <w:rFonts w:ascii="Verdana" w:hAnsi="Verdana"/>
        </w:rPr>
        <w:t xml:space="preserve"> of </w:t>
      </w:r>
      <w:r w:rsidRPr="00C87CDF">
        <w:rPr>
          <w:rFonts w:ascii="Verdana" w:hAnsi="Verdana"/>
        </w:rPr>
        <w:t xml:space="preserve">specific </w:t>
      </w:r>
      <w:r w:rsidRPr="00C87CDF">
        <w:rPr>
          <w:rFonts w:ascii="Verdana" w:hAnsi="Verdana"/>
        </w:rPr>
        <w:t>tax-raising powers (</w:t>
      </w:r>
      <w:r w:rsidRPr="00C87CDF">
        <w:rPr>
          <w:rFonts w:ascii="Verdana" w:hAnsi="Verdana"/>
        </w:rPr>
        <w:t>such as</w:t>
      </w:r>
      <w:r w:rsidRPr="00C87CDF">
        <w:rPr>
          <w:rFonts w:ascii="Verdana" w:hAnsi="Verdana"/>
        </w:rPr>
        <w:t xml:space="preserve"> the introduction of</w:t>
      </w:r>
      <w:r w:rsidRPr="00C87CDF">
        <w:rPr>
          <w:rFonts w:ascii="Verdana" w:hAnsi="Verdana"/>
        </w:rPr>
        <w:t xml:space="preserve"> tourism taxes)</w:t>
      </w:r>
      <w:r w:rsidRPr="00C87CDF">
        <w:rPr>
          <w:rFonts w:ascii="Verdana" w:hAnsi="Verdana"/>
        </w:rPr>
        <w:t xml:space="preserve">, </w:t>
      </w:r>
      <w:r w:rsidRPr="00C87CDF">
        <w:rPr>
          <w:rFonts w:ascii="Verdana" w:hAnsi="Verdana"/>
        </w:rPr>
        <w:t xml:space="preserve">to </w:t>
      </w:r>
      <w:r w:rsidRPr="00C87CDF">
        <w:rPr>
          <w:rFonts w:ascii="Verdana" w:hAnsi="Verdana"/>
        </w:rPr>
        <w:t xml:space="preserve">the </w:t>
      </w:r>
      <w:r w:rsidRPr="00C87CDF">
        <w:rPr>
          <w:rFonts w:ascii="Verdana" w:hAnsi="Verdana"/>
        </w:rPr>
        <w:t>devolution of central</w:t>
      </w:r>
      <w:r w:rsidRPr="00C87CDF">
        <w:rPr>
          <w:rFonts w:ascii="Verdana" w:hAnsi="Verdana"/>
        </w:rPr>
        <w:t>ly-collected</w:t>
      </w:r>
      <w:r w:rsidRPr="00C87CDF">
        <w:rPr>
          <w:rFonts w:ascii="Verdana" w:hAnsi="Verdana"/>
        </w:rPr>
        <w:t xml:space="preserve"> taxes</w:t>
      </w:r>
      <w:r w:rsidRPr="00C87CDF">
        <w:rPr>
          <w:rFonts w:ascii="Verdana" w:hAnsi="Verdana"/>
        </w:rPr>
        <w:t xml:space="preserve"> (such as </w:t>
      </w:r>
      <w:r w:rsidRPr="00C87CDF">
        <w:rPr>
          <w:rFonts w:ascii="Verdana" w:hAnsi="Verdana"/>
        </w:rPr>
        <w:t xml:space="preserve">a portion of </w:t>
      </w:r>
      <w:r w:rsidRPr="00C87CDF">
        <w:rPr>
          <w:rFonts w:ascii="Verdana" w:hAnsi="Verdana"/>
        </w:rPr>
        <w:t>income</w:t>
      </w:r>
      <w:r w:rsidRPr="00C87CDF">
        <w:rPr>
          <w:rFonts w:ascii="Verdana" w:hAnsi="Verdana"/>
        </w:rPr>
        <w:t xml:space="preserve"> or business</w:t>
      </w:r>
      <w:r w:rsidRPr="00C87CDF">
        <w:rPr>
          <w:rFonts w:ascii="Verdana" w:hAnsi="Verdana"/>
        </w:rPr>
        <w:t xml:space="preserve"> tax)</w:t>
      </w:r>
      <w:r w:rsidRPr="00C87CDF">
        <w:rPr>
          <w:rFonts w:ascii="Verdana" w:hAnsi="Verdana"/>
        </w:rPr>
        <w:t>,</w:t>
      </w:r>
      <w:r w:rsidRPr="00C87CDF">
        <w:rPr>
          <w:rFonts w:ascii="Verdana" w:hAnsi="Verdana"/>
        </w:rPr>
        <w:t xml:space="preserve"> or </w:t>
      </w:r>
      <w:r w:rsidRPr="00C87CDF">
        <w:rPr>
          <w:rFonts w:ascii="Verdana" w:hAnsi="Verdana"/>
        </w:rPr>
        <w:t xml:space="preserve">even </w:t>
      </w:r>
      <w:r w:rsidRPr="00C87CDF">
        <w:rPr>
          <w:rFonts w:ascii="Verdana" w:hAnsi="Verdana"/>
        </w:rPr>
        <w:t>the</w:t>
      </w:r>
      <w:r w:rsidRPr="00C87CDF">
        <w:rPr>
          <w:rFonts w:ascii="Verdana" w:hAnsi="Verdana"/>
        </w:rPr>
        <w:t xml:space="preserve"> creation of locally-controlled tax regimes</w:t>
      </w:r>
      <w:r w:rsidRPr="00C87CDF">
        <w:rPr>
          <w:rFonts w:ascii="Verdana" w:hAnsi="Verdana"/>
        </w:rPr>
        <w:t xml:space="preserve"> (where sub-national governments </w:t>
      </w:r>
      <w:r w:rsidRPr="00C87CDF">
        <w:rPr>
          <w:rFonts w:ascii="Verdana" w:hAnsi="Verdana"/>
        </w:rPr>
        <w:t xml:space="preserve">possess significant fiscal autonomy and collect the majority of total tax </w:t>
      </w:r>
      <w:r w:rsidRPr="00C87CDF">
        <w:rPr>
          <w:rFonts w:ascii="Verdana" w:hAnsi="Verdana"/>
        </w:rPr>
        <w:t>revenue).</w:t>
      </w:r>
      <w:r>
        <w:rPr>
          <w:rStyle w:val="FootnoteReference"/>
          <w:rFonts w:ascii="Verdana" w:hAnsi="Verdana"/>
        </w:rPr>
        <w:footnoteReference w:id="2"/>
      </w:r>
      <w:r w:rsidRPr="00C87CDF">
        <w:rPr>
          <w:rFonts w:ascii="Verdana" w:hAnsi="Verdana"/>
        </w:rPr>
        <w:t xml:space="preserve"> </w:t>
      </w:r>
      <w:r w:rsidRPr="00C87CDF">
        <w:rPr>
          <w:rFonts w:ascii="Verdana" w:hAnsi="Verdana"/>
        </w:rPr>
        <w:t xml:space="preserve">To the extent that </w:t>
      </w:r>
      <w:r w:rsidRPr="00C87CDF">
        <w:rPr>
          <w:rFonts w:ascii="Verdana" w:hAnsi="Verdana"/>
        </w:rPr>
        <w:t xml:space="preserve">form </w:t>
      </w:r>
      <w:r w:rsidRPr="00C87CDF">
        <w:rPr>
          <w:rFonts w:ascii="Verdana" w:hAnsi="Verdana"/>
        </w:rPr>
        <w:t>should</w:t>
      </w:r>
      <w:r w:rsidRPr="00C87CDF">
        <w:rPr>
          <w:rFonts w:ascii="Verdana" w:hAnsi="Verdana"/>
        </w:rPr>
        <w:t xml:space="preserve"> follow function, we </w:t>
      </w:r>
      <w:r w:rsidRPr="00C87CDF">
        <w:rPr>
          <w:rFonts w:ascii="Verdana" w:hAnsi="Verdana"/>
        </w:rPr>
        <w:t>suggest</w:t>
      </w:r>
      <w:r w:rsidRPr="00C87CDF">
        <w:rPr>
          <w:rFonts w:ascii="Verdana" w:hAnsi="Verdana"/>
        </w:rPr>
        <w:t xml:space="preserve"> that </w:t>
      </w:r>
      <w:r w:rsidRPr="00C87CDF">
        <w:rPr>
          <w:rFonts w:ascii="Verdana" w:hAnsi="Verdana"/>
        </w:rPr>
        <w:t>establishing</w:t>
      </w:r>
      <w:r w:rsidRPr="00C87CDF">
        <w:rPr>
          <w:rFonts w:ascii="Verdana" w:hAnsi="Verdana"/>
        </w:rPr>
        <w:t xml:space="preserve"> clear and consistent aims </w:t>
      </w:r>
      <w:r w:rsidRPr="00C87CDF">
        <w:rPr>
          <w:rFonts w:ascii="Verdana" w:hAnsi="Verdana"/>
        </w:rPr>
        <w:t>for fiscal devolution</w:t>
      </w:r>
      <w:r w:rsidRPr="00C87CDF">
        <w:rPr>
          <w:rFonts w:ascii="Verdana" w:hAnsi="Verdana"/>
        </w:rPr>
        <w:t xml:space="preserve"> </w:t>
      </w:r>
      <w:r w:rsidRPr="00C87CDF">
        <w:rPr>
          <w:rFonts w:ascii="Verdana" w:hAnsi="Verdana"/>
        </w:rPr>
        <w:t xml:space="preserve">must </w:t>
      </w:r>
      <w:r w:rsidRPr="00C87CDF">
        <w:rPr>
          <w:rFonts w:ascii="Verdana" w:hAnsi="Verdana"/>
        </w:rPr>
        <w:t>therefore</w:t>
      </w:r>
      <w:r w:rsidRPr="00C87CDF">
        <w:rPr>
          <w:rFonts w:ascii="Verdana" w:hAnsi="Verdana"/>
        </w:rPr>
        <w:t xml:space="preserve"> </w:t>
      </w:r>
      <w:r w:rsidRPr="00C87CDF">
        <w:rPr>
          <w:rFonts w:ascii="Verdana" w:hAnsi="Verdana"/>
        </w:rPr>
        <w:t>be a priority</w:t>
      </w:r>
      <w:r w:rsidRPr="00C87CDF">
        <w:rPr>
          <w:rFonts w:ascii="Verdana" w:hAnsi="Verdana"/>
        </w:rPr>
        <w:t xml:space="preserve">, and a precondition for developing the </w:t>
      </w:r>
      <w:r w:rsidRPr="00C87CDF">
        <w:rPr>
          <w:rFonts w:ascii="Verdana" w:hAnsi="Verdana"/>
        </w:rPr>
        <w:t>proposals</w:t>
      </w:r>
      <w:r w:rsidRPr="00C87CDF">
        <w:rPr>
          <w:rFonts w:ascii="Verdana" w:hAnsi="Verdana"/>
        </w:rPr>
        <w:t xml:space="preserve"> for fiscal devolution </w:t>
      </w:r>
      <w:r w:rsidRPr="00C87CDF">
        <w:rPr>
          <w:rFonts w:ascii="Verdana" w:hAnsi="Verdana"/>
        </w:rPr>
        <w:t>that are</w:t>
      </w:r>
      <w:r w:rsidRPr="00C87CDF">
        <w:rPr>
          <w:rFonts w:ascii="Verdana" w:hAnsi="Verdana"/>
        </w:rPr>
        <w:t xml:space="preserve"> due to be published at this year’s Budget.</w:t>
      </w:r>
      <w:r>
        <w:rPr>
          <w:rStyle w:val="FootnoteReference"/>
          <w:rFonts w:ascii="Verdana" w:hAnsi="Verdana"/>
        </w:rPr>
        <w:footnoteReference w:id="3"/>
      </w:r>
      <w:r w:rsidRPr="00C87CDF">
        <w:rPr>
          <w:rFonts w:ascii="Verdana" w:hAnsi="Verdana"/>
        </w:rPr>
        <w:t xml:space="preserve">  These aims should be established not just within Government, but developed through dialogue with Mayors, officers, citizens, and other key stakeholders within MSA regions in order to provide reassurance, and maximise buy-in. </w:t>
      </w:r>
    </w:p>
    <w:p w:rsidR="00E66308" w:rsidRPr="00C87CDF" w:rsidP="00C87CDF">
      <w:pPr>
        <w:spacing w:line="480" w:lineRule="auto"/>
        <w:rPr>
          <w:rFonts w:ascii="Verdana" w:hAnsi="Verdana"/>
        </w:rPr>
      </w:pPr>
      <w:r w:rsidRPr="00C87CDF">
        <w:rPr>
          <w:rFonts w:ascii="Verdana" w:hAnsi="Verdana"/>
        </w:rPr>
        <w:t>4. Recent research by Heseltine Institute Research Associate, Dr James Hickson</w:t>
      </w:r>
      <w:r w:rsidRPr="00C87CDF">
        <w:rPr>
          <w:rFonts w:ascii="Verdana" w:hAnsi="Verdana"/>
        </w:rPr>
        <w:t xml:space="preserve"> and</w:t>
      </w:r>
      <w:r w:rsidRPr="00C87CDF">
        <w:rPr>
          <w:rFonts w:ascii="Verdana" w:hAnsi="Verdana"/>
        </w:rPr>
        <w:t xml:space="preserve"> Dr Jack Newman has emphasised the importance of establishing clear and consistent aims for devolution</w:t>
      </w:r>
      <w:r w:rsidRPr="00C87CDF">
        <w:rPr>
          <w:rFonts w:ascii="Verdana" w:hAnsi="Verdana"/>
        </w:rPr>
        <w:t xml:space="preserve"> more broadly</w:t>
      </w:r>
      <w:r w:rsidRPr="00C87CDF">
        <w:rPr>
          <w:rFonts w:ascii="Verdana" w:hAnsi="Verdana"/>
        </w:rPr>
        <w:t>.</w:t>
      </w:r>
      <w:r>
        <w:rPr>
          <w:rStyle w:val="FootnoteReference"/>
          <w:rFonts w:ascii="Verdana" w:hAnsi="Verdana"/>
        </w:rPr>
        <w:footnoteReference w:id="4"/>
      </w:r>
      <w:r w:rsidRPr="00C87CDF">
        <w:rPr>
          <w:rFonts w:ascii="Verdana" w:hAnsi="Verdana"/>
        </w:rPr>
        <w:t xml:space="preserve"> Their findings highlight how three very different </w:t>
      </w:r>
      <w:r w:rsidRPr="00C87CDF">
        <w:rPr>
          <w:rFonts w:ascii="Verdana" w:hAnsi="Verdana"/>
        </w:rPr>
        <w:t>arguments have been mobilised by successive governments to rhetorically justify processes of devolution in England. These arguments are: (i) that it enhances democracy; (ii) that it promotes policy efficacy and government efficiency; and (iii) that it disrupts concentrations of power. However, to the extent that these justifications have been used flexibly, inconsistently, and in ways that have not been uniformly matched by delivery, policymakers risk undermining the stability of the devolution project as a</w:t>
      </w:r>
      <w:r w:rsidRPr="00C87CDF">
        <w:rPr>
          <w:rFonts w:ascii="Verdana" w:hAnsi="Verdana"/>
        </w:rPr>
        <w:t xml:space="preserve"> </w:t>
      </w:r>
      <w:r w:rsidRPr="00C87CDF">
        <w:rPr>
          <w:rFonts w:ascii="Verdana" w:hAnsi="Verdana"/>
        </w:rPr>
        <w:t>whole. The lack of clear and consistent aims for English devolution not only risks undermining public trust in, and affinity with, MSAs, but also leaves them vulnerable to a populist backlash where they fail to deliver on the stated aims of democratisation, local empowerment, and the promotion of economic growth. The development of proposals for fiscal devolution therefore presents an opportunity to confront and reconcile these tensions, and provide more stable foundations for the English devolution agenda</w:t>
      </w:r>
      <w:r w:rsidRPr="00C87CDF">
        <w:rPr>
          <w:rFonts w:ascii="Verdana" w:hAnsi="Verdana"/>
        </w:rPr>
        <w:t xml:space="preserve"> as whole.</w:t>
      </w:r>
    </w:p>
    <w:p w:rsidR="00E66308" w:rsidRPr="00C87CDF" w:rsidP="00C87CDF">
      <w:pPr>
        <w:spacing w:line="480" w:lineRule="auto"/>
        <w:rPr>
          <w:rFonts w:ascii="Verdana" w:hAnsi="Verdana"/>
        </w:rPr>
      </w:pPr>
      <w:r w:rsidRPr="00C87CDF">
        <w:rPr>
          <w:rFonts w:ascii="Verdana" w:hAnsi="Verdana"/>
        </w:rPr>
        <w:t>5. In her 2026 Mais Lecture, the Chancellor, Rachel Reeves, emphasised the interrelationship between Britain’s centralised political system and the scale of regional inequality seen within the country.</w:t>
      </w:r>
      <w:r>
        <w:rPr>
          <w:rStyle w:val="FootnoteReference"/>
          <w:rFonts w:ascii="Verdana" w:hAnsi="Verdana"/>
        </w:rPr>
        <w:footnoteReference w:id="5"/>
      </w:r>
      <w:r w:rsidRPr="00C87CDF">
        <w:rPr>
          <w:rFonts w:ascii="Verdana" w:hAnsi="Verdana"/>
        </w:rPr>
        <w:t xml:space="preserve"> Through developing her ‘securonomics’ approach to economic policy, Reeves has emphasised the extent to which regional inequality, and the tangible impacts this has on people’s lived experience of the economy, have undermined the United Kingdom’s economic resilience and its capacity for wealth creation in an age of global volatility and rapid transformation.</w:t>
      </w:r>
      <w:r>
        <w:rPr>
          <w:rStyle w:val="FootnoteReference"/>
          <w:rFonts w:ascii="Verdana" w:hAnsi="Verdana"/>
        </w:rPr>
        <w:footnoteReference w:id="6"/>
      </w:r>
      <w:r w:rsidRPr="00C87CDF">
        <w:rPr>
          <w:rFonts w:ascii="Verdana" w:hAnsi="Verdana"/>
        </w:rPr>
        <w:t xml:space="preserve"> The need to address the UK’s unequal political geography, and improve economic resilience, then, informs the Chancellor’s support for deeper devolution in England, including the exploration of plans for fiscal devolution. On her analysis, economic reform cannot be delivered by maintaining a “top-down, ‘Whitehall knows best’ approach” but instead requires “genuine </w:t>
      </w:r>
      <w:r w:rsidRPr="00C87CDF">
        <w:rPr>
          <w:rFonts w:ascii="Verdana" w:hAnsi="Verdana"/>
        </w:rPr>
        <w:t xml:space="preserve">decentralisation of power to Britain’s nations and regions”, where local leaders have a better understanding of the challenges and opportunities </w:t>
      </w:r>
      <w:r w:rsidRPr="00C87CDF">
        <w:rPr>
          <w:rFonts w:ascii="Verdana" w:hAnsi="Verdana"/>
        </w:rPr>
        <w:t>associated with their local economies, as well as the established partnerships with businesses and anchor institutions necessary for coordinating and delivering change.</w:t>
      </w:r>
      <w:r>
        <w:rPr>
          <w:rStyle w:val="FootnoteReference"/>
          <w:rFonts w:ascii="Verdana" w:hAnsi="Verdana"/>
        </w:rPr>
        <w:footnoteReference w:id="7"/>
      </w:r>
      <w:r w:rsidRPr="00C87CDF">
        <w:rPr>
          <w:rFonts w:ascii="Verdana" w:hAnsi="Verdana"/>
        </w:rPr>
        <w:t xml:space="preserve"> </w:t>
      </w:r>
    </w:p>
    <w:p w:rsidR="00E66308" w:rsidRPr="00C87CDF" w:rsidP="00C87CDF">
      <w:pPr>
        <w:spacing w:line="480" w:lineRule="auto"/>
        <w:rPr>
          <w:rFonts w:ascii="Verdana" w:hAnsi="Verdana"/>
        </w:rPr>
      </w:pPr>
      <w:r w:rsidRPr="00C87CDF">
        <w:rPr>
          <w:rFonts w:ascii="Verdana" w:hAnsi="Verdana"/>
        </w:rPr>
        <w:t xml:space="preserve">6. This aligns with the long-standing analysis of the Heseltine Institute that further devolution is required to provide the local autonomy necessary to address deep-rooted spatial inequalities. For example, in evidence submitted to the Productivity Commission in 2021, we highlighted that empowering English city-regions with more freedom and flexibility in fiscal policy would provide them with more resources, flexibility, and certainty necessary to address the barriers to economic prosperity. Such barriers </w:t>
      </w:r>
      <w:r w:rsidRPr="00C87CDF">
        <w:rPr>
          <w:rFonts w:ascii="Verdana" w:hAnsi="Verdana"/>
        </w:rPr>
        <w:t>are particularly evident in areas such as Liverpool City Region, where inequalities in employment, housing, skills, health, and connectivity contribute to persistent productivity gaps with the rest of the country.</w:t>
      </w:r>
      <w:r>
        <w:rPr>
          <w:rStyle w:val="FootnoteReference"/>
          <w:rFonts w:ascii="Verdana" w:hAnsi="Verdana"/>
        </w:rPr>
        <w:footnoteReference w:id="8"/>
      </w:r>
      <w:r w:rsidRPr="00C87CDF">
        <w:rPr>
          <w:rFonts w:ascii="Verdana" w:hAnsi="Verdana"/>
        </w:rPr>
        <w:t xml:space="preserve"> </w:t>
      </w:r>
    </w:p>
    <w:p w:rsidR="00E66308" w:rsidRPr="00C87CDF" w:rsidP="00C87CDF">
      <w:pPr>
        <w:spacing w:line="480" w:lineRule="auto"/>
        <w:rPr>
          <w:rFonts w:ascii="Verdana" w:hAnsi="Verdana"/>
        </w:rPr>
      </w:pPr>
      <w:r w:rsidRPr="00C87CDF">
        <w:rPr>
          <w:rFonts w:ascii="Verdana" w:hAnsi="Verdana"/>
        </w:rPr>
        <w:t xml:space="preserve">7. However, local autonomy has remained tightly constrained despite recent moves to deepen devolution in MSA regions. As Heseltine Institute Fellow, Dr Tom Arnold, outlined in a recent policy briefing, this has been exemplified recently by the development of Local Growth Plans which, </w:t>
      </w:r>
      <w:r w:rsidRPr="00C87CDF">
        <w:rPr>
          <w:rFonts w:ascii="Verdana" w:hAnsi="Verdana"/>
        </w:rPr>
        <w:t>whilst typically presented as locally-shaped strategies “largely function as instruments for delivering nationally defined industrial priorities, limiting their ability to fully reflect local strengths”.</w:t>
      </w:r>
      <w:r>
        <w:rPr>
          <w:rStyle w:val="FootnoteReference"/>
          <w:rFonts w:ascii="Verdana" w:hAnsi="Verdana"/>
        </w:rPr>
        <w:footnoteReference w:id="9"/>
      </w:r>
      <w:r w:rsidRPr="00C87CDF">
        <w:rPr>
          <w:rFonts w:ascii="Verdana" w:hAnsi="Verdana"/>
        </w:rPr>
        <w:t xml:space="preserve"> Greater local autonomy is required if MSAs are to work to improve economic resilience and prosperity in a way that is meaningfully place-based and place-led. </w:t>
      </w:r>
    </w:p>
    <w:p w:rsidR="00E66308" w:rsidRPr="00C87CDF" w:rsidP="00C87CDF">
      <w:pPr>
        <w:spacing w:line="480" w:lineRule="auto"/>
        <w:rPr>
          <w:rFonts w:ascii="Verdana" w:hAnsi="Verdana"/>
        </w:rPr>
      </w:pPr>
      <w:r w:rsidRPr="00C87CDF">
        <w:rPr>
          <w:rFonts w:ascii="Verdana" w:hAnsi="Verdana"/>
        </w:rPr>
        <w:t>8. Fiscal devolution has the potential to provide the conditions for this kind of autonomy. As a recent report by Heseltine Institute Fellows Dr Paul Anderson and Dr Tom Arnold has argued, without serious fiscal devolution MSAs will continue to be reliant on government funding and approval for projects. This limits the capacity of MSAs to experiment and innovate, and blocks the transmission of policy learning back into central government. Indeed, government should see MSAs as ideal spaces for policy experim</w:t>
      </w:r>
      <w:r w:rsidRPr="00C87CDF">
        <w:rPr>
          <w:rFonts w:ascii="Verdana" w:hAnsi="Verdana"/>
        </w:rPr>
        <w:t>entation, with lessons derived from the development and implementation of new ideas fed back into national policymaking processes.</w:t>
      </w:r>
      <w:r>
        <w:rPr>
          <w:rStyle w:val="FootnoteReference"/>
          <w:rFonts w:ascii="Verdana" w:hAnsi="Verdana"/>
        </w:rPr>
        <w:footnoteReference w:id="10"/>
      </w:r>
      <w:r w:rsidRPr="00C87CDF">
        <w:rPr>
          <w:rFonts w:ascii="Verdana" w:hAnsi="Verdana"/>
        </w:rPr>
        <w:t xml:space="preserve"> </w:t>
      </w:r>
    </w:p>
    <w:p w:rsidR="00E66308" w:rsidRPr="00C87CDF" w:rsidP="00C87CDF">
      <w:pPr>
        <w:spacing w:line="480" w:lineRule="auto"/>
        <w:rPr>
          <w:rFonts w:ascii="Verdana" w:hAnsi="Verdana"/>
        </w:rPr>
      </w:pPr>
      <w:r w:rsidRPr="00C87CDF">
        <w:rPr>
          <w:rFonts w:ascii="Verdana" w:hAnsi="Verdana"/>
        </w:rPr>
        <w:t>9. Likewise, a recent blog by Heseltine Institute Policy Analyst, Dr Roger Baxter</w:t>
      </w:r>
      <w:r w:rsidRPr="00C87CDF">
        <w:rPr>
          <w:rFonts w:ascii="Verdana" w:hAnsi="Verdana"/>
        </w:rPr>
        <w:t>, responding</w:t>
      </w:r>
      <w:r w:rsidRPr="00C87CDF">
        <w:rPr>
          <w:rFonts w:ascii="Verdana" w:hAnsi="Verdana"/>
        </w:rPr>
        <w:t xml:space="preserve"> </w:t>
      </w:r>
      <w:r w:rsidRPr="00C87CDF">
        <w:rPr>
          <w:rFonts w:ascii="Verdana" w:hAnsi="Verdana"/>
        </w:rPr>
        <w:t xml:space="preserve">to the UK </w:t>
      </w:r>
      <w:r w:rsidRPr="00C87CDF">
        <w:rPr>
          <w:rFonts w:ascii="Verdana" w:hAnsi="Verdana"/>
        </w:rPr>
        <w:t>I</w:t>
      </w:r>
      <w:r w:rsidRPr="00C87CDF">
        <w:rPr>
          <w:rFonts w:ascii="Verdana" w:hAnsi="Verdana"/>
        </w:rPr>
        <w:t xml:space="preserve">ndustrial </w:t>
      </w:r>
      <w:r w:rsidRPr="00C87CDF">
        <w:rPr>
          <w:rFonts w:ascii="Verdana" w:hAnsi="Verdana"/>
        </w:rPr>
        <w:t>S</w:t>
      </w:r>
      <w:r w:rsidRPr="00C87CDF">
        <w:rPr>
          <w:rFonts w:ascii="Verdana" w:hAnsi="Verdana"/>
        </w:rPr>
        <w:t xml:space="preserve">trategy, </w:t>
      </w:r>
      <w:r w:rsidRPr="00C87CDF">
        <w:rPr>
          <w:rFonts w:ascii="Verdana" w:hAnsi="Verdana"/>
        </w:rPr>
        <w:t xml:space="preserve">has highlighted how fiscal devolution can help to empower the MSAs to make decisions more swiftly and effectively. For example, the speed of local decision-making can be particularly critical with regards to making strategic sites </w:t>
      </w:r>
      <w:r w:rsidRPr="00C87CDF">
        <w:rPr>
          <w:rFonts w:ascii="Verdana" w:hAnsi="Verdana"/>
        </w:rPr>
        <w:t>investment-ready and enabling MSAs to crowd-in private investment and support regeneration.</w:t>
      </w:r>
      <w:r>
        <w:rPr>
          <w:rStyle w:val="FootnoteReference"/>
          <w:rFonts w:ascii="Verdana" w:hAnsi="Verdana"/>
        </w:rPr>
        <w:footnoteReference w:id="11"/>
      </w:r>
      <w:r w:rsidRPr="00C87CDF">
        <w:rPr>
          <w:rFonts w:ascii="Verdana" w:hAnsi="Verdana"/>
        </w:rPr>
        <w:t xml:space="preserve"> The speed of decision-making is also critical in the face of an accelerating climate emergency, where a coordinated and systematic transition to net zero is urgently required across UK city-regions. As we argued in our recent report, </w:t>
      </w:r>
      <w:r w:rsidRPr="00C87CDF">
        <w:rPr>
          <w:rFonts w:ascii="Verdana" w:hAnsi="Verdana"/>
          <w:i/>
          <w:iCs/>
        </w:rPr>
        <w:t>Liverpool City Region: A Net Zero Manifesto</w:t>
      </w:r>
      <w:r w:rsidRPr="00C87CDF">
        <w:rPr>
          <w:rFonts w:ascii="Verdana" w:hAnsi="Verdana"/>
        </w:rPr>
        <w:t>, published in partnership with the Liverpool City Region All Party Parliamentary Group, deeper devolution, including fiscal devolution will be needed to support MSAs to drive forward the initiatives necessary to reach government targ</w:t>
      </w:r>
      <w:r w:rsidRPr="00C87CDF">
        <w:rPr>
          <w:rFonts w:ascii="Verdana" w:hAnsi="Verdana"/>
        </w:rPr>
        <w:t xml:space="preserve">ets for net zero. </w:t>
      </w:r>
    </w:p>
    <w:p w:rsidR="00E66308" w:rsidRPr="00C87CDF" w:rsidP="00C87CDF">
      <w:pPr>
        <w:spacing w:line="480" w:lineRule="auto"/>
        <w:rPr>
          <w:rFonts w:ascii="Verdana" w:hAnsi="Verdana"/>
        </w:rPr>
      </w:pPr>
      <w:r w:rsidRPr="00C87CDF">
        <w:rPr>
          <w:rFonts w:ascii="Verdana" w:hAnsi="Verdana"/>
        </w:rPr>
        <w:t>10. The rollout of integrated settlements across six M</w:t>
      </w:r>
      <w:r w:rsidRPr="00C87CDF">
        <w:rPr>
          <w:rFonts w:ascii="Verdana" w:hAnsi="Verdana"/>
        </w:rPr>
        <w:t>S</w:t>
      </w:r>
      <w:r w:rsidRPr="00C87CDF">
        <w:rPr>
          <w:rFonts w:ascii="Verdana" w:hAnsi="Verdana"/>
        </w:rPr>
        <w:t>As from April 2026 represents an important first practical test of how mayors will exercise new powers under fiscal devolution. For the Liverpool City Region, bringing together funding for housing, transport, skills, local growth and business support into a single, flexible pot is seen as a game changer, marking a decisive shift away from fragmented, centrally administered grants towards a more strategic and locally controlled model.</w:t>
      </w:r>
      <w:r w:rsidRPr="00C87CDF">
        <w:rPr>
          <w:rStyle w:val="FootnoteReference"/>
          <w:rFonts w:ascii="Verdana" w:hAnsi="Verdana"/>
        </w:rPr>
        <w:t xml:space="preserve"> </w:t>
      </w:r>
      <w:r>
        <w:rPr>
          <w:rStyle w:val="FootnoteReference"/>
          <w:rFonts w:ascii="Verdana" w:hAnsi="Verdana"/>
        </w:rPr>
        <w:footnoteReference w:id="12"/>
      </w:r>
      <w:r w:rsidRPr="00C87CDF">
        <w:rPr>
          <w:rFonts w:ascii="Verdana" w:hAnsi="Verdana"/>
        </w:rPr>
        <w:t xml:space="preserve"> It provides greater choice, control and stability, enabling the Combined Authority to take longer-term decisions and invest in priorities that drive growth and improve outcomes for local communities. In parallel, following confirmation of the Overnight Visitor Levy, the Liverpool City Region will </w:t>
      </w:r>
      <w:r w:rsidRPr="00C87CDF">
        <w:rPr>
          <w:rFonts w:ascii="Verdana" w:hAnsi="Verdana"/>
        </w:rPr>
        <w:t>undertake extensive local consultation to refine its approach ahead of implementation. Taken together, these developments represent a significant step forward, generating important lessons on governance, accountab</w:t>
      </w:r>
      <w:r w:rsidRPr="00C87CDF">
        <w:rPr>
          <w:rFonts w:ascii="Verdana" w:hAnsi="Verdana"/>
        </w:rPr>
        <w:t>ility and capacity that should inform future decisions on deepening fiscal devolution across England.</w:t>
      </w:r>
    </w:p>
    <w:p w:rsidR="00E66308" w:rsidRPr="00C87CDF" w:rsidP="00C87CDF">
      <w:pPr>
        <w:spacing w:line="480" w:lineRule="auto"/>
        <w:rPr>
          <w:rFonts w:ascii="Verdana" w:hAnsi="Verdana"/>
        </w:rPr>
      </w:pPr>
      <w:r w:rsidRPr="00C87CDF">
        <w:rPr>
          <w:rFonts w:ascii="Verdana" w:hAnsi="Verdana"/>
        </w:rPr>
        <w:t>11. While further fiscal devolution can strengthen local autonomy and better align funding with local priorities, it also carries the risk of entrenching geographical inequalities – particularly in areas with more limited capacity to generate revenue locally. Approaches such as that being developed in the Liverpool City Region, which emphasise progressive, place-based economic development within a more flexible funding framework, demonstrate how these risks can be mitigated in practice and help address conc</w:t>
      </w:r>
      <w:r w:rsidRPr="00C87CDF">
        <w:rPr>
          <w:rFonts w:ascii="Verdana" w:hAnsi="Verdana"/>
        </w:rPr>
        <w:t xml:space="preserve">erns around a ‘postcode lottery’. This position is reinforced by the Fabian Society’s </w:t>
      </w:r>
      <w:r w:rsidRPr="00C87CDF">
        <w:rPr>
          <w:rFonts w:ascii="Verdana" w:hAnsi="Verdana"/>
          <w:i/>
          <w:iCs/>
        </w:rPr>
        <w:t>Equality and Empowerment</w:t>
      </w:r>
      <w:r w:rsidRPr="00C87CDF">
        <w:rPr>
          <w:rFonts w:ascii="Verdana" w:hAnsi="Verdana"/>
        </w:rPr>
        <w:t xml:space="preserve"> report,</w:t>
      </w:r>
      <w:r w:rsidRPr="00C87CDF">
        <w:rPr>
          <w:rStyle w:val="FootnoteReference"/>
          <w:rFonts w:ascii="Verdana" w:hAnsi="Verdana"/>
        </w:rPr>
        <w:t xml:space="preserve"> </w:t>
      </w:r>
      <w:r w:rsidRPr="00C87CDF">
        <w:rPr>
          <w:rFonts w:ascii="Verdana" w:hAnsi="Verdana"/>
        </w:rPr>
        <w:t>which sets out a progressive model of devolution designed to balance equity with local control and explicitly challenge fears of postcode disparities and a ‘race to the bottom’ in local taxation.</w:t>
      </w:r>
      <w:r w:rsidRPr="00C87CDF">
        <w:rPr>
          <w:rStyle w:val="FootnoteReference"/>
          <w:rFonts w:ascii="Verdana" w:hAnsi="Verdana"/>
        </w:rPr>
        <w:t xml:space="preserve"> </w:t>
      </w:r>
      <w:r>
        <w:rPr>
          <w:rStyle w:val="FootnoteReference"/>
          <w:rFonts w:ascii="Verdana" w:hAnsi="Verdana"/>
        </w:rPr>
        <w:footnoteReference w:id="13"/>
      </w:r>
      <w:r w:rsidRPr="00C87CDF">
        <w:rPr>
          <w:rFonts w:ascii="Verdana" w:hAnsi="Verdana"/>
        </w:rPr>
        <w:t xml:space="preserve"> </w:t>
      </w:r>
      <w:r w:rsidRPr="00C87CDF">
        <w:rPr>
          <w:rFonts w:ascii="Verdana" w:hAnsi="Verdana"/>
        </w:rPr>
        <w:t xml:space="preserve"> The report argues that such risks are often overstated and are, in fact, already present within England’s highly centralised system. Moreover, a well-designed model, grounded in redistribution and underpinned by national standards, can reduce rather than exacerbate spatial inequalities.</w:t>
      </w:r>
    </w:p>
    <w:p w:rsidR="00E66308" w:rsidRPr="00C87CDF" w:rsidP="00C87CDF">
      <w:pPr>
        <w:spacing w:line="480" w:lineRule="auto"/>
        <w:rPr>
          <w:rFonts w:ascii="Verdana" w:hAnsi="Verdana"/>
        </w:rPr>
      </w:pPr>
      <w:r w:rsidRPr="00C87CDF">
        <w:rPr>
          <w:rFonts w:ascii="Verdana" w:hAnsi="Verdana"/>
        </w:rPr>
        <w:t xml:space="preserve">12. Another potential risk relates to institutional capacity. </w:t>
      </w:r>
      <w:r w:rsidRPr="00C87CDF">
        <w:rPr>
          <w:rFonts w:ascii="Verdana" w:hAnsi="Verdana"/>
        </w:rPr>
        <w:t>The Heseltine Institute’s</w:t>
      </w:r>
      <w:r w:rsidRPr="00C87CDF">
        <w:rPr>
          <w:rFonts w:ascii="Verdana" w:hAnsi="Verdana"/>
        </w:rPr>
        <w:t xml:space="preserve"> joint report with the Local Policy Innovation Partnership Hub on the </w:t>
      </w:r>
      <w:r w:rsidRPr="00C87CDF">
        <w:rPr>
          <w:rFonts w:ascii="Verdana" w:hAnsi="Verdana"/>
          <w:i/>
          <w:iCs/>
        </w:rPr>
        <w:t>Seven Essentials of Effective Place-Based Growth</w:t>
      </w:r>
      <w:r w:rsidRPr="00C87CDF">
        <w:rPr>
          <w:rFonts w:ascii="Verdana" w:hAnsi="Verdana"/>
          <w:i/>
          <w:iCs/>
        </w:rPr>
        <w:t xml:space="preserve"> </w:t>
      </w:r>
      <w:r w:rsidRPr="00C87CDF">
        <w:rPr>
          <w:rFonts w:ascii="Verdana" w:hAnsi="Verdana"/>
        </w:rPr>
        <w:t>highlights strong evidence of a system-wide ‘place capacity gap’.</w:t>
      </w:r>
      <w:r w:rsidRPr="00C87CDF">
        <w:rPr>
          <w:rStyle w:val="FootnoteReference"/>
          <w:rFonts w:ascii="Verdana" w:hAnsi="Verdana"/>
        </w:rPr>
        <w:t xml:space="preserve"> </w:t>
      </w:r>
      <w:r>
        <w:rPr>
          <w:rStyle w:val="FootnoteReference"/>
          <w:rFonts w:ascii="Verdana" w:hAnsi="Verdana"/>
        </w:rPr>
        <w:footnoteReference w:id="14"/>
      </w:r>
      <w:r w:rsidRPr="00C87CDF">
        <w:rPr>
          <w:rFonts w:ascii="Verdana" w:hAnsi="Verdana"/>
        </w:rPr>
        <w:t xml:space="preserve"> </w:t>
      </w:r>
      <w:r w:rsidRPr="00C87CDF">
        <w:rPr>
          <w:rFonts w:ascii="Verdana" w:hAnsi="Verdana"/>
        </w:rPr>
        <w:t xml:space="preserve"> English local authority core funding is 18% lower in real terms per person in 2024/25 than it was in 2010/11.</w:t>
      </w:r>
      <w:r>
        <w:rPr>
          <w:rStyle w:val="FootnoteReference"/>
          <w:rFonts w:ascii="Verdana" w:hAnsi="Verdana"/>
        </w:rPr>
        <w:footnoteReference w:id="15"/>
      </w:r>
      <w:r w:rsidRPr="00C87CDF">
        <w:rPr>
          <w:rFonts w:ascii="Verdana" w:hAnsi="Verdana"/>
        </w:rPr>
        <w:t xml:space="preserve"> As a result, the capacity of local authorities to make strategic evidence-informed decisions has reduced dramatically. This suggests that institutional capability may prove to be</w:t>
      </w:r>
      <w:r w:rsidRPr="00C87CDF">
        <w:rPr>
          <w:rFonts w:ascii="Verdana" w:hAnsi="Verdana"/>
        </w:rPr>
        <w:t xml:space="preserve"> a binding constraint on the effectiveness of fiscal devolution and therefore must be addressed alongside any transfer of powers. This gap is rooted in long-term funding reductions, fragmented funding arrangements, and limited capability within local institutions, all of which risk constraining delivery and weakening the impact of devolved responsibilities if left unaddressed.</w:t>
      </w:r>
    </w:p>
    <w:p w:rsidR="00E66308" w:rsidRPr="00C87CDF" w:rsidP="00C87CDF">
      <w:pPr>
        <w:spacing w:line="480" w:lineRule="auto"/>
        <w:rPr>
          <w:rFonts w:ascii="Verdana" w:hAnsi="Verdana"/>
        </w:rPr>
      </w:pPr>
      <w:r w:rsidRPr="00C87CDF">
        <w:rPr>
          <w:rFonts w:ascii="Verdana" w:hAnsi="Verdana"/>
        </w:rPr>
        <w:t>13. A</w:t>
      </w:r>
      <w:r w:rsidRPr="00C87CDF">
        <w:rPr>
          <w:rFonts w:ascii="Verdana" w:hAnsi="Verdana"/>
        </w:rPr>
        <w:t xml:space="preserve"> further</w:t>
      </w:r>
      <w:r w:rsidRPr="00C87CDF">
        <w:rPr>
          <w:rFonts w:ascii="Verdana" w:hAnsi="Verdana"/>
        </w:rPr>
        <w:t xml:space="preserve"> important enabling condition for effective fiscal devolution is planning reform. Across his work, Heseltine Institute Visiting Professor Ian Wray consistently points to the need to rebuild strategic planning capacity at a regional scale as an essential complement to devolution, enabling local leaders to move beyond reactive decision-making and support coordinated, place-based growth.</w:t>
      </w:r>
      <w:r w:rsidRPr="00C87CDF">
        <w:rPr>
          <w:rStyle w:val="FootnoteReference"/>
          <w:rFonts w:ascii="Verdana" w:hAnsi="Verdana"/>
        </w:rPr>
        <w:t xml:space="preserve"> </w:t>
      </w:r>
      <w:r>
        <w:rPr>
          <w:rStyle w:val="FootnoteReference"/>
          <w:rFonts w:ascii="Verdana" w:hAnsi="Verdana"/>
        </w:rPr>
        <w:footnoteReference w:id="16"/>
      </w:r>
      <w:r w:rsidRPr="00C87CDF">
        <w:rPr>
          <w:rFonts w:ascii="Verdana" w:hAnsi="Verdana"/>
        </w:rPr>
        <w:t xml:space="preserve"> </w:t>
      </w:r>
      <w:r w:rsidRPr="00C87CDF">
        <w:rPr>
          <w:rFonts w:ascii="Verdana" w:hAnsi="Verdana"/>
        </w:rPr>
        <w:t>This</w:t>
      </w:r>
      <w:r w:rsidRPr="00C87CDF">
        <w:rPr>
          <w:rFonts w:ascii="Verdana" w:hAnsi="Verdana"/>
        </w:rPr>
        <w:t xml:space="preserve"> suggests that without stronger </w:t>
      </w:r>
      <w:r w:rsidRPr="00C87CDF">
        <w:rPr>
          <w:rFonts w:ascii="Verdana" w:hAnsi="Verdana"/>
        </w:rPr>
        <w:t>strategic planning frameworks</w:t>
      </w:r>
      <w:r w:rsidRPr="00C87CDF">
        <w:rPr>
          <w:rFonts w:ascii="Verdana" w:hAnsi="Verdana"/>
        </w:rPr>
        <w:t xml:space="preserve"> – aligned </w:t>
      </w:r>
      <w:r w:rsidRPr="00C87CDF">
        <w:rPr>
          <w:rFonts w:ascii="Verdana" w:hAnsi="Verdana"/>
        </w:rPr>
        <w:t>across national and local levels</w:t>
      </w:r>
      <w:r w:rsidRPr="00C87CDF">
        <w:rPr>
          <w:rFonts w:ascii="Verdana" w:hAnsi="Verdana"/>
        </w:rPr>
        <w:t xml:space="preserve"> – fiscal </w:t>
      </w:r>
      <w:r w:rsidRPr="00C87CDF">
        <w:rPr>
          <w:rFonts w:ascii="Verdana" w:hAnsi="Verdana"/>
        </w:rPr>
        <w:t>devolution alone will not be sufficient to deliver place-based growth. Reforming planning systems to restore coordination, reduce inefficiencies, and enable long-term spatial strategy is therefore a critical complement to devolving funding and powers.</w:t>
      </w:r>
    </w:p>
    <w:p w:rsidR="00E66308" w:rsidRPr="00C87CDF" w:rsidP="00C87CDF">
      <w:pPr>
        <w:spacing w:line="480" w:lineRule="auto"/>
        <w:rPr>
          <w:rFonts w:ascii="Verdana" w:hAnsi="Verdana"/>
        </w:rPr>
      </w:pPr>
    </w:p>
    <w:p w:rsidR="00E66308" w:rsidRPr="00C87CDF" w:rsidP="00C87CDF">
      <w:pPr>
        <w:spacing w:line="480" w:lineRule="auto"/>
        <w:rPr>
          <w:rFonts w:ascii="Verdana" w:hAnsi="Verdana"/>
          <w:u w:val="single"/>
        </w:rPr>
      </w:pPr>
      <w:r w:rsidRPr="00C87CDF">
        <w:rPr>
          <w:rFonts w:ascii="Verdana" w:hAnsi="Verdana"/>
          <w:u w:val="single"/>
        </w:rPr>
        <w:t>Recommendations</w:t>
      </w:r>
    </w:p>
    <w:p w:rsidR="00E66308" w:rsidRPr="00C87CDF" w:rsidP="00C87CDF">
      <w:pPr>
        <w:spacing w:line="480" w:lineRule="auto"/>
        <w:rPr>
          <w:rFonts w:ascii="Verdana" w:hAnsi="Verdana"/>
        </w:rPr>
      </w:pPr>
      <w:r w:rsidRPr="00C87CDF">
        <w:rPr>
          <w:rFonts w:ascii="Verdana" w:hAnsi="Verdana"/>
        </w:rPr>
        <w:t>In the light of the evidence provided we offer three key recommendations for consideration by the Committee:</w:t>
      </w:r>
    </w:p>
    <w:p w:rsidR="00E66308" w:rsidRPr="00C87CDF" w:rsidP="00C87CDF">
      <w:pPr>
        <w:pStyle w:val="ListParagraph"/>
        <w:numPr>
          <w:ilvl w:val="0"/>
          <w:numId w:val="12"/>
        </w:numPr>
        <w:spacing w:line="480" w:lineRule="auto"/>
        <w:rPr>
          <w:rFonts w:ascii="Verdana" w:hAnsi="Verdana"/>
        </w:rPr>
      </w:pPr>
      <w:r w:rsidRPr="00C87CDF">
        <w:rPr>
          <w:rFonts w:ascii="Verdana" w:hAnsi="Verdana"/>
        </w:rPr>
        <w:t>First, w</w:t>
      </w:r>
      <w:r w:rsidRPr="00C87CDF">
        <w:rPr>
          <w:rFonts w:ascii="Verdana" w:hAnsi="Verdana"/>
        </w:rPr>
        <w:t xml:space="preserve">e recommend that </w:t>
      </w:r>
      <w:r w:rsidRPr="00C87CDF">
        <w:rPr>
          <w:rFonts w:ascii="Verdana" w:hAnsi="Verdana"/>
        </w:rPr>
        <w:t>g</w:t>
      </w:r>
      <w:r w:rsidRPr="00C87CDF">
        <w:rPr>
          <w:rFonts w:ascii="Verdana" w:hAnsi="Verdana"/>
        </w:rPr>
        <w:t xml:space="preserve">overnment </w:t>
      </w:r>
      <w:r w:rsidRPr="00C87CDF">
        <w:rPr>
          <w:rFonts w:ascii="Verdana" w:hAnsi="Verdana"/>
        </w:rPr>
        <w:t>undertakes sufficient work to clearly d</w:t>
      </w:r>
      <w:r w:rsidRPr="00C87CDF">
        <w:rPr>
          <w:rFonts w:ascii="Verdana" w:hAnsi="Verdana"/>
        </w:rPr>
        <w:t xml:space="preserve">efine </w:t>
      </w:r>
      <w:r w:rsidRPr="00C87CDF">
        <w:rPr>
          <w:rFonts w:ascii="Verdana" w:hAnsi="Verdana"/>
        </w:rPr>
        <w:t xml:space="preserve">the </w:t>
      </w:r>
      <w:r w:rsidRPr="00C87CDF">
        <w:rPr>
          <w:rFonts w:ascii="Verdana" w:hAnsi="Verdana"/>
        </w:rPr>
        <w:t xml:space="preserve">aims </w:t>
      </w:r>
      <w:r w:rsidRPr="00C87CDF">
        <w:rPr>
          <w:rFonts w:ascii="Verdana" w:hAnsi="Verdana"/>
        </w:rPr>
        <w:t xml:space="preserve">of fiscal devolution </w:t>
      </w:r>
      <w:r w:rsidRPr="00C87CDF">
        <w:rPr>
          <w:rFonts w:ascii="Verdana" w:hAnsi="Verdana"/>
        </w:rPr>
        <w:t>before defining</w:t>
      </w:r>
      <w:r w:rsidRPr="00C87CDF">
        <w:rPr>
          <w:rFonts w:ascii="Verdana" w:hAnsi="Verdana"/>
        </w:rPr>
        <w:t xml:space="preserve"> its precise</w:t>
      </w:r>
      <w:r w:rsidRPr="00C87CDF">
        <w:rPr>
          <w:rFonts w:ascii="Verdana" w:hAnsi="Verdana"/>
        </w:rPr>
        <w:t xml:space="preserve"> form</w:t>
      </w:r>
      <w:r w:rsidRPr="00C87CDF">
        <w:rPr>
          <w:rFonts w:ascii="Verdana" w:hAnsi="Verdana"/>
        </w:rPr>
        <w:t xml:space="preserve">. This work must </w:t>
      </w:r>
      <w:r w:rsidRPr="00C87CDF">
        <w:rPr>
          <w:rFonts w:ascii="Verdana" w:hAnsi="Verdana"/>
        </w:rPr>
        <w:t>inform</w:t>
      </w:r>
      <w:r w:rsidRPr="00C87CDF">
        <w:rPr>
          <w:rFonts w:ascii="Verdana" w:hAnsi="Verdana"/>
        </w:rPr>
        <w:t xml:space="preserve"> the</w:t>
      </w:r>
      <w:r w:rsidRPr="00C87CDF">
        <w:rPr>
          <w:rFonts w:ascii="Verdana" w:hAnsi="Verdana"/>
        </w:rPr>
        <w:t xml:space="preserve"> roadmap </w:t>
      </w:r>
      <w:r w:rsidRPr="00C87CDF">
        <w:rPr>
          <w:rFonts w:ascii="Verdana" w:hAnsi="Verdana"/>
        </w:rPr>
        <w:t xml:space="preserve">for future fiscal devolution </w:t>
      </w:r>
      <w:r w:rsidRPr="00C87CDF">
        <w:rPr>
          <w:rFonts w:ascii="Verdana" w:hAnsi="Verdana"/>
        </w:rPr>
        <w:t>that is due to be presented</w:t>
      </w:r>
      <w:r w:rsidRPr="00C87CDF">
        <w:rPr>
          <w:rFonts w:ascii="Verdana" w:hAnsi="Verdana"/>
        </w:rPr>
        <w:t xml:space="preserve"> at this year’s Budget</w:t>
      </w:r>
      <w:r w:rsidRPr="00C87CDF">
        <w:rPr>
          <w:rFonts w:ascii="Verdana" w:hAnsi="Verdana"/>
        </w:rPr>
        <w:t xml:space="preserve"> </w:t>
      </w:r>
      <w:r w:rsidRPr="00C87CDF">
        <w:rPr>
          <w:rFonts w:ascii="Verdana" w:hAnsi="Verdana"/>
        </w:rPr>
        <w:t xml:space="preserve">and </w:t>
      </w:r>
      <w:r w:rsidRPr="00C87CDF">
        <w:rPr>
          <w:rFonts w:ascii="Verdana" w:hAnsi="Verdana"/>
        </w:rPr>
        <w:t>should</w:t>
      </w:r>
      <w:r w:rsidRPr="00C87CDF">
        <w:rPr>
          <w:rFonts w:ascii="Verdana" w:hAnsi="Verdana"/>
        </w:rPr>
        <w:t xml:space="preserve"> be </w:t>
      </w:r>
      <w:r w:rsidRPr="00C87CDF">
        <w:rPr>
          <w:rFonts w:ascii="Verdana" w:hAnsi="Verdana"/>
        </w:rPr>
        <w:t>agreed</w:t>
      </w:r>
      <w:r w:rsidRPr="00C87CDF">
        <w:rPr>
          <w:rFonts w:ascii="Verdana" w:hAnsi="Verdana"/>
        </w:rPr>
        <w:t xml:space="preserve"> in consultation with</w:t>
      </w:r>
      <w:r w:rsidRPr="00C87CDF">
        <w:rPr>
          <w:rFonts w:ascii="Verdana" w:hAnsi="Verdana"/>
        </w:rPr>
        <w:t xml:space="preserve"> local stakeholders</w:t>
      </w:r>
      <w:r w:rsidRPr="00C87CDF">
        <w:rPr>
          <w:rFonts w:ascii="Verdana" w:hAnsi="Verdana"/>
        </w:rPr>
        <w:t>, not just within</w:t>
      </w:r>
      <w:r w:rsidRPr="00C87CDF">
        <w:rPr>
          <w:rFonts w:ascii="Verdana" w:hAnsi="Verdana"/>
        </w:rPr>
        <w:t xml:space="preserve"> </w:t>
      </w:r>
      <w:r w:rsidRPr="00C87CDF">
        <w:rPr>
          <w:rFonts w:ascii="Verdana" w:hAnsi="Verdana"/>
        </w:rPr>
        <w:t xml:space="preserve">government. </w:t>
      </w:r>
    </w:p>
    <w:p w:rsidR="00E66308" w:rsidRPr="00C87CDF" w:rsidP="00C87CDF">
      <w:pPr>
        <w:pStyle w:val="ListParagraph"/>
        <w:numPr>
          <w:ilvl w:val="0"/>
          <w:numId w:val="12"/>
        </w:numPr>
        <w:spacing w:line="480" w:lineRule="auto"/>
        <w:rPr>
          <w:rFonts w:ascii="Verdana" w:hAnsi="Verdana"/>
        </w:rPr>
      </w:pPr>
      <w:r w:rsidRPr="00C87CDF">
        <w:rPr>
          <w:rFonts w:ascii="Verdana" w:hAnsi="Verdana"/>
        </w:rPr>
        <w:t>Towards this, w</w:t>
      </w:r>
      <w:r w:rsidRPr="00C87CDF">
        <w:rPr>
          <w:rFonts w:ascii="Verdana" w:hAnsi="Verdana"/>
        </w:rPr>
        <w:t xml:space="preserve">e recommend that the primary aim of fiscal devolution should be to provide sufficient </w:t>
      </w:r>
      <w:r w:rsidRPr="00C87CDF">
        <w:rPr>
          <w:rFonts w:ascii="Verdana" w:hAnsi="Verdana"/>
        </w:rPr>
        <w:t>l</w:t>
      </w:r>
      <w:r w:rsidRPr="00C87CDF">
        <w:rPr>
          <w:rFonts w:ascii="Verdana" w:hAnsi="Verdana"/>
        </w:rPr>
        <w:t>ocal autonomy to enable</w:t>
      </w:r>
      <w:r w:rsidRPr="00C87CDF">
        <w:rPr>
          <w:rFonts w:ascii="Verdana" w:hAnsi="Verdana"/>
        </w:rPr>
        <w:t xml:space="preserve"> accelerated action within MSAs to address regional inequalities, improve local economic resilience, and </w:t>
      </w:r>
      <w:r w:rsidRPr="00C87CDF">
        <w:rPr>
          <w:rFonts w:ascii="Verdana" w:hAnsi="Verdana"/>
        </w:rPr>
        <w:t>overcome entrenched barriers to delivery.</w:t>
      </w:r>
      <w:r w:rsidRPr="00C87CDF">
        <w:rPr>
          <w:rFonts w:ascii="Verdana" w:hAnsi="Verdana"/>
        </w:rPr>
        <w:t xml:space="preserve"> By establishing this aim clearly</w:t>
      </w:r>
      <w:r w:rsidRPr="00C87CDF">
        <w:rPr>
          <w:rFonts w:ascii="Verdana" w:hAnsi="Verdana"/>
        </w:rPr>
        <w:t xml:space="preserve"> and consistently</w:t>
      </w:r>
      <w:r w:rsidRPr="00C87CDF">
        <w:rPr>
          <w:rFonts w:ascii="Verdana" w:hAnsi="Verdana"/>
        </w:rPr>
        <w:t xml:space="preserve">, </w:t>
      </w:r>
      <w:r w:rsidRPr="00C87CDF">
        <w:rPr>
          <w:rFonts w:ascii="Verdana" w:hAnsi="Verdana"/>
        </w:rPr>
        <w:t xml:space="preserve">government can </w:t>
      </w:r>
      <w:r w:rsidRPr="00C87CDF">
        <w:rPr>
          <w:rFonts w:ascii="Verdana" w:hAnsi="Verdana"/>
        </w:rPr>
        <w:t xml:space="preserve">help to </w:t>
      </w:r>
      <w:r w:rsidRPr="00C87CDF">
        <w:rPr>
          <w:rFonts w:ascii="Verdana" w:hAnsi="Verdana"/>
        </w:rPr>
        <w:t xml:space="preserve">stabilise </w:t>
      </w:r>
      <w:r w:rsidRPr="00C87CDF">
        <w:rPr>
          <w:rFonts w:ascii="Verdana" w:hAnsi="Verdana"/>
        </w:rPr>
        <w:t xml:space="preserve">not only </w:t>
      </w:r>
      <w:r w:rsidRPr="00C87CDF">
        <w:rPr>
          <w:rFonts w:ascii="Verdana" w:hAnsi="Verdana"/>
        </w:rPr>
        <w:t xml:space="preserve">the long-term financial security </w:t>
      </w:r>
      <w:r w:rsidRPr="00C87CDF">
        <w:rPr>
          <w:rFonts w:ascii="Verdana" w:hAnsi="Verdana"/>
        </w:rPr>
        <w:t xml:space="preserve">of MSAs, </w:t>
      </w:r>
      <w:r w:rsidRPr="00C87CDF">
        <w:rPr>
          <w:rFonts w:ascii="Verdana" w:hAnsi="Verdana"/>
        </w:rPr>
        <w:t>but also the</w:t>
      </w:r>
      <w:r w:rsidRPr="00C87CDF">
        <w:rPr>
          <w:rFonts w:ascii="Verdana" w:hAnsi="Verdana"/>
        </w:rPr>
        <w:t xml:space="preserve">ir role within the UK constitution. </w:t>
      </w:r>
    </w:p>
    <w:p w:rsidR="00E66308" w:rsidP="00C87CDF">
      <w:pPr>
        <w:pStyle w:val="ListParagraph"/>
        <w:numPr>
          <w:ilvl w:val="0"/>
          <w:numId w:val="12"/>
        </w:numPr>
        <w:spacing w:line="480" w:lineRule="auto"/>
        <w:rPr>
          <w:rFonts w:ascii="Verdana" w:hAnsi="Verdana"/>
        </w:rPr>
      </w:pPr>
      <w:r w:rsidRPr="00C87CDF">
        <w:rPr>
          <w:rFonts w:ascii="Verdana" w:hAnsi="Verdana"/>
        </w:rPr>
        <w:t>Finally</w:t>
      </w:r>
      <w:r w:rsidRPr="00C87CDF">
        <w:rPr>
          <w:rFonts w:ascii="Verdana" w:hAnsi="Verdana"/>
        </w:rPr>
        <w:t xml:space="preserve">, </w:t>
      </w:r>
      <w:r w:rsidRPr="00C87CDF">
        <w:rPr>
          <w:rFonts w:ascii="Verdana" w:hAnsi="Verdana"/>
        </w:rPr>
        <w:t xml:space="preserve">we recommend that </w:t>
      </w:r>
      <w:r w:rsidRPr="00C87CDF">
        <w:rPr>
          <w:rFonts w:ascii="Verdana" w:hAnsi="Verdana"/>
        </w:rPr>
        <w:t>g</w:t>
      </w:r>
      <w:r w:rsidRPr="00C87CDF">
        <w:rPr>
          <w:rFonts w:ascii="Verdana" w:hAnsi="Verdana"/>
        </w:rPr>
        <w:t xml:space="preserve">overnment, in partnership with MSAs, </w:t>
      </w:r>
      <w:r w:rsidRPr="00C87CDF">
        <w:rPr>
          <w:rFonts w:ascii="Verdana" w:hAnsi="Verdana"/>
        </w:rPr>
        <w:t xml:space="preserve">should </w:t>
      </w:r>
      <w:r w:rsidRPr="00C87CDF">
        <w:rPr>
          <w:rFonts w:ascii="Verdana" w:hAnsi="Verdana"/>
        </w:rPr>
        <w:t xml:space="preserve">develop an agreed strategy towards </w:t>
      </w:r>
      <w:r w:rsidRPr="00C87CDF">
        <w:rPr>
          <w:rFonts w:ascii="Verdana" w:hAnsi="Verdana"/>
        </w:rPr>
        <w:t>addressing</w:t>
      </w:r>
      <w:r w:rsidRPr="00C87CDF">
        <w:rPr>
          <w:rFonts w:ascii="Verdana" w:hAnsi="Verdana"/>
        </w:rPr>
        <w:t xml:space="preserve"> the </w:t>
      </w:r>
      <w:r w:rsidRPr="00C87CDF">
        <w:rPr>
          <w:rFonts w:ascii="Verdana" w:hAnsi="Verdana"/>
        </w:rPr>
        <w:t xml:space="preserve">highlighted risks associated with fiscal devolution. As demonstrated in this evidence submission, this will need to include, at a minimum, </w:t>
      </w:r>
      <w:r w:rsidRPr="00C87CDF">
        <w:rPr>
          <w:rFonts w:ascii="Verdana" w:hAnsi="Verdana"/>
        </w:rPr>
        <w:t xml:space="preserve">consideration of both the spatial equality and </w:t>
      </w:r>
      <w:r w:rsidRPr="00C87CDF">
        <w:rPr>
          <w:rFonts w:ascii="Verdana" w:hAnsi="Verdana"/>
        </w:rPr>
        <w:t xml:space="preserve">institutional capacity challenges </w:t>
      </w:r>
      <w:r w:rsidRPr="00C87CDF">
        <w:rPr>
          <w:rFonts w:ascii="Verdana" w:hAnsi="Verdana"/>
        </w:rPr>
        <w:t xml:space="preserve">presented by the </w:t>
      </w:r>
      <w:r w:rsidRPr="00C87CDF">
        <w:rPr>
          <w:rFonts w:ascii="Verdana" w:hAnsi="Verdana"/>
        </w:rPr>
        <w:t xml:space="preserve">devolution of </w:t>
      </w:r>
      <w:r w:rsidRPr="00C87CDF">
        <w:rPr>
          <w:rFonts w:ascii="Verdana" w:hAnsi="Verdana"/>
        </w:rPr>
        <w:t>greater revenue-raising and spending powers to sub-national authorities.</w:t>
      </w:r>
      <w:r w:rsidRPr="00C87CDF">
        <w:rPr>
          <w:rFonts w:ascii="Verdana" w:hAnsi="Verdana"/>
        </w:rPr>
        <w:t xml:space="preserve"> Any roadmap </w:t>
      </w:r>
      <w:r w:rsidRPr="00C87CDF">
        <w:rPr>
          <w:rFonts w:ascii="Verdana" w:hAnsi="Verdana"/>
        </w:rPr>
        <w:t>for future fiscal devolution published by government must out</w:t>
      </w:r>
      <w:r w:rsidRPr="00C87CDF">
        <w:rPr>
          <w:rFonts w:ascii="Verdana" w:hAnsi="Verdana"/>
        </w:rPr>
        <w:t>line how these risks will be</w:t>
      </w:r>
      <w:r w:rsidRPr="00C87CDF">
        <w:rPr>
          <w:rFonts w:ascii="Verdana" w:hAnsi="Verdana"/>
        </w:rPr>
        <w:t xml:space="preserve"> mitigated. </w:t>
      </w:r>
    </w:p>
    <w:p w:rsidR="00C87CDF" w:rsidRPr="00C87CDF" w:rsidP="00C87CDF">
      <w:pPr>
        <w:spacing w:line="480" w:lineRule="auto"/>
        <w:rPr>
          <w:rFonts w:ascii="Verdana" w:hAnsi="Verdana"/>
          <w:i/>
          <w:iCs/>
        </w:rPr>
      </w:pPr>
      <w:r w:rsidRPr="00C87CDF">
        <w:rPr>
          <w:rFonts w:ascii="Verdana" w:hAnsi="Verdana"/>
          <w:i/>
          <w:iCs/>
        </w:rPr>
        <w:t>4 June 2026</w:t>
      </w:r>
    </w:p>
    <w:p w:rsidR="00C87CDF" w:rsidRPr="00C87CDF" w:rsidP="00C87CDF">
      <w:pPr>
        <w:spacing w:line="480" w:lineRule="auto"/>
        <w:rPr>
          <w:rFonts w:ascii="Verdana" w:hAnsi="Verdana"/>
        </w:rPr>
      </w:pPr>
    </w:p>
    <w:p w:rsidR="00E66308" w:rsidRPr="00C87CDF" w:rsidP="00C87CDF">
      <w:pPr>
        <w:spacing w:line="480" w:lineRule="auto"/>
        <w:rPr>
          <w:rFonts w:ascii="Verdana" w:hAnsi="Verdana"/>
        </w:rPr>
      </w:pPr>
    </w:p>
    <w:p w:rsidR="00E66308" w:rsidRPr="00C87CDF" w:rsidP="00C87CDF">
      <w:pPr>
        <w:spacing w:line="480" w:lineRule="auto"/>
        <w:rPr>
          <w:rFonts w:ascii="Verdana" w:hAnsi="Verdana"/>
        </w:rPr>
      </w:pPr>
    </w:p>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308">
    <w:pPr>
      <w:pStyle w:val="Footer"/>
      <w:jc w:val="center"/>
    </w:pPr>
  </w:p>
  <w:p w:rsidR="00E66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66308" w:rsidP="00116DC7">
      <w:pPr>
        <w:spacing w:after="0" w:line="240" w:lineRule="auto"/>
      </w:pPr>
      <w:r>
        <w:separator/>
      </w:r>
    </w:p>
  </w:footnote>
  <w:footnote w:type="continuationSeparator" w:id="1">
    <w:p w:rsidR="00E66308" w:rsidP="00116DC7">
      <w:pPr>
        <w:spacing w:after="0" w:line="240" w:lineRule="auto"/>
      </w:pPr>
      <w:r>
        <w:continuationSeparator/>
      </w:r>
    </w:p>
  </w:footnote>
  <w:footnote w:id="2">
    <w:p w:rsidR="00E66308" w:rsidRPr="00C87CDF" w:rsidP="006C179F">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w:t>
      </w:r>
      <w:r w:rsidRPr="00C87CDF">
        <w:rPr>
          <w:rFonts w:ascii="Verdana" w:hAnsi="Verdana"/>
        </w:rPr>
        <w:t xml:space="preserve">Local Government Association (2020) Fiscal devolution: Adopting an international approach. </w:t>
      </w:r>
      <w:r>
        <w:fldChar w:fldCharType="begin"/>
      </w:r>
      <w:r>
        <w:instrText xml:space="preserve"> HYPERLINK "https://www.local.gov.uk/sites/default/files/documents/4.104%20Fiscal%20Devolution_05%20%28002%29.pdf" </w:instrText>
      </w:r>
      <w:r>
        <w:fldChar w:fldCharType="separate"/>
      </w:r>
      <w:r w:rsidRPr="00C87CDF">
        <w:rPr>
          <w:rStyle w:val="Hyperlink"/>
          <w:rFonts w:ascii="Verdana" w:hAnsi="Verdana"/>
          <w:color w:val="auto"/>
        </w:rPr>
        <w:t>https://www.local.gov.uk/sites/default/files/documents/4.104%20Fiscal%20Devolution_05%20%28002%29.pdf</w:t>
      </w:r>
      <w:r>
        <w:fldChar w:fldCharType="end"/>
      </w:r>
      <w:r w:rsidRPr="00C87CDF">
        <w:rPr>
          <w:rFonts w:ascii="Verdana" w:hAnsi="Verdana"/>
        </w:rPr>
        <w:t xml:space="preserve"> </w:t>
      </w:r>
    </w:p>
  </w:footnote>
  <w:footnote w:id="3">
    <w:p w:rsidR="00E66308" w:rsidRPr="00C87CDF">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HM Treasury (2026) Mais Lecture 2026. </w:t>
      </w:r>
      <w:r>
        <w:fldChar w:fldCharType="begin"/>
      </w:r>
      <w:r>
        <w:instrText xml:space="preserve"> HYPERLINK "https://www.gov.uk/government/speeches/mais-lecture-2026" </w:instrText>
      </w:r>
      <w:r>
        <w:fldChar w:fldCharType="separate"/>
      </w:r>
      <w:r w:rsidRPr="00C87CDF">
        <w:rPr>
          <w:rStyle w:val="Hyperlink"/>
          <w:rFonts w:ascii="Verdana" w:hAnsi="Verdana"/>
          <w:color w:val="auto"/>
        </w:rPr>
        <w:t>https://www.gov.uk/government/speeches/mais-lecture-2026</w:t>
      </w:r>
      <w:r>
        <w:fldChar w:fldCharType="end"/>
      </w:r>
      <w:r w:rsidRPr="00C87CDF">
        <w:rPr>
          <w:rFonts w:ascii="Verdana" w:hAnsi="Verdana"/>
        </w:rPr>
        <w:t xml:space="preserve"> </w:t>
      </w:r>
    </w:p>
  </w:footnote>
  <w:footnote w:id="4">
    <w:p w:rsidR="00E66308" w:rsidRPr="00496DF1">
      <w:pPr>
        <w:pStyle w:val="FootnoteText"/>
      </w:pPr>
      <w:r w:rsidRPr="00C87CDF">
        <w:rPr>
          <w:rStyle w:val="FootnoteReference"/>
          <w:rFonts w:ascii="Verdana" w:hAnsi="Verdana"/>
        </w:rPr>
        <w:footnoteRef/>
      </w:r>
      <w:r w:rsidRPr="00C87CDF">
        <w:rPr>
          <w:rFonts w:ascii="Verdana" w:hAnsi="Verdana"/>
        </w:rPr>
        <w:t xml:space="preserve"> Hickson, J. and Newman, J. (2025) Localism, Levelling Up and Taking Back Control: Tensions in the Ambiguous Justification of English Devolution, </w:t>
      </w:r>
      <w:r w:rsidRPr="00C87CDF">
        <w:rPr>
          <w:rFonts w:ascii="Verdana" w:hAnsi="Verdana"/>
          <w:i/>
          <w:iCs/>
        </w:rPr>
        <w:t>The Political Quarterly</w:t>
      </w:r>
      <w:r w:rsidRPr="00C87CDF">
        <w:rPr>
          <w:rFonts w:ascii="Verdana" w:hAnsi="Verdana"/>
        </w:rPr>
        <w:t xml:space="preserve">, 96 (4), pp.619-626. </w:t>
      </w:r>
    </w:p>
  </w:footnote>
  <w:footnote w:id="5">
    <w:p w:rsidR="00E66308" w:rsidRPr="00C87CDF">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HM Treasury, 2026. </w:t>
      </w:r>
    </w:p>
  </w:footnote>
  <w:footnote w:id="6">
    <w:p w:rsidR="00E66308">
      <w:pPr>
        <w:pStyle w:val="FootnoteText"/>
      </w:pPr>
      <w:r w:rsidRPr="00C87CDF">
        <w:rPr>
          <w:rStyle w:val="FootnoteReference"/>
          <w:rFonts w:ascii="Verdana" w:hAnsi="Verdana"/>
        </w:rPr>
        <w:footnoteRef/>
      </w:r>
      <w:r w:rsidRPr="00C87CDF">
        <w:rPr>
          <w:rFonts w:ascii="Verdana" w:hAnsi="Verdana"/>
        </w:rPr>
        <w:t xml:space="preserve"> For example, see Reeves, R. (2023) Rachel Reeves: ‘Securonomics’. </w:t>
      </w:r>
      <w:r>
        <w:fldChar w:fldCharType="begin"/>
      </w:r>
      <w:r>
        <w:instrText xml:space="preserve"> HYPERLINK "https://labour.org.uk/updates/press-releases/rachel-reeves-securonomics/" </w:instrText>
      </w:r>
      <w:r>
        <w:fldChar w:fldCharType="separate"/>
      </w:r>
      <w:r w:rsidRPr="00C87CDF">
        <w:rPr>
          <w:rStyle w:val="Hyperlink"/>
          <w:rFonts w:ascii="Verdana" w:hAnsi="Verdana"/>
          <w:color w:val="auto"/>
        </w:rPr>
        <w:t>https://labour.org.uk/updates/press-releases/rachel-reeves-securonomics/</w:t>
      </w:r>
      <w:r>
        <w:fldChar w:fldCharType="end"/>
      </w:r>
      <w:r w:rsidRPr="00C87CDF">
        <w:rPr>
          <w:rFonts w:ascii="Verdana" w:hAnsi="Verdana"/>
        </w:rPr>
        <w:t xml:space="preserve">; Reeves, R. (2024) Rachel Reeves Mais Lecture 2024. </w:t>
      </w:r>
      <w:r>
        <w:fldChar w:fldCharType="begin"/>
      </w:r>
      <w:r>
        <w:instrText xml:space="preserve"> HYPERLINK "https://labour.org.uk/updates/press-releases/rachel-reeves-mais-lecture/" </w:instrText>
      </w:r>
      <w:r>
        <w:fldChar w:fldCharType="separate"/>
      </w:r>
      <w:r w:rsidRPr="00C87CDF">
        <w:rPr>
          <w:rStyle w:val="Hyperlink"/>
          <w:rFonts w:ascii="Verdana" w:hAnsi="Verdana"/>
          <w:color w:val="auto"/>
        </w:rPr>
        <w:t>https://labour.org.uk/updates/press-releases/rachel-reeves-mais-lecture/</w:t>
      </w:r>
      <w:r>
        <w:fldChar w:fldCharType="end"/>
      </w:r>
      <w:r w:rsidRPr="00C87CDF">
        <w:rPr>
          <w:rFonts w:ascii="Verdana" w:hAnsi="Verdana"/>
        </w:rPr>
        <w:t xml:space="preserve"> </w:t>
      </w:r>
    </w:p>
  </w:footnote>
  <w:footnote w:id="7">
    <w:p w:rsidR="00E66308" w:rsidRPr="00C87CDF">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w:t>
      </w:r>
      <w:r w:rsidRPr="00C87CDF">
        <w:rPr>
          <w:rFonts w:ascii="Verdana" w:hAnsi="Verdana"/>
        </w:rPr>
        <w:t xml:space="preserve">Reeves, R. (2023) Time for Securonomics, </w:t>
      </w:r>
      <w:r w:rsidRPr="00C87CDF">
        <w:rPr>
          <w:rFonts w:ascii="Verdana" w:hAnsi="Verdana"/>
          <w:i/>
          <w:iCs/>
        </w:rPr>
        <w:t>IPPR Progressive Review</w:t>
      </w:r>
      <w:r w:rsidRPr="00C87CDF">
        <w:rPr>
          <w:rFonts w:ascii="Verdana" w:hAnsi="Verdana"/>
        </w:rPr>
        <w:t xml:space="preserve">, 30(3), p.153. </w:t>
      </w:r>
    </w:p>
  </w:footnote>
  <w:footnote w:id="8">
    <w:p w:rsidR="00E66308" w:rsidP="009167C8">
      <w:pPr>
        <w:pStyle w:val="FootnoteText"/>
      </w:pPr>
      <w:r w:rsidRPr="00C87CDF">
        <w:rPr>
          <w:rStyle w:val="FootnoteReference"/>
          <w:rFonts w:ascii="Verdana" w:hAnsi="Verdana"/>
        </w:rPr>
        <w:footnoteRef/>
      </w:r>
      <w:r w:rsidRPr="00C87CDF">
        <w:rPr>
          <w:rFonts w:ascii="Verdana" w:hAnsi="Verdana"/>
        </w:rPr>
        <w:t xml:space="preserve"> Jarvis, S. et al. (2021) The Productivity Commission: First evidence session, ‘Sizing the productivity problem: international, national, regional and sectoral aspects’. </w:t>
      </w:r>
      <w:r>
        <w:fldChar w:fldCharType="begin"/>
      </w:r>
      <w:r>
        <w:instrText xml:space="preserve"> HYPERLINK "https://www.liverpool.ac.uk/media/livacuk/publicpolicyamppractice/consultationresponses/Productivity,Commission,-,Heseltine,Institute,Evidence,Submission,-,Final,Draft.pdf" </w:instrText>
      </w:r>
      <w:r>
        <w:fldChar w:fldCharType="separate"/>
      </w:r>
      <w:r w:rsidRPr="00C87CDF">
        <w:rPr>
          <w:rStyle w:val="Hyperlink"/>
          <w:rFonts w:ascii="Verdana" w:hAnsi="Verdana"/>
          <w:color w:val="auto"/>
        </w:rPr>
        <w:t>https://www.liverpool.ac.uk/media/livacuk/publicpolicyamppractice/consultationresponses/Productivity,Commission,-,Heseltine,Institute,Evidence,Submission,-,Final,Draft.pdf</w:t>
      </w:r>
      <w:r>
        <w:fldChar w:fldCharType="end"/>
      </w:r>
      <w:r w:rsidRPr="00C87CDF">
        <w:rPr>
          <w:rFonts w:ascii="Verdana" w:hAnsi="Verdana"/>
        </w:rPr>
        <w:t xml:space="preserve"> </w:t>
      </w:r>
    </w:p>
  </w:footnote>
  <w:footnote w:id="9">
    <w:p w:rsidR="00E66308" w:rsidRPr="00C87CDF">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Arnold, T., (2026) Local priorities, national missions: how Mayoral Strategic Authorities are navigating central–local relations in industrial policy, Heseltine Institute Policy Briefings, 3 (29), p.1.</w:t>
      </w:r>
    </w:p>
  </w:footnote>
  <w:footnote w:id="10">
    <w:p w:rsidR="00E66308">
      <w:pPr>
        <w:pStyle w:val="FootnoteText"/>
      </w:pPr>
      <w:r w:rsidRPr="00C87CDF">
        <w:rPr>
          <w:rStyle w:val="FootnoteReference"/>
          <w:rFonts w:ascii="Verdana" w:hAnsi="Verdana"/>
        </w:rPr>
        <w:footnoteRef/>
      </w:r>
      <w:r w:rsidRPr="00C87CDF">
        <w:rPr>
          <w:rFonts w:ascii="Verdana" w:hAnsi="Verdana"/>
        </w:rPr>
        <w:t xml:space="preserve"> Anderson, P. and Arnold, T. (2025) </w:t>
      </w:r>
      <w:r w:rsidRPr="00C87CDF">
        <w:rPr>
          <w:rFonts w:ascii="Verdana" w:hAnsi="Verdana"/>
          <w:i/>
          <w:iCs/>
        </w:rPr>
        <w:t xml:space="preserve">The State of Intergovernmental Relations in England: Towards a new era of partnership? </w:t>
      </w:r>
      <w:r w:rsidRPr="00C87CDF">
        <w:rPr>
          <w:rFonts w:ascii="Verdana" w:hAnsi="Verdana"/>
        </w:rPr>
        <w:t xml:space="preserve">Liverpool: Heseltine Institute for Public Policy, Practice and Place. </w:t>
      </w:r>
    </w:p>
  </w:footnote>
  <w:footnote w:id="11">
    <w:p w:rsidR="00E66308" w:rsidRPr="00C87CDF">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Baxter, R. (2025) Driving growth and overcoming barriers in Liverpool City Region. </w:t>
      </w:r>
      <w:r>
        <w:fldChar w:fldCharType="begin"/>
      </w:r>
      <w:r>
        <w:instrText xml:space="preserve"> HYPERLINK "https://www.liverpool.ac.uk/heseltine-institute/blog/drivinggrowthandovercomingbarriersinliverpoolcityregion/" </w:instrText>
      </w:r>
      <w:r>
        <w:fldChar w:fldCharType="separate"/>
      </w:r>
      <w:r w:rsidRPr="00C87CDF">
        <w:rPr>
          <w:rStyle w:val="Hyperlink"/>
          <w:rFonts w:ascii="Verdana" w:hAnsi="Verdana"/>
          <w:color w:val="auto"/>
        </w:rPr>
        <w:t>https://www.liverpool.ac.uk/heseltine-institute/blog/drivinggrowthandovercomingbarriersinliverpoolcityregion/</w:t>
      </w:r>
      <w:r>
        <w:fldChar w:fldCharType="end"/>
      </w:r>
      <w:r w:rsidRPr="00C87CDF">
        <w:rPr>
          <w:rFonts w:ascii="Verdana" w:hAnsi="Verdana"/>
        </w:rPr>
        <w:t xml:space="preserve"> </w:t>
      </w:r>
    </w:p>
  </w:footnote>
  <w:footnote w:id="12">
    <w:p w:rsidR="00E66308" w:rsidP="005F5741">
      <w:pPr>
        <w:pStyle w:val="FootnoteText"/>
      </w:pPr>
      <w:r w:rsidRPr="00C87CDF">
        <w:rPr>
          <w:rStyle w:val="FootnoteReference"/>
          <w:rFonts w:ascii="Verdana" w:hAnsi="Verdana"/>
        </w:rPr>
        <w:footnoteRef/>
      </w:r>
      <w:r w:rsidRPr="00C87CDF">
        <w:rPr>
          <w:rFonts w:ascii="Verdana" w:hAnsi="Verdana"/>
        </w:rPr>
        <w:t xml:space="preserve"> Heseltine Institute (2025) The English Devolution White Paper: Our panel of experts responds. </w:t>
      </w:r>
      <w:r>
        <w:fldChar w:fldCharType="begin"/>
      </w:r>
      <w:r>
        <w:instrText xml:space="preserve"> HYPERLINK "https://www.liverpool.ac.uk/heseltine-institute/blog/theenglishdevolutionwhitepaperourpanelofexpertsresponds/" </w:instrText>
      </w:r>
      <w:r>
        <w:fldChar w:fldCharType="separate"/>
      </w:r>
      <w:r w:rsidRPr="00C87CDF">
        <w:rPr>
          <w:rStyle w:val="Hyperlink"/>
          <w:rFonts w:ascii="Verdana" w:hAnsi="Verdana"/>
          <w:color w:val="auto"/>
        </w:rPr>
        <w:t>https://www.liverpool.ac.uk/heseltine-institute/blog/theenglishdevolutionwhitepaperourpanelofexpertsresponds/</w:t>
      </w:r>
      <w:r>
        <w:fldChar w:fldCharType="end"/>
      </w:r>
      <w:r w:rsidRPr="00C87CDF">
        <w:rPr>
          <w:rFonts w:ascii="Verdana" w:hAnsi="Verdana"/>
        </w:rPr>
        <w:t xml:space="preserve">  </w:t>
      </w:r>
    </w:p>
  </w:footnote>
  <w:footnote w:id="13">
    <w:p w:rsidR="00E66308" w:rsidRPr="00C87CDF" w:rsidP="00DE0384">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Raikes, L. (2023) Equality and empowerment: A progressive proposal for fiscal devolution and economic development in England </w:t>
      </w:r>
      <w:r>
        <w:fldChar w:fldCharType="begin"/>
      </w:r>
      <w:r>
        <w:instrText xml:space="preserve"> HYPERLINK "https://fabians.org.uk/wp-content/uploads/2023/10/Equality-and-Empowerment_FINAL.pdf" </w:instrText>
      </w:r>
      <w:r>
        <w:fldChar w:fldCharType="separate"/>
      </w:r>
      <w:r w:rsidRPr="00C87CDF">
        <w:rPr>
          <w:rStyle w:val="Hyperlink"/>
          <w:rFonts w:ascii="Verdana" w:hAnsi="Verdana"/>
          <w:color w:val="auto"/>
        </w:rPr>
        <w:t>https://fabians.org.uk/wp-content/uploads/2023/10/Equality-and-Empowerment_FINAL.pdf</w:t>
      </w:r>
      <w:r>
        <w:fldChar w:fldCharType="end"/>
      </w:r>
      <w:r w:rsidRPr="00C87CDF">
        <w:rPr>
          <w:rFonts w:ascii="Verdana" w:hAnsi="Verdana"/>
        </w:rPr>
        <w:t xml:space="preserve"> </w:t>
      </w:r>
    </w:p>
  </w:footnote>
  <w:footnote w:id="14">
    <w:p w:rsidR="00E66308" w:rsidRPr="00C87CDF" w:rsidP="00DE0384">
      <w:pPr>
        <w:pStyle w:val="FootnoteText"/>
        <w:rPr>
          <w:rFonts w:ascii="Verdana" w:hAnsi="Verdana"/>
          <w:i/>
          <w:iCs/>
        </w:rPr>
      </w:pPr>
      <w:r w:rsidRPr="00C87CDF">
        <w:rPr>
          <w:rStyle w:val="FootnoteReference"/>
          <w:rFonts w:ascii="Verdana" w:hAnsi="Verdana"/>
        </w:rPr>
        <w:footnoteRef/>
      </w:r>
      <w:r w:rsidRPr="00C87CDF">
        <w:rPr>
          <w:rFonts w:ascii="Verdana" w:hAnsi="Verdana"/>
        </w:rPr>
        <w:t xml:space="preserve"> Riley, B. (2025) </w:t>
      </w:r>
      <w:r w:rsidRPr="00C87CDF">
        <w:rPr>
          <w:rFonts w:ascii="Verdana" w:hAnsi="Verdana"/>
          <w:i/>
          <w:iCs/>
        </w:rPr>
        <w:t>The Seven Essentials of Effective Place-Based Growth</w:t>
      </w:r>
      <w:r w:rsidRPr="00C87CDF">
        <w:rPr>
          <w:rFonts w:ascii="Verdana" w:hAnsi="Verdana"/>
        </w:rPr>
        <w:t xml:space="preserve">. </w:t>
      </w:r>
      <w:r>
        <w:fldChar w:fldCharType="begin"/>
      </w:r>
      <w:r>
        <w:instrText xml:space="preserve"> HYPERLINK "https://pure-oai.bham.ac.uk/ws/portalfiles/portal/279388969/The_seven_essentials_of_effective_place-based_growth_29_Sept_-_FINAL.pdf" </w:instrText>
      </w:r>
      <w:r>
        <w:fldChar w:fldCharType="separate"/>
      </w:r>
      <w:r w:rsidRPr="00C87CDF">
        <w:rPr>
          <w:rStyle w:val="Hyperlink"/>
          <w:rFonts w:ascii="Verdana" w:hAnsi="Verdana"/>
          <w:color w:val="auto"/>
        </w:rPr>
        <w:t>https://pure-oai.bham.ac.uk/ws/portalfiles/portal/279388969/The_seven_essentials_of_effective_place-based_growth_29_Sept_-_FINAL.pdf</w:t>
      </w:r>
      <w:r>
        <w:fldChar w:fldCharType="end"/>
      </w:r>
      <w:r w:rsidRPr="00C87CDF">
        <w:rPr>
          <w:rFonts w:ascii="Verdana" w:hAnsi="Verdana"/>
        </w:rPr>
        <w:t xml:space="preserve"> </w:t>
      </w:r>
    </w:p>
  </w:footnote>
  <w:footnote w:id="15">
    <w:p w:rsidR="00E66308" w:rsidRPr="00C87CDF" w:rsidP="00EB786B">
      <w:pPr>
        <w:pStyle w:val="FootnoteText"/>
        <w:rPr>
          <w:rFonts w:ascii="Verdana" w:hAnsi="Verdana"/>
        </w:rPr>
      </w:pPr>
      <w:r w:rsidRPr="00C87CDF">
        <w:rPr>
          <w:rStyle w:val="FootnoteReference"/>
          <w:rFonts w:ascii="Verdana" w:hAnsi="Verdana"/>
        </w:rPr>
        <w:footnoteRef/>
      </w:r>
      <w:r w:rsidRPr="00C87CDF">
        <w:rPr>
          <w:rFonts w:ascii="Verdana" w:hAnsi="Verdana"/>
        </w:rPr>
        <w:t xml:space="preserve"> Ogden, K. and Phillips, D. (2024) How have English councils’ funding and spending changed? 2010 to 2024. </w:t>
      </w:r>
      <w:r>
        <w:fldChar w:fldCharType="begin"/>
      </w:r>
      <w:r>
        <w:instrText xml:space="preserve"> HYPERLINK "https://ifs.org.uk/publications/how-have-english-councils-funding-and-spending-changed-2010-2024" </w:instrText>
      </w:r>
      <w:r>
        <w:fldChar w:fldCharType="separate"/>
      </w:r>
      <w:r w:rsidRPr="00C87CDF">
        <w:rPr>
          <w:rStyle w:val="Hyperlink"/>
          <w:rFonts w:ascii="Verdana" w:hAnsi="Verdana"/>
          <w:color w:val="auto"/>
        </w:rPr>
        <w:t>https://ifs.org.uk/publications/how-have-english-councils-funding-and-spending-changed-2010-2024</w:t>
      </w:r>
      <w:r>
        <w:fldChar w:fldCharType="end"/>
      </w:r>
      <w:r w:rsidRPr="00C87CDF">
        <w:rPr>
          <w:rFonts w:ascii="Verdana" w:hAnsi="Verdana"/>
        </w:rPr>
        <w:t xml:space="preserve"> </w:t>
      </w:r>
    </w:p>
  </w:footnote>
  <w:footnote w:id="16">
    <w:p w:rsidR="00E66308" w:rsidP="00A669C8">
      <w:pPr>
        <w:pStyle w:val="FootnoteText"/>
      </w:pPr>
      <w:r w:rsidRPr="00C87CDF">
        <w:rPr>
          <w:rStyle w:val="FootnoteReference"/>
          <w:rFonts w:ascii="Verdana" w:hAnsi="Verdana"/>
        </w:rPr>
        <w:footnoteRef/>
      </w:r>
      <w:r w:rsidRPr="00C87CDF">
        <w:rPr>
          <w:rFonts w:ascii="Verdana" w:hAnsi="Verdana"/>
        </w:rPr>
        <w:t xml:space="preserve"> Wray. I. (2023) Do We Need a Plan for England? </w:t>
      </w:r>
      <w:r>
        <w:fldChar w:fldCharType="begin"/>
      </w:r>
      <w:r>
        <w:instrText xml:space="preserve"> HYPERLINK "https://www.liverpool.ac.uk/heseltine-institute/blog/doweneedaplanforengland/" </w:instrText>
      </w:r>
      <w:r>
        <w:fldChar w:fldCharType="separate"/>
      </w:r>
      <w:r w:rsidRPr="00C87CDF">
        <w:rPr>
          <w:rStyle w:val="Hyperlink"/>
          <w:rFonts w:ascii="Verdana" w:hAnsi="Verdana"/>
          <w:color w:val="auto"/>
        </w:rPr>
        <w:t>https://www.liverpool.ac.uk/heseltine-institute/blog/doweneedaplanforengland/</w:t>
      </w:r>
      <w:r>
        <w:fldChar w:fldCharType="end"/>
      </w:r>
      <w:r w:rsidRPr="00C87CDF">
        <w:rPr>
          <w:rFonts w:ascii="Verdana" w:hAnsi="Verdana"/>
        </w:rPr>
        <w:t xml:space="preserve">; Wray, I. (2026) </w:t>
      </w:r>
      <w:r>
        <w:fldChar w:fldCharType="begin"/>
      </w:r>
      <w:r>
        <w:instrText xml:space="preserve"> HYPERLINK "https://www.liverpool.ac.uk/heseltine-institute/blog/the-secrets-of-getting-british-plans-done/" </w:instrText>
      </w:r>
      <w:r>
        <w:fldChar w:fldCharType="separate"/>
      </w:r>
      <w:r w:rsidRPr="00C87CDF">
        <w:rPr>
          <w:rStyle w:val="Hyperlink"/>
          <w:rFonts w:ascii="Verdana" w:hAnsi="Verdana"/>
          <w:color w:val="auto"/>
        </w:rPr>
        <w:t>https://www.liverpool.ac.uk/heseltine-institute/blog/the-secrets-of-getting-british-plans-done/</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73F86"/>
    <w:multiLevelType w:val="hybridMultilevel"/>
    <w:tmpl w:val="1F3240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DA67D7"/>
    <w:multiLevelType w:val="hybridMultilevel"/>
    <w:tmpl w:val="B6D6AA4E"/>
    <w:lvl w:ilvl="0">
      <w:start w:val="17"/>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F92BE1"/>
    <w:multiLevelType w:val="hybridMultilevel"/>
    <w:tmpl w:val="98EC3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812E89"/>
    <w:multiLevelType w:val="multilevel"/>
    <w:tmpl w:val="086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1D7090"/>
    <w:multiLevelType w:val="multilevel"/>
    <w:tmpl w:val="3D56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72996"/>
    <w:multiLevelType w:val="hybridMultilevel"/>
    <w:tmpl w:val="CEBEEF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435DCA"/>
    <w:multiLevelType w:val="hybridMultilevel"/>
    <w:tmpl w:val="ADAC2C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43F210B"/>
    <w:multiLevelType w:val="hybridMultilevel"/>
    <w:tmpl w:val="BF5CB7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A32AEF"/>
    <w:multiLevelType w:val="hybridMultilevel"/>
    <w:tmpl w:val="9692F2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5075B69"/>
    <w:multiLevelType w:val="hybridMultilevel"/>
    <w:tmpl w:val="25F6B8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C355030"/>
    <w:multiLevelType w:val="hybridMultilevel"/>
    <w:tmpl w:val="042A0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E391DDC"/>
    <w:multiLevelType w:val="hybridMultilevel"/>
    <w:tmpl w:val="CBE45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6"/>
  </w:num>
  <w:num w:numId="4">
    <w:abstractNumId w:val="0"/>
  </w:num>
  <w:num w:numId="5">
    <w:abstractNumId w:val="10"/>
  </w:num>
  <w:num w:numId="6">
    <w:abstractNumId w:val="5"/>
  </w:num>
  <w:num w:numId="7">
    <w:abstractNumId w:val="8"/>
  </w:num>
  <w:num w:numId="8">
    <w:abstractNumId w:val="1"/>
  </w:num>
  <w:num w:numId="9">
    <w:abstractNumId w:val="2"/>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E6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8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8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8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801"/>
    <w:rPr>
      <w:rFonts w:eastAsiaTheme="majorEastAsia" w:cstheme="majorBidi"/>
      <w:color w:val="272727" w:themeColor="text1" w:themeTint="D8"/>
    </w:rPr>
  </w:style>
  <w:style w:type="paragraph" w:styleId="Title">
    <w:name w:val="Title"/>
    <w:basedOn w:val="Normal"/>
    <w:next w:val="Normal"/>
    <w:link w:val="TitleChar"/>
    <w:uiPriority w:val="10"/>
    <w:qFormat/>
    <w:rsid w:val="007E6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801"/>
    <w:pPr>
      <w:spacing w:before="160"/>
      <w:jc w:val="center"/>
    </w:pPr>
    <w:rPr>
      <w:i/>
      <w:iCs/>
      <w:color w:val="404040" w:themeColor="text1" w:themeTint="BF"/>
    </w:rPr>
  </w:style>
  <w:style w:type="character" w:customStyle="1" w:styleId="QuoteChar">
    <w:name w:val="Quote Char"/>
    <w:basedOn w:val="DefaultParagraphFont"/>
    <w:link w:val="Quote"/>
    <w:uiPriority w:val="29"/>
    <w:rsid w:val="007E6801"/>
    <w:rPr>
      <w:i/>
      <w:iCs/>
      <w:color w:val="404040" w:themeColor="text1" w:themeTint="BF"/>
    </w:rPr>
  </w:style>
  <w:style w:type="paragraph" w:styleId="ListParagraph">
    <w:name w:val="List Paragraph"/>
    <w:basedOn w:val="Normal"/>
    <w:uiPriority w:val="34"/>
    <w:qFormat/>
    <w:rsid w:val="007E6801"/>
    <w:pPr>
      <w:ind w:left="720"/>
      <w:contextualSpacing/>
    </w:pPr>
  </w:style>
  <w:style w:type="character" w:styleId="IntenseEmphasis">
    <w:name w:val="Intense Emphasis"/>
    <w:basedOn w:val="DefaultParagraphFont"/>
    <w:uiPriority w:val="21"/>
    <w:qFormat/>
    <w:rsid w:val="007E6801"/>
    <w:rPr>
      <w:i/>
      <w:iCs/>
      <w:color w:val="0F4761" w:themeColor="accent1" w:themeShade="BF"/>
    </w:rPr>
  </w:style>
  <w:style w:type="paragraph" w:styleId="IntenseQuote">
    <w:name w:val="Intense Quote"/>
    <w:basedOn w:val="Normal"/>
    <w:next w:val="Normal"/>
    <w:link w:val="IntenseQuoteChar"/>
    <w:uiPriority w:val="30"/>
    <w:qFormat/>
    <w:rsid w:val="007E6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801"/>
    <w:rPr>
      <w:i/>
      <w:iCs/>
      <w:color w:val="0F4761" w:themeColor="accent1" w:themeShade="BF"/>
    </w:rPr>
  </w:style>
  <w:style w:type="character" w:styleId="IntenseReference">
    <w:name w:val="Intense Reference"/>
    <w:basedOn w:val="DefaultParagraphFont"/>
    <w:uiPriority w:val="32"/>
    <w:qFormat/>
    <w:rsid w:val="007E6801"/>
    <w:rPr>
      <w:b/>
      <w:bCs/>
      <w:smallCaps/>
      <w:color w:val="0F4761" w:themeColor="accent1" w:themeShade="BF"/>
      <w:spacing w:val="5"/>
    </w:rPr>
  </w:style>
  <w:style w:type="character" w:styleId="Hyperlink">
    <w:name w:val="Hyperlink"/>
    <w:basedOn w:val="DefaultParagraphFont"/>
    <w:uiPriority w:val="99"/>
    <w:unhideWhenUsed/>
    <w:rsid w:val="007E6801"/>
    <w:rPr>
      <w:color w:val="467886" w:themeColor="hyperlink"/>
      <w:u w:val="single"/>
    </w:rPr>
  </w:style>
  <w:style w:type="character" w:customStyle="1" w:styleId="UnresolvedMention1">
    <w:name w:val="Unresolved Mention1"/>
    <w:basedOn w:val="DefaultParagraphFont"/>
    <w:uiPriority w:val="99"/>
    <w:semiHidden/>
    <w:unhideWhenUsed/>
    <w:rsid w:val="007E6801"/>
    <w:rPr>
      <w:color w:val="605E5C"/>
      <w:shd w:val="clear" w:color="auto" w:fill="E1DFDD"/>
    </w:rPr>
  </w:style>
  <w:style w:type="character" w:styleId="CommentReference">
    <w:name w:val="annotation reference"/>
    <w:basedOn w:val="DefaultParagraphFont"/>
    <w:uiPriority w:val="99"/>
    <w:semiHidden/>
    <w:unhideWhenUsed/>
    <w:rsid w:val="008A740E"/>
    <w:rPr>
      <w:sz w:val="16"/>
      <w:szCs w:val="16"/>
    </w:rPr>
  </w:style>
  <w:style w:type="paragraph" w:styleId="CommentText">
    <w:name w:val="annotation text"/>
    <w:basedOn w:val="Normal"/>
    <w:link w:val="CommentTextChar"/>
    <w:uiPriority w:val="99"/>
    <w:unhideWhenUsed/>
    <w:rsid w:val="008A740E"/>
    <w:pPr>
      <w:spacing w:line="240" w:lineRule="auto"/>
    </w:pPr>
    <w:rPr>
      <w:sz w:val="20"/>
      <w:szCs w:val="20"/>
    </w:rPr>
  </w:style>
  <w:style w:type="character" w:customStyle="1" w:styleId="CommentTextChar">
    <w:name w:val="Comment Text Char"/>
    <w:basedOn w:val="DefaultParagraphFont"/>
    <w:link w:val="CommentText"/>
    <w:uiPriority w:val="99"/>
    <w:rsid w:val="008A740E"/>
    <w:rPr>
      <w:sz w:val="20"/>
      <w:szCs w:val="20"/>
    </w:rPr>
  </w:style>
  <w:style w:type="paragraph" w:styleId="CommentSubject">
    <w:name w:val="annotation subject"/>
    <w:basedOn w:val="CommentText"/>
    <w:next w:val="CommentText"/>
    <w:link w:val="CommentSubjectChar"/>
    <w:uiPriority w:val="99"/>
    <w:semiHidden/>
    <w:unhideWhenUsed/>
    <w:rsid w:val="008A740E"/>
    <w:rPr>
      <w:b/>
      <w:bCs/>
    </w:rPr>
  </w:style>
  <w:style w:type="character" w:customStyle="1" w:styleId="CommentSubjectChar">
    <w:name w:val="Comment Subject Char"/>
    <w:basedOn w:val="CommentTextChar"/>
    <w:link w:val="CommentSubject"/>
    <w:uiPriority w:val="99"/>
    <w:semiHidden/>
    <w:rsid w:val="008A740E"/>
    <w:rPr>
      <w:b/>
      <w:bCs/>
      <w:sz w:val="20"/>
      <w:szCs w:val="20"/>
    </w:rPr>
  </w:style>
  <w:style w:type="character" w:styleId="FollowedHyperlink">
    <w:name w:val="FollowedHyperlink"/>
    <w:basedOn w:val="DefaultParagraphFont"/>
    <w:uiPriority w:val="99"/>
    <w:semiHidden/>
    <w:unhideWhenUsed/>
    <w:rsid w:val="00473F38"/>
    <w:rPr>
      <w:color w:val="96607D" w:themeColor="followedHyperlink"/>
      <w:u w:val="single"/>
    </w:rPr>
  </w:style>
  <w:style w:type="paragraph" w:styleId="EndnoteText">
    <w:name w:val="endnote text"/>
    <w:basedOn w:val="Normal"/>
    <w:link w:val="EndnoteTextChar"/>
    <w:uiPriority w:val="99"/>
    <w:semiHidden/>
    <w:unhideWhenUsed/>
    <w:rsid w:val="00116D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6DC7"/>
    <w:rPr>
      <w:sz w:val="20"/>
      <w:szCs w:val="20"/>
    </w:rPr>
  </w:style>
  <w:style w:type="character" w:styleId="EndnoteReference">
    <w:name w:val="endnote reference"/>
    <w:basedOn w:val="DefaultParagraphFont"/>
    <w:uiPriority w:val="99"/>
    <w:semiHidden/>
    <w:unhideWhenUsed/>
    <w:rsid w:val="00116DC7"/>
    <w:rPr>
      <w:vertAlign w:val="superscript"/>
    </w:rPr>
  </w:style>
  <w:style w:type="paragraph" w:styleId="FootnoteText">
    <w:name w:val="footnote text"/>
    <w:basedOn w:val="Normal"/>
    <w:link w:val="FootnoteTextChar"/>
    <w:uiPriority w:val="99"/>
    <w:semiHidden/>
    <w:unhideWhenUsed/>
    <w:rsid w:val="003C58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860"/>
    <w:rPr>
      <w:sz w:val="20"/>
      <w:szCs w:val="20"/>
    </w:rPr>
  </w:style>
  <w:style w:type="character" w:styleId="FootnoteReference">
    <w:name w:val="footnote reference"/>
    <w:basedOn w:val="DefaultParagraphFont"/>
    <w:uiPriority w:val="99"/>
    <w:semiHidden/>
    <w:unhideWhenUsed/>
    <w:rsid w:val="003C5860"/>
    <w:rPr>
      <w:vertAlign w:val="superscript"/>
    </w:rPr>
  </w:style>
  <w:style w:type="paragraph" w:styleId="NormalWeb">
    <w:name w:val="Normal (Web)"/>
    <w:basedOn w:val="Normal"/>
    <w:uiPriority w:val="99"/>
    <w:semiHidden/>
    <w:unhideWhenUsed/>
    <w:rsid w:val="0032039F"/>
    <w:rPr>
      <w:rFonts w:ascii="Times New Roman" w:hAnsi="Times New Roman" w:cs="Times New Roman"/>
    </w:rPr>
  </w:style>
  <w:style w:type="paragraph" w:styleId="Header">
    <w:name w:val="header"/>
    <w:basedOn w:val="Normal"/>
    <w:link w:val="HeaderChar"/>
    <w:uiPriority w:val="99"/>
    <w:unhideWhenUsed/>
    <w:rsid w:val="00B36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3C8"/>
  </w:style>
  <w:style w:type="paragraph" w:styleId="Footer">
    <w:name w:val="footer"/>
    <w:basedOn w:val="Normal"/>
    <w:link w:val="FooterChar"/>
    <w:uiPriority w:val="99"/>
    <w:unhideWhenUsed/>
    <w:rsid w:val="00B363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6ADFF-FC15-4986-9AAA-189A262687DC}">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FDE0008</dc:title>
  <cp:revision>0</cp:revision>
</cp:coreProperties>
</file>