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40105" w:rsidRPr="001A43A2" w:rsidP="00840105">
      <w:pPr>
        <w:pStyle w:val="Heading2"/>
        <w:keepNext w:val="0"/>
        <w:keepLines w:val="0"/>
        <w:spacing w:after="80"/>
        <w:jc w:val="center"/>
        <w:rPr>
          <w:rFonts w:ascii="Verdana" w:hAnsi="Verdana"/>
          <w:b/>
          <w:bCs/>
          <w:sz w:val="28"/>
          <w:szCs w:val="28"/>
        </w:rPr>
      </w:pPr>
      <w:bookmarkStart w:id="0" w:name="_sjcw20lugcgf" w:colFirst="0" w:colLast="0"/>
      <w:bookmarkEnd w:id="0"/>
      <w:r>
        <w:rPr>
          <w:rFonts w:ascii="Verdana" w:hAnsi="Verdana"/>
          <w:b/>
          <w:bCs/>
          <w:sz w:val="28"/>
          <w:szCs w:val="28"/>
        </w:rPr>
        <w:t>Hleb Buziuk</w:t>
      </w:r>
      <w:r w:rsidR="003D2EC2">
        <w:rPr>
          <w:rFonts w:ascii="Verdana" w:hAnsi="Verdana"/>
          <w:b/>
          <w:bCs/>
          <w:sz w:val="28"/>
          <w:szCs w:val="28"/>
        </w:rPr>
        <w:t xml:space="preserve"> – Written Evidence on Falling Primary School Rolls – FPS0006</w:t>
      </w:r>
    </w:p>
    <w:p w:rsidR="00571363" w:rsidRPr="003C0650">
      <w:pPr>
        <w:pStyle w:val="Heading2"/>
        <w:keepNext w:val="0"/>
        <w:keepLines w:val="0"/>
        <w:spacing w:after="80"/>
        <w:rPr>
          <w:rFonts w:ascii="Verdana" w:hAnsi="Verdana"/>
          <w:b/>
          <w:bCs/>
          <w:sz w:val="22"/>
          <w:szCs w:val="22"/>
        </w:rPr>
      </w:pPr>
      <w:r w:rsidRPr="003C0650">
        <w:rPr>
          <w:rFonts w:ascii="Verdana" w:hAnsi="Verdana"/>
          <w:b/>
          <w:bCs/>
          <w:sz w:val="22"/>
          <w:szCs w:val="22"/>
        </w:rPr>
        <w:t>1) One-page briefing</w:t>
      </w:r>
    </w:p>
    <w:p w:rsidR="00571363" w:rsidRPr="003C0650">
      <w:pPr>
        <w:spacing w:before="240" w:after="240" w:line="240" w:lineRule="auto"/>
        <w:rPr>
          <w:rFonts w:ascii="Verdana" w:hAnsi="Verdana"/>
        </w:rPr>
      </w:pPr>
      <w:r w:rsidRPr="003C0650">
        <w:rPr>
          <w:rFonts w:ascii="Verdana" w:hAnsi="Verdana"/>
          <w:lang w:val="en-US"/>
        </w:rPr>
        <w:t>Written evidence from Hleb Buziuk, independent public policy and governance researcher. This submission draws on published official statistics, audit evidence and independent analysis, and does not represent a sectoral interest.</w:t>
      </w:r>
    </w:p>
    <w:p w:rsidR="00571363" w:rsidRPr="003C0650">
      <w:pPr>
        <w:spacing w:before="240" w:after="240" w:line="240" w:lineRule="auto"/>
        <w:rPr>
          <w:rFonts w:ascii="Verdana" w:hAnsi="Verdana"/>
          <w:b/>
          <w:bCs/>
        </w:rPr>
      </w:pPr>
      <w:r w:rsidRPr="003C0650">
        <w:rPr>
          <w:rFonts w:ascii="Verdana" w:hAnsi="Verdana"/>
          <w:b/>
          <w:bCs/>
        </w:rPr>
        <w:t>Three key messages</w:t>
      </w:r>
    </w:p>
    <w:p w:rsidR="00571363" w:rsidRPr="003C0650">
      <w:pPr>
        <w:numPr>
          <w:ilvl w:val="0"/>
          <w:numId w:val="20"/>
        </w:numPr>
        <w:spacing w:before="240" w:line="240" w:lineRule="auto"/>
        <w:rPr>
          <w:rFonts w:ascii="Verdana" w:hAnsi="Verdana"/>
        </w:rPr>
      </w:pPr>
      <w:r w:rsidRPr="003C0650">
        <w:rPr>
          <w:rFonts w:ascii="Verdana" w:hAnsi="Verdana"/>
        </w:rPr>
        <w:t>Falling primary demand is structural nationally, but local patterns are uneven. DfE projects state-funded nursery and primary pupils to fall from 4.505 million in 2025 to 4.205 million in 2030, a 6.7% fall [1].</w:t>
      </w:r>
    </w:p>
    <w:p w:rsidR="00571363" w:rsidRPr="003C0650" w:rsidP="2B78D9EC">
      <w:pPr>
        <w:numPr>
          <w:ilvl w:val="0"/>
          <w:numId w:val="20"/>
        </w:numPr>
        <w:spacing w:line="240" w:lineRule="auto"/>
        <w:rPr>
          <w:rFonts w:ascii="Verdana" w:hAnsi="Verdana"/>
        </w:rPr>
      </w:pPr>
      <w:r w:rsidRPr="003C0650">
        <w:rPr>
          <w:rFonts w:ascii="Verdana" w:hAnsi="Verdana"/>
          <w:lang w:val="en-US"/>
        </w:rPr>
        <w:t>The policy problem is not simply “too many places”. It is a timing mismatch between demand, buildings, staffing, admissions, SEND duties and pupil-led funding [2] [3] [4].</w:t>
      </w:r>
    </w:p>
    <w:p w:rsidR="00571363" w:rsidRPr="003C0650" w:rsidP="2B78D9EC">
      <w:pPr>
        <w:numPr>
          <w:ilvl w:val="0"/>
          <w:numId w:val="20"/>
        </w:numPr>
        <w:spacing w:after="240" w:line="240" w:lineRule="auto"/>
        <w:rPr>
          <w:rFonts w:ascii="Verdana" w:hAnsi="Verdana"/>
        </w:rPr>
      </w:pPr>
      <w:r w:rsidRPr="003C0650">
        <w:rPr>
          <w:rFonts w:ascii="Verdana" w:hAnsi="Verdana"/>
          <w:lang w:val="en-US"/>
        </w:rPr>
        <w:t>The 2026 Act and the white paper change the policy context, but practical effect will depend on operational rules, use of new powers, funding, workforce and the spare-space framework [5] [6] [7] [8].</w:t>
      </w:r>
    </w:p>
    <w:p w:rsidR="00571363" w:rsidRPr="003C0650">
      <w:pPr>
        <w:spacing w:before="240" w:after="240" w:line="240" w:lineRule="auto"/>
        <w:rPr>
          <w:rFonts w:ascii="Verdana" w:hAnsi="Verdana"/>
          <w:b/>
          <w:bCs/>
        </w:rPr>
      </w:pPr>
      <w:r w:rsidRPr="003C0650">
        <w:rPr>
          <w:rFonts w:ascii="Verdana" w:hAnsi="Verdana"/>
          <w:b/>
          <w:bCs/>
        </w:rPr>
        <w:t>Key findings</w:t>
      </w:r>
    </w:p>
    <w:p w:rsidR="00571363" w:rsidRPr="003C0650">
      <w:pPr>
        <w:numPr>
          <w:ilvl w:val="0"/>
          <w:numId w:val="16"/>
        </w:numPr>
        <w:spacing w:before="240" w:line="240" w:lineRule="auto"/>
        <w:rPr>
          <w:rFonts w:ascii="Verdana" w:hAnsi="Verdana"/>
        </w:rPr>
      </w:pPr>
      <w:r w:rsidRPr="003C0650">
        <w:rPr>
          <w:rFonts w:ascii="Verdana" w:hAnsi="Verdana"/>
        </w:rPr>
        <w:t>Primary schools had 680,000 unfilled places in 2024/25, the highest number since the school capacity data collection began. DfE cautions that unfilled places can reflect prudent planning as well as low or declining need [3].</w:t>
      </w:r>
    </w:p>
    <w:p w:rsidR="00571363" w:rsidRPr="003C0650" w:rsidP="2B78D9EC">
      <w:pPr>
        <w:numPr>
          <w:ilvl w:val="0"/>
          <w:numId w:val="16"/>
        </w:numPr>
        <w:spacing w:line="240" w:lineRule="auto"/>
        <w:rPr>
          <w:rFonts w:ascii="Verdana" w:hAnsi="Verdana"/>
        </w:rPr>
      </w:pPr>
      <w:r w:rsidRPr="003C0650">
        <w:rPr>
          <w:rFonts w:ascii="Verdana" w:hAnsi="Verdana"/>
          <w:lang w:val="en-US"/>
        </w:rPr>
        <w:t>Maintained primary school financial stress is already visible. In 2024-25, 17.4% of maintained primary schools submitting returns were in deficit, up from 14.7% in 2023-24 [4].</w:t>
      </w:r>
    </w:p>
    <w:p w:rsidR="00571363" w:rsidRPr="003C0650" w:rsidP="2B78D9EC">
      <w:pPr>
        <w:numPr>
          <w:ilvl w:val="0"/>
          <w:numId w:val="16"/>
        </w:numPr>
        <w:spacing w:line="240" w:lineRule="auto"/>
        <w:rPr>
          <w:rFonts w:ascii="Verdana" w:hAnsi="Verdana"/>
        </w:rPr>
      </w:pPr>
      <w:r w:rsidRPr="003C0650">
        <w:rPr>
          <w:rFonts w:ascii="Verdana" w:hAnsi="Verdana"/>
          <w:lang w:val="en-US"/>
        </w:rPr>
        <w:t>SEND makes falling rolls harder to manage. Over 1.7 million pupils had SEN in 2025, and EHC plans continued to rise. Reducing mainstream capacity without checking SEND and transport effects could shift costs and access burdens elsewhere [10] [11] [12].</w:t>
      </w:r>
    </w:p>
    <w:p w:rsidR="00571363" w:rsidRPr="003C0650" w:rsidP="2B78D9EC">
      <w:pPr>
        <w:numPr>
          <w:ilvl w:val="0"/>
          <w:numId w:val="16"/>
        </w:numPr>
        <w:spacing w:after="240" w:line="240" w:lineRule="auto"/>
        <w:rPr>
          <w:rFonts w:ascii="Verdana" w:hAnsi="Verdana"/>
        </w:rPr>
      </w:pPr>
      <w:r w:rsidRPr="003C0650">
        <w:rPr>
          <w:rFonts w:ascii="Verdana" w:hAnsi="Verdana"/>
          <w:b/>
          <w:bCs/>
          <w:lang w:val="en-US"/>
        </w:rPr>
        <w:t>Gap + test:</w:t>
      </w:r>
      <w:r w:rsidRPr="003C0650">
        <w:rPr>
          <w:rFonts w:ascii="Verdana" w:hAnsi="Verdana"/>
          <w:lang w:val="en-US"/>
        </w:rPr>
        <w:t xml:space="preserve"> comparing financial distress between maintained schools and academies remains difficult because maintained-school returns are more directly school-level. Any school-type comparison should test governance routes and incentives before asserting which school type is more financially exposed [4].</w:t>
      </w:r>
    </w:p>
    <w:p w:rsidR="00571363" w:rsidRPr="003C0650">
      <w:pPr>
        <w:spacing w:before="240" w:after="240" w:line="240" w:lineRule="auto"/>
        <w:rPr>
          <w:rFonts w:ascii="Verdana" w:hAnsi="Verdana"/>
          <w:b/>
          <w:bCs/>
        </w:rPr>
      </w:pPr>
      <w:r w:rsidRPr="003C0650">
        <w:rPr>
          <w:rFonts w:ascii="Verdana" w:hAnsi="Verdana"/>
          <w:b/>
          <w:bCs/>
        </w:rPr>
        <w:t>Experience signal</w:t>
      </w:r>
    </w:p>
    <w:p w:rsidR="00571363" w:rsidRPr="003C0650">
      <w:pPr>
        <w:numPr>
          <w:ilvl w:val="0"/>
          <w:numId w:val="1"/>
        </w:numPr>
        <w:spacing w:before="240" w:after="240" w:line="240" w:lineRule="auto"/>
        <w:rPr>
          <w:rFonts w:ascii="Verdana" w:hAnsi="Verdana"/>
        </w:rPr>
      </w:pPr>
      <w:r w:rsidRPr="003C0650">
        <w:rPr>
          <w:rFonts w:ascii="Verdana" w:hAnsi="Verdana"/>
        </w:rPr>
        <w:t>NAO evidence on home-to-school transport suggests that where travel burdens rise, some parents may adjust working patterns or give up work. This is not prevalence evidence, but it is a material implementation risk [12].</w:t>
      </w:r>
    </w:p>
    <w:p w:rsidR="00571363" w:rsidRPr="003C0650">
      <w:pPr>
        <w:spacing w:before="240" w:after="240" w:line="240" w:lineRule="auto"/>
        <w:rPr>
          <w:rFonts w:ascii="Verdana" w:hAnsi="Verdana"/>
          <w:b/>
          <w:bCs/>
        </w:rPr>
      </w:pPr>
      <w:r w:rsidRPr="003C0650">
        <w:rPr>
          <w:rFonts w:ascii="Verdana" w:hAnsi="Verdana"/>
          <w:b/>
          <w:bCs/>
        </w:rPr>
        <w:t>Recommendations</w:t>
      </w:r>
    </w:p>
    <w:p w:rsidR="00571363" w:rsidRPr="003C0650" w:rsidP="2B78D9EC">
      <w:pPr>
        <w:numPr>
          <w:ilvl w:val="0"/>
          <w:numId w:val="8"/>
        </w:numPr>
        <w:spacing w:before="240" w:line="240" w:lineRule="auto"/>
        <w:rPr>
          <w:rFonts w:ascii="Verdana" w:hAnsi="Verdana"/>
        </w:rPr>
      </w:pPr>
      <w:r w:rsidRPr="003C0650">
        <w:rPr>
          <w:rFonts w:ascii="Verdana" w:hAnsi="Verdana"/>
          <w:lang w:val="en-US"/>
        </w:rPr>
        <w:t>DfE should publish a clear “buffer or restructure” test for falling rolls, using planning-area forecasts, SCAP data, SEND access, transport and estate options.</w:t>
      </w:r>
    </w:p>
    <w:p w:rsidR="00571363" w:rsidRPr="003C0650" w:rsidP="2B78D9EC">
      <w:pPr>
        <w:numPr>
          <w:ilvl w:val="0"/>
          <w:numId w:val="8"/>
        </w:numPr>
        <w:spacing w:line="240" w:lineRule="auto"/>
        <w:rPr>
          <w:rFonts w:ascii="Verdana" w:hAnsi="Verdana"/>
        </w:rPr>
      </w:pPr>
      <w:r w:rsidRPr="003C0650">
        <w:rPr>
          <w:rFonts w:ascii="Verdana" w:hAnsi="Verdana"/>
          <w:lang w:val="en-US"/>
        </w:rPr>
        <w:t>Local responses should use an area-based options appraisal before closure, merger or permanent PAN reduction.</w:t>
      </w:r>
    </w:p>
    <w:p w:rsidR="00571363" w:rsidRPr="003C0650" w:rsidP="2B78D9EC">
      <w:pPr>
        <w:numPr>
          <w:ilvl w:val="0"/>
          <w:numId w:val="8"/>
        </w:numPr>
        <w:spacing w:line="240" w:lineRule="auto"/>
        <w:rPr>
          <w:rFonts w:ascii="Verdana" w:hAnsi="Verdana"/>
        </w:rPr>
      </w:pPr>
      <w:r w:rsidRPr="003C0650">
        <w:rPr>
          <w:rFonts w:ascii="Verdana" w:hAnsi="Verdana"/>
          <w:lang w:val="en-US"/>
        </w:rPr>
        <w:t>Spare space should be tested first for SEND, early years, family support or community use before permanent withdrawal.</w:t>
      </w:r>
    </w:p>
    <w:p w:rsidR="00571363" w:rsidRPr="003C0650" w:rsidP="2B78D9EC">
      <w:pPr>
        <w:numPr>
          <w:ilvl w:val="0"/>
          <w:numId w:val="8"/>
        </w:numPr>
        <w:spacing w:after="240" w:line="240" w:lineRule="auto"/>
        <w:rPr>
          <w:rFonts w:ascii="Verdana" w:hAnsi="Verdana"/>
        </w:rPr>
      </w:pPr>
      <w:r w:rsidRPr="003C0650">
        <w:rPr>
          <w:rFonts w:ascii="Verdana" w:hAnsi="Verdana"/>
          <w:lang w:val="en-US"/>
        </w:rPr>
        <w:t xml:space="preserve">DfE should publish a small monitoring set covering unfilled places, PAN changes, school </w:t>
      </w:r>
      <w:r w:rsidRPr="003C0650">
        <w:rPr>
          <w:rFonts w:ascii="Verdana" w:hAnsi="Verdana"/>
          <w:lang w:val="en-US"/>
        </w:rPr>
        <w:t>reorganisation</w:t>
      </w:r>
      <w:r w:rsidRPr="003C0650">
        <w:rPr>
          <w:rFonts w:ascii="Verdana" w:hAnsi="Verdana"/>
          <w:lang w:val="en-US"/>
        </w:rPr>
        <w:t>, SEND placement stability, transport effects and comparable financial sufficiency.</w:t>
      </w:r>
    </w:p>
    <w:p w:rsidR="00571363" w:rsidRPr="003C0650">
      <w:pPr>
        <w:spacing w:before="240" w:after="240" w:line="240" w:lineRule="auto"/>
        <w:rPr>
          <w:rFonts w:ascii="Verdana" w:hAnsi="Verdana"/>
          <w:b/>
          <w:bCs/>
        </w:rPr>
      </w:pPr>
      <w:r w:rsidRPr="003C0650">
        <w:rPr>
          <w:rFonts w:ascii="Verdana" w:hAnsi="Verdana"/>
          <w:b/>
          <w:bCs/>
        </w:rPr>
        <w:t>What is new vs official sources</w:t>
      </w:r>
    </w:p>
    <w:p w:rsidR="00571363" w:rsidRPr="003C0650" w:rsidP="2B78D9EC">
      <w:pPr>
        <w:numPr>
          <w:ilvl w:val="0"/>
          <w:numId w:val="12"/>
        </w:numPr>
        <w:spacing w:before="240" w:line="240" w:lineRule="auto"/>
        <w:rPr>
          <w:rFonts w:ascii="Verdana" w:hAnsi="Verdana"/>
        </w:rPr>
      </w:pPr>
      <w:r w:rsidRPr="003C0650">
        <w:rPr>
          <w:rFonts w:ascii="Verdana" w:hAnsi="Verdana"/>
          <w:lang w:val="en-US"/>
        </w:rPr>
        <w:t xml:space="preserve">The central friction is the mismatch between local sufficiency duties and fragmented decision rights over admissions, PANs and school </w:t>
      </w:r>
      <w:r w:rsidRPr="003C0650">
        <w:rPr>
          <w:rFonts w:ascii="Verdana" w:hAnsi="Verdana"/>
          <w:lang w:val="en-US"/>
        </w:rPr>
        <w:t>organisation</w:t>
      </w:r>
      <w:r w:rsidRPr="003C0650">
        <w:rPr>
          <w:rFonts w:ascii="Verdana" w:hAnsi="Verdana"/>
          <w:lang w:val="en-US"/>
        </w:rPr>
        <w:t>. The Act addresses parts of this, but delivery remains unproven [2] [5] [6].</w:t>
      </w:r>
    </w:p>
    <w:p w:rsidR="00571363" w:rsidRPr="003C0650" w:rsidP="2B78D9EC">
      <w:pPr>
        <w:numPr>
          <w:ilvl w:val="0"/>
          <w:numId w:val="12"/>
        </w:numPr>
        <w:spacing w:after="240" w:line="240" w:lineRule="auto"/>
        <w:rPr>
          <w:rFonts w:ascii="Verdana" w:hAnsi="Verdana"/>
        </w:rPr>
      </w:pPr>
      <w:r w:rsidRPr="003C0650">
        <w:rPr>
          <w:rFonts w:ascii="Verdana" w:hAnsi="Verdana"/>
          <w:lang w:val="en-US"/>
        </w:rPr>
        <w:t>A concrete failure mode is premature capacity removal: it can relieve short-term budget pressure but create later access, transport or capital costs if demand or SEND need changes [2] [7] [12].</w:t>
      </w:r>
    </w:p>
    <w:p w:rsidR="00571363" w:rsidRPr="003C0650">
      <w:pPr>
        <w:spacing w:before="240" w:after="240" w:line="240" w:lineRule="auto"/>
        <w:rPr>
          <w:rFonts w:ascii="Verdana" w:hAnsi="Verdana"/>
        </w:rPr>
      </w:pPr>
      <w:r w:rsidRPr="003C0650">
        <w:rPr>
          <w:rFonts w:ascii="Verdana" w:hAnsi="Verdana"/>
        </w:rPr>
        <w:t>Methods are in section 3; learning asks and hearing questions are in sections 7 and 9.</w:t>
      </w:r>
    </w:p>
    <w:p w:rsidR="00571363" w:rsidRPr="003C0650">
      <w:pPr>
        <w:pStyle w:val="Heading2"/>
        <w:keepNext w:val="0"/>
        <w:keepLines w:val="0"/>
        <w:spacing w:after="80"/>
        <w:rPr>
          <w:rFonts w:ascii="Verdana" w:hAnsi="Verdana"/>
          <w:b/>
          <w:bCs/>
          <w:sz w:val="22"/>
          <w:szCs w:val="22"/>
        </w:rPr>
      </w:pPr>
      <w:bookmarkStart w:id="1" w:name="_3xnt74ugikw4" w:colFirst="0" w:colLast="0"/>
      <w:bookmarkEnd w:id="1"/>
      <w:r w:rsidRPr="003C0650">
        <w:rPr>
          <w:rFonts w:ascii="Verdana" w:hAnsi="Verdana"/>
          <w:b/>
          <w:bCs/>
          <w:sz w:val="22"/>
          <w:szCs w:val="22"/>
        </w:rPr>
        <w:t>2) About</w:t>
      </w:r>
    </w:p>
    <w:p w:rsidR="00571363" w:rsidRPr="003C0650">
      <w:pPr>
        <w:spacing w:before="240" w:after="240" w:line="240" w:lineRule="auto"/>
        <w:rPr>
          <w:rFonts w:ascii="Verdana" w:hAnsi="Verdana"/>
        </w:rPr>
      </w:pPr>
      <w:r w:rsidRPr="003C0650">
        <w:rPr>
          <w:rFonts w:ascii="Verdana" w:hAnsi="Verdana"/>
          <w:lang w:val="en-US"/>
        </w:rPr>
        <w:t>Hleb Buziuk is an independent public policy and governance researcher. This submission focuses on governance, public service design and implementation risks. It does not provide local case evidence or represent any school, trust, local authority, union, parent group or provider.</w:t>
      </w:r>
    </w:p>
    <w:p w:rsidR="00571363" w:rsidRPr="003C0650" w:rsidP="2B78D9EC">
      <w:pPr>
        <w:pStyle w:val="Heading2"/>
        <w:keepNext w:val="0"/>
        <w:keepLines w:val="0"/>
        <w:spacing w:after="80"/>
        <w:rPr>
          <w:rFonts w:ascii="Verdana" w:hAnsi="Verdana"/>
          <w:b/>
          <w:bCs/>
          <w:sz w:val="22"/>
          <w:szCs w:val="22"/>
          <w:lang w:val="en-US"/>
        </w:rPr>
      </w:pPr>
      <w:r w:rsidRPr="003C0650">
        <w:rPr>
          <w:rFonts w:ascii="Verdana" w:hAnsi="Verdana"/>
          <w:b/>
          <w:bCs/>
          <w:sz w:val="22"/>
          <w:szCs w:val="22"/>
          <w:lang w:val="en-US"/>
        </w:rPr>
        <w:t>3) Methods, sources and limitations</w:t>
      </w:r>
      <w:r w:rsidRPr="003C0650" w:rsidR="007900A7">
        <w:rPr>
          <w:rFonts w:ascii="Verdana" w:hAnsi="Verdana"/>
          <w:b/>
          <w:bCs/>
          <w:sz w:val="22"/>
          <w:szCs w:val="22"/>
        </w:rPr>
        <w:t>3) Methods, sources and limitations</w:t>
      </w:r>
    </w:p>
    <w:p w:rsidR="00571363" w:rsidRPr="003C0650">
      <w:pPr>
        <w:spacing w:before="240" w:after="240" w:line="240" w:lineRule="auto"/>
        <w:rPr>
          <w:rFonts w:ascii="Verdana" w:hAnsi="Verdana"/>
        </w:rPr>
      </w:pPr>
      <w:r w:rsidRPr="003C0650">
        <w:rPr>
          <w:rFonts w:ascii="Verdana" w:hAnsi="Verdana"/>
          <w:lang w:val="en-US"/>
        </w:rPr>
        <w:t>This submission distinguishes performance evidence, such as pupil projections, capacity and finance data, from implementation evidence, such as audit findings and policy guidance, and from experience signals, such as transport burdens reported in NAO work. It does not treat testimony or commentary as prevalence evidence.</w:t>
      </w:r>
    </w:p>
    <w:p w:rsidR="00571363" w:rsidRPr="003C0650">
      <w:pPr>
        <w:spacing w:before="240" w:after="240" w:line="240" w:lineRule="auto"/>
        <w:rPr>
          <w:rFonts w:ascii="Verdana" w:hAnsi="Verdana"/>
        </w:rPr>
      </w:pPr>
      <w:r w:rsidRPr="003C0650">
        <w:rPr>
          <w:rFonts w:ascii="Verdana" w:hAnsi="Verdana"/>
        </w:rPr>
        <w:t>The strongest national anchors are DfE statistics and NAO value-for-money work. Local variation is illustrated cautiously through EPI analysis of London pupil movements. That analysis is useful for mechanisms, especially family movement, but should not be read as England-wide prevalence.</w:t>
      </w:r>
    </w:p>
    <w:p w:rsidR="00571363" w:rsidRPr="003C0650">
      <w:pPr>
        <w:spacing w:before="240" w:after="240" w:line="240" w:lineRule="auto"/>
        <w:rPr>
          <w:rFonts w:ascii="Verdana" w:hAnsi="Verdana"/>
        </w:rPr>
      </w:pPr>
      <w:r w:rsidRPr="003C0650">
        <w:rPr>
          <w:rFonts w:ascii="Verdana" w:hAnsi="Verdana"/>
          <w:lang w:val="en-US"/>
        </w:rPr>
        <w:t xml:space="preserve">This submission cites the official white paper page and uses it only for the existence and broad policy scope of the schools and SEND reform </w:t>
      </w:r>
      <w:r w:rsidRPr="003C0650">
        <w:rPr>
          <w:rFonts w:ascii="Verdana" w:hAnsi="Verdana"/>
          <w:lang w:val="en-US"/>
        </w:rPr>
        <w:t>programme</w:t>
      </w:r>
      <w:r w:rsidRPr="003C0650">
        <w:rPr>
          <w:rFonts w:ascii="Verdana" w:hAnsi="Verdana"/>
          <w:lang w:val="en-US"/>
        </w:rPr>
        <w:t>. It does not make detailed claims about the white paper’s delivery effects unless those claims can be tested through future DfE implementation evidence [8].</w:t>
      </w:r>
    </w:p>
    <w:p w:rsidR="00571363" w:rsidRPr="003C0650">
      <w:pPr>
        <w:pStyle w:val="Heading2"/>
        <w:keepNext w:val="0"/>
        <w:keepLines w:val="0"/>
        <w:spacing w:after="80"/>
        <w:rPr>
          <w:rFonts w:ascii="Verdana" w:hAnsi="Verdana"/>
          <w:b/>
          <w:bCs/>
          <w:sz w:val="22"/>
          <w:szCs w:val="22"/>
        </w:rPr>
      </w:pPr>
      <w:bookmarkStart w:id="2" w:name="_8rwildiuq2v" w:colFirst="0" w:colLast="0"/>
      <w:bookmarkEnd w:id="2"/>
      <w:r w:rsidRPr="003C0650">
        <w:rPr>
          <w:rFonts w:ascii="Verdana" w:hAnsi="Verdana"/>
          <w:b/>
          <w:bCs/>
          <w:sz w:val="22"/>
          <w:szCs w:val="22"/>
        </w:rPr>
        <w:t>4) Context</w:t>
      </w:r>
    </w:p>
    <w:p w:rsidR="00571363" w:rsidRPr="003C0650">
      <w:pPr>
        <w:spacing w:before="240" w:after="240" w:line="240" w:lineRule="auto"/>
        <w:rPr>
          <w:rFonts w:ascii="Verdana" w:hAnsi="Verdana"/>
        </w:rPr>
      </w:pPr>
      <w:r w:rsidRPr="003C0650">
        <w:rPr>
          <w:rFonts w:ascii="Verdana" w:hAnsi="Verdana"/>
          <w:lang w:val="en-US"/>
        </w:rPr>
        <w:t xml:space="preserve">The inquiry is England-only and concerns primary school </w:t>
      </w:r>
      <w:r w:rsidRPr="003C0650">
        <w:rPr>
          <w:rFonts w:ascii="Verdana" w:hAnsi="Verdana"/>
          <w:lang w:val="en-US"/>
        </w:rPr>
        <w:t>rolls</w:t>
      </w:r>
      <w:r w:rsidRPr="003C0650">
        <w:rPr>
          <w:rFonts w:ascii="Verdana" w:hAnsi="Verdana"/>
          <w:lang w:val="en-US"/>
        </w:rPr>
        <w:t>, school finances, families, staff, communities, SEND and the roles of Government, local authorities and schools. The main delivery chain is mixed: DfE funds and oversees the system, local authorities retain sufficiency duties, and schools and academy trusts control important operational decisions. That makes this a place-planning and governance problem as much as a demographic one.</w:t>
      </w:r>
    </w:p>
    <w:p w:rsidR="00571363" w:rsidRPr="003C0650">
      <w:pPr>
        <w:pStyle w:val="Heading2"/>
        <w:keepNext w:val="0"/>
        <w:keepLines w:val="0"/>
        <w:spacing w:after="80"/>
        <w:rPr>
          <w:rFonts w:ascii="Verdana" w:hAnsi="Verdana"/>
          <w:b/>
          <w:bCs/>
          <w:sz w:val="22"/>
          <w:szCs w:val="22"/>
        </w:rPr>
      </w:pPr>
      <w:bookmarkStart w:id="3" w:name="_xcsgwyb6sbaz" w:colFirst="0" w:colLast="0"/>
      <w:bookmarkEnd w:id="3"/>
      <w:r w:rsidRPr="003C0650">
        <w:rPr>
          <w:rFonts w:ascii="Verdana" w:hAnsi="Verdana"/>
          <w:b/>
          <w:bCs/>
          <w:sz w:val="22"/>
          <w:szCs w:val="22"/>
        </w:rPr>
        <w:t>5) Evidence mapped to theme clusters</w:t>
      </w:r>
    </w:p>
    <w:p w:rsidR="00571363" w:rsidRPr="003C0650">
      <w:pPr>
        <w:pStyle w:val="Heading3"/>
        <w:keepNext w:val="0"/>
        <w:keepLines w:val="0"/>
        <w:spacing w:before="280"/>
        <w:rPr>
          <w:rFonts w:ascii="Verdana" w:hAnsi="Verdana"/>
          <w:b/>
          <w:bCs/>
          <w:color w:val="000000"/>
          <w:sz w:val="22"/>
          <w:szCs w:val="22"/>
        </w:rPr>
      </w:pPr>
      <w:bookmarkStart w:id="4" w:name="_h2h60pw2qgjk" w:colFirst="0" w:colLast="0"/>
      <w:bookmarkEnd w:id="4"/>
      <w:r w:rsidRPr="003C0650">
        <w:rPr>
          <w:rFonts w:ascii="Verdana" w:hAnsi="Verdana"/>
          <w:b/>
          <w:bCs/>
          <w:color w:val="000000"/>
          <w:sz w:val="22"/>
          <w:szCs w:val="22"/>
        </w:rPr>
        <w:t>5.1 Demand and geographical unevenness</w:t>
      </w:r>
    </w:p>
    <w:p w:rsidR="00571363" w:rsidRPr="003C0650">
      <w:pPr>
        <w:spacing w:before="240" w:after="240" w:line="240" w:lineRule="auto"/>
        <w:rPr>
          <w:rFonts w:ascii="Verdana" w:hAnsi="Verdana"/>
        </w:rPr>
      </w:pPr>
      <w:r w:rsidRPr="003C0650">
        <w:rPr>
          <w:rFonts w:ascii="Verdana" w:hAnsi="Verdana"/>
        </w:rPr>
        <w:t>Nationally, demand is falling because smaller cohorts are entering primary age while larger birth cohorts move out of the phase. DfE says the nursery and primary population is projected to fall by 300,000 between 2025 and 2030 [1]. However, planning should not use an England average as the unit of decision.</w:t>
      </w:r>
    </w:p>
    <w:p w:rsidR="00571363" w:rsidRPr="003C0650">
      <w:pPr>
        <w:numPr>
          <w:ilvl w:val="0"/>
          <w:numId w:val="17"/>
        </w:numPr>
        <w:spacing w:before="240" w:line="240" w:lineRule="auto"/>
        <w:rPr>
          <w:rFonts w:ascii="Verdana" w:hAnsi="Verdana"/>
        </w:rPr>
      </w:pPr>
      <w:r w:rsidRPr="003C0650">
        <w:rPr>
          <w:rFonts w:ascii="Verdana" w:hAnsi="Verdana"/>
        </w:rPr>
        <w:t>Local authority forecasts still show pockets of growth and decline within wider areas [3].</w:t>
      </w:r>
    </w:p>
    <w:p w:rsidR="00571363" w:rsidRPr="003C0650">
      <w:pPr>
        <w:numPr>
          <w:ilvl w:val="0"/>
          <w:numId w:val="17"/>
        </w:numPr>
        <w:spacing w:line="240" w:lineRule="auto"/>
        <w:rPr>
          <w:rFonts w:ascii="Verdana" w:hAnsi="Verdana"/>
        </w:rPr>
      </w:pPr>
      <w:r w:rsidRPr="003C0650">
        <w:rPr>
          <w:rFonts w:ascii="Verdana" w:hAnsi="Verdana"/>
        </w:rPr>
        <w:t>London analysis suggests falling rolls can reflect family movement as well as births. EPI found an increasing proportion of London reception pupils leaving the region before Year 6 [13].</w:t>
      </w:r>
    </w:p>
    <w:p w:rsidR="00571363" w:rsidRPr="003C0650">
      <w:pPr>
        <w:numPr>
          <w:ilvl w:val="0"/>
          <w:numId w:val="17"/>
        </w:numPr>
        <w:spacing w:line="240" w:lineRule="auto"/>
        <w:rPr>
          <w:rFonts w:ascii="Verdana" w:hAnsi="Verdana"/>
        </w:rPr>
      </w:pPr>
      <w:r w:rsidRPr="003C0650">
        <w:rPr>
          <w:rFonts w:ascii="Verdana" w:hAnsi="Verdana"/>
          <w:b/>
          <w:bCs/>
        </w:rPr>
        <w:t>Design parameter:</w:t>
      </w:r>
      <w:r w:rsidRPr="003C0650">
        <w:rPr>
          <w:rFonts w:ascii="Verdana" w:hAnsi="Verdana"/>
        </w:rPr>
        <w:t xml:space="preserve"> use planning-area forecasts, not local authority totals alone.</w:t>
      </w:r>
    </w:p>
    <w:p w:rsidR="00571363" w:rsidRPr="003C0650" w:rsidP="2B78D9EC">
      <w:pPr>
        <w:numPr>
          <w:ilvl w:val="0"/>
          <w:numId w:val="17"/>
        </w:numPr>
        <w:spacing w:after="240" w:line="240" w:lineRule="auto"/>
        <w:rPr>
          <w:rFonts w:ascii="Verdana" w:hAnsi="Verdana"/>
        </w:rPr>
      </w:pPr>
      <w:r w:rsidRPr="003C0650">
        <w:rPr>
          <w:rFonts w:ascii="Verdana" w:hAnsi="Verdana"/>
          <w:b/>
          <w:bCs/>
          <w:lang w:val="en-US"/>
        </w:rPr>
        <w:t>Failure mode:</w:t>
      </w:r>
      <w:r w:rsidRPr="003C0650">
        <w:rPr>
          <w:rFonts w:ascii="Verdana" w:hAnsi="Verdana"/>
          <w:lang w:val="en-US"/>
        </w:rPr>
        <w:t xml:space="preserve"> over-reading London as England-</w:t>
      </w:r>
      <w:r w:rsidRPr="003C0650">
        <w:rPr>
          <w:rFonts w:ascii="Verdana" w:hAnsi="Verdana"/>
          <w:lang w:val="en-US"/>
        </w:rPr>
        <w:t>wide, or</w:t>
      </w:r>
      <w:r w:rsidRPr="003C0650">
        <w:rPr>
          <w:rFonts w:ascii="Verdana" w:hAnsi="Verdana"/>
          <w:lang w:val="en-US"/>
        </w:rPr>
        <w:t xml:space="preserve"> using national decline to justify local closure without a rebound test.</w:t>
      </w:r>
    </w:p>
    <w:p w:rsidR="00571363" w:rsidRPr="003C0650" w:rsidP="2B78D9EC">
      <w:pPr>
        <w:pStyle w:val="Heading3"/>
        <w:keepNext w:val="0"/>
        <w:keepLines w:val="0"/>
        <w:spacing w:before="280"/>
        <w:rPr>
          <w:rFonts w:ascii="Verdana" w:hAnsi="Verdana"/>
          <w:b/>
          <w:bCs/>
          <w:color w:val="000000"/>
          <w:sz w:val="22"/>
          <w:szCs w:val="22"/>
          <w:lang w:val="en-US"/>
        </w:rPr>
      </w:pPr>
      <w:r w:rsidRPr="003C0650">
        <w:rPr>
          <w:rFonts w:ascii="Verdana" w:hAnsi="Verdana"/>
          <w:b/>
          <w:bCs/>
          <w:color w:val="000000" w:themeColor="text1"/>
          <w:sz w:val="22"/>
          <w:szCs w:val="22"/>
          <w:lang w:val="en-US"/>
        </w:rPr>
        <w:t xml:space="preserve">5.2 Financial sufficiency and school </w:t>
      </w:r>
      <w:r w:rsidRPr="003C0650">
        <w:rPr>
          <w:rFonts w:ascii="Verdana" w:hAnsi="Verdana"/>
          <w:b/>
          <w:bCs/>
          <w:color w:val="000000" w:themeColor="text1"/>
          <w:sz w:val="22"/>
          <w:szCs w:val="22"/>
          <w:lang w:val="en-US"/>
        </w:rPr>
        <w:t>organisation</w:t>
      </w:r>
      <w:r w:rsidRPr="003C0650" w:rsidR="007900A7">
        <w:rPr>
          <w:rFonts w:ascii="Verdana" w:hAnsi="Verdana"/>
          <w:b/>
          <w:bCs/>
          <w:color w:val="000000"/>
          <w:sz w:val="22"/>
          <w:szCs w:val="22"/>
        </w:rPr>
        <w:t>5.2 Financial sufficiency and school organisation</w:t>
      </w:r>
    </w:p>
    <w:p w:rsidR="00571363" w:rsidRPr="003C0650">
      <w:pPr>
        <w:spacing w:before="240" w:after="240" w:line="240" w:lineRule="auto"/>
        <w:rPr>
          <w:rFonts w:ascii="Verdana" w:hAnsi="Verdana"/>
        </w:rPr>
      </w:pPr>
      <w:r w:rsidRPr="003C0650">
        <w:rPr>
          <w:rFonts w:ascii="Verdana" w:hAnsi="Verdana"/>
          <w:lang w:val="en-US"/>
        </w:rPr>
        <w:t xml:space="preserve">Falling </w:t>
      </w:r>
      <w:r w:rsidRPr="003C0650">
        <w:rPr>
          <w:rFonts w:ascii="Verdana" w:hAnsi="Verdana"/>
          <w:lang w:val="en-US"/>
        </w:rPr>
        <w:t>rolls</w:t>
      </w:r>
      <w:r w:rsidRPr="003C0650">
        <w:rPr>
          <w:rFonts w:ascii="Verdana" w:hAnsi="Verdana"/>
          <w:lang w:val="en-US"/>
        </w:rPr>
        <w:t xml:space="preserve"> reduce pupil-led income faster than many costs can fall. Buildings, classes and staff do not adjust smoothly, especially in small schools. DfE capacity data show unfilled primary places have risen steadily since 2020/21 [3], while maintained primary deficits have also increased [4].</w:t>
      </w:r>
    </w:p>
    <w:p w:rsidR="00571363" w:rsidRPr="003C0650" w:rsidP="2B78D9EC">
      <w:pPr>
        <w:numPr>
          <w:ilvl w:val="0"/>
          <w:numId w:val="13"/>
        </w:numPr>
        <w:spacing w:before="240" w:line="240" w:lineRule="auto"/>
        <w:rPr>
          <w:rFonts w:ascii="Verdana" w:hAnsi="Verdana"/>
        </w:rPr>
      </w:pPr>
      <w:r w:rsidRPr="003C0650">
        <w:rPr>
          <w:rFonts w:ascii="Verdana" w:hAnsi="Verdana"/>
          <w:lang w:val="en-US"/>
        </w:rPr>
        <w:t>“Unfilled places” are not automatically waste. DfE notes they can arise from planned future demand, new schools filling from lower year groups, or declining need [3].</w:t>
      </w:r>
    </w:p>
    <w:p w:rsidR="00571363" w:rsidRPr="003C0650" w:rsidP="2B78D9EC">
      <w:pPr>
        <w:numPr>
          <w:ilvl w:val="0"/>
          <w:numId w:val="13"/>
        </w:numPr>
        <w:spacing w:line="240" w:lineRule="auto"/>
        <w:rPr>
          <w:rFonts w:ascii="Verdana" w:hAnsi="Verdana"/>
        </w:rPr>
      </w:pPr>
      <w:r w:rsidRPr="003C0650">
        <w:rPr>
          <w:rFonts w:ascii="Verdana" w:hAnsi="Verdana"/>
          <w:lang w:val="en-US"/>
        </w:rPr>
        <w:t>Growth and falling rolls funding can meet revenue costs for removing or repurposing surplus places, including SEN or early years uses, but the guidance separates this from general support for schools in financial difficulty [9].</w:t>
      </w:r>
    </w:p>
    <w:p w:rsidR="00571363" w:rsidRPr="003C0650">
      <w:pPr>
        <w:numPr>
          <w:ilvl w:val="0"/>
          <w:numId w:val="13"/>
        </w:numPr>
        <w:spacing w:line="240" w:lineRule="auto"/>
        <w:rPr>
          <w:rFonts w:ascii="Verdana" w:hAnsi="Verdana"/>
        </w:rPr>
      </w:pPr>
      <w:r w:rsidRPr="003C0650">
        <w:rPr>
          <w:rFonts w:ascii="Verdana" w:hAnsi="Verdana"/>
          <w:b/>
          <w:bCs/>
        </w:rPr>
        <w:t>Design parameter:</w:t>
      </w:r>
      <w:r w:rsidRPr="003C0650">
        <w:rPr>
          <w:rFonts w:ascii="Verdana" w:hAnsi="Verdana"/>
        </w:rPr>
        <w:t xml:space="preserve"> distinguish temporary buffer funding from permanent restructuring.</w:t>
      </w:r>
    </w:p>
    <w:p w:rsidR="00571363" w:rsidRPr="003C0650">
      <w:pPr>
        <w:numPr>
          <w:ilvl w:val="0"/>
          <w:numId w:val="13"/>
        </w:numPr>
        <w:spacing w:after="240" w:line="240" w:lineRule="auto"/>
        <w:rPr>
          <w:rFonts w:ascii="Verdana" w:hAnsi="Verdana"/>
        </w:rPr>
      </w:pPr>
      <w:r w:rsidRPr="003C0650">
        <w:rPr>
          <w:rFonts w:ascii="Verdana" w:hAnsi="Verdana"/>
          <w:b/>
          <w:bCs/>
        </w:rPr>
        <w:t>Trade-off:</w:t>
      </w:r>
      <w:r w:rsidRPr="003C0650">
        <w:rPr>
          <w:rFonts w:ascii="Verdana" w:hAnsi="Verdana"/>
        </w:rPr>
        <w:t xml:space="preserve"> keeping local access can protect </w:t>
      </w:r>
      <w:r w:rsidRPr="003C0650">
        <w:rPr>
          <w:rFonts w:ascii="Verdana" w:hAnsi="Verdana"/>
        </w:rPr>
        <w:t>communities, but</w:t>
      </w:r>
      <w:r w:rsidRPr="003C0650">
        <w:rPr>
          <w:rFonts w:ascii="Verdana" w:hAnsi="Verdana"/>
        </w:rPr>
        <w:t xml:space="preserve"> may also dilute staffing and curriculum resources if there is no exit rule.</w:t>
      </w:r>
    </w:p>
    <w:p w:rsidR="00571363" w:rsidRPr="003C0650">
      <w:pPr>
        <w:pStyle w:val="Heading3"/>
        <w:keepNext w:val="0"/>
        <w:keepLines w:val="0"/>
        <w:spacing w:before="280"/>
        <w:rPr>
          <w:rFonts w:ascii="Verdana" w:hAnsi="Verdana"/>
          <w:b/>
          <w:bCs/>
          <w:color w:val="000000"/>
          <w:sz w:val="22"/>
          <w:szCs w:val="22"/>
        </w:rPr>
      </w:pPr>
      <w:bookmarkStart w:id="5" w:name="_r7t4grskihrf" w:colFirst="0" w:colLast="0"/>
      <w:bookmarkEnd w:id="5"/>
      <w:r w:rsidRPr="003C0650">
        <w:rPr>
          <w:rFonts w:ascii="Verdana" w:hAnsi="Verdana"/>
          <w:b/>
          <w:bCs/>
          <w:color w:val="000000"/>
          <w:sz w:val="22"/>
          <w:szCs w:val="22"/>
        </w:rPr>
        <w:t>5.3 Powers, duties and coordination</w:t>
      </w:r>
    </w:p>
    <w:p w:rsidR="00571363" w:rsidRPr="003C0650">
      <w:pPr>
        <w:spacing w:before="240" w:after="240" w:line="240" w:lineRule="auto"/>
        <w:rPr>
          <w:rFonts w:ascii="Verdana" w:hAnsi="Verdana"/>
        </w:rPr>
      </w:pPr>
      <w:r w:rsidRPr="003C0650">
        <w:rPr>
          <w:rFonts w:ascii="Verdana" w:hAnsi="Verdana"/>
        </w:rPr>
        <w:t xml:space="preserve">NAO found that DfE’s approach had focused on ensuring enough </w:t>
      </w:r>
      <w:r w:rsidRPr="003C0650">
        <w:rPr>
          <w:rFonts w:ascii="Verdana" w:hAnsi="Verdana"/>
        </w:rPr>
        <w:t>places, but</w:t>
      </w:r>
      <w:r w:rsidRPr="003C0650">
        <w:rPr>
          <w:rFonts w:ascii="Verdana" w:hAnsi="Verdana"/>
        </w:rPr>
        <w:t xml:space="preserve"> had not taken timely action to set out support for falling pupil numbers [2]. The 2026 Act gives a stronger basis for cooperation on admissions and place planning, local authority direction powers, and influence over PANs [5] [6].</w:t>
      </w:r>
    </w:p>
    <w:p w:rsidR="00571363" w:rsidRPr="003C0650">
      <w:pPr>
        <w:numPr>
          <w:ilvl w:val="0"/>
          <w:numId w:val="7"/>
        </w:numPr>
        <w:spacing w:before="240" w:line="240" w:lineRule="auto"/>
        <w:rPr>
          <w:rFonts w:ascii="Verdana" w:hAnsi="Verdana"/>
        </w:rPr>
      </w:pPr>
      <w:r w:rsidRPr="003C0650">
        <w:rPr>
          <w:rFonts w:ascii="Verdana" w:hAnsi="Verdana"/>
        </w:rPr>
        <w:t>The new co-operation duty is relevant because place planning depends on schools, local authorities and trusts acting together [6].</w:t>
      </w:r>
    </w:p>
    <w:p w:rsidR="00571363" w:rsidRPr="003C0650">
      <w:pPr>
        <w:numPr>
          <w:ilvl w:val="0"/>
          <w:numId w:val="7"/>
        </w:numPr>
        <w:spacing w:line="240" w:lineRule="auto"/>
        <w:rPr>
          <w:rFonts w:ascii="Verdana" w:hAnsi="Verdana"/>
        </w:rPr>
      </w:pPr>
      <w:r w:rsidRPr="003C0650">
        <w:rPr>
          <w:rFonts w:ascii="Verdana" w:hAnsi="Verdana"/>
        </w:rPr>
        <w:t>Local authority direction powers for academies may reduce delays for children who cannot secure a school place through usual routes [6].</w:t>
      </w:r>
    </w:p>
    <w:p w:rsidR="00571363" w:rsidRPr="003C0650">
      <w:pPr>
        <w:numPr>
          <w:ilvl w:val="0"/>
          <w:numId w:val="7"/>
        </w:numPr>
        <w:spacing w:line="240" w:lineRule="auto"/>
        <w:rPr>
          <w:rFonts w:ascii="Verdana" w:hAnsi="Verdana"/>
        </w:rPr>
      </w:pPr>
      <w:r w:rsidRPr="003C0650">
        <w:rPr>
          <w:rFonts w:ascii="Verdana" w:hAnsi="Verdana"/>
          <w:b/>
          <w:bCs/>
        </w:rPr>
        <w:t>Design parameter:</w:t>
      </w:r>
      <w:r w:rsidRPr="003C0650">
        <w:rPr>
          <w:rFonts w:ascii="Verdana" w:hAnsi="Verdana"/>
        </w:rPr>
        <w:t xml:space="preserve"> set a clear dispute route for PANs, admissions and spare capacity.</w:t>
      </w:r>
    </w:p>
    <w:p w:rsidR="00571363" w:rsidRPr="003C0650">
      <w:pPr>
        <w:numPr>
          <w:ilvl w:val="0"/>
          <w:numId w:val="7"/>
        </w:numPr>
        <w:spacing w:after="240" w:line="240" w:lineRule="auto"/>
        <w:rPr>
          <w:rFonts w:ascii="Verdana" w:hAnsi="Verdana"/>
        </w:rPr>
      </w:pPr>
      <w:r w:rsidRPr="003C0650">
        <w:rPr>
          <w:rFonts w:ascii="Verdana" w:hAnsi="Verdana"/>
          <w:b/>
          <w:bCs/>
        </w:rPr>
        <w:t>Failure mode:</w:t>
      </w:r>
      <w:r w:rsidRPr="003C0650">
        <w:rPr>
          <w:rFonts w:ascii="Verdana" w:hAnsi="Verdana"/>
        </w:rPr>
        <w:t xml:space="preserve"> formal powers exist, but local partners may lack the data, time or incentives to use them consistently.</w:t>
      </w:r>
    </w:p>
    <w:p w:rsidR="00571363" w:rsidRPr="003C0650">
      <w:pPr>
        <w:pStyle w:val="Heading3"/>
        <w:keepNext w:val="0"/>
        <w:keepLines w:val="0"/>
        <w:spacing w:before="280"/>
        <w:rPr>
          <w:rFonts w:ascii="Verdana" w:hAnsi="Verdana"/>
          <w:b/>
          <w:bCs/>
          <w:color w:val="000000"/>
          <w:sz w:val="22"/>
          <w:szCs w:val="22"/>
        </w:rPr>
      </w:pPr>
      <w:bookmarkStart w:id="6" w:name="_jxfermuuz625" w:colFirst="0" w:colLast="0"/>
      <w:bookmarkEnd w:id="6"/>
      <w:r w:rsidRPr="003C0650">
        <w:rPr>
          <w:rFonts w:ascii="Verdana" w:hAnsi="Verdana"/>
          <w:b/>
          <w:bCs/>
          <w:color w:val="000000"/>
          <w:sz w:val="22"/>
          <w:szCs w:val="22"/>
        </w:rPr>
        <w:t>5.4 Equal access, SEND and vulnerable groups</w:t>
      </w:r>
    </w:p>
    <w:p w:rsidR="00571363" w:rsidRPr="003C0650">
      <w:pPr>
        <w:spacing w:before="240" w:after="240" w:line="240" w:lineRule="auto"/>
        <w:rPr>
          <w:rFonts w:ascii="Verdana" w:hAnsi="Verdana"/>
        </w:rPr>
      </w:pPr>
      <w:r w:rsidRPr="003C0650">
        <w:rPr>
          <w:rFonts w:ascii="Verdana" w:hAnsi="Verdana"/>
        </w:rPr>
        <w:t>Falling rolls do not reduce SEND duties. In 2025, 5.3% of pupils had an EHC plan and 14.2% had SEN support [10]. EHC plans across children and young people rose to 638,745 in January 2025 [11].</w:t>
      </w:r>
    </w:p>
    <w:p w:rsidR="00571363" w:rsidRPr="003C0650">
      <w:pPr>
        <w:numPr>
          <w:ilvl w:val="0"/>
          <w:numId w:val="11"/>
        </w:numPr>
        <w:spacing w:before="240" w:line="240" w:lineRule="auto"/>
        <w:rPr>
          <w:rFonts w:ascii="Verdana" w:hAnsi="Verdana"/>
        </w:rPr>
      </w:pPr>
      <w:r w:rsidRPr="003C0650">
        <w:rPr>
          <w:rFonts w:ascii="Verdana" w:hAnsi="Verdana"/>
        </w:rPr>
        <w:t>More mainstream space could create opportunities for resourced provision, smaller group support or accessibility adaptation, but only with workforce, revenue and capital planning.</w:t>
      </w:r>
    </w:p>
    <w:p w:rsidR="00571363" w:rsidRPr="003C0650">
      <w:pPr>
        <w:numPr>
          <w:ilvl w:val="0"/>
          <w:numId w:val="11"/>
        </w:numPr>
        <w:spacing w:line="240" w:lineRule="auto"/>
        <w:rPr>
          <w:rFonts w:ascii="Verdana" w:hAnsi="Verdana"/>
        </w:rPr>
      </w:pPr>
      <w:r w:rsidRPr="003C0650">
        <w:rPr>
          <w:rFonts w:ascii="Verdana" w:hAnsi="Verdana"/>
        </w:rPr>
        <w:t>Transport must be tested alongside school organisation. NAO reports that home-to-school transport is under growing pressure, especially for children and young people with SEND [12].</w:t>
      </w:r>
    </w:p>
    <w:p w:rsidR="00571363" w:rsidRPr="003C0650">
      <w:pPr>
        <w:numPr>
          <w:ilvl w:val="0"/>
          <w:numId w:val="11"/>
        </w:numPr>
        <w:spacing w:line="240" w:lineRule="auto"/>
        <w:rPr>
          <w:rFonts w:ascii="Verdana" w:hAnsi="Verdana"/>
        </w:rPr>
      </w:pPr>
      <w:r w:rsidRPr="003C0650">
        <w:rPr>
          <w:rFonts w:ascii="Verdana" w:hAnsi="Verdana"/>
          <w:b/>
          <w:bCs/>
        </w:rPr>
        <w:t>Design parameter:</w:t>
      </w:r>
      <w:r w:rsidRPr="003C0650">
        <w:rPr>
          <w:rFonts w:ascii="Verdana" w:hAnsi="Verdana"/>
        </w:rPr>
        <w:t xml:space="preserve"> no capacity reduction without an access floor for SEND, in-year admissions and reasonable travel.</w:t>
      </w:r>
    </w:p>
    <w:p w:rsidR="00571363" w:rsidRPr="003C0650">
      <w:pPr>
        <w:numPr>
          <w:ilvl w:val="0"/>
          <w:numId w:val="11"/>
        </w:numPr>
        <w:spacing w:after="240" w:line="240" w:lineRule="auto"/>
        <w:rPr>
          <w:rFonts w:ascii="Verdana" w:hAnsi="Verdana"/>
        </w:rPr>
      </w:pPr>
      <w:r w:rsidRPr="003C0650">
        <w:rPr>
          <w:rFonts w:ascii="Verdana" w:hAnsi="Verdana"/>
          <w:b/>
          <w:bCs/>
        </w:rPr>
        <w:t>Trade-off:</w:t>
      </w:r>
      <w:r w:rsidRPr="003C0650">
        <w:rPr>
          <w:rFonts w:ascii="Verdana" w:hAnsi="Verdana"/>
        </w:rPr>
        <w:t xml:space="preserve"> reducing spare places may improve financial sufficiency, but it can worsen access if specialist and mainstream inclusion plans </w:t>
      </w:r>
      <w:r w:rsidRPr="003C0650">
        <w:rPr>
          <w:rFonts w:ascii="Verdana" w:hAnsi="Verdana"/>
        </w:rPr>
        <w:t>lag behind</w:t>
      </w:r>
      <w:r w:rsidRPr="003C0650">
        <w:rPr>
          <w:rFonts w:ascii="Verdana" w:hAnsi="Verdana"/>
        </w:rPr>
        <w:t>.</w:t>
      </w:r>
    </w:p>
    <w:p w:rsidR="00571363" w:rsidRPr="003C0650">
      <w:pPr>
        <w:pStyle w:val="Heading3"/>
        <w:keepNext w:val="0"/>
        <w:keepLines w:val="0"/>
        <w:spacing w:before="280"/>
        <w:rPr>
          <w:rFonts w:ascii="Verdana" w:hAnsi="Verdana"/>
          <w:b/>
          <w:bCs/>
          <w:color w:val="000000"/>
          <w:sz w:val="22"/>
          <w:szCs w:val="22"/>
        </w:rPr>
      </w:pPr>
      <w:bookmarkStart w:id="7" w:name="_blz13emh2uba" w:colFirst="0" w:colLast="0"/>
      <w:bookmarkEnd w:id="7"/>
      <w:r w:rsidRPr="003C0650">
        <w:rPr>
          <w:rFonts w:ascii="Verdana" w:hAnsi="Verdana"/>
          <w:b/>
          <w:bCs/>
          <w:color w:val="000000"/>
          <w:sz w:val="22"/>
          <w:szCs w:val="22"/>
        </w:rPr>
        <w:t>5.5 Recent reforms and sector support</w:t>
      </w:r>
    </w:p>
    <w:p w:rsidR="00571363" w:rsidRPr="003C0650">
      <w:pPr>
        <w:spacing w:before="240" w:after="240" w:line="240" w:lineRule="auto"/>
        <w:rPr>
          <w:rFonts w:ascii="Verdana" w:hAnsi="Verdana"/>
        </w:rPr>
      </w:pPr>
      <w:r w:rsidRPr="003C0650">
        <w:rPr>
          <w:rFonts w:ascii="Verdana" w:hAnsi="Verdana"/>
        </w:rPr>
        <w:t>The Act, the white paper and DfE’s estates strategy are relevant to the operating model for falling rolls, but they are not yet a complete delivery framework. The white paper sets out reforms to the schools and SEND systems in England [8]. The estates strategy links estate renewal to SEND inclusion and commits capital funding to specialist places and inclusion bases [7].</w:t>
      </w:r>
    </w:p>
    <w:p w:rsidR="00571363" w:rsidRPr="003C0650">
      <w:pPr>
        <w:numPr>
          <w:ilvl w:val="0"/>
          <w:numId w:val="5"/>
        </w:numPr>
        <w:spacing w:before="240" w:line="240" w:lineRule="auto"/>
        <w:rPr>
          <w:rFonts w:ascii="Verdana" w:hAnsi="Verdana"/>
        </w:rPr>
      </w:pPr>
      <w:r w:rsidRPr="003C0650">
        <w:rPr>
          <w:rFonts w:ascii="Verdana" w:hAnsi="Verdana"/>
        </w:rPr>
        <w:t>DfE should align the Act, the white paper, falling rolls funding, school organisation guidance and the estates strategy into one practical decision route.</w:t>
      </w:r>
    </w:p>
    <w:p w:rsidR="00571363" w:rsidRPr="003C0650">
      <w:pPr>
        <w:numPr>
          <w:ilvl w:val="0"/>
          <w:numId w:val="5"/>
        </w:numPr>
        <w:spacing w:line="240" w:lineRule="auto"/>
        <w:rPr>
          <w:rFonts w:ascii="Verdana" w:hAnsi="Verdana"/>
        </w:rPr>
      </w:pPr>
      <w:r w:rsidRPr="003C0650">
        <w:rPr>
          <w:rFonts w:ascii="Verdana" w:hAnsi="Verdana"/>
        </w:rPr>
        <w:t>The evidence on smaller classes is cautious: EEF finds small average benefits, high costs, and stronger effects only where teachers can change practice [14].</w:t>
      </w:r>
    </w:p>
    <w:p w:rsidR="00571363" w:rsidRPr="003C0650">
      <w:pPr>
        <w:numPr>
          <w:ilvl w:val="0"/>
          <w:numId w:val="5"/>
        </w:numPr>
        <w:spacing w:line="240" w:lineRule="auto"/>
        <w:rPr>
          <w:rFonts w:ascii="Verdana" w:hAnsi="Verdana"/>
        </w:rPr>
      </w:pPr>
      <w:r w:rsidRPr="003C0650">
        <w:rPr>
          <w:rFonts w:ascii="Verdana" w:hAnsi="Verdana"/>
          <w:b/>
          <w:bCs/>
        </w:rPr>
        <w:t>Design parameter:</w:t>
      </w:r>
      <w:r w:rsidRPr="003C0650">
        <w:rPr>
          <w:rFonts w:ascii="Verdana" w:hAnsi="Verdana"/>
        </w:rPr>
        <w:t xml:space="preserve"> make reuse of space purposeful, not merely a by-product of fewer pupils.</w:t>
      </w:r>
    </w:p>
    <w:p w:rsidR="00571363" w:rsidRPr="003C0650">
      <w:pPr>
        <w:numPr>
          <w:ilvl w:val="0"/>
          <w:numId w:val="5"/>
        </w:numPr>
        <w:spacing w:after="240" w:line="240" w:lineRule="auto"/>
        <w:rPr>
          <w:rFonts w:ascii="Verdana" w:hAnsi="Verdana"/>
        </w:rPr>
      </w:pPr>
      <w:r w:rsidRPr="003C0650">
        <w:rPr>
          <w:rFonts w:ascii="Verdana" w:hAnsi="Verdana"/>
          <w:b/>
          <w:bCs/>
        </w:rPr>
        <w:t>Learning question:</w:t>
      </w:r>
      <w:r w:rsidRPr="003C0650">
        <w:rPr>
          <w:rFonts w:ascii="Verdana" w:hAnsi="Verdana"/>
        </w:rPr>
        <w:t xml:space="preserve"> which white-paper measures change duties, funding flows, mainstream SEND capacity or workforce requirements in ways material to falling primary rolls?</w:t>
      </w:r>
    </w:p>
    <w:p w:rsidR="00571363" w:rsidRPr="003C0650">
      <w:pPr>
        <w:pStyle w:val="Heading2"/>
        <w:keepNext w:val="0"/>
        <w:keepLines w:val="0"/>
        <w:spacing w:after="80"/>
        <w:rPr>
          <w:rFonts w:ascii="Verdana" w:hAnsi="Verdana"/>
          <w:b/>
          <w:bCs/>
          <w:sz w:val="22"/>
          <w:szCs w:val="22"/>
        </w:rPr>
      </w:pPr>
      <w:bookmarkStart w:id="8" w:name="_x3s3oz3ornuv" w:colFirst="0" w:colLast="0"/>
      <w:bookmarkEnd w:id="8"/>
      <w:r w:rsidRPr="003C0650">
        <w:rPr>
          <w:rFonts w:ascii="Verdana" w:hAnsi="Verdana"/>
          <w:b/>
          <w:bCs/>
          <w:sz w:val="22"/>
          <w:szCs w:val="22"/>
        </w:rPr>
        <w:t>6) Recommendations</w:t>
      </w:r>
    </w:p>
    <w:p w:rsidR="00571363" w:rsidRPr="003C0650">
      <w:pPr>
        <w:spacing w:before="240" w:after="240" w:line="240" w:lineRule="auto"/>
        <w:rPr>
          <w:rFonts w:ascii="Verdana" w:hAnsi="Verdana"/>
          <w:b/>
          <w:bCs/>
        </w:rPr>
      </w:pPr>
      <w:r w:rsidRPr="003C0650">
        <w:rPr>
          <w:rFonts w:ascii="Verdana" w:hAnsi="Verdana"/>
          <w:b/>
          <w:bCs/>
        </w:rPr>
        <w:t>Committee levers</w:t>
      </w:r>
    </w:p>
    <w:p w:rsidR="00571363" w:rsidRPr="003C0650">
      <w:pPr>
        <w:numPr>
          <w:ilvl w:val="0"/>
          <w:numId w:val="10"/>
        </w:numPr>
        <w:spacing w:before="240" w:line="240" w:lineRule="auto"/>
        <w:rPr>
          <w:rFonts w:ascii="Verdana" w:hAnsi="Verdana"/>
        </w:rPr>
      </w:pPr>
      <w:r w:rsidRPr="003C0650">
        <w:rPr>
          <w:rFonts w:ascii="Verdana" w:hAnsi="Verdana"/>
        </w:rPr>
        <w:t>Ask DfE to publish a national “buffer or restructure” test by autumn 2026, aligned with the spare-space framework.</w:t>
      </w:r>
    </w:p>
    <w:p w:rsidR="00571363" w:rsidRPr="003C0650">
      <w:pPr>
        <w:numPr>
          <w:ilvl w:val="0"/>
          <w:numId w:val="10"/>
        </w:numPr>
        <w:spacing w:line="240" w:lineRule="auto"/>
        <w:rPr>
          <w:rFonts w:ascii="Verdana" w:hAnsi="Verdana"/>
        </w:rPr>
      </w:pPr>
      <w:r w:rsidRPr="003C0650">
        <w:rPr>
          <w:rFonts w:ascii="Verdana" w:hAnsi="Verdana"/>
        </w:rPr>
        <w:t>Ask DfE how it will monitor use of Act powers on cooperation, directions and PANs, including effects on in-year admissions and SEND.</w:t>
      </w:r>
    </w:p>
    <w:p w:rsidR="00571363" w:rsidRPr="003C0650">
      <w:pPr>
        <w:numPr>
          <w:ilvl w:val="0"/>
          <w:numId w:val="10"/>
        </w:numPr>
        <w:spacing w:after="240" w:line="240" w:lineRule="auto"/>
        <w:rPr>
          <w:rFonts w:ascii="Verdana" w:hAnsi="Verdana"/>
        </w:rPr>
      </w:pPr>
      <w:r w:rsidRPr="003C0650">
        <w:rPr>
          <w:rFonts w:ascii="Verdana" w:hAnsi="Verdana"/>
        </w:rPr>
        <w:t>Ask for comparable financial sufficiency reporting across maintained schools and academies, without over-claiming before the method is available.</w:t>
      </w:r>
    </w:p>
    <w:p w:rsidR="00571363" w:rsidRPr="003C0650">
      <w:pPr>
        <w:spacing w:before="240" w:after="240" w:line="240" w:lineRule="auto"/>
        <w:rPr>
          <w:rFonts w:ascii="Verdana" w:hAnsi="Verdana"/>
          <w:b/>
          <w:bCs/>
        </w:rPr>
      </w:pPr>
      <w:r w:rsidRPr="003C0650">
        <w:rPr>
          <w:rFonts w:ascii="Verdana" w:hAnsi="Verdana"/>
          <w:b/>
          <w:bCs/>
        </w:rPr>
        <w:t>Delivery actions</w:t>
      </w:r>
    </w:p>
    <w:p w:rsidR="00571363" w:rsidRPr="003C0650">
      <w:pPr>
        <w:numPr>
          <w:ilvl w:val="0"/>
          <w:numId w:val="2"/>
        </w:numPr>
        <w:spacing w:before="240" w:line="240" w:lineRule="auto"/>
        <w:rPr>
          <w:rFonts w:ascii="Verdana" w:hAnsi="Verdana"/>
        </w:rPr>
      </w:pPr>
      <w:r w:rsidRPr="003C0650">
        <w:rPr>
          <w:rFonts w:ascii="Verdana" w:hAnsi="Verdana"/>
        </w:rPr>
        <w:t>Require local area options appraisals before closure, merger or permanent PAN reduction. These should cover forecast demand, SEND, transport, staffing, admissions, estate reuse and community access.</w:t>
      </w:r>
    </w:p>
    <w:p w:rsidR="00571363" w:rsidRPr="003C0650">
      <w:pPr>
        <w:numPr>
          <w:ilvl w:val="0"/>
          <w:numId w:val="2"/>
        </w:numPr>
        <w:spacing w:line="240" w:lineRule="auto"/>
        <w:rPr>
          <w:rFonts w:ascii="Verdana" w:hAnsi="Verdana"/>
        </w:rPr>
      </w:pPr>
      <w:r w:rsidRPr="003C0650">
        <w:rPr>
          <w:rFonts w:ascii="Verdana" w:hAnsi="Verdana"/>
        </w:rPr>
        <w:t>Use a reuse hierarchy for spare space: SEND and accessibility, school-based nursery, family support, community use, then permanent withdrawal where justified.</w:t>
      </w:r>
    </w:p>
    <w:p w:rsidR="00571363" w:rsidRPr="003C0650">
      <w:pPr>
        <w:numPr>
          <w:ilvl w:val="0"/>
          <w:numId w:val="2"/>
        </w:numPr>
        <w:spacing w:after="240" w:line="240" w:lineRule="auto"/>
        <w:rPr>
          <w:rFonts w:ascii="Verdana" w:hAnsi="Verdana"/>
        </w:rPr>
      </w:pPr>
      <w:r w:rsidRPr="003C0650">
        <w:rPr>
          <w:rFonts w:ascii="Verdana" w:hAnsi="Verdana"/>
        </w:rPr>
        <w:t>Where decline is temporary, use time-limited support with review dates. Where decline is sustained, use transparent restructuring with transition support.</w:t>
      </w:r>
    </w:p>
    <w:p w:rsidR="00571363" w:rsidRPr="003C0650">
      <w:pPr>
        <w:spacing w:before="240" w:after="240" w:line="240" w:lineRule="auto"/>
        <w:rPr>
          <w:rFonts w:ascii="Verdana" w:hAnsi="Verdana"/>
          <w:b/>
          <w:bCs/>
        </w:rPr>
      </w:pPr>
      <w:r w:rsidRPr="003C0650">
        <w:rPr>
          <w:rFonts w:ascii="Verdana" w:hAnsi="Verdana"/>
          <w:b/>
          <w:bCs/>
        </w:rPr>
        <w:t>Trade-offs and safeguards</w:t>
      </w:r>
    </w:p>
    <w:p w:rsidR="00571363" w:rsidRPr="003C0650">
      <w:pPr>
        <w:numPr>
          <w:ilvl w:val="0"/>
          <w:numId w:val="18"/>
        </w:numPr>
        <w:spacing w:before="240" w:line="240" w:lineRule="auto"/>
        <w:rPr>
          <w:rFonts w:ascii="Verdana" w:hAnsi="Verdana"/>
        </w:rPr>
      </w:pPr>
      <w:r w:rsidRPr="003C0650">
        <w:rPr>
          <w:rFonts w:ascii="Verdana" w:hAnsi="Verdana"/>
        </w:rPr>
        <w:t>Buffering should not become open-ended subsidy without a forecast-based exit rule.</w:t>
      </w:r>
    </w:p>
    <w:p w:rsidR="00571363" w:rsidRPr="003C0650">
      <w:pPr>
        <w:numPr>
          <w:ilvl w:val="0"/>
          <w:numId w:val="18"/>
        </w:numPr>
        <w:spacing w:line="240" w:lineRule="auto"/>
        <w:rPr>
          <w:rFonts w:ascii="Verdana" w:hAnsi="Verdana"/>
        </w:rPr>
      </w:pPr>
      <w:r w:rsidRPr="003C0650">
        <w:rPr>
          <w:rFonts w:ascii="Verdana" w:hAnsi="Verdana"/>
        </w:rPr>
        <w:t>Restructuring should not proceed without a reasonable travel and SEND access test.</w:t>
      </w:r>
    </w:p>
    <w:p w:rsidR="00571363" w:rsidRPr="003C0650">
      <w:pPr>
        <w:numPr>
          <w:ilvl w:val="0"/>
          <w:numId w:val="18"/>
        </w:numPr>
        <w:spacing w:line="240" w:lineRule="auto"/>
        <w:rPr>
          <w:rFonts w:ascii="Verdana" w:hAnsi="Verdana"/>
        </w:rPr>
      </w:pPr>
      <w:r w:rsidRPr="003C0650">
        <w:rPr>
          <w:rFonts w:ascii="Verdana" w:hAnsi="Verdana"/>
        </w:rPr>
        <w:t>Local choice should be preserved where possible, but not at the cost of unmanaged deficits across neighbouring schools.</w:t>
      </w:r>
    </w:p>
    <w:p w:rsidR="00571363" w:rsidRPr="003C0650">
      <w:pPr>
        <w:numPr>
          <w:ilvl w:val="0"/>
          <w:numId w:val="18"/>
        </w:numPr>
        <w:spacing w:after="240" w:line="240" w:lineRule="auto"/>
        <w:rPr>
          <w:rFonts w:ascii="Verdana" w:hAnsi="Verdana"/>
        </w:rPr>
      </w:pPr>
      <w:r w:rsidRPr="003C0650">
        <w:rPr>
          <w:rFonts w:ascii="Verdana" w:hAnsi="Verdana"/>
        </w:rPr>
        <w:t>School-type comparisons should separate statutory route, ownership, admissions powers and finance evidence.</w:t>
      </w:r>
    </w:p>
    <w:p w:rsidR="00571363" w:rsidRPr="003C0650">
      <w:pPr>
        <w:pStyle w:val="Heading2"/>
        <w:keepNext w:val="0"/>
        <w:keepLines w:val="0"/>
        <w:spacing w:after="80"/>
        <w:rPr>
          <w:rFonts w:ascii="Verdana" w:hAnsi="Verdana"/>
          <w:b/>
          <w:bCs/>
          <w:sz w:val="22"/>
          <w:szCs w:val="22"/>
        </w:rPr>
      </w:pPr>
      <w:bookmarkStart w:id="9" w:name="_qj0wsa2irhiv" w:colFirst="0" w:colLast="0"/>
      <w:bookmarkEnd w:id="9"/>
      <w:r w:rsidRPr="003C0650">
        <w:rPr>
          <w:rFonts w:ascii="Verdana" w:hAnsi="Verdana"/>
          <w:b/>
          <w:bCs/>
          <w:sz w:val="22"/>
          <w:szCs w:val="22"/>
        </w:rPr>
        <w:t>7) Learning and evidence strengthening</w:t>
      </w:r>
    </w:p>
    <w:p w:rsidR="00571363" w:rsidRPr="003C0650">
      <w:pPr>
        <w:spacing w:before="240" w:after="240" w:line="240" w:lineRule="auto"/>
        <w:rPr>
          <w:rFonts w:ascii="Verdana" w:hAnsi="Verdana"/>
          <w:b/>
          <w:bCs/>
        </w:rPr>
      </w:pPr>
      <w:r w:rsidRPr="003C0650">
        <w:rPr>
          <w:rFonts w:ascii="Verdana" w:hAnsi="Verdana"/>
          <w:b/>
          <w:bCs/>
        </w:rPr>
        <w:t>Indicators</w:t>
      </w:r>
    </w:p>
    <w:p w:rsidR="00571363" w:rsidRPr="003C0650">
      <w:pPr>
        <w:numPr>
          <w:ilvl w:val="0"/>
          <w:numId w:val="6"/>
        </w:numPr>
        <w:spacing w:before="240" w:line="240" w:lineRule="auto"/>
        <w:rPr>
          <w:rFonts w:ascii="Verdana" w:hAnsi="Verdana"/>
        </w:rPr>
      </w:pPr>
      <w:r w:rsidRPr="003C0650">
        <w:rPr>
          <w:rFonts w:ascii="Verdana" w:hAnsi="Verdana"/>
        </w:rPr>
        <w:t>Primary unfilled places as a share of capacity, by planning area where possible [3].</w:t>
      </w:r>
    </w:p>
    <w:p w:rsidR="00571363" w:rsidRPr="003C0650">
      <w:pPr>
        <w:numPr>
          <w:ilvl w:val="0"/>
          <w:numId w:val="6"/>
        </w:numPr>
        <w:spacing w:line="240" w:lineRule="auto"/>
        <w:rPr>
          <w:rFonts w:ascii="Verdana" w:hAnsi="Verdana"/>
        </w:rPr>
      </w:pPr>
      <w:r w:rsidRPr="003C0650">
        <w:rPr>
          <w:rFonts w:ascii="Verdana" w:hAnsi="Verdana"/>
        </w:rPr>
        <w:t>Maintained-school deficits now, plus academy-comparable financial sufficiency when available [4].</w:t>
      </w:r>
    </w:p>
    <w:p w:rsidR="00571363" w:rsidRPr="003C0650">
      <w:pPr>
        <w:numPr>
          <w:ilvl w:val="0"/>
          <w:numId w:val="6"/>
        </w:numPr>
        <w:spacing w:after="240" w:line="240" w:lineRule="auto"/>
        <w:rPr>
          <w:rFonts w:ascii="Verdana" w:hAnsi="Verdana"/>
        </w:rPr>
      </w:pPr>
      <w:r w:rsidRPr="003C0650">
        <w:rPr>
          <w:rFonts w:ascii="Verdana" w:hAnsi="Verdana"/>
        </w:rPr>
        <w:t>SEND placement stability, EHC plan volumes, and home-to-school transport effects [10] [11] [12].</w:t>
      </w:r>
    </w:p>
    <w:p w:rsidR="00571363" w:rsidRPr="003C0650">
      <w:pPr>
        <w:spacing w:before="240" w:after="240" w:line="240" w:lineRule="auto"/>
        <w:rPr>
          <w:rFonts w:ascii="Verdana" w:hAnsi="Verdana"/>
          <w:b/>
          <w:bCs/>
        </w:rPr>
      </w:pPr>
      <w:r w:rsidRPr="003C0650">
        <w:rPr>
          <w:rFonts w:ascii="Verdana" w:hAnsi="Verdana"/>
          <w:b/>
          <w:bCs/>
        </w:rPr>
        <w:t>Evidence strengthening questions</w:t>
      </w:r>
    </w:p>
    <w:p w:rsidR="00571363" w:rsidRPr="003C0650">
      <w:pPr>
        <w:numPr>
          <w:ilvl w:val="0"/>
          <w:numId w:val="19"/>
        </w:numPr>
        <w:spacing w:before="240" w:line="240" w:lineRule="auto"/>
        <w:rPr>
          <w:rFonts w:ascii="Verdana" w:hAnsi="Verdana"/>
        </w:rPr>
      </w:pPr>
      <w:r w:rsidRPr="003C0650">
        <w:rPr>
          <w:rFonts w:ascii="Verdana" w:hAnsi="Verdana"/>
          <w:b/>
          <w:bCs/>
        </w:rPr>
        <w:t>Learning question:</w:t>
      </w:r>
      <w:r w:rsidRPr="003C0650">
        <w:rPr>
          <w:rFonts w:ascii="Verdana" w:hAnsi="Verdana"/>
        </w:rPr>
        <w:t xml:space="preserve"> how accurate are planning-area forecasts over three to five years in areas that later rebound?</w:t>
      </w:r>
    </w:p>
    <w:p w:rsidR="00571363" w:rsidRPr="003C0650">
      <w:pPr>
        <w:numPr>
          <w:ilvl w:val="0"/>
          <w:numId w:val="19"/>
        </w:numPr>
        <w:spacing w:line="240" w:lineRule="auto"/>
        <w:rPr>
          <w:rFonts w:ascii="Verdana" w:hAnsi="Verdana"/>
        </w:rPr>
      </w:pPr>
      <w:r w:rsidRPr="003C0650">
        <w:rPr>
          <w:rFonts w:ascii="Verdana" w:hAnsi="Verdana"/>
          <w:b/>
          <w:bCs/>
        </w:rPr>
        <w:t>Learning question:</w:t>
      </w:r>
      <w:r w:rsidRPr="003C0650">
        <w:rPr>
          <w:rFonts w:ascii="Verdana" w:hAnsi="Verdana"/>
        </w:rPr>
        <w:t xml:space="preserve"> how are the new co-operation, direction and PAN powers used, and do they reduce placement delays?</w:t>
      </w:r>
    </w:p>
    <w:p w:rsidR="00571363" w:rsidRPr="003C0650">
      <w:pPr>
        <w:numPr>
          <w:ilvl w:val="0"/>
          <w:numId w:val="19"/>
        </w:numPr>
        <w:spacing w:line="240" w:lineRule="auto"/>
        <w:rPr>
          <w:rFonts w:ascii="Verdana" w:hAnsi="Verdana"/>
        </w:rPr>
      </w:pPr>
      <w:r w:rsidRPr="003C0650">
        <w:rPr>
          <w:rFonts w:ascii="Verdana" w:hAnsi="Verdana"/>
          <w:b/>
          <w:bCs/>
        </w:rPr>
        <w:t>Learning question:</w:t>
      </w:r>
      <w:r w:rsidRPr="003C0650">
        <w:rPr>
          <w:rFonts w:ascii="Verdana" w:hAnsi="Verdana"/>
        </w:rPr>
        <w:t xml:space="preserve"> what outcomes do spare-space pathfinders produce for SEND, early years and community use?</w:t>
      </w:r>
    </w:p>
    <w:p w:rsidR="00571363" w:rsidRPr="003C0650">
      <w:pPr>
        <w:numPr>
          <w:ilvl w:val="0"/>
          <w:numId w:val="19"/>
        </w:numPr>
        <w:spacing w:line="240" w:lineRule="auto"/>
        <w:rPr>
          <w:rFonts w:ascii="Verdana" w:hAnsi="Verdana"/>
        </w:rPr>
      </w:pPr>
      <w:r w:rsidRPr="003C0650">
        <w:rPr>
          <w:rFonts w:ascii="Verdana" w:hAnsi="Verdana"/>
          <w:b/>
          <w:bCs/>
        </w:rPr>
        <w:t>Learning question:</w:t>
      </w:r>
      <w:r w:rsidRPr="003C0650">
        <w:rPr>
          <w:rFonts w:ascii="Verdana" w:hAnsi="Verdana"/>
        </w:rPr>
        <w:t xml:space="preserve"> what is the effect of school reorganisation on travel time, attendance and parental work?</w:t>
      </w:r>
    </w:p>
    <w:p w:rsidR="00571363" w:rsidRPr="003C0650">
      <w:pPr>
        <w:numPr>
          <w:ilvl w:val="0"/>
          <w:numId w:val="19"/>
        </w:numPr>
        <w:spacing w:after="240" w:line="240" w:lineRule="auto"/>
        <w:rPr>
          <w:rFonts w:ascii="Verdana" w:hAnsi="Verdana"/>
        </w:rPr>
      </w:pPr>
      <w:r w:rsidRPr="003C0650">
        <w:rPr>
          <w:rFonts w:ascii="Verdana" w:hAnsi="Verdana"/>
          <w:b/>
          <w:bCs/>
        </w:rPr>
        <w:t>Gap + test:</w:t>
      </w:r>
      <w:r w:rsidRPr="003C0650">
        <w:rPr>
          <w:rFonts w:ascii="Verdana" w:hAnsi="Verdana"/>
        </w:rPr>
        <w:t xml:space="preserve"> what school-level academy finance method would allow fair comparison with maintained-school deficit data?</w:t>
      </w:r>
    </w:p>
    <w:p w:rsidR="00571363" w:rsidRPr="003C0650">
      <w:pPr>
        <w:pStyle w:val="Heading2"/>
        <w:keepNext w:val="0"/>
        <w:keepLines w:val="0"/>
        <w:spacing w:after="80"/>
        <w:rPr>
          <w:rFonts w:ascii="Verdana" w:hAnsi="Verdana"/>
          <w:b/>
          <w:bCs/>
          <w:sz w:val="22"/>
          <w:szCs w:val="22"/>
        </w:rPr>
      </w:pPr>
      <w:bookmarkStart w:id="10" w:name="_wrj52og7jvh5" w:colFirst="0" w:colLast="0"/>
      <w:bookmarkEnd w:id="10"/>
      <w:r w:rsidRPr="003C0650">
        <w:rPr>
          <w:rFonts w:ascii="Verdana" w:hAnsi="Verdana"/>
          <w:b/>
          <w:bCs/>
          <w:sz w:val="22"/>
          <w:szCs w:val="22"/>
        </w:rPr>
        <w:t>8) Policy logic model, design parameters, dependencies and ethics</w:t>
      </w:r>
    </w:p>
    <w:p w:rsidR="00571363" w:rsidRPr="003C0650">
      <w:pPr>
        <w:spacing w:before="240" w:after="240" w:line="240" w:lineRule="auto"/>
        <w:rPr>
          <w:rFonts w:ascii="Verdana" w:hAnsi="Verdana"/>
        </w:rPr>
      </w:pPr>
      <w:r w:rsidRPr="003C0650">
        <w:rPr>
          <w:rFonts w:ascii="Verdana" w:hAnsi="Verdana"/>
        </w:rPr>
        <w:t>Fewer births and pupil movements reduce reception demand. Capacity and buildings adjust slowly. Pupil-led funding falls faster than fixed costs. Schools respond through staffing, curriculum, PANs, mergers, closures or reuse. Coordination quality determines whether the response protects access or shifts costs. SEND and transport pressures can turn a financial fix into an access problem.</w:t>
      </w:r>
    </w:p>
    <w:p w:rsidR="00571363" w:rsidRPr="003C0650">
      <w:pPr>
        <w:spacing w:before="240" w:after="240" w:line="240" w:lineRule="auto"/>
        <w:rPr>
          <w:rFonts w:ascii="Verdana" w:hAnsi="Verdana"/>
          <w:b/>
          <w:bCs/>
        </w:rPr>
      </w:pPr>
      <w:r w:rsidRPr="003C0650">
        <w:rPr>
          <w:rFonts w:ascii="Verdana" w:hAnsi="Verdana"/>
          <w:b/>
          <w:bCs/>
        </w:rPr>
        <w:t>Design parameters</w:t>
      </w:r>
    </w:p>
    <w:p w:rsidR="00571363" w:rsidRPr="003C0650">
      <w:pPr>
        <w:numPr>
          <w:ilvl w:val="0"/>
          <w:numId w:val="14"/>
        </w:numPr>
        <w:spacing w:before="240" w:line="240" w:lineRule="auto"/>
        <w:rPr>
          <w:rFonts w:ascii="Verdana" w:hAnsi="Verdana"/>
        </w:rPr>
      </w:pPr>
      <w:r w:rsidRPr="003C0650">
        <w:rPr>
          <w:rFonts w:ascii="Verdana" w:hAnsi="Verdana"/>
          <w:b/>
          <w:bCs/>
        </w:rPr>
        <w:t>Intervention trigger:</w:t>
      </w:r>
      <w:r w:rsidRPr="003C0650">
        <w:rPr>
          <w:rFonts w:ascii="Verdana" w:hAnsi="Verdana"/>
        </w:rPr>
        <w:t xml:space="preserve"> sustained planning-area decline, not one weak intake.</w:t>
      </w:r>
    </w:p>
    <w:p w:rsidR="00571363" w:rsidRPr="003C0650">
      <w:pPr>
        <w:numPr>
          <w:ilvl w:val="0"/>
          <w:numId w:val="14"/>
        </w:numPr>
        <w:spacing w:line="240" w:lineRule="auto"/>
        <w:rPr>
          <w:rFonts w:ascii="Verdana" w:hAnsi="Verdana"/>
        </w:rPr>
      </w:pPr>
      <w:r w:rsidRPr="003C0650">
        <w:rPr>
          <w:rFonts w:ascii="Verdana" w:hAnsi="Verdana"/>
          <w:b/>
          <w:bCs/>
        </w:rPr>
        <w:t>Time rule:</w:t>
      </w:r>
      <w:r w:rsidRPr="003C0650">
        <w:rPr>
          <w:rFonts w:ascii="Verdana" w:hAnsi="Verdana"/>
        </w:rPr>
        <w:t xml:space="preserve"> buffer where places are forecast to be needed soon; restructure where decline is sustained.</w:t>
      </w:r>
    </w:p>
    <w:p w:rsidR="00571363" w:rsidRPr="003C0650">
      <w:pPr>
        <w:numPr>
          <w:ilvl w:val="0"/>
          <w:numId w:val="14"/>
        </w:numPr>
        <w:spacing w:line="240" w:lineRule="auto"/>
        <w:rPr>
          <w:rFonts w:ascii="Verdana" w:hAnsi="Verdana"/>
        </w:rPr>
      </w:pPr>
      <w:r w:rsidRPr="003C0650">
        <w:rPr>
          <w:rFonts w:ascii="Verdana" w:hAnsi="Verdana"/>
          <w:b/>
          <w:bCs/>
        </w:rPr>
        <w:t>Access floor:</w:t>
      </w:r>
      <w:r w:rsidRPr="003C0650">
        <w:rPr>
          <w:rFonts w:ascii="Verdana" w:hAnsi="Verdana"/>
        </w:rPr>
        <w:t xml:space="preserve"> SEND, in-year admissions and travel must be tested first.</w:t>
      </w:r>
    </w:p>
    <w:p w:rsidR="00571363" w:rsidRPr="003C0650">
      <w:pPr>
        <w:numPr>
          <w:ilvl w:val="0"/>
          <w:numId w:val="14"/>
        </w:numPr>
        <w:spacing w:line="240" w:lineRule="auto"/>
        <w:rPr>
          <w:rFonts w:ascii="Verdana" w:hAnsi="Verdana"/>
        </w:rPr>
      </w:pPr>
      <w:r w:rsidRPr="003C0650">
        <w:rPr>
          <w:rFonts w:ascii="Verdana" w:hAnsi="Verdana"/>
          <w:b/>
          <w:bCs/>
        </w:rPr>
        <w:t>Reuse hierarchy:</w:t>
      </w:r>
      <w:r w:rsidRPr="003C0650">
        <w:rPr>
          <w:rFonts w:ascii="Verdana" w:hAnsi="Verdana"/>
        </w:rPr>
        <w:t xml:space="preserve"> adapt or repurpose before permanent withdrawal.</w:t>
      </w:r>
    </w:p>
    <w:p w:rsidR="00571363" w:rsidRPr="003C0650">
      <w:pPr>
        <w:numPr>
          <w:ilvl w:val="0"/>
          <w:numId w:val="14"/>
        </w:numPr>
        <w:spacing w:after="240" w:line="240" w:lineRule="auto"/>
        <w:rPr>
          <w:rFonts w:ascii="Verdana" w:hAnsi="Verdana"/>
        </w:rPr>
      </w:pPr>
      <w:r w:rsidRPr="003C0650">
        <w:rPr>
          <w:rFonts w:ascii="Verdana" w:hAnsi="Verdana"/>
          <w:b/>
          <w:bCs/>
        </w:rPr>
        <w:t>Governance route:</w:t>
      </w:r>
      <w:r w:rsidRPr="003C0650">
        <w:rPr>
          <w:rFonts w:ascii="Verdana" w:hAnsi="Verdana"/>
        </w:rPr>
        <w:t xml:space="preserve"> specify who decides, who can object and how disputes are resolved.</w:t>
      </w:r>
    </w:p>
    <w:p w:rsidR="00571363" w:rsidRPr="003C0650">
      <w:pPr>
        <w:spacing w:before="240" w:after="240" w:line="240" w:lineRule="auto"/>
        <w:rPr>
          <w:rFonts w:ascii="Verdana" w:hAnsi="Verdana"/>
          <w:b/>
          <w:bCs/>
        </w:rPr>
      </w:pPr>
      <w:r w:rsidRPr="003C0650">
        <w:rPr>
          <w:rFonts w:ascii="Verdana" w:hAnsi="Verdana"/>
          <w:b/>
          <w:bCs/>
        </w:rPr>
        <w:t>Ethics guardrail</w:t>
      </w:r>
    </w:p>
    <w:p w:rsidR="00571363" w:rsidRPr="003C0650">
      <w:pPr>
        <w:spacing w:before="240" w:after="240" w:line="240" w:lineRule="auto"/>
        <w:rPr>
          <w:rFonts w:ascii="Verdana" w:hAnsi="Verdana"/>
        </w:rPr>
      </w:pPr>
      <w:r w:rsidRPr="003C0650">
        <w:rPr>
          <w:rFonts w:ascii="Verdana" w:hAnsi="Verdana"/>
        </w:rPr>
        <w:t>Do not frame children with SEND or mobile families as the cause of financial pressure. The issue is system design under demographic change.</w:t>
      </w:r>
    </w:p>
    <w:p w:rsidR="00571363" w:rsidRPr="003C0650">
      <w:pPr>
        <w:pStyle w:val="Heading2"/>
        <w:keepNext w:val="0"/>
        <w:keepLines w:val="0"/>
        <w:spacing w:after="80"/>
        <w:rPr>
          <w:rFonts w:ascii="Verdana" w:hAnsi="Verdana"/>
          <w:b/>
          <w:bCs/>
          <w:sz w:val="22"/>
          <w:szCs w:val="22"/>
        </w:rPr>
      </w:pPr>
      <w:bookmarkStart w:id="11" w:name="_1ngpkn8pmdiu" w:colFirst="0" w:colLast="0"/>
      <w:bookmarkEnd w:id="11"/>
      <w:r w:rsidRPr="003C0650">
        <w:rPr>
          <w:rFonts w:ascii="Verdana" w:hAnsi="Verdana"/>
          <w:b/>
          <w:bCs/>
          <w:sz w:val="22"/>
          <w:szCs w:val="22"/>
        </w:rPr>
        <w:t>9) Hearing questions</w:t>
      </w:r>
    </w:p>
    <w:p w:rsidR="00571363" w:rsidRPr="003C0650">
      <w:pPr>
        <w:spacing w:before="240" w:after="240" w:line="240" w:lineRule="auto"/>
        <w:rPr>
          <w:rFonts w:ascii="Verdana" w:hAnsi="Verdana"/>
          <w:b/>
          <w:bCs/>
        </w:rPr>
      </w:pPr>
      <w:r w:rsidRPr="003C0650">
        <w:rPr>
          <w:rFonts w:ascii="Verdana" w:hAnsi="Verdana"/>
          <w:b/>
          <w:bCs/>
        </w:rPr>
        <w:t>For DfE</w:t>
      </w:r>
    </w:p>
    <w:p w:rsidR="00571363" w:rsidRPr="003C0650">
      <w:pPr>
        <w:numPr>
          <w:ilvl w:val="0"/>
          <w:numId w:val="9"/>
        </w:numPr>
        <w:spacing w:before="240" w:line="240" w:lineRule="auto"/>
        <w:rPr>
          <w:rFonts w:ascii="Verdana" w:hAnsi="Verdana"/>
        </w:rPr>
      </w:pPr>
      <w:r w:rsidRPr="003C0650">
        <w:rPr>
          <w:rFonts w:ascii="Verdana" w:hAnsi="Verdana"/>
        </w:rPr>
        <w:t>When will the spare-space framework be published, and what decisions will it cover?</w:t>
      </w:r>
    </w:p>
    <w:p w:rsidR="00571363" w:rsidRPr="003C0650">
      <w:pPr>
        <w:numPr>
          <w:ilvl w:val="0"/>
          <w:numId w:val="9"/>
        </w:numPr>
        <w:spacing w:line="240" w:lineRule="auto"/>
        <w:rPr>
          <w:rFonts w:ascii="Verdana" w:hAnsi="Verdana"/>
        </w:rPr>
      </w:pPr>
      <w:r w:rsidRPr="003C0650">
        <w:rPr>
          <w:rFonts w:ascii="Verdana" w:hAnsi="Verdana"/>
        </w:rPr>
        <w:t>What data will DfE collect on PAN changes, closures, mergers and academy significant changes?</w:t>
      </w:r>
    </w:p>
    <w:p w:rsidR="00571363" w:rsidRPr="003C0650">
      <w:pPr>
        <w:numPr>
          <w:ilvl w:val="0"/>
          <w:numId w:val="9"/>
        </w:numPr>
        <w:spacing w:after="240" w:line="240" w:lineRule="auto"/>
        <w:rPr>
          <w:rFonts w:ascii="Verdana" w:hAnsi="Verdana"/>
        </w:rPr>
      </w:pPr>
      <w:r w:rsidRPr="003C0650">
        <w:rPr>
          <w:rFonts w:ascii="Verdana" w:hAnsi="Verdana"/>
        </w:rPr>
        <w:t>How will DfE test whether Act powers reduce delays for unplaced children?</w:t>
      </w:r>
    </w:p>
    <w:p w:rsidR="00571363" w:rsidRPr="003C0650">
      <w:pPr>
        <w:spacing w:before="240" w:after="240" w:line="240" w:lineRule="auto"/>
        <w:rPr>
          <w:rFonts w:ascii="Verdana" w:hAnsi="Verdana"/>
          <w:b/>
          <w:bCs/>
        </w:rPr>
      </w:pPr>
      <w:r w:rsidRPr="003C0650">
        <w:rPr>
          <w:rFonts w:ascii="Verdana" w:hAnsi="Verdana"/>
          <w:b/>
          <w:bCs/>
        </w:rPr>
        <w:t>For local authorities and trusts</w:t>
      </w:r>
    </w:p>
    <w:p w:rsidR="00571363" w:rsidRPr="003C0650">
      <w:pPr>
        <w:numPr>
          <w:ilvl w:val="0"/>
          <w:numId w:val="3"/>
        </w:numPr>
        <w:spacing w:before="240" w:line="240" w:lineRule="auto"/>
        <w:rPr>
          <w:rFonts w:ascii="Verdana" w:hAnsi="Verdana"/>
        </w:rPr>
      </w:pPr>
      <w:r w:rsidRPr="003C0650">
        <w:rPr>
          <w:rFonts w:ascii="Verdana" w:hAnsi="Verdana"/>
        </w:rPr>
        <w:t>What evidence should trigger temporary support rather than restructuring?</w:t>
      </w:r>
    </w:p>
    <w:p w:rsidR="00571363" w:rsidRPr="003C0650">
      <w:pPr>
        <w:numPr>
          <w:ilvl w:val="0"/>
          <w:numId w:val="3"/>
        </w:numPr>
        <w:spacing w:line="240" w:lineRule="auto"/>
        <w:rPr>
          <w:rFonts w:ascii="Verdana" w:hAnsi="Verdana"/>
        </w:rPr>
      </w:pPr>
      <w:r w:rsidRPr="003C0650">
        <w:rPr>
          <w:rFonts w:ascii="Verdana" w:hAnsi="Verdana"/>
        </w:rPr>
        <w:t>How do you assess SEND, transport and in-year admissions before changing capacity?</w:t>
      </w:r>
    </w:p>
    <w:p w:rsidR="00571363" w:rsidRPr="003C0650">
      <w:pPr>
        <w:numPr>
          <w:ilvl w:val="0"/>
          <w:numId w:val="3"/>
        </w:numPr>
        <w:spacing w:after="240" w:line="240" w:lineRule="auto"/>
        <w:rPr>
          <w:rFonts w:ascii="Verdana" w:hAnsi="Verdana"/>
        </w:rPr>
      </w:pPr>
      <w:r w:rsidRPr="003C0650">
        <w:rPr>
          <w:rFonts w:ascii="Verdana" w:hAnsi="Verdana"/>
        </w:rPr>
        <w:t>What happens when schools or trusts disagree about PANs or place reductions?</w:t>
      </w:r>
    </w:p>
    <w:p w:rsidR="00571363" w:rsidRPr="003C0650">
      <w:pPr>
        <w:spacing w:before="240" w:after="240" w:line="240" w:lineRule="auto"/>
        <w:rPr>
          <w:rFonts w:ascii="Verdana" w:hAnsi="Verdana"/>
          <w:b/>
          <w:bCs/>
        </w:rPr>
      </w:pPr>
      <w:r w:rsidRPr="003C0650">
        <w:rPr>
          <w:rFonts w:ascii="Verdana" w:hAnsi="Verdana"/>
          <w:b/>
          <w:bCs/>
        </w:rPr>
        <w:t>For schools, parents and communities</w:t>
      </w:r>
    </w:p>
    <w:p w:rsidR="00571363" w:rsidRPr="003C0650">
      <w:pPr>
        <w:numPr>
          <w:ilvl w:val="0"/>
          <w:numId w:val="15"/>
        </w:numPr>
        <w:spacing w:before="240" w:line="240" w:lineRule="auto"/>
        <w:rPr>
          <w:rFonts w:ascii="Verdana" w:hAnsi="Verdana"/>
        </w:rPr>
      </w:pPr>
      <w:r w:rsidRPr="003C0650">
        <w:rPr>
          <w:rFonts w:ascii="Verdana" w:hAnsi="Verdana"/>
        </w:rPr>
        <w:t>What costs are shifted to families when local provision changes?</w:t>
      </w:r>
    </w:p>
    <w:p w:rsidR="00571363" w:rsidRPr="003C0650">
      <w:pPr>
        <w:numPr>
          <w:ilvl w:val="0"/>
          <w:numId w:val="15"/>
        </w:numPr>
        <w:spacing w:after="240" w:line="240" w:lineRule="auto"/>
        <w:rPr>
          <w:rFonts w:ascii="Verdana" w:hAnsi="Verdana"/>
        </w:rPr>
      </w:pPr>
      <w:r w:rsidRPr="003C0650">
        <w:rPr>
          <w:rFonts w:ascii="Verdana" w:hAnsi="Verdana"/>
        </w:rPr>
        <w:t>When does spare space improve support, and when does it create financial risk?</w:t>
      </w:r>
    </w:p>
    <w:p w:rsidR="00571363" w:rsidRPr="003C0650">
      <w:pPr>
        <w:spacing w:before="240" w:after="240" w:line="240" w:lineRule="auto"/>
        <w:rPr>
          <w:rFonts w:ascii="Verdana" w:hAnsi="Verdana"/>
          <w:b/>
          <w:bCs/>
        </w:rPr>
      </w:pPr>
      <w:r w:rsidRPr="003C0650">
        <w:rPr>
          <w:rFonts w:ascii="Verdana" w:hAnsi="Verdana"/>
          <w:b/>
          <w:bCs/>
        </w:rPr>
        <w:t>For researchers and auditors</w:t>
      </w:r>
    </w:p>
    <w:p w:rsidR="00571363" w:rsidRPr="003C0650">
      <w:pPr>
        <w:numPr>
          <w:ilvl w:val="0"/>
          <w:numId w:val="4"/>
        </w:numPr>
        <w:spacing w:before="240" w:line="240" w:lineRule="auto"/>
        <w:rPr>
          <w:rFonts w:ascii="Verdana" w:hAnsi="Verdana"/>
        </w:rPr>
      </w:pPr>
      <w:r w:rsidRPr="003C0650">
        <w:rPr>
          <w:rFonts w:ascii="Verdana" w:hAnsi="Verdana"/>
        </w:rPr>
        <w:t>What comparisons are safe without school-level academy finance data, and what risks remain?</w:t>
      </w:r>
    </w:p>
    <w:p w:rsidR="00571363" w:rsidRPr="003C0650">
      <w:pPr>
        <w:numPr>
          <w:ilvl w:val="0"/>
          <w:numId w:val="4"/>
        </w:numPr>
        <w:spacing w:after="240" w:line="240" w:lineRule="auto"/>
        <w:rPr>
          <w:rFonts w:ascii="Verdana" w:hAnsi="Verdana"/>
        </w:rPr>
      </w:pPr>
      <w:r w:rsidRPr="003C0650">
        <w:rPr>
          <w:rFonts w:ascii="Verdana" w:hAnsi="Verdana"/>
        </w:rPr>
        <w:t>How should Parliament monitor unintended consequences over the next three years?</w:t>
      </w:r>
    </w:p>
    <w:p w:rsidR="00571363" w:rsidRPr="003C0650">
      <w:pPr>
        <w:pStyle w:val="Heading2"/>
        <w:keepNext w:val="0"/>
        <w:keepLines w:val="0"/>
        <w:spacing w:after="80"/>
        <w:rPr>
          <w:rFonts w:ascii="Verdana" w:hAnsi="Verdana"/>
          <w:b/>
          <w:bCs/>
          <w:sz w:val="22"/>
          <w:szCs w:val="22"/>
        </w:rPr>
      </w:pPr>
      <w:bookmarkStart w:id="12" w:name="_jdv3wvm9bz1w" w:colFirst="0" w:colLast="0"/>
      <w:bookmarkEnd w:id="12"/>
      <w:r w:rsidRPr="003C0650">
        <w:rPr>
          <w:rFonts w:ascii="Verdana" w:hAnsi="Verdana"/>
          <w:b/>
          <w:bCs/>
          <w:sz w:val="22"/>
          <w:szCs w:val="22"/>
        </w:rPr>
        <w:t>10) References and Annex A</w:t>
      </w:r>
    </w:p>
    <w:p w:rsidR="00571363" w:rsidRPr="003C0650">
      <w:pPr>
        <w:spacing w:before="240" w:after="240" w:line="240" w:lineRule="auto"/>
        <w:rPr>
          <w:rFonts w:ascii="Verdana" w:hAnsi="Verdana"/>
          <w:b/>
          <w:bCs/>
        </w:rPr>
      </w:pPr>
      <w:r w:rsidRPr="003C0650">
        <w:rPr>
          <w:rFonts w:ascii="Verdana" w:hAnsi="Verdana"/>
          <w:b/>
          <w:bCs/>
        </w:rPr>
        <w:t>References</w:t>
      </w:r>
    </w:p>
    <w:p w:rsidR="00571363" w:rsidRPr="003C0650">
      <w:pPr>
        <w:spacing w:before="240" w:after="240" w:line="240" w:lineRule="auto"/>
        <w:rPr>
          <w:rFonts w:ascii="Verdana" w:hAnsi="Verdana"/>
          <w:color w:val="1155CC"/>
          <w:u w:val="single"/>
        </w:rPr>
      </w:pPr>
      <w:r w:rsidRPr="003C0650">
        <w:rPr>
          <w:rFonts w:ascii="Verdana" w:hAnsi="Verdana"/>
        </w:rPr>
        <w:t xml:space="preserve">[1] Department for Education (2025) </w:t>
      </w:r>
      <w:r w:rsidRPr="003C0650">
        <w:rPr>
          <w:rFonts w:ascii="Verdana" w:hAnsi="Verdana"/>
          <w:i/>
          <w:iCs/>
        </w:rPr>
        <w:t>National pupil projections</w:t>
      </w:r>
      <w:r w:rsidRPr="003C0650">
        <w:rPr>
          <w:rFonts w:ascii="Verdana" w:hAnsi="Verdana"/>
        </w:rPr>
        <w:t xml:space="preserve">. </w:t>
      </w:r>
      <w:r>
        <w:fldChar w:fldCharType="begin"/>
      </w:r>
      <w:r>
        <w:instrText xml:space="preserve"> HYPERLINK "https://explore-education-statistics.service.gov.uk/find-statistics/national-pupil-projections/2025" </w:instrText>
      </w:r>
      <w:r>
        <w:fldChar w:fldCharType="separate"/>
      </w:r>
      <w:r w:rsidRPr="003C0650">
        <w:rPr>
          <w:rFonts w:ascii="Verdana" w:hAnsi="Verdana"/>
          <w:color w:val="1155CC"/>
          <w:u w:val="single"/>
        </w:rPr>
        <w:t>https://explore-education-statistics.service.gov.uk/find-statistics/national-pupil-projections/2025</w:t>
      </w:r>
      <w:r>
        <w:fldChar w:fldCharType="end"/>
      </w:r>
      <w:r w:rsidRPr="003C0650">
        <w:rPr>
          <w:rFonts w:ascii="Verdana" w:hAnsi="Verdana"/>
        </w:rPr>
        <w:t xml:space="preserve"> </w:t>
      </w:r>
    </w:p>
    <w:p w:rsidR="00571363" w:rsidRPr="003C0650">
      <w:pPr>
        <w:spacing w:before="240" w:after="240" w:line="240" w:lineRule="auto"/>
        <w:rPr>
          <w:rFonts w:ascii="Verdana" w:hAnsi="Verdana"/>
          <w:color w:val="1155CC"/>
          <w:u w:val="single"/>
        </w:rPr>
      </w:pPr>
      <w:r w:rsidRPr="003C0650">
        <w:rPr>
          <w:rFonts w:ascii="Verdana" w:hAnsi="Verdana"/>
        </w:rPr>
        <w:t xml:space="preserve">[2] National Audit Office (2026) </w:t>
      </w:r>
      <w:r w:rsidRPr="003C0650">
        <w:rPr>
          <w:rFonts w:ascii="Verdana" w:hAnsi="Verdana"/>
          <w:i/>
          <w:iCs/>
        </w:rPr>
        <w:t>Responding to changing demand for school places</w:t>
      </w:r>
      <w:r w:rsidRPr="003C0650">
        <w:rPr>
          <w:rFonts w:ascii="Verdana" w:hAnsi="Verdana"/>
        </w:rPr>
        <w:t xml:space="preserve">. </w:t>
      </w:r>
      <w:r>
        <w:fldChar w:fldCharType="begin"/>
      </w:r>
      <w:r>
        <w:instrText xml:space="preserve"> HYPERLINK "https://www.nao.org.uk/reports/responding-to-changing-demand-for-school-places/" </w:instrText>
      </w:r>
      <w:r>
        <w:fldChar w:fldCharType="separate"/>
      </w:r>
      <w:r w:rsidRPr="003C0650">
        <w:rPr>
          <w:rFonts w:ascii="Verdana" w:hAnsi="Verdana"/>
          <w:color w:val="1155CC"/>
          <w:u w:val="single"/>
        </w:rPr>
        <w:t>https://www.nao.org.uk/reports/responding-to-changing-demand-for-school-places/</w:t>
      </w:r>
      <w:r>
        <w:fldChar w:fldCharType="end"/>
      </w:r>
      <w:r w:rsidRPr="003C0650">
        <w:rPr>
          <w:rFonts w:ascii="Verdana" w:hAnsi="Verdana"/>
        </w:rPr>
        <w:t xml:space="preserve"> </w:t>
      </w:r>
    </w:p>
    <w:p w:rsidR="00571363" w:rsidRPr="003C0650">
      <w:pPr>
        <w:spacing w:before="240" w:after="240" w:line="240" w:lineRule="auto"/>
        <w:rPr>
          <w:rFonts w:ascii="Verdana" w:hAnsi="Verdana"/>
          <w:color w:val="1155CC"/>
          <w:u w:val="single"/>
        </w:rPr>
      </w:pPr>
      <w:r w:rsidRPr="003C0650">
        <w:rPr>
          <w:rFonts w:ascii="Verdana" w:hAnsi="Verdana"/>
        </w:rPr>
        <w:t xml:space="preserve">[3] Department for Education (2026) </w:t>
      </w:r>
      <w:r w:rsidRPr="003C0650">
        <w:rPr>
          <w:rFonts w:ascii="Verdana" w:hAnsi="Verdana"/>
          <w:i/>
          <w:iCs/>
        </w:rPr>
        <w:t>School capacity: academic year 2024/25</w:t>
      </w:r>
      <w:r w:rsidRPr="003C0650">
        <w:rPr>
          <w:rFonts w:ascii="Verdana" w:hAnsi="Verdana"/>
        </w:rPr>
        <w:t xml:space="preserve">. </w:t>
      </w:r>
      <w:r>
        <w:fldChar w:fldCharType="begin"/>
      </w:r>
      <w:r>
        <w:instrText xml:space="preserve"> HYPERLINK "https://explore-education-statistics.service.gov.uk/find-statistics/school-capacity/2024-25" </w:instrText>
      </w:r>
      <w:r>
        <w:fldChar w:fldCharType="separate"/>
      </w:r>
      <w:r w:rsidRPr="003C0650">
        <w:rPr>
          <w:rFonts w:ascii="Verdana" w:hAnsi="Verdana"/>
          <w:color w:val="1155CC"/>
          <w:u w:val="single"/>
        </w:rPr>
        <w:t>https://explore-education-statistics.service.gov.uk/find-statistics/school-capacity/2024-25</w:t>
      </w:r>
      <w:r>
        <w:fldChar w:fldCharType="end"/>
      </w:r>
      <w:r w:rsidRPr="003C0650">
        <w:rPr>
          <w:rFonts w:ascii="Verdana" w:hAnsi="Verdana"/>
        </w:rPr>
        <w:t xml:space="preserve"> </w:t>
      </w:r>
    </w:p>
    <w:p w:rsidR="00571363" w:rsidRPr="003C0650">
      <w:pPr>
        <w:spacing w:before="240" w:after="240" w:line="240" w:lineRule="auto"/>
        <w:rPr>
          <w:rFonts w:ascii="Verdana" w:hAnsi="Verdana"/>
          <w:color w:val="1155CC"/>
          <w:u w:val="single"/>
        </w:rPr>
      </w:pPr>
      <w:r w:rsidRPr="003C0650">
        <w:rPr>
          <w:rFonts w:ascii="Verdana" w:hAnsi="Verdana"/>
        </w:rPr>
        <w:t xml:space="preserve">[4] Department for Education (2025) </w:t>
      </w:r>
      <w:r w:rsidRPr="003C0650">
        <w:rPr>
          <w:rFonts w:ascii="Verdana" w:hAnsi="Verdana"/>
          <w:i/>
          <w:iCs/>
        </w:rPr>
        <w:t>LA and school expenditure: financial year 2024-25</w:t>
      </w:r>
      <w:r w:rsidRPr="003C0650">
        <w:rPr>
          <w:rFonts w:ascii="Verdana" w:hAnsi="Verdana"/>
        </w:rPr>
        <w:t xml:space="preserve">. </w:t>
      </w:r>
      <w:r>
        <w:fldChar w:fldCharType="begin"/>
      </w:r>
      <w:r>
        <w:instrText xml:space="preserve"> HYPERLINK "https://explore-education-statistics.service.gov.uk/find-statistics/la-and-school-expenditure/2024-25" </w:instrText>
      </w:r>
      <w:r>
        <w:fldChar w:fldCharType="separate"/>
      </w:r>
      <w:r w:rsidRPr="003C0650">
        <w:rPr>
          <w:rFonts w:ascii="Verdana" w:hAnsi="Verdana"/>
          <w:color w:val="1155CC"/>
          <w:u w:val="single"/>
        </w:rPr>
        <w:t>https://explore-education-statistics.service.gov.uk/find-statistics/la-and-school-expenditure/2024-25</w:t>
      </w:r>
      <w:r>
        <w:fldChar w:fldCharType="end"/>
      </w:r>
      <w:r w:rsidRPr="003C0650">
        <w:rPr>
          <w:rFonts w:ascii="Verdana" w:hAnsi="Verdana"/>
        </w:rPr>
        <w:t xml:space="preserve"> </w:t>
      </w:r>
    </w:p>
    <w:p w:rsidR="00571363" w:rsidRPr="003C0650">
      <w:pPr>
        <w:spacing w:before="240" w:after="240" w:line="240" w:lineRule="auto"/>
        <w:rPr>
          <w:rFonts w:ascii="Verdana" w:hAnsi="Verdana"/>
          <w:color w:val="1155CC"/>
          <w:u w:val="single"/>
        </w:rPr>
      </w:pPr>
      <w:r w:rsidRPr="003C0650">
        <w:rPr>
          <w:rFonts w:ascii="Verdana" w:hAnsi="Verdana"/>
        </w:rPr>
        <w:t xml:space="preserve">[5] UK Parliament (2026) </w:t>
      </w:r>
      <w:r w:rsidRPr="003C0650">
        <w:rPr>
          <w:rFonts w:ascii="Verdana" w:hAnsi="Verdana"/>
          <w:i/>
          <w:iCs/>
        </w:rPr>
        <w:t>Children’s Wellbeing and Schools Act 2026</w:t>
      </w:r>
      <w:r w:rsidRPr="003C0650">
        <w:rPr>
          <w:rFonts w:ascii="Verdana" w:hAnsi="Verdana"/>
        </w:rPr>
        <w:t xml:space="preserve">. </w:t>
      </w:r>
      <w:r>
        <w:fldChar w:fldCharType="begin"/>
      </w:r>
      <w:r>
        <w:instrText xml:space="preserve"> HYPERLINK "https://bills.parliament.uk/bills/3909" </w:instrText>
      </w:r>
      <w:r>
        <w:fldChar w:fldCharType="separate"/>
      </w:r>
      <w:r w:rsidRPr="003C0650">
        <w:rPr>
          <w:rFonts w:ascii="Verdana" w:hAnsi="Verdana"/>
          <w:color w:val="1155CC"/>
          <w:u w:val="single"/>
        </w:rPr>
        <w:t>https://bills.parliament.uk/bills/3909</w:t>
      </w:r>
      <w:r>
        <w:fldChar w:fldCharType="end"/>
      </w:r>
      <w:r w:rsidRPr="003C0650">
        <w:rPr>
          <w:rFonts w:ascii="Verdana" w:hAnsi="Verdana"/>
        </w:rPr>
        <w:t xml:space="preserve"> </w:t>
      </w:r>
    </w:p>
    <w:p w:rsidR="00571363" w:rsidRPr="003C0650">
      <w:pPr>
        <w:spacing w:before="240" w:after="240" w:line="240" w:lineRule="auto"/>
        <w:rPr>
          <w:rFonts w:ascii="Verdana" w:hAnsi="Verdana"/>
          <w:color w:val="1155CC"/>
          <w:u w:val="single"/>
        </w:rPr>
      </w:pPr>
      <w:r w:rsidRPr="003C0650">
        <w:rPr>
          <w:rFonts w:ascii="Verdana" w:hAnsi="Verdana"/>
        </w:rPr>
        <w:t xml:space="preserve">[6] Department for Education (2026) </w:t>
      </w:r>
      <w:r w:rsidRPr="003C0650">
        <w:rPr>
          <w:rFonts w:ascii="Verdana" w:hAnsi="Verdana"/>
          <w:i/>
          <w:iCs/>
        </w:rPr>
        <w:t>Children’s Wellbeing and Schools Bill: policy summary notes</w:t>
      </w:r>
      <w:r w:rsidRPr="003C0650">
        <w:rPr>
          <w:rFonts w:ascii="Verdana" w:hAnsi="Verdana"/>
        </w:rPr>
        <w:t xml:space="preserve">. </w:t>
      </w:r>
      <w:r>
        <w:fldChar w:fldCharType="begin"/>
      </w:r>
      <w:r>
        <w:instrText xml:space="preserve"> HYPERLINK "https://assets.publishing.service.gov.uk/media/695e578a8ab0677c14afdfc9/childrens_wellbeing_and_schools_bill_2024_policy_summary_notes.pdf" </w:instrText>
      </w:r>
      <w:r>
        <w:fldChar w:fldCharType="separate"/>
      </w:r>
      <w:r w:rsidRPr="003C0650">
        <w:rPr>
          <w:rFonts w:ascii="Verdana" w:hAnsi="Verdana"/>
          <w:color w:val="1155CC"/>
          <w:u w:val="single"/>
        </w:rPr>
        <w:t>https://assets.publishing.service.gov.uk/media/695e578a8ab0677c14afdfc9/childrens_wellbeing_and_schools_bill_2024_policy_summary_notes.pdf</w:t>
      </w:r>
      <w:r>
        <w:fldChar w:fldCharType="end"/>
      </w:r>
      <w:r w:rsidRPr="003C0650">
        <w:rPr>
          <w:rFonts w:ascii="Verdana" w:hAnsi="Verdana"/>
        </w:rPr>
        <w:t xml:space="preserve"> </w:t>
      </w:r>
    </w:p>
    <w:p w:rsidR="00571363" w:rsidRPr="003C0650">
      <w:pPr>
        <w:spacing w:before="240" w:after="240" w:line="240" w:lineRule="auto"/>
        <w:rPr>
          <w:rFonts w:ascii="Verdana" w:hAnsi="Verdana"/>
          <w:color w:val="1155CC"/>
          <w:u w:val="single"/>
        </w:rPr>
      </w:pPr>
      <w:r w:rsidRPr="003C0650">
        <w:rPr>
          <w:rFonts w:ascii="Verdana" w:hAnsi="Verdana"/>
        </w:rPr>
        <w:t xml:space="preserve">[7] Department for Education (2026) </w:t>
      </w:r>
      <w:r w:rsidRPr="003C0650">
        <w:rPr>
          <w:rFonts w:ascii="Verdana" w:hAnsi="Verdana"/>
          <w:i/>
          <w:iCs/>
        </w:rPr>
        <w:t>Education Estates Strategy: a decade of national renewal</w:t>
      </w:r>
      <w:r w:rsidRPr="003C0650">
        <w:rPr>
          <w:rFonts w:ascii="Verdana" w:hAnsi="Verdana"/>
        </w:rPr>
        <w:t xml:space="preserve">. </w:t>
      </w:r>
      <w:r>
        <w:fldChar w:fldCharType="begin"/>
      </w:r>
      <w:r>
        <w:instrText xml:space="preserve"> HYPERLINK "https://www.gov.uk/government/publications/education-estates-strategy/education-estates-strategy-a-decade-of-national-renewal" </w:instrText>
      </w:r>
      <w:r>
        <w:fldChar w:fldCharType="separate"/>
      </w:r>
      <w:r w:rsidRPr="003C0650">
        <w:rPr>
          <w:rFonts w:ascii="Verdana" w:hAnsi="Verdana"/>
          <w:color w:val="1155CC"/>
          <w:u w:val="single"/>
        </w:rPr>
        <w:t>https://www.gov.uk/government/publications/education-estates-strategy/education-estates-strategy-a-decade-of-national-renewal</w:t>
      </w:r>
      <w:r>
        <w:fldChar w:fldCharType="end"/>
      </w:r>
      <w:r w:rsidRPr="003C0650">
        <w:rPr>
          <w:rFonts w:ascii="Verdana" w:hAnsi="Verdana"/>
        </w:rPr>
        <w:t xml:space="preserve"> </w:t>
      </w:r>
    </w:p>
    <w:p w:rsidR="00571363" w:rsidRPr="003C0650">
      <w:pPr>
        <w:spacing w:before="240" w:after="240" w:line="240" w:lineRule="auto"/>
        <w:rPr>
          <w:rFonts w:ascii="Verdana" w:hAnsi="Verdana"/>
          <w:color w:val="1155CC"/>
          <w:u w:val="single"/>
        </w:rPr>
      </w:pPr>
      <w:r w:rsidRPr="003C0650">
        <w:rPr>
          <w:rFonts w:ascii="Verdana" w:hAnsi="Verdana"/>
        </w:rPr>
        <w:t xml:space="preserve">[8] Department for Education (2026) </w:t>
      </w:r>
      <w:r w:rsidRPr="003C0650">
        <w:rPr>
          <w:rFonts w:ascii="Verdana" w:hAnsi="Verdana"/>
          <w:i/>
          <w:iCs/>
        </w:rPr>
        <w:t>Every child achieving and thriving</w:t>
      </w:r>
      <w:r w:rsidRPr="003C0650">
        <w:rPr>
          <w:rFonts w:ascii="Verdana" w:hAnsi="Verdana"/>
        </w:rPr>
        <w:t xml:space="preserve">. </w:t>
      </w:r>
      <w:r>
        <w:fldChar w:fldCharType="begin"/>
      </w:r>
      <w:r>
        <w:instrText xml:space="preserve"> HYPERLINK "https://www.gov.uk/government/publications/every-child-achieving-and-thriving" </w:instrText>
      </w:r>
      <w:r>
        <w:fldChar w:fldCharType="separate"/>
      </w:r>
      <w:r w:rsidRPr="003C0650">
        <w:rPr>
          <w:rFonts w:ascii="Verdana" w:hAnsi="Verdana"/>
          <w:color w:val="1155CC"/>
          <w:u w:val="single"/>
        </w:rPr>
        <w:t>https://www.gov.uk/government/publications/every-child-achieving-and-thriving</w:t>
      </w:r>
      <w:r>
        <w:fldChar w:fldCharType="end"/>
      </w:r>
      <w:r w:rsidRPr="003C0650">
        <w:rPr>
          <w:rFonts w:ascii="Verdana" w:hAnsi="Verdana"/>
        </w:rPr>
        <w:t xml:space="preserve"> </w:t>
      </w:r>
    </w:p>
    <w:p w:rsidR="00571363" w:rsidRPr="003C0650">
      <w:pPr>
        <w:spacing w:before="240" w:after="240" w:line="240" w:lineRule="auto"/>
        <w:rPr>
          <w:rFonts w:ascii="Verdana" w:hAnsi="Verdana"/>
          <w:color w:val="1155CC"/>
          <w:u w:val="single"/>
        </w:rPr>
      </w:pPr>
      <w:r w:rsidRPr="003C0650">
        <w:rPr>
          <w:rFonts w:ascii="Verdana" w:hAnsi="Verdana"/>
        </w:rPr>
        <w:t xml:space="preserve">[9] Department for Education (2024) </w:t>
      </w:r>
      <w:r w:rsidRPr="003C0650">
        <w:rPr>
          <w:rFonts w:ascii="Verdana" w:hAnsi="Verdana"/>
          <w:i/>
          <w:iCs/>
        </w:rPr>
        <w:t>Growth and falling rolls fund guidance: 2025 to 2026</w:t>
      </w:r>
      <w:r w:rsidRPr="003C0650">
        <w:rPr>
          <w:rFonts w:ascii="Verdana" w:hAnsi="Verdana"/>
        </w:rPr>
        <w:t xml:space="preserve">. </w:t>
      </w:r>
      <w:r>
        <w:fldChar w:fldCharType="begin"/>
      </w:r>
      <w:r>
        <w:instrText xml:space="preserve"> HYPERLINK "https://www.gov.uk/government/publications/pre-16-schools-funding-local-authority-guidance-for-2025-to-2026/growth-and-falling-rolls-fund-guidance-2025-to-2026" </w:instrText>
      </w:r>
      <w:r>
        <w:fldChar w:fldCharType="separate"/>
      </w:r>
      <w:r w:rsidRPr="003C0650">
        <w:rPr>
          <w:rFonts w:ascii="Verdana" w:hAnsi="Verdana"/>
          <w:color w:val="1155CC"/>
          <w:u w:val="single"/>
        </w:rPr>
        <w:t>https://www.gov.uk/government/publications/pre-16-schools-funding-local-authority-guidance-for-2025-to-2026/growth-and-falling-rolls-fund-guidance-2025-to-2026</w:t>
      </w:r>
      <w:r>
        <w:fldChar w:fldCharType="end"/>
      </w:r>
      <w:r w:rsidRPr="003C0650">
        <w:rPr>
          <w:rFonts w:ascii="Verdana" w:hAnsi="Verdana"/>
        </w:rPr>
        <w:t xml:space="preserve"> </w:t>
      </w:r>
    </w:p>
    <w:p w:rsidR="00571363" w:rsidRPr="003C0650">
      <w:pPr>
        <w:spacing w:before="240" w:after="240" w:line="240" w:lineRule="auto"/>
        <w:rPr>
          <w:rFonts w:ascii="Verdana" w:hAnsi="Verdana"/>
          <w:color w:val="1155CC"/>
          <w:u w:val="single"/>
        </w:rPr>
      </w:pPr>
      <w:r w:rsidRPr="003C0650">
        <w:rPr>
          <w:rFonts w:ascii="Verdana" w:hAnsi="Verdana"/>
        </w:rPr>
        <w:t xml:space="preserve">[10] Department for Education (2025) </w:t>
      </w:r>
      <w:r w:rsidRPr="003C0650">
        <w:rPr>
          <w:rFonts w:ascii="Verdana" w:hAnsi="Verdana"/>
          <w:i/>
          <w:iCs/>
        </w:rPr>
        <w:t>Special educational needs in England: academic year 2024/25</w:t>
      </w:r>
      <w:r w:rsidRPr="003C0650">
        <w:rPr>
          <w:rFonts w:ascii="Verdana" w:hAnsi="Verdana"/>
        </w:rPr>
        <w:t xml:space="preserve">. </w:t>
      </w:r>
      <w:r>
        <w:fldChar w:fldCharType="begin"/>
      </w:r>
      <w:r>
        <w:instrText xml:space="preserve"> HYPERLINK "https://explore-education-statistics.service.gov.uk/find-statistics/special-educational-needs-in-england/2024-25" </w:instrText>
      </w:r>
      <w:r>
        <w:fldChar w:fldCharType="separate"/>
      </w:r>
      <w:r w:rsidRPr="003C0650">
        <w:rPr>
          <w:rFonts w:ascii="Verdana" w:hAnsi="Verdana"/>
          <w:color w:val="1155CC"/>
          <w:u w:val="single"/>
        </w:rPr>
        <w:t>https://explore-education-statistics.service.gov.uk/find-statistics/special-educational-needs-in-england/2024-25</w:t>
      </w:r>
      <w:r>
        <w:fldChar w:fldCharType="end"/>
      </w:r>
      <w:r w:rsidRPr="003C0650">
        <w:rPr>
          <w:rFonts w:ascii="Verdana" w:hAnsi="Verdana"/>
        </w:rPr>
        <w:t xml:space="preserve"> </w:t>
      </w:r>
    </w:p>
    <w:p w:rsidR="00571363" w:rsidRPr="003C0650">
      <w:pPr>
        <w:spacing w:before="240" w:after="240" w:line="240" w:lineRule="auto"/>
        <w:rPr>
          <w:rFonts w:ascii="Verdana" w:hAnsi="Verdana"/>
          <w:color w:val="1155CC"/>
          <w:u w:val="single"/>
        </w:rPr>
      </w:pPr>
      <w:r w:rsidRPr="003C0650">
        <w:rPr>
          <w:rFonts w:ascii="Verdana" w:hAnsi="Verdana"/>
        </w:rPr>
        <w:t xml:space="preserve">[11] Department for Education (2025) </w:t>
      </w:r>
      <w:r w:rsidRPr="003C0650">
        <w:rPr>
          <w:rFonts w:ascii="Verdana" w:hAnsi="Verdana"/>
          <w:i/>
          <w:iCs/>
        </w:rPr>
        <w:t>Education, health and care plans</w:t>
      </w:r>
      <w:r w:rsidRPr="003C0650">
        <w:rPr>
          <w:rFonts w:ascii="Verdana" w:hAnsi="Verdana"/>
        </w:rPr>
        <w:t xml:space="preserve">. </w:t>
      </w:r>
      <w:r>
        <w:fldChar w:fldCharType="begin"/>
      </w:r>
      <w:r>
        <w:instrText xml:space="preserve"> HYPERLINK "https://explore-education-statistics.service.gov.uk/find-statistics/education-health-and-care-plans/2025" </w:instrText>
      </w:r>
      <w:r>
        <w:fldChar w:fldCharType="separate"/>
      </w:r>
      <w:r w:rsidRPr="003C0650">
        <w:rPr>
          <w:rFonts w:ascii="Verdana" w:hAnsi="Verdana"/>
          <w:color w:val="1155CC"/>
          <w:u w:val="single"/>
        </w:rPr>
        <w:t>https://explore-education-statistics.service.gov.uk/find-statistics/education-health-and-care-plans/2025</w:t>
      </w:r>
      <w:r>
        <w:fldChar w:fldCharType="end"/>
      </w:r>
      <w:r w:rsidRPr="003C0650">
        <w:rPr>
          <w:rFonts w:ascii="Verdana" w:hAnsi="Verdana"/>
        </w:rPr>
        <w:t xml:space="preserve"> </w:t>
      </w:r>
    </w:p>
    <w:p w:rsidR="00571363" w:rsidRPr="003C0650">
      <w:pPr>
        <w:spacing w:before="240" w:after="240" w:line="240" w:lineRule="auto"/>
        <w:rPr>
          <w:rFonts w:ascii="Verdana" w:hAnsi="Verdana"/>
          <w:color w:val="1155CC"/>
          <w:u w:val="single"/>
        </w:rPr>
      </w:pPr>
      <w:r w:rsidRPr="003C0650">
        <w:rPr>
          <w:rFonts w:ascii="Verdana" w:hAnsi="Verdana"/>
        </w:rPr>
        <w:t xml:space="preserve">[12] National Audit Office (2025) </w:t>
      </w:r>
      <w:r w:rsidRPr="003C0650">
        <w:rPr>
          <w:rFonts w:ascii="Verdana" w:hAnsi="Verdana"/>
          <w:i/>
          <w:iCs/>
        </w:rPr>
        <w:t>Home to school transport</w:t>
      </w:r>
      <w:r w:rsidRPr="003C0650">
        <w:rPr>
          <w:rFonts w:ascii="Verdana" w:hAnsi="Verdana"/>
        </w:rPr>
        <w:t xml:space="preserve">. </w:t>
      </w:r>
      <w:r>
        <w:fldChar w:fldCharType="begin"/>
      </w:r>
      <w:r>
        <w:instrText xml:space="preserve"> HYPERLINK "https://www.nao.org.uk/reports/home-to-school-transport/" </w:instrText>
      </w:r>
      <w:r>
        <w:fldChar w:fldCharType="separate"/>
      </w:r>
      <w:r w:rsidRPr="003C0650">
        <w:rPr>
          <w:rFonts w:ascii="Verdana" w:hAnsi="Verdana"/>
          <w:color w:val="1155CC"/>
          <w:u w:val="single"/>
        </w:rPr>
        <w:t>https://www.nao.org.uk/reports/home-to-school-transport/</w:t>
      </w:r>
      <w:r>
        <w:fldChar w:fldCharType="end"/>
      </w:r>
      <w:r w:rsidRPr="003C0650">
        <w:rPr>
          <w:rFonts w:ascii="Verdana" w:hAnsi="Verdana"/>
        </w:rPr>
        <w:t xml:space="preserve"> </w:t>
      </w:r>
    </w:p>
    <w:p w:rsidR="00571363" w:rsidRPr="003C0650">
      <w:pPr>
        <w:spacing w:before="240" w:after="240" w:line="240" w:lineRule="auto"/>
        <w:rPr>
          <w:rFonts w:ascii="Verdana" w:hAnsi="Verdana"/>
          <w:color w:val="1155CC"/>
          <w:u w:val="single"/>
        </w:rPr>
      </w:pPr>
      <w:r w:rsidRPr="003C0650">
        <w:rPr>
          <w:rFonts w:ascii="Verdana" w:hAnsi="Verdana"/>
        </w:rPr>
        <w:t xml:space="preserve">[13] Education Policy Institute (2025) </w:t>
      </w:r>
      <w:r w:rsidRPr="003C0650">
        <w:rPr>
          <w:rFonts w:ascii="Verdana" w:hAnsi="Verdana"/>
          <w:i/>
          <w:iCs/>
        </w:rPr>
        <w:t xml:space="preserve">So </w:t>
      </w:r>
      <w:r w:rsidRPr="003C0650">
        <w:rPr>
          <w:rFonts w:ascii="Verdana" w:hAnsi="Verdana"/>
          <w:i/>
          <w:iCs/>
        </w:rPr>
        <w:t>Long</w:t>
      </w:r>
      <w:r w:rsidRPr="003C0650">
        <w:rPr>
          <w:rFonts w:ascii="Verdana" w:hAnsi="Verdana"/>
          <w:i/>
          <w:iCs/>
        </w:rPr>
        <w:t>, London: an analysis of London primary pupil movements</w:t>
      </w:r>
      <w:r w:rsidRPr="003C0650">
        <w:rPr>
          <w:rFonts w:ascii="Verdana" w:hAnsi="Verdana"/>
        </w:rPr>
        <w:t xml:space="preserve">. </w:t>
      </w:r>
      <w:r>
        <w:fldChar w:fldCharType="begin"/>
      </w:r>
      <w:r>
        <w:instrText xml:space="preserve"> HYPERLINK "https://epi.org.uk/publications-and-research/so-long-london-an-analysis-of-london-primary-pupil-movements/" </w:instrText>
      </w:r>
      <w:r>
        <w:fldChar w:fldCharType="separate"/>
      </w:r>
      <w:r w:rsidRPr="003C0650">
        <w:rPr>
          <w:rFonts w:ascii="Verdana" w:hAnsi="Verdana"/>
          <w:color w:val="1155CC"/>
          <w:u w:val="single"/>
        </w:rPr>
        <w:t>https://epi.org.uk/publications-and-research/so-long-london-an-analysis-of-london-primary-pupil-movements/</w:t>
      </w:r>
      <w:r>
        <w:fldChar w:fldCharType="end"/>
      </w:r>
      <w:r w:rsidRPr="003C0650">
        <w:rPr>
          <w:rFonts w:ascii="Verdana" w:hAnsi="Verdana"/>
        </w:rPr>
        <w:t xml:space="preserve"> </w:t>
      </w:r>
    </w:p>
    <w:p w:rsidR="00571363" w:rsidRPr="003C0650">
      <w:pPr>
        <w:spacing w:before="240" w:after="240" w:line="240" w:lineRule="auto"/>
        <w:rPr>
          <w:rFonts w:ascii="Verdana" w:hAnsi="Verdana"/>
          <w:color w:val="1155CC"/>
          <w:u w:val="single"/>
        </w:rPr>
      </w:pPr>
      <w:r w:rsidRPr="003C0650">
        <w:rPr>
          <w:rFonts w:ascii="Verdana" w:hAnsi="Verdana"/>
        </w:rPr>
        <w:t xml:space="preserve">[14] Education Endowment Foundation (n.d.) </w:t>
      </w:r>
      <w:r w:rsidRPr="003C0650">
        <w:rPr>
          <w:rFonts w:ascii="Verdana" w:hAnsi="Verdana"/>
          <w:i/>
          <w:iCs/>
        </w:rPr>
        <w:t>Reducing class size</w:t>
      </w:r>
      <w:r w:rsidRPr="003C0650">
        <w:rPr>
          <w:rFonts w:ascii="Verdana" w:hAnsi="Verdana"/>
        </w:rPr>
        <w:t xml:space="preserve">. </w:t>
      </w:r>
      <w:r>
        <w:fldChar w:fldCharType="begin"/>
      </w:r>
      <w:r>
        <w:instrText xml:space="preserve"> HYPERLINK "https://educationendowmentfoundation.org.uk/education-evidence/teaching-learning-toolkit/reducing-class-size" </w:instrText>
      </w:r>
      <w:r>
        <w:fldChar w:fldCharType="separate"/>
      </w:r>
      <w:r w:rsidRPr="003C0650">
        <w:rPr>
          <w:rFonts w:ascii="Verdana" w:hAnsi="Verdana"/>
          <w:color w:val="1155CC"/>
          <w:u w:val="single"/>
        </w:rPr>
        <w:t>https://educationendowmentfoundation.org.uk/education-evidence/teaching-learning-toolkit/reducing-class-size</w:t>
      </w:r>
      <w:r>
        <w:fldChar w:fldCharType="end"/>
      </w:r>
      <w:r w:rsidRPr="003C0650">
        <w:rPr>
          <w:rFonts w:ascii="Verdana" w:hAnsi="Verdana"/>
        </w:rPr>
        <w:t xml:space="preserve"> </w:t>
      </w:r>
    </w:p>
    <w:p w:rsidR="00571363" w:rsidRPr="003C0650">
      <w:pPr>
        <w:spacing w:before="240" w:after="240" w:line="240" w:lineRule="auto"/>
        <w:rPr>
          <w:rFonts w:ascii="Verdana" w:hAnsi="Verdana"/>
          <w:b/>
          <w:bCs/>
        </w:rPr>
      </w:pPr>
      <w:r w:rsidRPr="003C0650">
        <w:rPr>
          <w:rFonts w:ascii="Verdana" w:hAnsi="Verdana"/>
          <w:b/>
          <w:bCs/>
        </w:rPr>
        <w:t>Annex A: minimal claim map</w:t>
      </w:r>
    </w:p>
    <w:tbl>
      <w:tblPr>
        <w:tblStyle w:val="Table1"/>
        <w:tblW w:w="9025" w:type="dxa"/>
        <w:tblInd w:w="0" w:type="dxa"/>
        <w:tblBorders>
          <w:top w:val="nil"/>
          <w:left w:val="nil"/>
          <w:bottom w:val="nil"/>
          <w:right w:val="nil"/>
          <w:insideH w:val="nil"/>
          <w:insideV w:val="nil"/>
        </w:tblBorders>
        <w:tblLayout w:type="fixed"/>
        <w:tblLook w:val="0600"/>
      </w:tblPr>
      <w:tblGrid>
        <w:gridCol w:w="2101"/>
        <w:gridCol w:w="1825"/>
        <w:gridCol w:w="2625"/>
        <w:gridCol w:w="2474"/>
      </w:tblGrid>
      <w:tr w:rsidTr="2B78D9EC">
        <w:tblPrEx>
          <w:tblW w:w="9025" w:type="dxa"/>
          <w:tblInd w:w="0" w:type="dxa"/>
          <w:tblBorders>
            <w:top w:val="nil"/>
            <w:left w:val="nil"/>
            <w:bottom w:val="nil"/>
            <w:right w:val="nil"/>
            <w:insideH w:val="nil"/>
            <w:insideV w:val="nil"/>
          </w:tblBorders>
          <w:tblLayout w:type="fixed"/>
          <w:tblLook w:val="0600"/>
        </w:tblPrEx>
        <w:trPr>
          <w:trHeight w:val="785"/>
        </w:trPr>
        <w:tc>
          <w:tcPr>
            <w:tcW w:w="2101" w:type="dxa"/>
            <w:tcBorders>
              <w:top w:val="nil"/>
              <w:left w:val="nil"/>
              <w:bottom w:val="nil"/>
              <w:right w:val="nil"/>
            </w:tcBorders>
            <w:tcMar>
              <w:top w:w="100" w:type="dxa"/>
              <w:left w:w="100" w:type="dxa"/>
              <w:bottom w:w="100" w:type="dxa"/>
              <w:right w:w="100" w:type="dxa"/>
            </w:tcMar>
          </w:tcPr>
          <w:p w:rsidR="00571363" w:rsidRPr="003C0650">
            <w:pPr>
              <w:jc w:val="center"/>
              <w:rPr>
                <w:rFonts w:ascii="Verdana" w:hAnsi="Verdana"/>
              </w:rPr>
            </w:pPr>
            <w:r w:rsidRPr="003C0650">
              <w:rPr>
                <w:rFonts w:ascii="Verdana" w:hAnsi="Verdana"/>
                <w:b/>
                <w:bCs/>
              </w:rPr>
              <w:t>Claim</w:t>
            </w:r>
          </w:p>
        </w:tc>
        <w:tc>
          <w:tcPr>
            <w:tcW w:w="1825" w:type="dxa"/>
            <w:tcBorders>
              <w:top w:val="nil"/>
              <w:left w:val="nil"/>
              <w:bottom w:val="nil"/>
              <w:right w:val="nil"/>
            </w:tcBorders>
            <w:tcMar>
              <w:top w:w="100" w:type="dxa"/>
              <w:left w:w="100" w:type="dxa"/>
              <w:bottom w:w="100" w:type="dxa"/>
              <w:right w:w="100" w:type="dxa"/>
            </w:tcMar>
          </w:tcPr>
          <w:p w:rsidR="00571363" w:rsidRPr="003C0650">
            <w:pPr>
              <w:jc w:val="center"/>
              <w:rPr>
                <w:rFonts w:ascii="Verdana" w:hAnsi="Verdana"/>
              </w:rPr>
            </w:pPr>
            <w:r w:rsidRPr="003C0650">
              <w:rPr>
                <w:rFonts w:ascii="Verdana" w:hAnsi="Verdana"/>
                <w:b/>
                <w:bCs/>
              </w:rPr>
              <w:t>Anchors and evidence type</w:t>
            </w:r>
          </w:p>
        </w:tc>
        <w:tc>
          <w:tcPr>
            <w:tcW w:w="2625" w:type="dxa"/>
            <w:tcBorders>
              <w:top w:val="nil"/>
              <w:left w:val="nil"/>
              <w:bottom w:val="nil"/>
              <w:right w:val="nil"/>
            </w:tcBorders>
            <w:tcMar>
              <w:top w:w="100" w:type="dxa"/>
              <w:left w:w="100" w:type="dxa"/>
              <w:bottom w:w="100" w:type="dxa"/>
              <w:right w:w="100" w:type="dxa"/>
            </w:tcMar>
          </w:tcPr>
          <w:p w:rsidR="00571363" w:rsidRPr="003C0650">
            <w:pPr>
              <w:jc w:val="center"/>
              <w:rPr>
                <w:rFonts w:ascii="Verdana" w:hAnsi="Verdana"/>
              </w:rPr>
            </w:pPr>
            <w:r w:rsidRPr="003C0650">
              <w:rPr>
                <w:rFonts w:ascii="Verdana" w:hAnsi="Verdana"/>
                <w:b/>
                <w:bCs/>
              </w:rPr>
              <w:t>Limits or conditions</w:t>
            </w:r>
          </w:p>
        </w:tc>
        <w:tc>
          <w:tcPr>
            <w:tcW w:w="2474" w:type="dxa"/>
            <w:tcBorders>
              <w:top w:val="nil"/>
              <w:left w:val="nil"/>
              <w:bottom w:val="nil"/>
              <w:right w:val="nil"/>
            </w:tcBorders>
            <w:tcMar>
              <w:top w:w="100" w:type="dxa"/>
              <w:left w:w="100" w:type="dxa"/>
              <w:bottom w:w="100" w:type="dxa"/>
              <w:right w:w="100" w:type="dxa"/>
            </w:tcMar>
          </w:tcPr>
          <w:p w:rsidR="00571363" w:rsidRPr="003C0650">
            <w:pPr>
              <w:jc w:val="center"/>
              <w:rPr>
                <w:rFonts w:ascii="Verdana" w:hAnsi="Verdana"/>
              </w:rPr>
            </w:pPr>
            <w:r w:rsidRPr="003C0650">
              <w:rPr>
                <w:rFonts w:ascii="Verdana" w:hAnsi="Verdana"/>
                <w:b/>
                <w:bCs/>
              </w:rPr>
              <w:t>Strengthening evidence</w:t>
            </w:r>
          </w:p>
        </w:tc>
      </w:tr>
      <w:tr w:rsidTr="2B78D9EC">
        <w:tblPrEx>
          <w:tblW w:w="9025" w:type="dxa"/>
          <w:tblInd w:w="0" w:type="dxa"/>
          <w:tblLayout w:type="fixed"/>
          <w:tblLook w:val="0600"/>
        </w:tblPrEx>
        <w:trPr>
          <w:trHeight w:val="1325"/>
        </w:trPr>
        <w:tc>
          <w:tcPr>
            <w:tcW w:w="2101" w:type="dxa"/>
            <w:tcBorders>
              <w:top w:val="nil"/>
              <w:left w:val="nil"/>
              <w:bottom w:val="nil"/>
              <w:right w:val="nil"/>
            </w:tcBorders>
            <w:tcMar>
              <w:top w:w="100" w:type="dxa"/>
              <w:left w:w="100" w:type="dxa"/>
              <w:bottom w:w="100" w:type="dxa"/>
              <w:right w:w="100" w:type="dxa"/>
            </w:tcMar>
          </w:tcPr>
          <w:p w:rsidR="00571363" w:rsidRPr="003C0650">
            <w:pPr>
              <w:rPr>
                <w:rFonts w:ascii="Verdana" w:hAnsi="Verdana"/>
              </w:rPr>
            </w:pPr>
            <w:r w:rsidRPr="003C0650">
              <w:rPr>
                <w:rFonts w:ascii="Verdana" w:hAnsi="Verdana"/>
              </w:rPr>
              <w:t>National primary demand is falling, but local patterns vary.</w:t>
            </w:r>
          </w:p>
        </w:tc>
        <w:tc>
          <w:tcPr>
            <w:tcW w:w="1825" w:type="dxa"/>
            <w:tcBorders>
              <w:top w:val="nil"/>
              <w:left w:val="nil"/>
              <w:bottom w:val="nil"/>
              <w:right w:val="nil"/>
            </w:tcBorders>
            <w:tcMar>
              <w:top w:w="100" w:type="dxa"/>
              <w:left w:w="100" w:type="dxa"/>
              <w:bottom w:w="100" w:type="dxa"/>
              <w:right w:w="100" w:type="dxa"/>
            </w:tcMar>
          </w:tcPr>
          <w:p w:rsidR="00571363" w:rsidRPr="003C0650">
            <w:pPr>
              <w:rPr>
                <w:rFonts w:ascii="Verdana" w:hAnsi="Verdana"/>
              </w:rPr>
            </w:pPr>
            <w:r w:rsidRPr="003C0650">
              <w:rPr>
                <w:rFonts w:ascii="Verdana" w:hAnsi="Verdana"/>
              </w:rPr>
              <w:t>[1] projections, [3] capacity data</w:t>
            </w:r>
          </w:p>
        </w:tc>
        <w:tc>
          <w:tcPr>
            <w:tcW w:w="2625" w:type="dxa"/>
            <w:tcBorders>
              <w:top w:val="nil"/>
              <w:left w:val="nil"/>
              <w:bottom w:val="nil"/>
              <w:right w:val="nil"/>
            </w:tcBorders>
            <w:tcMar>
              <w:top w:w="100" w:type="dxa"/>
              <w:left w:w="100" w:type="dxa"/>
              <w:bottom w:w="100" w:type="dxa"/>
              <w:right w:w="100" w:type="dxa"/>
            </w:tcMar>
          </w:tcPr>
          <w:p w:rsidR="00571363" w:rsidRPr="003C0650">
            <w:pPr>
              <w:rPr>
                <w:rFonts w:ascii="Verdana" w:hAnsi="Verdana"/>
              </w:rPr>
            </w:pPr>
            <w:r w:rsidRPr="003C0650">
              <w:rPr>
                <w:rFonts w:ascii="Verdana" w:hAnsi="Verdana"/>
              </w:rPr>
              <w:t>Use planning areas, not England averages.</w:t>
            </w:r>
          </w:p>
        </w:tc>
        <w:tc>
          <w:tcPr>
            <w:tcW w:w="2474" w:type="dxa"/>
            <w:tcBorders>
              <w:top w:val="nil"/>
              <w:left w:val="nil"/>
              <w:bottom w:val="nil"/>
              <w:right w:val="nil"/>
            </w:tcBorders>
            <w:tcMar>
              <w:top w:w="100" w:type="dxa"/>
              <w:left w:w="100" w:type="dxa"/>
              <w:bottom w:w="100" w:type="dxa"/>
              <w:right w:w="100" w:type="dxa"/>
            </w:tcMar>
          </w:tcPr>
          <w:p w:rsidR="00571363" w:rsidRPr="003C0650">
            <w:pPr>
              <w:rPr>
                <w:rFonts w:ascii="Verdana" w:hAnsi="Verdana"/>
              </w:rPr>
            </w:pPr>
            <w:r w:rsidRPr="003C0650">
              <w:rPr>
                <w:rFonts w:ascii="Verdana" w:hAnsi="Verdana"/>
              </w:rPr>
              <w:t>Forecast accuracy over 3 to 5 years.</w:t>
            </w:r>
          </w:p>
        </w:tc>
      </w:tr>
      <w:tr w:rsidTr="2B78D9EC">
        <w:tblPrEx>
          <w:tblW w:w="9025" w:type="dxa"/>
          <w:tblInd w:w="0" w:type="dxa"/>
          <w:tblLayout w:type="fixed"/>
          <w:tblLook w:val="0600"/>
        </w:tblPrEx>
        <w:trPr>
          <w:trHeight w:val="1055"/>
        </w:trPr>
        <w:tc>
          <w:tcPr>
            <w:tcW w:w="2101" w:type="dxa"/>
            <w:tcBorders>
              <w:top w:val="nil"/>
              <w:left w:val="nil"/>
              <w:bottom w:val="nil"/>
              <w:right w:val="nil"/>
            </w:tcBorders>
            <w:tcMar>
              <w:top w:w="100" w:type="dxa"/>
              <w:left w:w="100" w:type="dxa"/>
              <w:bottom w:w="100" w:type="dxa"/>
              <w:right w:w="100" w:type="dxa"/>
            </w:tcMar>
          </w:tcPr>
          <w:p w:rsidR="00571363" w:rsidRPr="003C0650">
            <w:pPr>
              <w:rPr>
                <w:rFonts w:ascii="Verdana" w:hAnsi="Verdana"/>
              </w:rPr>
            </w:pPr>
            <w:r w:rsidRPr="003C0650">
              <w:rPr>
                <w:rFonts w:ascii="Verdana" w:hAnsi="Verdana"/>
              </w:rPr>
              <w:t>Financial risk arises from lagged cost adjustment.</w:t>
            </w:r>
          </w:p>
        </w:tc>
        <w:tc>
          <w:tcPr>
            <w:tcW w:w="1825" w:type="dxa"/>
            <w:tcBorders>
              <w:top w:val="nil"/>
              <w:left w:val="nil"/>
              <w:bottom w:val="nil"/>
              <w:right w:val="nil"/>
            </w:tcBorders>
            <w:tcMar>
              <w:top w:w="100" w:type="dxa"/>
              <w:left w:w="100" w:type="dxa"/>
              <w:bottom w:w="100" w:type="dxa"/>
              <w:right w:w="100" w:type="dxa"/>
            </w:tcMar>
          </w:tcPr>
          <w:p w:rsidR="00571363" w:rsidRPr="003C0650">
            <w:pPr>
              <w:rPr>
                <w:rFonts w:ascii="Verdana" w:hAnsi="Verdana"/>
              </w:rPr>
            </w:pPr>
            <w:r w:rsidRPr="003C0650">
              <w:rPr>
                <w:rFonts w:ascii="Verdana" w:hAnsi="Verdana"/>
              </w:rPr>
              <w:t>[3] capacity, [4] finance returns</w:t>
            </w:r>
          </w:p>
        </w:tc>
        <w:tc>
          <w:tcPr>
            <w:tcW w:w="2625" w:type="dxa"/>
            <w:tcBorders>
              <w:top w:val="nil"/>
              <w:left w:val="nil"/>
              <w:bottom w:val="nil"/>
              <w:right w:val="nil"/>
            </w:tcBorders>
            <w:tcMar>
              <w:top w:w="100" w:type="dxa"/>
              <w:left w:w="100" w:type="dxa"/>
              <w:bottom w:w="100" w:type="dxa"/>
              <w:right w:w="100" w:type="dxa"/>
            </w:tcMar>
          </w:tcPr>
          <w:p w:rsidR="00571363" w:rsidRPr="003C0650">
            <w:pPr>
              <w:rPr>
                <w:rFonts w:ascii="Verdana" w:hAnsi="Verdana"/>
              </w:rPr>
            </w:pPr>
            <w:r w:rsidRPr="003C0650">
              <w:rPr>
                <w:rFonts w:ascii="Verdana" w:hAnsi="Verdana"/>
              </w:rPr>
              <w:t>Maintained-school finance is clearer than academy school-level finance.</w:t>
            </w:r>
          </w:p>
        </w:tc>
        <w:tc>
          <w:tcPr>
            <w:tcW w:w="2474" w:type="dxa"/>
            <w:tcBorders>
              <w:top w:val="nil"/>
              <w:left w:val="nil"/>
              <w:bottom w:val="nil"/>
              <w:right w:val="nil"/>
            </w:tcBorders>
            <w:tcMar>
              <w:top w:w="100" w:type="dxa"/>
              <w:left w:w="100" w:type="dxa"/>
              <w:bottom w:w="100" w:type="dxa"/>
              <w:right w:w="100" w:type="dxa"/>
            </w:tcMar>
          </w:tcPr>
          <w:p w:rsidR="00571363" w:rsidRPr="003C0650">
            <w:pPr>
              <w:rPr>
                <w:rFonts w:ascii="Verdana" w:hAnsi="Verdana"/>
              </w:rPr>
            </w:pPr>
            <w:r w:rsidRPr="003C0650">
              <w:rPr>
                <w:rFonts w:ascii="Verdana" w:hAnsi="Verdana"/>
              </w:rPr>
              <w:t>Comparable academy financial sufficiency data.</w:t>
            </w:r>
          </w:p>
        </w:tc>
      </w:tr>
      <w:tr w:rsidTr="2B78D9EC">
        <w:tblPrEx>
          <w:tblW w:w="9025" w:type="dxa"/>
          <w:tblInd w:w="0" w:type="dxa"/>
          <w:tblLayout w:type="fixed"/>
          <w:tblLook w:val="0600"/>
        </w:tblPrEx>
        <w:trPr>
          <w:trHeight w:val="1055"/>
        </w:trPr>
        <w:tc>
          <w:tcPr>
            <w:tcW w:w="2101" w:type="dxa"/>
            <w:tcBorders>
              <w:top w:val="nil"/>
              <w:left w:val="nil"/>
              <w:bottom w:val="nil"/>
              <w:right w:val="nil"/>
            </w:tcBorders>
            <w:tcMar>
              <w:top w:w="100" w:type="dxa"/>
              <w:left w:w="100" w:type="dxa"/>
              <w:bottom w:w="100" w:type="dxa"/>
              <w:right w:w="100" w:type="dxa"/>
            </w:tcMar>
          </w:tcPr>
          <w:p w:rsidR="00571363" w:rsidRPr="003C0650">
            <w:pPr>
              <w:rPr>
                <w:rFonts w:ascii="Verdana" w:hAnsi="Verdana"/>
              </w:rPr>
            </w:pPr>
            <w:r w:rsidRPr="003C0650">
              <w:rPr>
                <w:rFonts w:ascii="Verdana" w:hAnsi="Verdana"/>
              </w:rPr>
              <w:t>SEND must be central to capacity decisions.</w:t>
            </w:r>
          </w:p>
        </w:tc>
        <w:tc>
          <w:tcPr>
            <w:tcW w:w="1825" w:type="dxa"/>
            <w:tcBorders>
              <w:top w:val="nil"/>
              <w:left w:val="nil"/>
              <w:bottom w:val="nil"/>
              <w:right w:val="nil"/>
            </w:tcBorders>
            <w:tcMar>
              <w:top w:w="100" w:type="dxa"/>
              <w:left w:w="100" w:type="dxa"/>
              <w:bottom w:w="100" w:type="dxa"/>
              <w:right w:w="100" w:type="dxa"/>
            </w:tcMar>
          </w:tcPr>
          <w:p w:rsidR="00571363" w:rsidRPr="003C0650">
            <w:pPr>
              <w:rPr>
                <w:rFonts w:ascii="Verdana" w:hAnsi="Verdana"/>
              </w:rPr>
            </w:pPr>
            <w:r w:rsidRPr="003C0650">
              <w:rPr>
                <w:rFonts w:ascii="Verdana" w:hAnsi="Verdana"/>
              </w:rPr>
              <w:t>[10] SEN statistics, [12] audit</w:t>
            </w:r>
          </w:p>
        </w:tc>
        <w:tc>
          <w:tcPr>
            <w:tcW w:w="2625" w:type="dxa"/>
            <w:tcBorders>
              <w:top w:val="nil"/>
              <w:left w:val="nil"/>
              <w:bottom w:val="nil"/>
              <w:right w:val="nil"/>
            </w:tcBorders>
            <w:tcMar>
              <w:top w:w="100" w:type="dxa"/>
              <w:left w:w="100" w:type="dxa"/>
              <w:bottom w:w="100" w:type="dxa"/>
              <w:right w:w="100" w:type="dxa"/>
            </w:tcMar>
          </w:tcPr>
          <w:p w:rsidR="00571363" w:rsidRPr="003C0650">
            <w:pPr>
              <w:rPr>
                <w:rFonts w:ascii="Verdana" w:hAnsi="Verdana"/>
              </w:rPr>
            </w:pPr>
            <w:r w:rsidRPr="003C0650">
              <w:rPr>
                <w:rFonts w:ascii="Verdana" w:hAnsi="Verdana"/>
              </w:rPr>
              <w:t>Place count alone does not measure access or travel burden.</w:t>
            </w:r>
          </w:p>
        </w:tc>
        <w:tc>
          <w:tcPr>
            <w:tcW w:w="2474" w:type="dxa"/>
            <w:tcBorders>
              <w:top w:val="nil"/>
              <w:left w:val="nil"/>
              <w:bottom w:val="nil"/>
              <w:right w:val="nil"/>
            </w:tcBorders>
            <w:tcMar>
              <w:top w:w="100" w:type="dxa"/>
              <w:left w:w="100" w:type="dxa"/>
              <w:bottom w:w="100" w:type="dxa"/>
              <w:right w:w="100" w:type="dxa"/>
            </w:tcMar>
          </w:tcPr>
          <w:p w:rsidR="00571363" w:rsidRPr="003C0650">
            <w:pPr>
              <w:rPr>
                <w:rFonts w:ascii="Verdana" w:hAnsi="Verdana"/>
              </w:rPr>
            </w:pPr>
            <w:r w:rsidRPr="003C0650">
              <w:rPr>
                <w:rFonts w:ascii="Verdana" w:hAnsi="Verdana"/>
              </w:rPr>
              <w:t>Post-reorganisation SEND and transport tracking.</w:t>
            </w:r>
          </w:p>
        </w:tc>
      </w:tr>
      <w:tr w:rsidTr="2B78D9EC">
        <w:tblPrEx>
          <w:tblW w:w="9025" w:type="dxa"/>
          <w:tblInd w:w="0" w:type="dxa"/>
          <w:tblLayout w:type="fixed"/>
          <w:tblLook w:val="0600"/>
        </w:tblPrEx>
        <w:trPr>
          <w:trHeight w:val="1055"/>
        </w:trPr>
        <w:tc>
          <w:tcPr>
            <w:tcW w:w="2101" w:type="dxa"/>
            <w:tcBorders>
              <w:top w:val="nil"/>
              <w:left w:val="nil"/>
              <w:bottom w:val="nil"/>
              <w:right w:val="nil"/>
            </w:tcBorders>
            <w:tcMar>
              <w:top w:w="100" w:type="dxa"/>
              <w:left w:w="100" w:type="dxa"/>
              <w:bottom w:w="100" w:type="dxa"/>
              <w:right w:w="100" w:type="dxa"/>
            </w:tcMar>
          </w:tcPr>
          <w:p w:rsidR="00571363" w:rsidRPr="003C0650">
            <w:pPr>
              <w:rPr>
                <w:rFonts w:ascii="Verdana" w:hAnsi="Verdana"/>
              </w:rPr>
            </w:pPr>
            <w:r w:rsidRPr="003C0650">
              <w:rPr>
                <w:rFonts w:ascii="Verdana" w:hAnsi="Verdana"/>
              </w:rPr>
              <w:t>Reform changes tools, but not automatic delivery.</w:t>
            </w:r>
          </w:p>
        </w:tc>
        <w:tc>
          <w:tcPr>
            <w:tcW w:w="1825" w:type="dxa"/>
            <w:tcBorders>
              <w:top w:val="nil"/>
              <w:left w:val="nil"/>
              <w:bottom w:val="nil"/>
              <w:right w:val="nil"/>
            </w:tcBorders>
            <w:tcMar>
              <w:top w:w="100" w:type="dxa"/>
              <w:left w:w="100" w:type="dxa"/>
              <w:bottom w:w="100" w:type="dxa"/>
              <w:right w:w="100" w:type="dxa"/>
            </w:tcMar>
          </w:tcPr>
          <w:p w:rsidR="00571363" w:rsidRPr="003C0650">
            <w:pPr>
              <w:rPr>
                <w:rFonts w:ascii="Verdana" w:hAnsi="Verdana"/>
              </w:rPr>
            </w:pPr>
            <w:r w:rsidRPr="003C0650">
              <w:rPr>
                <w:rFonts w:ascii="Verdana" w:hAnsi="Verdana"/>
              </w:rPr>
              <w:t>[5] Act, [7] estates strategy, [8] white paper</w:t>
            </w:r>
          </w:p>
        </w:tc>
        <w:tc>
          <w:tcPr>
            <w:tcW w:w="2625" w:type="dxa"/>
            <w:tcBorders>
              <w:top w:val="nil"/>
              <w:left w:val="nil"/>
              <w:bottom w:val="nil"/>
              <w:right w:val="nil"/>
            </w:tcBorders>
            <w:tcMar>
              <w:top w:w="100" w:type="dxa"/>
              <w:left w:w="100" w:type="dxa"/>
              <w:bottom w:w="100" w:type="dxa"/>
              <w:right w:w="100" w:type="dxa"/>
            </w:tcMar>
          </w:tcPr>
          <w:p w:rsidR="00571363" w:rsidRPr="003C0650">
            <w:pPr>
              <w:rPr>
                <w:rFonts w:ascii="Verdana" w:hAnsi="Verdana"/>
              </w:rPr>
            </w:pPr>
            <w:r w:rsidRPr="003C0650">
              <w:rPr>
                <w:rFonts w:ascii="Verdana" w:hAnsi="Verdana"/>
              </w:rPr>
              <w:t>Implementation depends on guidance, incentives, workforce and data.</w:t>
            </w:r>
          </w:p>
        </w:tc>
        <w:tc>
          <w:tcPr>
            <w:tcW w:w="2474" w:type="dxa"/>
            <w:tcBorders>
              <w:top w:val="nil"/>
              <w:left w:val="nil"/>
              <w:bottom w:val="nil"/>
              <w:right w:val="nil"/>
            </w:tcBorders>
            <w:tcMar>
              <w:top w:w="100" w:type="dxa"/>
              <w:left w:w="100" w:type="dxa"/>
              <w:bottom w:w="100" w:type="dxa"/>
              <w:right w:w="100" w:type="dxa"/>
            </w:tcMar>
          </w:tcPr>
          <w:p w:rsidR="00571363" w:rsidRPr="003C0650">
            <w:pPr>
              <w:rPr>
                <w:rFonts w:ascii="Verdana" w:hAnsi="Verdana"/>
              </w:rPr>
            </w:pPr>
            <w:r w:rsidRPr="003C0650">
              <w:rPr>
                <w:rFonts w:ascii="Verdana" w:hAnsi="Verdana"/>
              </w:rPr>
              <w:t>Monitor use and effects of new powers and white-paper measures.</w:t>
            </w:r>
          </w:p>
        </w:tc>
      </w:tr>
    </w:tbl>
    <w:p w:rsidR="00571363"/>
    <w:p w:rsidR="003D2EC2" w:rsidRPr="003D2EC2">
      <w:pPr>
        <w:rPr>
          <w:rFonts w:ascii="Verdana" w:hAnsi="Verdana"/>
          <w:i/>
          <w:iCs/>
        </w:rPr>
      </w:pPr>
      <w:r>
        <w:rPr>
          <w:rFonts w:ascii="Verdana" w:hAnsi="Verdana"/>
          <w:i/>
          <w:iCs/>
        </w:rPr>
        <w:t>03 June 2026</w:t>
      </w:r>
    </w:p>
    <w:sectPr>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E2905392-8F4A-4EFD-BDCF-A12E012DCEC4}"/>
    <w:embedBold r:id="rId2" w:fontKey="{81A67423-0AEF-4491-9C80-77A215CAE563}"/>
    <w:embedItalic r:id="rId3" w:fontKey="{C302E03B-A7B2-419E-9EA1-F13BAFF9330F}"/>
  </w:font>
  <w:font w:name="Calibri">
    <w:panose1 w:val="020F0502020204030204"/>
    <w:charset w:val="00"/>
    <w:family w:val="swiss"/>
    <w:pitch w:val="variable"/>
    <w:sig w:usb0="E4002EFF" w:usb1="C200247B" w:usb2="00000009" w:usb3="00000000" w:csb0="000001FF" w:csb1="00000000"/>
    <w:embedRegular r:id="rId4" w:fontKey="{F76B9019-802E-4CA7-B7A7-C354255CD8A6}"/>
  </w:font>
  <w:font w:name="Cambria">
    <w:panose1 w:val="02040503050406030204"/>
    <w:charset w:val="00"/>
    <w:family w:val="roman"/>
    <w:pitch w:val="variable"/>
    <w:sig w:usb0="E00006FF" w:usb1="420024FF" w:usb2="02000000" w:usb3="00000000" w:csb0="0000019F" w:csb1="00000000"/>
    <w:embedRegular r:id="rId5" w:fontKey="{6AF9ED5C-F12C-4A5F-83E2-05CD155C15A5}"/>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0000002"/>
    <w:multiLevelType w:val="hybridMultilevel"/>
    <w:tmpl w:val="00000000"/>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nsid w:val="00000003"/>
    <w:multiLevelType w:val="hybridMultilevel"/>
    <w:tmpl w:val="00000000"/>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nsid w:val="00000004"/>
    <w:multiLevelType w:val="hybridMultilevel"/>
    <w:tmpl w:val="00000000"/>
    <w:lvl w:ilvl="0">
      <w:start w:val="9"/>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nsid w:val="00000005"/>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00000006"/>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00000007"/>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00000008"/>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00000009"/>
    <w:multiLevelType w:val="hybridMultilevel"/>
    <w:tmpl w:val="000000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nsid w:val="0000000A"/>
    <w:multiLevelType w:val="hybridMultilevel"/>
    <w:tmpl w:val="000000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nsid w:val="0000000B"/>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0000000C"/>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0000000D"/>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0000000E"/>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0000000F"/>
    <w:multiLevelType w:val="hybridMultilevel"/>
    <w:tmpl w:val="00000000"/>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nsid w:val="00000010"/>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00000011"/>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00000012"/>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00000013"/>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00000014"/>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77B5"/>
  </w:style>
  <w:style w:type="paragraph" w:styleId="Heading1">
    <w:name w:val="heading 1"/>
    <w:basedOn w:val="Normal1"/>
    <w:next w:val="Normal1"/>
    <w:pPr>
      <w:keepNext/>
      <w:keepLines/>
      <w:spacing w:before="400" w:after="120" w:line="240" w:lineRule="auto"/>
      <w:outlineLvl w:val="0"/>
    </w:pPr>
    <w:rPr>
      <w:sz w:val="40"/>
      <w:szCs w:val="40"/>
    </w:rPr>
  </w:style>
  <w:style w:type="paragraph" w:styleId="Heading2">
    <w:name w:val="heading 2"/>
    <w:basedOn w:val="Normal1"/>
    <w:next w:val="Normal1"/>
    <w:pPr>
      <w:keepNext/>
      <w:keepLines/>
      <w:spacing w:before="360" w:after="120" w:line="240" w:lineRule="auto"/>
      <w:outlineLvl w:val="1"/>
    </w:pPr>
    <w:rPr>
      <w:sz w:val="32"/>
      <w:szCs w:val="32"/>
    </w:rPr>
  </w:style>
  <w:style w:type="paragraph" w:styleId="Heading3">
    <w:name w:val="heading 3"/>
    <w:basedOn w:val="Normal1"/>
    <w:next w:val="Normal1"/>
    <w:pPr>
      <w:keepNext/>
      <w:keepLines/>
      <w:spacing w:before="320" w:after="80" w:line="240" w:lineRule="auto"/>
      <w:outlineLvl w:val="2"/>
    </w:pPr>
    <w:rPr>
      <w:color w:val="434343"/>
      <w:sz w:val="28"/>
      <w:szCs w:val="28"/>
    </w:rPr>
  </w:style>
  <w:style w:type="paragraph" w:styleId="Heading4">
    <w:name w:val="heading 4"/>
    <w:basedOn w:val="Normal1"/>
    <w:next w:val="Normal1"/>
    <w:pPr>
      <w:keepNext/>
      <w:keepLines/>
      <w:spacing w:before="280" w:after="80" w:line="240" w:lineRule="auto"/>
      <w:outlineLvl w:val="3"/>
    </w:pPr>
    <w:rPr>
      <w:color w:val="666666"/>
      <w:sz w:val="24"/>
      <w:szCs w:val="24"/>
    </w:rPr>
  </w:style>
  <w:style w:type="paragraph" w:styleId="Heading5">
    <w:name w:val="heading 5"/>
    <w:basedOn w:val="Normal1"/>
    <w:next w:val="Normal1"/>
    <w:pPr>
      <w:keepNext/>
      <w:keepLines/>
      <w:spacing w:before="240" w:after="80" w:line="240" w:lineRule="auto"/>
      <w:outlineLvl w:val="4"/>
    </w:pPr>
    <w:rPr>
      <w:color w:val="666666"/>
    </w:rPr>
  </w:style>
  <w:style w:type="paragraph" w:styleId="Heading6">
    <w:name w:val="heading 6"/>
    <w:basedOn w:val="Normal1"/>
    <w:next w:val="Normal1"/>
    <w:pPr>
      <w:keepNext/>
      <w:keepLines/>
      <w:spacing w:before="240" w:after="80" w:line="240" w:lineRule="auto"/>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customStyle="1" w:styleId="Normal1">
    <w:name w:val="Normal1"/>
  </w:style>
  <w:style w:type="paragraph" w:styleId="Title">
    <w:name w:val="Title"/>
    <w:basedOn w:val="Normal1"/>
    <w:next w:val="Normal1"/>
    <w:pPr>
      <w:keepNext/>
      <w:keepLines/>
      <w:spacing w:after="60" w:line="240" w:lineRule="auto"/>
    </w:pPr>
    <w:rPr>
      <w:sz w:val="52"/>
      <w:szCs w:val="52"/>
    </w:rPr>
  </w:style>
  <w:style w:type="paragraph" w:styleId="Subtitle">
    <w:name w:val="Subtitle"/>
    <w:basedOn w:val="Normal1"/>
    <w:next w:val="Normal1"/>
    <w:pPr>
      <w:keepNext/>
      <w:keepLines/>
      <w:spacing w:after="320" w:line="240" w:lineRule="auto"/>
    </w:pPr>
    <w:rPr>
      <w:color w:val="666666"/>
      <w:sz w:val="30"/>
      <w:szCs w:val="30"/>
    </w:rPr>
  </w:style>
  <w:style w:type="table" w:customStyle="1" w:styleId="Table1">
    <w:name w:val="Table1"/>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54</Value>
      <Value>3</Value>
      <Value>47</Value>
      <Value>106</Value>
      <Value>5</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2026-27</TermName>
          <TermId xmlns="http://schemas.microsoft.com/office/infopath/2007/PartnerControls">fa5079ca-fd3f-4f9f-9e9e-7726fbbe0838</TermId>
        </TermInfo>
      </Terms>
    </e6f926d7f5b14a74bee86c3452d91372>
    <TransfertoArchives xmlns="4600776d-0a3c-44b4-bff2-0ceaafb13046">false</TransfertoArchives>
    <c10fc15a1e374d7faacfa4b870e47730 xmlns="2d7e0317-ce4a-4cde-9e0e-6511d8769bb0">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c10fc15a1e374d7faacfa4b870e47730>
    <lcf76f155ced4ddcb4097134ff3c332f xmlns="ac6055d9-4673-4f2d-bff4-8106c5e1167f">
      <Terms xmlns="http://schemas.microsoft.com/office/infopath/2007/PartnerControls"/>
    </lcf76f155ced4ddcb4097134ff3c332f>
    <Meeting_x0020_Date xmlns="2d7e0317-ce4a-4cde-9e0e-6511d8769bb0" xsi:nil="true"/>
    <Document_x0020_Status1 xmlns="2d7e0317-ce4a-4cde-9e0e-6511d8769bb0">N/A</Document_x0020_Status1>
    <edc898bf3bb343549b83ac391d519ef2 xmlns="2d7e0317-ce4a-4cde-9e0e-6511d8769bb0">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e8cd569a-5369-4e4f-ad9b-8d833cbb2bb3</TermId>
        </TermInfo>
      </Terms>
    </edc898bf3bb343549b83ac391d519ef2>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 xmlns="2d7e0317-ce4a-4cde-9e0e-6511d8769bb0">T6XQXZ27YFPC-1750559506-3109</_dlc_DocId>
    <_dlc_DocIdUrl xmlns="2d7e0317-ce4a-4cde-9e0e-6511d8769bb0">
      <Url>https://hopuk.sharepoint.com/sites/hlc-publicservices/_layouts/15/DocIdRedir.aspx?ID=T6XQXZ27YFPC-1750559506-3109</Url>
      <Description>T6XQXZ27YFPC-1750559506-3109</Description>
    </_dlc_DocIdUrl>
  </documentManagement>
</p:properties>
</file>

<file path=customXml/item2.xml><?xml version="1.0" encoding="utf-8"?>
<?mso-contentType ?>
<FormTemplates xmlns="http://schemas.microsoft.com/sharepoint/v3/contenttype/form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8751FC5C2D610C4DAB0A01480ED369FB" ma:contentTypeVersion="157" ma:contentTypeDescription="Create a new document." ma:contentTypeScope="" ma:versionID="93718f12f0121550e5523f01af020fab">
  <xsd:schema xmlns:xsd="http://www.w3.org/2001/XMLSchema" xmlns:xs="http://www.w3.org/2001/XMLSchema" xmlns:p="http://schemas.microsoft.com/office/2006/metadata/properties" xmlns:ns2="2d7e0317-ce4a-4cde-9e0e-6511d8769bb0" xmlns:ns3="ac6055d9-4673-4f2d-bff4-8106c5e1167f" xmlns:ns4="4600776d-0a3c-44b4-bff2-0ceaafb13046" targetNamespace="http://schemas.microsoft.com/office/2006/metadata/properties" ma:root="true" ma:fieldsID="39bb642d6adfc70c7ec779ee01884d07" ns2:_="" ns3:_="" ns4:_="">
    <xsd:import namespace="2d7e0317-ce4a-4cde-9e0e-6511d8769bb0"/>
    <xsd:import namespace="ac6055d9-4673-4f2d-bff4-8106c5e1167f"/>
    <xsd:import namespace="4600776d-0a3c-44b4-bff2-0ceaafb13046"/>
    <xsd:element name="properties">
      <xsd:complexType>
        <xsd:sequence>
          <xsd:element name="documentManagement">
            <xsd:complexType>
              <xsd:all>
                <xsd:element ref="ns2:Document_x0020_Status1"/>
                <xsd:element ref="ns2:Meeting_x0020_Date" minOccurs="0"/>
                <xsd:element ref="ns4:RecordNumber" minOccurs="0"/>
                <xsd:element ref="ns4:RetentionTriggerDate" minOccurs="0"/>
                <xsd:element ref="ns4:TransfertoArchives" minOccurs="0"/>
                <xsd:element ref="ns2:c10fc15a1e374d7faacfa4b870e47730" minOccurs="0"/>
                <xsd:element ref="ns4:c4838c65c76546ae93d5703426802f7f" minOccurs="0"/>
                <xsd:element ref="ns2:edc898bf3bb343549b83ac391d519ef2" minOccurs="0"/>
                <xsd:element ref="ns4:g3ef09377e3444258679b6035a1ff93a" minOccurs="0"/>
                <xsd:element ref="ns2:_dlc_DocIdUrl" minOccurs="0"/>
                <xsd:element ref="ns4:k5b153ee974a4a57a7568e533217f2cb" minOccurs="0"/>
                <xsd:element ref="ns4:cd0fc526a5c840319a97fd94028e9904" minOccurs="0"/>
                <xsd:element ref="ns2:_dlc_DocIdPersistId" minOccurs="0"/>
                <xsd:element ref="ns4:TaxCatchAll" minOccurs="0"/>
                <xsd:element ref="ns4:j6c5b17cd04246da82e5604daf08bc68" minOccurs="0"/>
                <xsd:element ref="ns2:_dlc_DocId" minOccurs="0"/>
                <xsd:element ref="ns4:e6f926d7f5b14a74bee86c3452d91372"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ServiceDateTaken" minOccurs="0"/>
                <xsd:element ref="ns3:MediaLengthInSecond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e0317-ce4a-4cde-9e0e-6511d8769bb0"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c10fc15a1e374d7faacfa4b870e47730" ma:index="16" ma:taxonomy="true" ma:internalName="c10fc15a1e374d7faacfa4b870e47730" ma:taxonomyFieldName="Document_x0020_Type" ma:displayName="Document Type" ma:readOnly="false" ma:default="47;#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default="54;#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6055d9-4673-4f2d-bff4-8106c5e1167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OCR" ma:index="42" nillable="true" ma:displayName="Extracted Text" ma:internalName="MediaServiceOCR"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lcf76f155ced4ddcb4097134ff3c332f" ma:index="46"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7" nillable="true" ma:displayName="MediaServiceObjectDetectorVersions" ma:hidden="true" ma:indexed="true" ma:internalName="MediaServiceObjectDetectorVersions" ma:readOnly="true">
      <xsd:simpleType>
        <xsd:restriction base="dms:Text"/>
      </xsd:simpleType>
    </xsd:element>
    <xsd:element name="MediaServiceSearchProperties" ma:index="4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5;#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25"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e33fcc9a-42d0-428f-87e2-fe5dd3984228}" ma:internalName="TaxCatchAll" ma:showField="CatchAllData" ma:web="2d7e0317-ce4a-4cde-9e0e-6511d8769bb0">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9"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31" nillable="true" ma:taxonomy="true" ma:internalName="e6f926d7f5b14a74bee86c3452d91372" ma:taxonomyFieldName="Sessions" ma:displayName="Sessions" ma:default="106;#2026-27|fa5079ca-fd3f-4f9f-9e9e-7726fbbe0838"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B1BE70-3301-4C40-9ECA-EA5BB5654ABB}">
  <ds:schemaRefs>
    <ds:schemaRef ds:uri="http://schemas.microsoft.com/office/2006/metadata/properties"/>
    <ds:schemaRef ds:uri="http://schemas.microsoft.com/office/infopath/2007/PartnerControls"/>
    <ds:schemaRef ds:uri="4600776d-0a3c-44b4-bff2-0ceaafb13046"/>
    <ds:schemaRef ds:uri="2d7e0317-ce4a-4cde-9e0e-6511d8769bb0"/>
    <ds:schemaRef ds:uri="ac6055d9-4673-4f2d-bff4-8106c5e1167f"/>
  </ds:schemaRefs>
</ds:datastoreItem>
</file>

<file path=customXml/itemProps2.xml><?xml version="1.0" encoding="utf-8"?>
<ds:datastoreItem xmlns:ds="http://schemas.openxmlformats.org/officeDocument/2006/customXml" ds:itemID="{F3086C64-3C79-41F3-9CF5-00102A338CE1}">
  <ds:schemaRefs>
    <ds:schemaRef ds:uri="http://schemas.microsoft.com/sharepoint/v3/contenttype/forms"/>
  </ds:schemaRefs>
</ds:datastoreItem>
</file>

<file path=customXml/itemProps3.xml><?xml version="1.0" encoding="utf-8"?>
<ds:datastoreItem xmlns:ds="http://schemas.openxmlformats.org/officeDocument/2006/customXml" ds:itemID="{5E2C6EEC-83A8-4FE6-B4C6-862DAD08BA8E}">
  <ds:schemaRefs>
    <ds:schemaRef ds:uri="http://schemas.microsoft.com/sharepoint/events"/>
  </ds:schemaRefs>
</ds:datastoreItem>
</file>

<file path=customXml/itemProps4.xml><?xml version="1.0" encoding="utf-8"?>
<ds:datastoreItem xmlns:ds="http://schemas.openxmlformats.org/officeDocument/2006/customXml" ds:itemID="{17DB1443-AE40-4E43-9B3C-ADE271E143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e0317-ce4a-4cde-9e0e-6511d8769bb0"/>
    <ds:schemaRef ds:uri="ac6055d9-4673-4f2d-bff4-8106c5e1167f"/>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f82c930-76ad-4e10-8f68-9399c9560797}"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FPS0006</dc:title>
  <cp:revision>0</cp:revision>
</cp:coreProperties>
</file>