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A60B4" w:rsidRPr="00FA60B4" w:rsidP="00FA60B4">
      <w:pPr>
        <w:pStyle w:val="Heading2"/>
        <w:keepNext w:val="0"/>
        <w:keepLines w:val="0"/>
        <w:spacing w:after="80"/>
        <w:jc w:val="center"/>
        <w:rPr>
          <w:rFonts w:ascii="Verdana" w:hAnsi="Verdana"/>
          <w:b/>
          <w:bCs/>
          <w:sz w:val="28"/>
          <w:szCs w:val="28"/>
        </w:rPr>
      </w:pPr>
      <w:bookmarkStart w:id="0" w:name="_3feb40jlvrbv" w:colFirst="0" w:colLast="0"/>
      <w:bookmarkEnd w:id="0"/>
      <w:r>
        <w:rPr>
          <w:rFonts w:ascii="Verdana" w:hAnsi="Verdana"/>
          <w:b/>
          <w:bCs/>
          <w:sz w:val="28"/>
          <w:szCs w:val="28"/>
        </w:rPr>
        <w:t>Hleb Buziuk – Written Evidence on Falling Primary School Rolls – FPS0005</w:t>
      </w:r>
    </w:p>
    <w:p w:rsidR="00100681" w:rsidRPr="00FA60B4">
      <w:pPr>
        <w:pStyle w:val="Heading2"/>
        <w:keepNext w:val="0"/>
        <w:keepLines w:val="0"/>
        <w:spacing w:after="80"/>
        <w:rPr>
          <w:rFonts w:ascii="Verdana" w:hAnsi="Verdana"/>
          <w:b/>
          <w:bCs/>
          <w:sz w:val="22"/>
          <w:szCs w:val="22"/>
        </w:rPr>
      </w:pPr>
      <w:r w:rsidRPr="00FA60B4">
        <w:rPr>
          <w:rFonts w:ascii="Verdana" w:hAnsi="Verdana"/>
          <w:b/>
          <w:bCs/>
          <w:sz w:val="22"/>
          <w:szCs w:val="22"/>
        </w:rPr>
        <w:t>1) One-page briefing</w:t>
      </w:r>
    </w:p>
    <w:p w:rsidR="00100681" w:rsidRPr="00FA60B4">
      <w:pPr>
        <w:spacing w:before="240" w:after="240" w:line="240" w:lineRule="auto"/>
        <w:rPr>
          <w:rFonts w:ascii="Verdana" w:hAnsi="Verdana"/>
        </w:rPr>
      </w:pPr>
      <w:r w:rsidRPr="00FA60B4">
        <w:rPr>
          <w:rFonts w:ascii="Verdana" w:hAnsi="Verdana"/>
          <w:b/>
          <w:bCs/>
          <w:lang w:val="en-US"/>
        </w:rPr>
        <w:t>Submitter:</w:t>
      </w:r>
      <w:r w:rsidRPr="00FA60B4">
        <w:rPr>
          <w:rFonts w:ascii="Verdana" w:hAnsi="Verdana"/>
          <w:lang w:val="en-US"/>
        </w:rPr>
        <w:t xml:space="preserve"> Hleb Buziuk, independent public policy and governance researcher, submitting in a personal capacity.</w:t>
      </w:r>
    </w:p>
    <w:p w:rsidR="00100681" w:rsidRPr="00FA60B4">
      <w:pPr>
        <w:spacing w:before="240" w:after="240" w:line="240" w:lineRule="auto"/>
        <w:rPr>
          <w:rFonts w:ascii="Verdana" w:hAnsi="Verdana"/>
          <w:b/>
          <w:bCs/>
        </w:rPr>
      </w:pPr>
      <w:r w:rsidRPr="00FA60B4">
        <w:rPr>
          <w:rFonts w:ascii="Verdana" w:hAnsi="Verdana"/>
          <w:b/>
          <w:bCs/>
        </w:rPr>
        <w:t>Three key messages</w:t>
      </w:r>
    </w:p>
    <w:p w:rsidR="00100681" w:rsidRPr="00FA60B4" w:rsidP="79D1A2BD">
      <w:pPr>
        <w:numPr>
          <w:ilvl w:val="0"/>
          <w:numId w:val="14"/>
        </w:numPr>
        <w:spacing w:before="240" w:line="240" w:lineRule="auto"/>
        <w:rPr>
          <w:rFonts w:ascii="Verdana" w:hAnsi="Verdana"/>
        </w:rPr>
      </w:pPr>
      <w:r w:rsidRPr="00FA60B4">
        <w:rPr>
          <w:rFonts w:ascii="Verdana" w:hAnsi="Verdana"/>
          <w:lang w:val="en-US"/>
        </w:rPr>
        <w:t>Falling primary rolls are real nationally, but the policy problem is local fit: places, pupils, needs, school type and finances do not move together [1][2][3][5].</w:t>
      </w:r>
    </w:p>
    <w:p w:rsidR="00100681" w:rsidRPr="00FA60B4">
      <w:pPr>
        <w:numPr>
          <w:ilvl w:val="0"/>
          <w:numId w:val="14"/>
        </w:numPr>
        <w:spacing w:line="240" w:lineRule="auto"/>
        <w:rPr>
          <w:rFonts w:ascii="Verdana" w:hAnsi="Verdana"/>
        </w:rPr>
      </w:pPr>
      <w:r w:rsidRPr="00FA60B4">
        <w:rPr>
          <w:rFonts w:ascii="Verdana" w:hAnsi="Verdana"/>
        </w:rPr>
        <w:t>The transition is from growth-era capacity to lower mainstream demand, while specialist-provision demand is forecast to rise [1][2].</w:t>
      </w:r>
    </w:p>
    <w:p w:rsidR="00100681" w:rsidRPr="00FA60B4" w:rsidP="79D1A2BD">
      <w:pPr>
        <w:numPr>
          <w:ilvl w:val="0"/>
          <w:numId w:val="14"/>
        </w:numPr>
        <w:spacing w:after="240" w:line="240" w:lineRule="auto"/>
        <w:rPr>
          <w:rFonts w:ascii="Verdana" w:hAnsi="Verdana"/>
        </w:rPr>
      </w:pPr>
      <w:r w:rsidRPr="00FA60B4">
        <w:rPr>
          <w:rFonts w:ascii="Verdana" w:hAnsi="Verdana"/>
          <w:lang w:val="en-US"/>
        </w:rPr>
        <w:t>The Committee should press for a place-planning accountability chain: who decides, who pays, what is checked, and what happens if local authorities, trusts and schools disagree [3][4].</w:t>
      </w:r>
    </w:p>
    <w:p w:rsidR="00100681" w:rsidRPr="00FA60B4">
      <w:pPr>
        <w:spacing w:before="240" w:after="240" w:line="240" w:lineRule="auto"/>
        <w:rPr>
          <w:rFonts w:ascii="Verdana" w:hAnsi="Verdana"/>
          <w:b/>
          <w:bCs/>
        </w:rPr>
      </w:pPr>
      <w:r w:rsidRPr="00FA60B4">
        <w:rPr>
          <w:rFonts w:ascii="Verdana" w:hAnsi="Verdana"/>
          <w:b/>
          <w:bCs/>
        </w:rPr>
        <w:t>Key findings</w:t>
      </w:r>
    </w:p>
    <w:p w:rsidR="00100681" w:rsidRPr="00FA60B4" w:rsidP="79D1A2BD">
      <w:pPr>
        <w:numPr>
          <w:ilvl w:val="0"/>
          <w:numId w:val="5"/>
        </w:numPr>
        <w:spacing w:before="240" w:line="240" w:lineRule="auto"/>
        <w:rPr>
          <w:rFonts w:ascii="Verdana" w:hAnsi="Verdana"/>
        </w:rPr>
      </w:pPr>
      <w:r w:rsidRPr="00FA60B4">
        <w:rPr>
          <w:rFonts w:ascii="Verdana" w:hAnsi="Verdana"/>
          <w:lang w:val="en-US"/>
        </w:rPr>
        <w:t>England had 680,000 unfilled primary places in 2024/25, while DfE still estimated 26,000 primary places would be needed by 2029/30. That is about 26 existing unfilled places for every additional place still needed, so the issue is usable local capacity, not total national capacity [2][4].</w:t>
      </w:r>
    </w:p>
    <w:p w:rsidR="00100681" w:rsidRPr="00FA60B4">
      <w:pPr>
        <w:numPr>
          <w:ilvl w:val="0"/>
          <w:numId w:val="5"/>
        </w:numPr>
        <w:spacing w:line="240" w:lineRule="auto"/>
        <w:rPr>
          <w:rFonts w:ascii="Verdana" w:hAnsi="Verdana"/>
        </w:rPr>
      </w:pPr>
      <w:r w:rsidRPr="00FA60B4">
        <w:rPr>
          <w:rFonts w:ascii="Verdana" w:hAnsi="Verdana"/>
        </w:rPr>
        <w:t>State-funded nursery and primary rolls are projected to fall by 300,000, or 6.7%, from 2025 to 2030, while specialist-provision demand is forecast to rise from 260,000 pupils in 2025/26 to 310,000 by 2029/30, a 19.2% rise [1][2].</w:t>
      </w:r>
    </w:p>
    <w:p w:rsidR="00100681" w:rsidRPr="00FA60B4">
      <w:pPr>
        <w:numPr>
          <w:ilvl w:val="0"/>
          <w:numId w:val="5"/>
        </w:numPr>
        <w:spacing w:line="240" w:lineRule="auto"/>
        <w:rPr>
          <w:rFonts w:ascii="Verdana" w:hAnsi="Verdana"/>
        </w:rPr>
      </w:pPr>
      <w:r w:rsidRPr="00FA60B4">
        <w:rPr>
          <w:rFonts w:ascii="Verdana" w:hAnsi="Verdana"/>
        </w:rPr>
        <w:t>The 2025/26 falling rolls fund was just under £27 million, while NAO’s illustrative 2027 loss from 56,300 fewer primary pupils was £288 million. The fund is therefore below 9.4% of that one-year per-pupil funding exposure. This is a scale test, not a deficit estimate [5].</w:t>
      </w:r>
    </w:p>
    <w:p w:rsidR="00100681" w:rsidRPr="00FA60B4" w:rsidP="79D1A2BD">
      <w:pPr>
        <w:numPr>
          <w:ilvl w:val="0"/>
          <w:numId w:val="5"/>
        </w:numPr>
        <w:spacing w:after="240" w:line="240" w:lineRule="auto"/>
        <w:rPr>
          <w:rFonts w:ascii="Verdana" w:hAnsi="Verdana"/>
        </w:rPr>
      </w:pPr>
      <w:r w:rsidRPr="00FA60B4">
        <w:rPr>
          <w:rFonts w:ascii="Verdana" w:hAnsi="Verdana"/>
          <w:lang w:val="en-US"/>
        </w:rPr>
        <w:t>In January 2025, 46.1% of primary schools were academies or free schools, while local authorities retain place-sufficiency duties and DfE has system value-for-money accountability. Falling rolls therefore need a published decision map, not only guidance [3][4].</w:t>
      </w:r>
    </w:p>
    <w:p w:rsidR="00100681" w:rsidRPr="00FA60B4">
      <w:pPr>
        <w:spacing w:before="240" w:after="240" w:line="240" w:lineRule="auto"/>
        <w:rPr>
          <w:rFonts w:ascii="Verdana" w:hAnsi="Verdana"/>
          <w:b/>
          <w:bCs/>
        </w:rPr>
      </w:pPr>
      <w:r w:rsidRPr="00FA60B4">
        <w:rPr>
          <w:rFonts w:ascii="Verdana" w:hAnsi="Verdana"/>
          <w:b/>
          <w:bCs/>
        </w:rPr>
        <w:t>Recommendations</w:t>
      </w:r>
    </w:p>
    <w:p w:rsidR="00100681" w:rsidRPr="00FA60B4" w:rsidP="79D1A2BD">
      <w:pPr>
        <w:numPr>
          <w:ilvl w:val="0"/>
          <w:numId w:val="2"/>
        </w:numPr>
        <w:spacing w:before="240" w:line="240" w:lineRule="auto"/>
        <w:rPr>
          <w:rFonts w:ascii="Verdana" w:hAnsi="Verdana"/>
        </w:rPr>
      </w:pPr>
      <w:r w:rsidRPr="00FA60B4">
        <w:rPr>
          <w:rFonts w:ascii="Verdana" w:hAnsi="Verdana"/>
          <w:b/>
          <w:bCs/>
          <w:lang w:val="en-US"/>
        </w:rPr>
        <w:t>DfE, within three months:</w:t>
      </w:r>
      <w:r w:rsidRPr="00FA60B4">
        <w:rPr>
          <w:rFonts w:ascii="Verdana" w:hAnsi="Verdana"/>
          <w:lang w:val="en-US"/>
        </w:rPr>
        <w:t xml:space="preserve"> publish a planning-area capacity dashboard. Check: capacity, unfilled places, forecasts, published admission number (PAN) changes, school type and planned place removals or conversions.</w:t>
      </w:r>
    </w:p>
    <w:p w:rsidR="00100681" w:rsidRPr="00FA60B4" w:rsidP="79D1A2BD">
      <w:pPr>
        <w:numPr>
          <w:ilvl w:val="0"/>
          <w:numId w:val="2"/>
        </w:numPr>
        <w:spacing w:line="240" w:lineRule="auto"/>
        <w:rPr>
          <w:rFonts w:ascii="Verdana" w:hAnsi="Verdana"/>
        </w:rPr>
      </w:pPr>
      <w:r w:rsidRPr="00FA60B4">
        <w:rPr>
          <w:rFonts w:ascii="Verdana" w:hAnsi="Verdana"/>
          <w:b/>
          <w:bCs/>
          <w:lang w:val="en-US"/>
        </w:rPr>
        <w:t>DfE and local authorities, for 2026/27:</w:t>
      </w:r>
      <w:r w:rsidRPr="00FA60B4">
        <w:rPr>
          <w:rFonts w:ascii="Verdana" w:hAnsi="Verdana"/>
          <w:lang w:val="en-US"/>
        </w:rPr>
        <w:t xml:space="preserve"> define falling rolls support as a bridge, restructuring, or sufficiency funding. Check: allocations, refusals, uses and 12-month outcomes.</w:t>
      </w:r>
    </w:p>
    <w:p w:rsidR="00100681" w:rsidRPr="00FA60B4" w:rsidP="79D1A2BD">
      <w:pPr>
        <w:numPr>
          <w:ilvl w:val="0"/>
          <w:numId w:val="2"/>
        </w:numPr>
        <w:spacing w:line="240" w:lineRule="auto"/>
        <w:rPr>
          <w:rFonts w:ascii="Verdana" w:hAnsi="Verdana"/>
        </w:rPr>
      </w:pPr>
      <w:r w:rsidRPr="00FA60B4">
        <w:rPr>
          <w:rFonts w:ascii="Verdana" w:hAnsi="Verdana"/>
          <w:b/>
          <w:bCs/>
          <w:lang w:val="en-US"/>
        </w:rPr>
        <w:t>DfE, local authorities and trusts, by 2027:</w:t>
      </w:r>
      <w:r w:rsidRPr="00FA60B4">
        <w:rPr>
          <w:rFonts w:ascii="Verdana" w:hAnsi="Verdana"/>
          <w:lang w:val="en-US"/>
        </w:rPr>
        <w:t xml:space="preserve"> create a SEND conversion pipeline for suitable spare space. Check: capital cost, workforce plan, opening date and quality assurance.</w:t>
      </w:r>
    </w:p>
    <w:p w:rsidR="00100681" w:rsidRPr="00FA60B4" w:rsidP="79D1A2BD">
      <w:pPr>
        <w:numPr>
          <w:ilvl w:val="0"/>
          <w:numId w:val="2"/>
        </w:numPr>
        <w:spacing w:after="240" w:line="240" w:lineRule="auto"/>
        <w:rPr>
          <w:rFonts w:ascii="Verdana" w:hAnsi="Verdana"/>
        </w:rPr>
      </w:pPr>
      <w:r w:rsidRPr="00FA60B4">
        <w:rPr>
          <w:rFonts w:ascii="Verdana" w:hAnsi="Verdana"/>
          <w:b/>
          <w:bCs/>
          <w:lang w:val="en-US"/>
        </w:rPr>
        <w:t>DfE, before further school-place implementation:</w:t>
      </w:r>
      <w:r w:rsidRPr="00FA60B4">
        <w:rPr>
          <w:rFonts w:ascii="Verdana" w:hAnsi="Verdana"/>
          <w:lang w:val="en-US"/>
        </w:rPr>
        <w:t xml:space="preserve"> publish an accountability chain for PAN reduction, mergers, closures, repurposing and disputes. Check: owner, trigger and escalation route for each decision.</w:t>
      </w:r>
    </w:p>
    <w:p w:rsidR="00100681" w:rsidRPr="00FA60B4">
      <w:pPr>
        <w:spacing w:before="240" w:after="240" w:line="240" w:lineRule="auto"/>
        <w:rPr>
          <w:rFonts w:ascii="Verdana" w:hAnsi="Verdana"/>
          <w:b/>
          <w:bCs/>
        </w:rPr>
      </w:pPr>
      <w:r w:rsidRPr="00FA60B4">
        <w:rPr>
          <w:rFonts w:ascii="Verdana" w:hAnsi="Verdana"/>
          <w:b/>
          <w:bCs/>
        </w:rPr>
        <w:t>What is new versus official sources</w:t>
      </w:r>
    </w:p>
    <w:p w:rsidR="00100681" w:rsidRPr="00FA60B4">
      <w:pPr>
        <w:numPr>
          <w:ilvl w:val="0"/>
          <w:numId w:val="15"/>
        </w:numPr>
        <w:spacing w:before="240" w:line="240" w:lineRule="auto"/>
        <w:rPr>
          <w:rFonts w:ascii="Verdana" w:hAnsi="Verdana"/>
        </w:rPr>
      </w:pPr>
      <w:r w:rsidRPr="00FA60B4">
        <w:rPr>
          <w:rFonts w:ascii="Verdana" w:hAnsi="Verdana"/>
        </w:rPr>
        <w:t>A local mismatch ratio converts national spare capacity into a planning test.</w:t>
      </w:r>
    </w:p>
    <w:p w:rsidR="00100681" w:rsidRPr="00FA60B4">
      <w:pPr>
        <w:numPr>
          <w:ilvl w:val="0"/>
          <w:numId w:val="15"/>
        </w:numPr>
        <w:spacing w:line="240" w:lineRule="auto"/>
        <w:rPr>
          <w:rFonts w:ascii="Verdana" w:hAnsi="Verdana"/>
        </w:rPr>
      </w:pPr>
      <w:r w:rsidRPr="00FA60B4">
        <w:rPr>
          <w:rFonts w:ascii="Verdana" w:hAnsi="Verdana"/>
        </w:rPr>
        <w:t>A transition finance ratio compares named support with NAO’s illustrative funding exposure.</w:t>
      </w:r>
    </w:p>
    <w:p w:rsidR="00100681" w:rsidRPr="00FA60B4">
      <w:pPr>
        <w:numPr>
          <w:ilvl w:val="0"/>
          <w:numId w:val="15"/>
        </w:numPr>
        <w:spacing w:line="240" w:lineRule="auto"/>
        <w:rPr>
          <w:rFonts w:ascii="Verdana" w:hAnsi="Verdana"/>
        </w:rPr>
      </w:pPr>
      <w:r w:rsidRPr="00FA60B4">
        <w:rPr>
          <w:rFonts w:ascii="Verdana" w:hAnsi="Verdana"/>
        </w:rPr>
        <w:t>A SEND divergence test separates spare mainstream space from usable specialist capacity.</w:t>
      </w:r>
    </w:p>
    <w:p w:rsidR="00100681" w:rsidRPr="00FA60B4" w:rsidP="79D1A2BD">
      <w:pPr>
        <w:numPr>
          <w:ilvl w:val="0"/>
          <w:numId w:val="15"/>
        </w:numPr>
        <w:spacing w:after="240" w:line="240" w:lineRule="auto"/>
        <w:rPr>
          <w:rFonts w:ascii="Verdana" w:hAnsi="Verdana"/>
        </w:rPr>
      </w:pPr>
      <w:r w:rsidRPr="00FA60B4">
        <w:rPr>
          <w:rFonts w:ascii="Verdana" w:hAnsi="Verdana"/>
          <w:lang w:val="en-US"/>
        </w:rPr>
        <w:t>An accountability chain test identifies where local responsibility and national value-for-money accountability may separate.</w:t>
      </w:r>
    </w:p>
    <w:p w:rsidR="00100681" w:rsidRPr="00FA60B4">
      <w:pPr>
        <w:spacing w:before="240" w:after="240" w:line="240" w:lineRule="auto"/>
        <w:rPr>
          <w:rFonts w:ascii="Verdana" w:hAnsi="Verdana"/>
        </w:rPr>
      </w:pPr>
      <w:r w:rsidRPr="00FA60B4">
        <w:rPr>
          <w:rFonts w:ascii="Verdana" w:hAnsi="Verdana"/>
        </w:rPr>
        <w:t>Methods and limitations are in section 3. Annex A gives the evidence ledger; section 7 gives data requests; section 9 gives hearing questions.</w:t>
      </w:r>
    </w:p>
    <w:p w:rsidR="00100681" w:rsidRPr="00FA60B4">
      <w:pPr>
        <w:pStyle w:val="Heading2"/>
        <w:keepNext w:val="0"/>
        <w:keepLines w:val="0"/>
        <w:spacing w:after="80"/>
        <w:rPr>
          <w:rFonts w:ascii="Verdana" w:hAnsi="Verdana"/>
          <w:b/>
          <w:bCs/>
          <w:sz w:val="22"/>
          <w:szCs w:val="22"/>
        </w:rPr>
      </w:pPr>
      <w:bookmarkStart w:id="1" w:name="_cagirkbmz83c" w:colFirst="0" w:colLast="0"/>
      <w:bookmarkEnd w:id="1"/>
      <w:r w:rsidRPr="00FA60B4">
        <w:rPr>
          <w:rFonts w:ascii="Verdana" w:hAnsi="Verdana"/>
          <w:b/>
          <w:bCs/>
          <w:sz w:val="22"/>
          <w:szCs w:val="22"/>
        </w:rPr>
        <w:t>2) About the submitter</w:t>
      </w:r>
    </w:p>
    <w:p w:rsidR="00100681" w:rsidRPr="00FA60B4">
      <w:pPr>
        <w:spacing w:before="240" w:after="240" w:line="240" w:lineRule="auto"/>
        <w:rPr>
          <w:rFonts w:ascii="Verdana" w:hAnsi="Verdana"/>
        </w:rPr>
      </w:pPr>
      <w:r w:rsidRPr="00FA60B4">
        <w:rPr>
          <w:rFonts w:ascii="Verdana" w:hAnsi="Verdana"/>
          <w:lang w:val="en-US"/>
        </w:rPr>
        <w:t>Hleb Buziuk is an independent public policy and governance researcher. This evidence is submitted in a personal capacity. It is not commissioned by, or on behalf of, any public authority, school, academy trust, union, provider or political organisation. The submission focuses on governance, evidence use, value for money and practical accountability.</w:t>
      </w:r>
    </w:p>
    <w:p w:rsidR="00100681" w:rsidRPr="00FA60B4" w:rsidP="79D1A2BD">
      <w:pPr>
        <w:pStyle w:val="Heading2"/>
        <w:keepNext w:val="0"/>
        <w:keepLines w:val="0"/>
        <w:spacing w:after="80"/>
        <w:rPr>
          <w:rFonts w:ascii="Verdana" w:hAnsi="Verdana"/>
          <w:b/>
          <w:bCs/>
          <w:sz w:val="22"/>
          <w:szCs w:val="22"/>
          <w:lang w:val="en-US"/>
        </w:rPr>
      </w:pPr>
      <w:r w:rsidRPr="00FA60B4">
        <w:rPr>
          <w:rFonts w:ascii="Verdana" w:hAnsi="Verdana"/>
          <w:b/>
          <w:bCs/>
          <w:sz w:val="22"/>
          <w:szCs w:val="22"/>
          <w:lang w:val="en-US"/>
        </w:rPr>
        <w:t>3) Methods, sources and limitations</w:t>
      </w:r>
      <w:r w:rsidRPr="00FA60B4">
        <w:rPr>
          <w:rFonts w:ascii="Verdana" w:hAnsi="Verdana"/>
          <w:b/>
          <w:bCs/>
          <w:sz w:val="22"/>
          <w:szCs w:val="22"/>
        </w:rPr>
        <w:t>3) Methods, sources and limitations</w:t>
      </w:r>
    </w:p>
    <w:p w:rsidR="00100681" w:rsidRPr="00FA60B4">
      <w:pPr>
        <w:spacing w:before="240" w:after="240" w:line="240" w:lineRule="auto"/>
        <w:rPr>
          <w:rFonts w:ascii="Verdana" w:hAnsi="Verdana"/>
        </w:rPr>
      </w:pPr>
      <w:r w:rsidRPr="00FA60B4">
        <w:rPr>
          <w:rFonts w:ascii="Verdana" w:hAnsi="Verdana"/>
          <w:lang w:val="en-US"/>
        </w:rPr>
        <w:t>This evidence uses an origin-first source ladder: DfE official statistics, ONS demographic statistics, NAO value-for-money reporting, legislation, DfE guidance and DfE policy papers. Committee material is treated as secondary where origin sources exist.</w:t>
      </w:r>
    </w:p>
    <w:p w:rsidR="00100681" w:rsidRPr="00FA60B4">
      <w:pPr>
        <w:spacing w:before="240" w:after="240" w:line="240" w:lineRule="auto"/>
        <w:rPr>
          <w:rFonts w:ascii="Verdana" w:hAnsi="Verdana"/>
        </w:rPr>
      </w:pPr>
      <w:r w:rsidRPr="00FA60B4">
        <w:rPr>
          <w:rFonts w:ascii="Verdana" w:hAnsi="Verdana"/>
          <w:lang w:val="en-US"/>
        </w:rPr>
        <w:t>No headline claim relies on committee reports as primary evidence. One finance metric uses NAO press release figures and is treated as a scale test, not outcome evidence. National figures can conceal local variation, SEN capacity data are official statistics in development, and published data do not yet allow a full causal estimate of effects on attainment, staff retention, family experience or community cohesion. Those claims are treated as evidence gaps with test plans in section 7.</w:t>
      </w:r>
    </w:p>
    <w:p w:rsidR="00100681" w:rsidRPr="00FA60B4">
      <w:pPr>
        <w:pStyle w:val="Heading2"/>
        <w:keepNext w:val="0"/>
        <w:keepLines w:val="0"/>
        <w:spacing w:after="80"/>
        <w:rPr>
          <w:rFonts w:ascii="Verdana" w:hAnsi="Verdana"/>
          <w:b/>
          <w:bCs/>
          <w:sz w:val="22"/>
          <w:szCs w:val="22"/>
        </w:rPr>
      </w:pPr>
      <w:bookmarkStart w:id="2" w:name="_mzoctejcbe67" w:colFirst="0" w:colLast="0"/>
      <w:bookmarkEnd w:id="2"/>
      <w:r w:rsidRPr="00FA60B4">
        <w:rPr>
          <w:rFonts w:ascii="Verdana" w:hAnsi="Verdana"/>
          <w:b/>
          <w:bCs/>
          <w:sz w:val="22"/>
          <w:szCs w:val="22"/>
        </w:rPr>
        <w:t>4) Context and background</w:t>
      </w:r>
    </w:p>
    <w:p w:rsidR="00100681" w:rsidRPr="00FA60B4">
      <w:pPr>
        <w:spacing w:before="240" w:after="240" w:line="240" w:lineRule="auto"/>
        <w:rPr>
          <w:rFonts w:ascii="Verdana" w:hAnsi="Verdana"/>
        </w:rPr>
      </w:pPr>
      <w:r w:rsidRPr="00FA60B4">
        <w:rPr>
          <w:rFonts w:ascii="Verdana" w:hAnsi="Verdana"/>
          <w:lang w:val="en-US"/>
        </w:rPr>
        <w:t>DfE projects the state-funded nursery and primary population to fall from 4.505 million in 2025 to 4.205 million in 2030 [1]. ONS recorded 585,396 live births in England and Wales in 2025, down 1.6% from 2024, with a provisional total fertility rate of 1.39 [6]. School-place decisions, however, depend on local demand, admissions, SEND, transport, estate condition and school type.</w:t>
      </w:r>
    </w:p>
    <w:p w:rsidR="00100681" w:rsidRPr="00FA60B4" w:rsidP="79D1A2BD">
      <w:pPr>
        <w:pStyle w:val="Heading2"/>
        <w:keepNext w:val="0"/>
        <w:keepLines w:val="0"/>
        <w:spacing w:after="80"/>
        <w:rPr>
          <w:rFonts w:ascii="Verdana" w:hAnsi="Verdana"/>
          <w:b/>
          <w:bCs/>
          <w:sz w:val="22"/>
          <w:szCs w:val="22"/>
          <w:lang w:val="en-US"/>
        </w:rPr>
      </w:pPr>
      <w:r w:rsidRPr="00FA60B4">
        <w:rPr>
          <w:rFonts w:ascii="Verdana" w:hAnsi="Verdana"/>
          <w:b/>
          <w:bCs/>
          <w:sz w:val="22"/>
          <w:szCs w:val="22"/>
          <w:lang w:val="en-US"/>
        </w:rPr>
        <w:t>5) Evidence mapped to ToR/questions/themes</w:t>
      </w:r>
      <w:r w:rsidRPr="00FA60B4">
        <w:rPr>
          <w:rFonts w:ascii="Verdana" w:hAnsi="Verdana"/>
          <w:b/>
          <w:bCs/>
          <w:sz w:val="22"/>
          <w:szCs w:val="22"/>
        </w:rPr>
        <w:t>5) Evidence mapped to ToR/questions/themes</w:t>
      </w:r>
    </w:p>
    <w:p w:rsidR="00100681" w:rsidRPr="00FA60B4" w:rsidP="79D1A2BD">
      <w:pPr>
        <w:pStyle w:val="Heading3"/>
        <w:keepNext w:val="0"/>
        <w:keepLines w:val="0"/>
        <w:spacing w:before="280"/>
        <w:rPr>
          <w:rFonts w:ascii="Verdana" w:hAnsi="Verdana"/>
          <w:b/>
          <w:bCs/>
          <w:color w:val="000000"/>
          <w:sz w:val="22"/>
          <w:szCs w:val="22"/>
          <w:lang w:val="en-US"/>
        </w:rPr>
      </w:pPr>
      <w:r w:rsidRPr="00FA60B4">
        <w:rPr>
          <w:rFonts w:ascii="Verdana" w:hAnsi="Verdana"/>
          <w:b/>
          <w:bCs/>
          <w:color w:val="000000" w:themeColor="text1"/>
          <w:sz w:val="22"/>
          <w:szCs w:val="22"/>
          <w:lang w:val="en-US"/>
        </w:rPr>
        <w:t>5.1 Demand, causes and local divergence</w:t>
      </w:r>
      <w:r w:rsidRPr="00FA60B4">
        <w:rPr>
          <w:rFonts w:ascii="Verdana" w:hAnsi="Verdana"/>
          <w:b/>
          <w:bCs/>
          <w:color w:val="000000"/>
          <w:sz w:val="22"/>
          <w:szCs w:val="22"/>
        </w:rPr>
        <w:t>5.1 Demand, causes and local divergence</w:t>
      </w:r>
    </w:p>
    <w:p w:rsidR="00100681" w:rsidRPr="00FA60B4">
      <w:pPr>
        <w:spacing w:before="240" w:after="240" w:line="240" w:lineRule="auto"/>
        <w:rPr>
          <w:rFonts w:ascii="Verdana" w:hAnsi="Verdana"/>
        </w:rPr>
      </w:pPr>
      <w:r w:rsidRPr="00FA60B4">
        <w:rPr>
          <w:rFonts w:ascii="Verdana" w:hAnsi="Verdana"/>
          <w:lang w:val="en-US"/>
        </w:rPr>
        <w:t>Demand for primary places is falling nationally, mainly because smaller birth cohorts are entering primary age. DfE projects a 300,000, 6.7%, fall in state-funded nursery and primary pupils between 2025 and 2030 [1]. But DfE’s School Capacity data show 680,000 unfilled primary places in 2024/25 and, at the same time, 26,000 primary places still needed by 2029/30 [2]. We infer that the core planning unit is the pupil place planning area, not England as a whole.</w:t>
      </w:r>
    </w:p>
    <w:p w:rsidR="00100681" w:rsidRPr="00FA60B4">
      <w:pPr>
        <w:spacing w:before="240" w:after="240" w:line="240" w:lineRule="auto"/>
        <w:rPr>
          <w:rFonts w:ascii="Verdana" w:hAnsi="Verdana"/>
        </w:rPr>
      </w:pPr>
      <w:r w:rsidRPr="00FA60B4">
        <w:rPr>
          <w:rFonts w:ascii="Verdana" w:hAnsi="Verdana"/>
          <w:b/>
          <w:bCs/>
        </w:rPr>
        <w:t>Evidence-based observations:</w:t>
      </w:r>
      <w:r w:rsidRPr="00FA60B4">
        <w:rPr>
          <w:rFonts w:ascii="Verdana" w:hAnsi="Verdana"/>
        </w:rPr>
        <w:t xml:space="preserve"> DfE says local authority forecasts are made by year group and planning area; pressure in one part of a local authority cannot necessarily be offset by spare places elsewhere; NAO reports local variation [2][4].</w:t>
      </w:r>
    </w:p>
    <w:p w:rsidR="00100681" w:rsidRPr="00FA60B4">
      <w:pPr>
        <w:spacing w:before="240" w:after="240" w:line="240" w:lineRule="auto"/>
        <w:rPr>
          <w:rFonts w:ascii="Verdana" w:hAnsi="Verdana"/>
        </w:rPr>
      </w:pPr>
      <w:r w:rsidRPr="00FA60B4">
        <w:rPr>
          <w:rFonts w:ascii="Verdana" w:hAnsi="Verdana"/>
          <w:b/>
          <w:bCs/>
        </w:rPr>
        <w:t>Added value:</w:t>
      </w:r>
      <w:r w:rsidRPr="00FA60B4">
        <w:rPr>
          <w:rFonts w:ascii="Verdana" w:hAnsi="Verdana"/>
        </w:rPr>
        <w:t xml:space="preserve"> the 26:1 local mismatch ratio shows why national spare-place totals are insufficient.</w:t>
      </w:r>
    </w:p>
    <w:p w:rsidR="00100681" w:rsidRPr="00FA60B4">
      <w:pPr>
        <w:spacing w:before="240" w:after="240" w:line="240" w:lineRule="auto"/>
        <w:rPr>
          <w:rFonts w:ascii="Verdana" w:hAnsi="Verdana"/>
          <w:b/>
          <w:bCs/>
        </w:rPr>
      </w:pPr>
      <w:r w:rsidRPr="00FA60B4">
        <w:rPr>
          <w:rFonts w:ascii="Verdana" w:hAnsi="Verdana"/>
          <w:b/>
          <w:bCs/>
        </w:rPr>
        <w:t>Three points</w:t>
      </w:r>
    </w:p>
    <w:p w:rsidR="00100681" w:rsidRPr="00FA60B4">
      <w:pPr>
        <w:numPr>
          <w:ilvl w:val="0"/>
          <w:numId w:val="16"/>
        </w:numPr>
        <w:spacing w:before="240" w:line="240" w:lineRule="auto"/>
        <w:rPr>
          <w:rFonts w:ascii="Verdana" w:hAnsi="Verdana"/>
        </w:rPr>
      </w:pPr>
      <w:r w:rsidRPr="00FA60B4">
        <w:rPr>
          <w:rFonts w:ascii="Verdana" w:hAnsi="Verdana"/>
        </w:rPr>
        <w:t>“The question is not only how many places exist, but whether the right places exist in the right planning areas.”</w:t>
      </w:r>
    </w:p>
    <w:p w:rsidR="00100681" w:rsidRPr="00FA60B4">
      <w:pPr>
        <w:numPr>
          <w:ilvl w:val="0"/>
          <w:numId w:val="16"/>
        </w:numPr>
        <w:spacing w:line="240" w:lineRule="auto"/>
        <w:rPr>
          <w:rFonts w:ascii="Verdana" w:hAnsi="Verdana"/>
        </w:rPr>
      </w:pPr>
      <w:r w:rsidRPr="00FA60B4">
        <w:rPr>
          <w:rFonts w:ascii="Verdana" w:hAnsi="Verdana"/>
        </w:rPr>
        <w:t>“Births explain the national direction; housing, migration, admissions and school type explain the local shape.”</w:t>
      </w:r>
    </w:p>
    <w:p w:rsidR="00100681" w:rsidRPr="00FA60B4">
      <w:pPr>
        <w:numPr>
          <w:ilvl w:val="0"/>
          <w:numId w:val="16"/>
        </w:numPr>
        <w:spacing w:after="240" w:line="240" w:lineRule="auto"/>
        <w:rPr>
          <w:rFonts w:ascii="Verdana" w:hAnsi="Verdana"/>
        </w:rPr>
      </w:pPr>
      <w:r w:rsidRPr="00FA60B4">
        <w:rPr>
          <w:rFonts w:ascii="Verdana" w:hAnsi="Verdana"/>
        </w:rPr>
        <w:t>“A national surplus can coexist with local shortage.”</w:t>
      </w:r>
    </w:p>
    <w:p w:rsidR="00100681" w:rsidRPr="00FA60B4">
      <w:pPr>
        <w:spacing w:before="240" w:after="240" w:line="240" w:lineRule="auto"/>
        <w:rPr>
          <w:rFonts w:ascii="Verdana" w:hAnsi="Verdana"/>
        </w:rPr>
      </w:pPr>
      <w:r w:rsidRPr="00FA60B4">
        <w:rPr>
          <w:rFonts w:ascii="Verdana" w:hAnsi="Verdana"/>
          <w:b/>
          <w:bCs/>
          <w:lang w:val="en-US"/>
        </w:rPr>
        <w:t>Counterpoint:</w:t>
      </w:r>
      <w:r w:rsidRPr="00FA60B4">
        <w:rPr>
          <w:rFonts w:ascii="Verdana" w:hAnsi="Verdana"/>
          <w:lang w:val="en-US"/>
        </w:rPr>
        <w:t xml:space="preserve"> spare capacity can preserve parental choice, absorb in-year movement, support housing growth or protect rural access.</w:t>
      </w:r>
    </w:p>
    <w:p w:rsidR="00100681" w:rsidRPr="00FA60B4">
      <w:pPr>
        <w:spacing w:before="240" w:after="240" w:line="240" w:lineRule="auto"/>
        <w:rPr>
          <w:rFonts w:ascii="Verdana" w:hAnsi="Verdana"/>
        </w:rPr>
      </w:pPr>
      <w:r w:rsidRPr="00FA60B4">
        <w:rPr>
          <w:rFonts w:ascii="Verdana" w:hAnsi="Verdana"/>
          <w:b/>
          <w:bCs/>
          <w:lang w:val="en-US"/>
        </w:rPr>
        <w:t>Options:</w:t>
      </w:r>
      <w:r w:rsidRPr="00FA60B4">
        <w:rPr>
          <w:rFonts w:ascii="Verdana" w:hAnsi="Verdana"/>
          <w:lang w:val="en-US"/>
        </w:rPr>
        <w:t xml:space="preserve"> A: improved national commentary. B: planning-area data with capacity, forecasts, PAN and school type. Preferred: B, because it tests usable capacity.</w:t>
      </w:r>
    </w:p>
    <w:p w:rsidR="00100681" w:rsidRPr="00FA60B4" w:rsidP="79D1A2BD">
      <w:pPr>
        <w:pStyle w:val="Heading3"/>
        <w:keepNext w:val="0"/>
        <w:keepLines w:val="0"/>
        <w:spacing w:before="280"/>
        <w:rPr>
          <w:rFonts w:ascii="Verdana" w:hAnsi="Verdana"/>
          <w:b/>
          <w:bCs/>
          <w:color w:val="000000"/>
          <w:sz w:val="22"/>
          <w:szCs w:val="22"/>
          <w:lang w:val="en-US"/>
        </w:rPr>
      </w:pPr>
      <w:r w:rsidRPr="00FA60B4">
        <w:rPr>
          <w:rFonts w:ascii="Verdana" w:hAnsi="Verdana"/>
          <w:b/>
          <w:bCs/>
          <w:color w:val="000000" w:themeColor="text1"/>
          <w:sz w:val="22"/>
          <w:szCs w:val="22"/>
          <w:lang w:val="en-US"/>
        </w:rPr>
        <w:t>5.2 Impacts and mitigation for schools, staff, families and communities</w:t>
      </w:r>
      <w:r w:rsidRPr="00FA60B4">
        <w:rPr>
          <w:rFonts w:ascii="Verdana" w:hAnsi="Verdana"/>
          <w:b/>
          <w:bCs/>
          <w:color w:val="000000"/>
          <w:sz w:val="22"/>
          <w:szCs w:val="22"/>
        </w:rPr>
        <w:t>5.2 Impacts and mitigation for schools, staff, families and communities</w:t>
      </w:r>
    </w:p>
    <w:p w:rsidR="00100681" w:rsidRPr="00FA60B4">
      <w:pPr>
        <w:spacing w:before="240" w:after="240" w:line="240" w:lineRule="auto"/>
        <w:rPr>
          <w:rFonts w:ascii="Verdana" w:hAnsi="Verdana"/>
        </w:rPr>
      </w:pPr>
      <w:r w:rsidRPr="00FA60B4">
        <w:rPr>
          <w:rFonts w:ascii="Verdana" w:hAnsi="Verdana"/>
          <w:lang w:val="en-US"/>
        </w:rPr>
        <w:t>The main published impact evidence is financial and value-for-money evidence. NAO states that schools receive most funding by pupil numbers, so falling rolls create financial risks where pupil falls do not allow class or teacher costs to fall [4]. The falling rolls fund can provide short-term support, but local authorities have discretion and eligibility is linked to DfE school capacity evidence that places are expected to be required [7]. Evidence on staff, families and communities is less systematic.</w:t>
      </w:r>
    </w:p>
    <w:p w:rsidR="00100681" w:rsidRPr="00FA60B4">
      <w:pPr>
        <w:spacing w:before="240" w:after="240" w:line="240" w:lineRule="auto"/>
        <w:rPr>
          <w:rFonts w:ascii="Verdana" w:hAnsi="Verdana"/>
        </w:rPr>
      </w:pPr>
      <w:r w:rsidRPr="00FA60B4">
        <w:rPr>
          <w:rFonts w:ascii="Verdana" w:hAnsi="Verdana"/>
          <w:b/>
          <w:bCs/>
        </w:rPr>
        <w:t>Evidence-based observations:</w:t>
      </w:r>
      <w:r w:rsidRPr="00FA60B4">
        <w:rPr>
          <w:rFonts w:ascii="Verdana" w:hAnsi="Verdana"/>
        </w:rPr>
        <w:t xml:space="preserve"> NAO estimates that 56,300 fewer primary pupils in 2027 could mean £288 million less per-pupil funding; DfE guidance allows falling rolls funding under objective criteria; no published national impact dataset links falling rolls to curriculum breadth, staffing change, closure consultation outcomes or pupil experience [5][7].</w:t>
      </w:r>
    </w:p>
    <w:p w:rsidR="00100681" w:rsidRPr="00FA60B4">
      <w:pPr>
        <w:spacing w:before="240" w:after="240" w:line="240" w:lineRule="auto"/>
        <w:rPr>
          <w:rFonts w:ascii="Verdana" w:hAnsi="Verdana"/>
        </w:rPr>
      </w:pPr>
      <w:r w:rsidRPr="00FA60B4">
        <w:rPr>
          <w:rFonts w:ascii="Verdana" w:hAnsi="Verdana"/>
          <w:b/>
          <w:bCs/>
        </w:rPr>
        <w:t>Added value:</w:t>
      </w:r>
      <w:r w:rsidRPr="00FA60B4">
        <w:rPr>
          <w:rFonts w:ascii="Verdana" w:hAnsi="Verdana"/>
        </w:rPr>
        <w:t xml:space="preserve"> the transition finance ratio shows current named support is much smaller than the illustrative exposure.</w:t>
      </w:r>
    </w:p>
    <w:p w:rsidR="00100681" w:rsidRPr="00FA60B4">
      <w:pPr>
        <w:spacing w:before="240" w:after="240" w:line="240" w:lineRule="auto"/>
        <w:rPr>
          <w:rFonts w:ascii="Verdana" w:hAnsi="Verdana"/>
          <w:b/>
          <w:bCs/>
        </w:rPr>
      </w:pPr>
      <w:r w:rsidRPr="00FA60B4">
        <w:rPr>
          <w:rFonts w:ascii="Verdana" w:hAnsi="Verdana"/>
          <w:b/>
          <w:bCs/>
        </w:rPr>
        <w:t>Three points</w:t>
      </w:r>
    </w:p>
    <w:p w:rsidR="00100681" w:rsidRPr="00FA60B4">
      <w:pPr>
        <w:numPr>
          <w:ilvl w:val="0"/>
          <w:numId w:val="9"/>
        </w:numPr>
        <w:spacing w:before="240" w:line="240" w:lineRule="auto"/>
        <w:rPr>
          <w:rFonts w:ascii="Verdana" w:hAnsi="Verdana"/>
        </w:rPr>
      </w:pPr>
      <w:r w:rsidRPr="00FA60B4">
        <w:rPr>
          <w:rFonts w:ascii="Verdana" w:hAnsi="Verdana"/>
        </w:rPr>
        <w:t>“Financial pressure can arrive before a school can safely reduce classes, staff or estate costs.”</w:t>
      </w:r>
    </w:p>
    <w:p w:rsidR="00100681" w:rsidRPr="00FA60B4">
      <w:pPr>
        <w:numPr>
          <w:ilvl w:val="0"/>
          <w:numId w:val="9"/>
        </w:numPr>
        <w:spacing w:line="240" w:lineRule="auto"/>
        <w:rPr>
          <w:rFonts w:ascii="Verdana" w:hAnsi="Verdana"/>
        </w:rPr>
      </w:pPr>
      <w:r w:rsidRPr="00FA60B4">
        <w:rPr>
          <w:rFonts w:ascii="Verdana" w:hAnsi="Verdana"/>
        </w:rPr>
        <w:t>“The falling rolls fund should be judged by outcomes, not allocation alone.”</w:t>
      </w:r>
    </w:p>
    <w:p w:rsidR="00100681" w:rsidRPr="00FA60B4">
      <w:pPr>
        <w:numPr>
          <w:ilvl w:val="0"/>
          <w:numId w:val="9"/>
        </w:numPr>
        <w:spacing w:after="240" w:line="240" w:lineRule="auto"/>
        <w:rPr>
          <w:rFonts w:ascii="Verdana" w:hAnsi="Verdana"/>
        </w:rPr>
      </w:pPr>
      <w:r w:rsidRPr="00FA60B4">
        <w:rPr>
          <w:rFonts w:ascii="Verdana" w:hAnsi="Verdana"/>
        </w:rPr>
        <w:t>“Mitigation needs outcome checks, not only eligibility rules.”</w:t>
      </w:r>
    </w:p>
    <w:p w:rsidR="00100681" w:rsidRPr="00FA60B4">
      <w:pPr>
        <w:spacing w:before="240" w:after="240" w:line="240" w:lineRule="auto"/>
        <w:rPr>
          <w:rFonts w:ascii="Verdana" w:hAnsi="Verdana"/>
        </w:rPr>
      </w:pPr>
      <w:r w:rsidRPr="00FA60B4">
        <w:rPr>
          <w:rFonts w:ascii="Verdana" w:hAnsi="Verdana"/>
          <w:b/>
          <w:bCs/>
          <w:lang w:val="en-US"/>
        </w:rPr>
        <w:t>Counterpoint:</w:t>
      </w:r>
      <w:r w:rsidRPr="00FA60B4">
        <w:rPr>
          <w:rFonts w:ascii="Verdana" w:hAnsi="Verdana"/>
          <w:lang w:val="en-US"/>
        </w:rPr>
        <w:t xml:space="preserve"> the fund may be a bridge, not replacement for every lost pupil. Some schools can adjust costs, merge provision or repurpose space.</w:t>
      </w:r>
    </w:p>
    <w:p w:rsidR="00100681" w:rsidRPr="00FA60B4">
      <w:pPr>
        <w:spacing w:before="240" w:after="240" w:line="240" w:lineRule="auto"/>
        <w:rPr>
          <w:rFonts w:ascii="Verdana" w:hAnsi="Verdana"/>
        </w:rPr>
      </w:pPr>
      <w:r w:rsidRPr="00FA60B4">
        <w:rPr>
          <w:rFonts w:ascii="Verdana" w:hAnsi="Verdana"/>
          <w:b/>
          <w:bCs/>
          <w:lang w:val="en-US"/>
        </w:rPr>
        <w:t>Options:</w:t>
      </w:r>
      <w:r w:rsidRPr="00FA60B4">
        <w:rPr>
          <w:rFonts w:ascii="Verdana" w:hAnsi="Verdana"/>
          <w:lang w:val="en-US"/>
        </w:rPr>
        <w:t xml:space="preserve"> A: clearer eligibility guidance. B: allocation, refusal, use and outcome data by local authority. Preferred: B, because it tests value for money.</w:t>
      </w:r>
    </w:p>
    <w:p w:rsidR="00100681" w:rsidRPr="00FA60B4" w:rsidP="79D1A2BD">
      <w:pPr>
        <w:pStyle w:val="Heading3"/>
        <w:keepNext w:val="0"/>
        <w:keepLines w:val="0"/>
        <w:spacing w:before="280"/>
        <w:rPr>
          <w:rFonts w:ascii="Verdana" w:hAnsi="Verdana"/>
          <w:b/>
          <w:bCs/>
          <w:color w:val="000000"/>
          <w:sz w:val="22"/>
          <w:szCs w:val="22"/>
          <w:lang w:val="en-US"/>
        </w:rPr>
      </w:pPr>
      <w:r w:rsidRPr="00FA60B4">
        <w:rPr>
          <w:rFonts w:ascii="Verdana" w:hAnsi="Verdana"/>
          <w:b/>
          <w:bCs/>
          <w:color w:val="000000" w:themeColor="text1"/>
          <w:sz w:val="22"/>
          <w:szCs w:val="22"/>
          <w:lang w:val="en-US"/>
        </w:rPr>
        <w:t>5.3 Roles, powers, processes and learning</w:t>
      </w:r>
      <w:r w:rsidRPr="00FA60B4">
        <w:rPr>
          <w:rFonts w:ascii="Verdana" w:hAnsi="Verdana"/>
          <w:b/>
          <w:bCs/>
          <w:color w:val="000000"/>
          <w:sz w:val="22"/>
          <w:szCs w:val="22"/>
        </w:rPr>
        <w:t>5.3 Roles, powers, processes and learning</w:t>
      </w:r>
    </w:p>
    <w:p w:rsidR="00100681" w:rsidRPr="00FA60B4">
      <w:pPr>
        <w:spacing w:before="240" w:after="240" w:line="240" w:lineRule="auto"/>
        <w:rPr>
          <w:rFonts w:ascii="Verdana" w:hAnsi="Verdana"/>
        </w:rPr>
      </w:pPr>
      <w:r w:rsidRPr="00FA60B4">
        <w:rPr>
          <w:rFonts w:ascii="Verdana" w:hAnsi="Verdana"/>
          <w:lang w:val="en-US"/>
        </w:rPr>
        <w:t>Falling rolls expose a governance problem. NAO states that DfE has ultimate accountability for value for money, local authorities have a statutory duty to ensure sufficient school places, and local authorities, schools and trusts make local place-planning decisions [4]. In January 2025, 46.1% of primary schools were academies or free schools [3]. The Children’s Wellbeing and Schools Act 2026 includes provisions, subject to commencement and final legal effect, about school places, admissions and establishing new schools [9].</w:t>
      </w:r>
    </w:p>
    <w:p w:rsidR="00100681" w:rsidRPr="00FA60B4">
      <w:pPr>
        <w:spacing w:before="240" w:after="240" w:line="240" w:lineRule="auto"/>
        <w:rPr>
          <w:rFonts w:ascii="Verdana" w:hAnsi="Verdana"/>
        </w:rPr>
      </w:pPr>
      <w:r w:rsidRPr="00FA60B4">
        <w:rPr>
          <w:rFonts w:ascii="Verdana" w:hAnsi="Verdana"/>
          <w:b/>
          <w:bCs/>
          <w:lang w:val="en-US"/>
        </w:rPr>
        <w:t>Evidence-based observations:</w:t>
      </w:r>
      <w:r w:rsidRPr="00FA60B4">
        <w:rPr>
          <w:rFonts w:ascii="Verdana" w:hAnsi="Verdana"/>
          <w:lang w:val="en-US"/>
        </w:rPr>
        <w:t xml:space="preserve"> the accountability chain is split between DfE, local authorities, schools, trusts, admission authorities and schools forums; DfE guidance covers funding mechanics; NAO concluded DfE had not taken timely action to set out support [4][7].</w:t>
      </w:r>
    </w:p>
    <w:p w:rsidR="00100681" w:rsidRPr="00FA60B4">
      <w:pPr>
        <w:spacing w:before="240" w:after="240" w:line="240" w:lineRule="auto"/>
        <w:rPr>
          <w:rFonts w:ascii="Verdana" w:hAnsi="Verdana"/>
        </w:rPr>
      </w:pPr>
      <w:r w:rsidRPr="00FA60B4">
        <w:rPr>
          <w:rFonts w:ascii="Verdana" w:hAnsi="Verdana"/>
          <w:b/>
          <w:bCs/>
          <w:lang w:val="en-US"/>
        </w:rPr>
        <w:t>Added value:</w:t>
      </w:r>
      <w:r w:rsidRPr="00FA60B4">
        <w:rPr>
          <w:rFonts w:ascii="Verdana" w:hAnsi="Verdana"/>
          <w:lang w:val="en-US"/>
        </w:rPr>
        <w:t xml:space="preserve"> this submission proposes an accountability chain test: owner, trigger, decision, money, dispute route and outcome check.</w:t>
      </w:r>
    </w:p>
    <w:p w:rsidR="00100681" w:rsidRPr="00FA60B4">
      <w:pPr>
        <w:spacing w:before="240" w:after="240" w:line="240" w:lineRule="auto"/>
        <w:rPr>
          <w:rFonts w:ascii="Verdana" w:hAnsi="Verdana"/>
          <w:b/>
          <w:bCs/>
        </w:rPr>
      </w:pPr>
      <w:r w:rsidRPr="00FA60B4">
        <w:rPr>
          <w:rFonts w:ascii="Verdana" w:hAnsi="Verdana"/>
          <w:b/>
          <w:bCs/>
        </w:rPr>
        <w:t>Three points</w:t>
      </w:r>
    </w:p>
    <w:p w:rsidR="00100681" w:rsidRPr="00FA60B4">
      <w:pPr>
        <w:numPr>
          <w:ilvl w:val="0"/>
          <w:numId w:val="10"/>
        </w:numPr>
        <w:spacing w:before="240" w:line="240" w:lineRule="auto"/>
        <w:rPr>
          <w:rFonts w:ascii="Verdana" w:hAnsi="Verdana"/>
        </w:rPr>
      </w:pPr>
      <w:r w:rsidRPr="00FA60B4">
        <w:rPr>
          <w:rFonts w:ascii="Verdana" w:hAnsi="Verdana"/>
        </w:rPr>
        <w:t>“Falling rolls are a shared-governance problem, not only a forecasting problem.”</w:t>
      </w:r>
    </w:p>
    <w:p w:rsidR="00100681" w:rsidRPr="00FA60B4">
      <w:pPr>
        <w:numPr>
          <w:ilvl w:val="0"/>
          <w:numId w:val="10"/>
        </w:numPr>
        <w:spacing w:line="240" w:lineRule="auto"/>
        <w:rPr>
          <w:rFonts w:ascii="Verdana" w:hAnsi="Verdana"/>
        </w:rPr>
      </w:pPr>
      <w:r w:rsidRPr="00FA60B4">
        <w:rPr>
          <w:rFonts w:ascii="Verdana" w:hAnsi="Verdana"/>
        </w:rPr>
        <w:t>“Where a local authority and trust disagree, the Committee should ask who decides, by when and who pays.”</w:t>
      </w:r>
    </w:p>
    <w:p w:rsidR="00100681" w:rsidRPr="00FA60B4">
      <w:pPr>
        <w:numPr>
          <w:ilvl w:val="0"/>
          <w:numId w:val="10"/>
        </w:numPr>
        <w:spacing w:after="240" w:line="240" w:lineRule="auto"/>
        <w:rPr>
          <w:rFonts w:ascii="Verdana" w:hAnsi="Verdana"/>
        </w:rPr>
      </w:pPr>
      <w:r w:rsidRPr="00FA60B4">
        <w:rPr>
          <w:rFonts w:ascii="Verdana" w:hAnsi="Verdana"/>
        </w:rPr>
        <w:t>“Learning should be shared through decision records, not only examples.”</w:t>
      </w:r>
    </w:p>
    <w:p w:rsidR="00100681" w:rsidRPr="00FA60B4">
      <w:pPr>
        <w:spacing w:before="240" w:after="240" w:line="240" w:lineRule="auto"/>
        <w:rPr>
          <w:rFonts w:ascii="Verdana" w:hAnsi="Verdana"/>
        </w:rPr>
      </w:pPr>
      <w:r w:rsidRPr="00FA60B4">
        <w:rPr>
          <w:rFonts w:ascii="Verdana" w:hAnsi="Verdana"/>
          <w:b/>
          <w:bCs/>
          <w:lang w:val="en-US"/>
        </w:rPr>
        <w:t>Counterpoint:</w:t>
      </w:r>
      <w:r w:rsidRPr="00FA60B4">
        <w:rPr>
          <w:rFonts w:ascii="Verdana" w:hAnsi="Verdana"/>
          <w:lang w:val="en-US"/>
        </w:rPr>
        <w:t xml:space="preserve"> trusts can coordinate across schools and local authorities have local knowledge. The issue is whether existing powers are transparent, timely and usable.</w:t>
      </w:r>
    </w:p>
    <w:p w:rsidR="00100681" w:rsidRPr="00FA60B4">
      <w:pPr>
        <w:spacing w:before="240" w:after="240" w:line="240" w:lineRule="auto"/>
        <w:rPr>
          <w:rFonts w:ascii="Verdana" w:hAnsi="Verdana"/>
        </w:rPr>
      </w:pPr>
      <w:r w:rsidRPr="00FA60B4">
        <w:rPr>
          <w:rFonts w:ascii="Verdana" w:hAnsi="Verdana"/>
          <w:b/>
          <w:bCs/>
        </w:rPr>
        <w:t>Options:</w:t>
      </w:r>
      <w:r w:rsidRPr="00FA60B4">
        <w:rPr>
          <w:rFonts w:ascii="Verdana" w:hAnsi="Verdana"/>
        </w:rPr>
        <w:t xml:space="preserve"> A: non-statutory guidance. B: a decision map and local place-planning compacts in high-risk areas. Preferred: B, because it makes accountability checkable.</w:t>
      </w:r>
    </w:p>
    <w:p w:rsidR="00100681" w:rsidRPr="00FA60B4">
      <w:pPr>
        <w:pStyle w:val="Heading3"/>
        <w:keepNext w:val="0"/>
        <w:keepLines w:val="0"/>
        <w:spacing w:before="280"/>
        <w:rPr>
          <w:rFonts w:ascii="Verdana" w:hAnsi="Verdana"/>
          <w:b/>
          <w:bCs/>
          <w:color w:val="000000"/>
          <w:sz w:val="22"/>
          <w:szCs w:val="22"/>
        </w:rPr>
      </w:pPr>
      <w:bookmarkStart w:id="3" w:name="_jujd52qvrmlb" w:colFirst="0" w:colLast="0"/>
      <w:bookmarkEnd w:id="3"/>
      <w:r w:rsidRPr="00FA60B4">
        <w:rPr>
          <w:rFonts w:ascii="Verdana" w:hAnsi="Verdana"/>
          <w:b/>
          <w:bCs/>
          <w:color w:val="000000"/>
          <w:sz w:val="22"/>
          <w:szCs w:val="22"/>
        </w:rPr>
        <w:t>5.4 SEND and complex needs</w:t>
      </w:r>
    </w:p>
    <w:p w:rsidR="00100681" w:rsidRPr="00FA60B4">
      <w:pPr>
        <w:spacing w:before="240" w:after="240" w:line="240" w:lineRule="auto"/>
        <w:rPr>
          <w:rFonts w:ascii="Verdana" w:hAnsi="Verdana"/>
        </w:rPr>
      </w:pPr>
      <w:r w:rsidRPr="00FA60B4">
        <w:rPr>
          <w:rFonts w:ascii="Verdana" w:hAnsi="Verdana"/>
          <w:lang w:val="en-US"/>
        </w:rPr>
        <w:t xml:space="preserve">SEND creates a material caution against a simple “close spare places” response. DfE forecasts pupils with Education, Health and Care (EHC) plans needing </w:t>
      </w:r>
      <w:r w:rsidRPr="00FA60B4">
        <w:rPr>
          <w:rFonts w:ascii="Verdana" w:hAnsi="Verdana"/>
          <w:lang w:val="en-US"/>
        </w:rPr>
        <w:t>specialist provision to rise from 260,000 in 2025/26 to 310,000 in 2029/30 [2]. DfE also reports 170,000 pupils in state-funded and non-maintained special schools in 2025 [3]. The white paper sets out reforms to schools and SEND, including inclusion [10].</w:t>
      </w:r>
    </w:p>
    <w:p w:rsidR="00100681" w:rsidRPr="00FA60B4">
      <w:pPr>
        <w:spacing w:before="240" w:after="240" w:line="240" w:lineRule="auto"/>
        <w:rPr>
          <w:rFonts w:ascii="Verdana" w:hAnsi="Verdana"/>
        </w:rPr>
      </w:pPr>
      <w:r w:rsidRPr="00FA60B4">
        <w:rPr>
          <w:rFonts w:ascii="Verdana" w:hAnsi="Verdana"/>
          <w:b/>
          <w:bCs/>
          <w:lang w:val="en-US"/>
        </w:rPr>
        <w:t>Evidence-based observations:</w:t>
      </w:r>
      <w:r w:rsidRPr="00FA60B4">
        <w:rPr>
          <w:rFonts w:ascii="Verdana" w:hAnsi="Verdana"/>
          <w:lang w:val="en-US"/>
        </w:rPr>
        <w:t xml:space="preserve"> specialist-provision demand is forecast to rise while nursery and primary rolls fall; DfE warns that capacity data cannot be used with forecast data to calculate future additional places; spare mainstream classrooms are not automatically SEND capacity [1][2].</w:t>
      </w:r>
    </w:p>
    <w:p w:rsidR="00100681" w:rsidRPr="00FA60B4">
      <w:pPr>
        <w:spacing w:before="240" w:after="240" w:line="240" w:lineRule="auto"/>
        <w:rPr>
          <w:rFonts w:ascii="Verdana" w:hAnsi="Verdana"/>
        </w:rPr>
      </w:pPr>
      <w:r w:rsidRPr="00FA60B4">
        <w:rPr>
          <w:rFonts w:ascii="Verdana" w:hAnsi="Verdana"/>
          <w:b/>
          <w:bCs/>
        </w:rPr>
        <w:t>Added value:</w:t>
      </w:r>
      <w:r w:rsidRPr="00FA60B4">
        <w:rPr>
          <w:rFonts w:ascii="Verdana" w:hAnsi="Verdana"/>
        </w:rPr>
        <w:t xml:space="preserve"> falling rolls should trigger a SEND conversion test, not a presumption of closure or conversion.</w:t>
      </w:r>
    </w:p>
    <w:p w:rsidR="00100681" w:rsidRPr="00FA60B4">
      <w:pPr>
        <w:spacing w:before="240" w:after="240" w:line="240" w:lineRule="auto"/>
        <w:rPr>
          <w:rFonts w:ascii="Verdana" w:hAnsi="Verdana"/>
          <w:b/>
          <w:bCs/>
        </w:rPr>
      </w:pPr>
      <w:r w:rsidRPr="00FA60B4">
        <w:rPr>
          <w:rFonts w:ascii="Verdana" w:hAnsi="Verdana"/>
          <w:b/>
          <w:bCs/>
        </w:rPr>
        <w:t>Three points</w:t>
      </w:r>
    </w:p>
    <w:p w:rsidR="00100681" w:rsidRPr="00FA60B4">
      <w:pPr>
        <w:numPr>
          <w:ilvl w:val="0"/>
          <w:numId w:val="18"/>
        </w:numPr>
        <w:spacing w:before="240" w:line="240" w:lineRule="auto"/>
        <w:rPr>
          <w:rFonts w:ascii="Verdana" w:hAnsi="Verdana"/>
        </w:rPr>
      </w:pPr>
      <w:r w:rsidRPr="00FA60B4">
        <w:rPr>
          <w:rFonts w:ascii="Verdana" w:hAnsi="Verdana"/>
        </w:rPr>
        <w:t>“The same estate can face mainstream surplus and specialist pressure at once.”</w:t>
      </w:r>
    </w:p>
    <w:p w:rsidR="00100681" w:rsidRPr="00FA60B4">
      <w:pPr>
        <w:numPr>
          <w:ilvl w:val="0"/>
          <w:numId w:val="18"/>
        </w:numPr>
        <w:spacing w:line="240" w:lineRule="auto"/>
        <w:rPr>
          <w:rFonts w:ascii="Verdana" w:hAnsi="Verdana"/>
        </w:rPr>
      </w:pPr>
      <w:r w:rsidRPr="00FA60B4">
        <w:rPr>
          <w:rFonts w:ascii="Verdana" w:hAnsi="Verdana"/>
        </w:rPr>
        <w:t>“A spare classroom becomes SEND capacity only if capital, workforce and quality tests are met.”</w:t>
      </w:r>
    </w:p>
    <w:p w:rsidR="00100681" w:rsidRPr="00FA60B4">
      <w:pPr>
        <w:numPr>
          <w:ilvl w:val="0"/>
          <w:numId w:val="18"/>
        </w:numPr>
        <w:spacing w:after="240" w:line="240" w:lineRule="auto"/>
        <w:rPr>
          <w:rFonts w:ascii="Verdana" w:hAnsi="Verdana"/>
        </w:rPr>
      </w:pPr>
      <w:r w:rsidRPr="00FA60B4">
        <w:rPr>
          <w:rFonts w:ascii="Verdana" w:hAnsi="Verdana"/>
        </w:rPr>
        <w:t>“SEND conversion should be measured as a pipeline, not an aspiration.”</w:t>
      </w:r>
    </w:p>
    <w:p w:rsidR="00100681" w:rsidRPr="00FA60B4">
      <w:pPr>
        <w:spacing w:before="240" w:after="240" w:line="240" w:lineRule="auto"/>
        <w:rPr>
          <w:rFonts w:ascii="Verdana" w:hAnsi="Verdana"/>
        </w:rPr>
      </w:pPr>
      <w:r w:rsidRPr="00FA60B4">
        <w:rPr>
          <w:rFonts w:ascii="Verdana" w:hAnsi="Verdana"/>
          <w:b/>
          <w:bCs/>
        </w:rPr>
        <w:t>Counterpoint:</w:t>
      </w:r>
      <w:r w:rsidRPr="00FA60B4">
        <w:rPr>
          <w:rFonts w:ascii="Verdana" w:hAnsi="Verdana"/>
        </w:rPr>
        <w:t xml:space="preserve"> some schools will not be suitable for specialist provision. Conversion may be more costly than new or expanded provision elsewhere.</w:t>
      </w:r>
    </w:p>
    <w:p w:rsidR="00100681" w:rsidRPr="00FA60B4">
      <w:pPr>
        <w:spacing w:before="240" w:after="240" w:line="240" w:lineRule="auto"/>
        <w:rPr>
          <w:rFonts w:ascii="Verdana" w:hAnsi="Verdana"/>
        </w:rPr>
      </w:pPr>
      <w:r w:rsidRPr="00FA60B4">
        <w:rPr>
          <w:rFonts w:ascii="Verdana" w:hAnsi="Verdana"/>
          <w:b/>
          <w:bCs/>
          <w:lang w:val="en-US"/>
        </w:rPr>
        <w:t>Options:</w:t>
      </w:r>
      <w:r w:rsidRPr="00FA60B4">
        <w:rPr>
          <w:rFonts w:ascii="Verdana" w:hAnsi="Verdana"/>
          <w:lang w:val="en-US"/>
        </w:rPr>
        <w:t xml:space="preserve"> A: local audit of surplus rooms. B: national SEND conversion pipeline with local assurance. Preferred: B, because it links surplus space to forecast need.</w:t>
      </w:r>
    </w:p>
    <w:p w:rsidR="00100681" w:rsidRPr="00FA60B4" w:rsidP="79D1A2BD">
      <w:pPr>
        <w:pStyle w:val="Heading3"/>
        <w:keepNext w:val="0"/>
        <w:keepLines w:val="0"/>
        <w:spacing w:before="280"/>
        <w:rPr>
          <w:rFonts w:ascii="Verdana" w:hAnsi="Verdana"/>
          <w:b/>
          <w:bCs/>
          <w:color w:val="000000"/>
          <w:sz w:val="22"/>
          <w:szCs w:val="22"/>
          <w:lang w:val="en-US"/>
        </w:rPr>
      </w:pPr>
      <w:r w:rsidRPr="00FA60B4">
        <w:rPr>
          <w:rFonts w:ascii="Verdana" w:hAnsi="Verdana"/>
          <w:b/>
          <w:bCs/>
          <w:color w:val="000000" w:themeColor="text1"/>
          <w:sz w:val="22"/>
          <w:szCs w:val="22"/>
          <w:lang w:val="en-US"/>
        </w:rPr>
        <w:t>5.5 Act, white paper and government support</w:t>
      </w:r>
      <w:r w:rsidRPr="00FA60B4">
        <w:rPr>
          <w:rFonts w:ascii="Verdana" w:hAnsi="Verdana"/>
          <w:b/>
          <w:bCs/>
          <w:color w:val="000000"/>
          <w:sz w:val="22"/>
          <w:szCs w:val="22"/>
        </w:rPr>
        <w:t>5.5 Act, white paper and government support</w:t>
      </w:r>
    </w:p>
    <w:p w:rsidR="00100681" w:rsidRPr="00FA60B4">
      <w:pPr>
        <w:spacing w:before="240" w:after="240" w:line="240" w:lineRule="auto"/>
        <w:rPr>
          <w:rFonts w:ascii="Verdana" w:hAnsi="Verdana"/>
        </w:rPr>
      </w:pPr>
      <w:r w:rsidRPr="00FA60B4">
        <w:rPr>
          <w:rFonts w:ascii="Verdana" w:hAnsi="Verdana"/>
        </w:rPr>
        <w:t>The Act and white paper create an opportunity to align falling rolls with wider school and SEND reform, but also a risk of adding duties without a visible sufficiency model. The white paper sets out the Government’s vision for schools and SEND reform [10]. The Education Estates Strategy calls for more proactive estate management and alignment of place creation with SEND and skills [8]. The operational guide sets falling rolls rules [7].</w:t>
      </w:r>
    </w:p>
    <w:p w:rsidR="00100681" w:rsidRPr="00FA60B4">
      <w:pPr>
        <w:spacing w:before="240" w:after="240" w:line="240" w:lineRule="auto"/>
        <w:rPr>
          <w:rFonts w:ascii="Verdana" w:hAnsi="Verdana"/>
        </w:rPr>
      </w:pPr>
      <w:r w:rsidRPr="00FA60B4">
        <w:rPr>
          <w:rFonts w:ascii="Verdana" w:hAnsi="Verdana"/>
          <w:b/>
          <w:bCs/>
        </w:rPr>
        <w:t>Evidence-based observations:</w:t>
      </w:r>
      <w:r w:rsidRPr="00FA60B4">
        <w:rPr>
          <w:rFonts w:ascii="Verdana" w:hAnsi="Verdana"/>
        </w:rPr>
        <w:t xml:space="preserve"> current policy streams address estate, SEND, admissions, funding and trusts, but not as one integrated falling-rolls model; revenue follows pupils, while estate and SEND changes may need up-front capital and workforce planning; DfE should show how place reduction, SEND inclusion, early years use and financial sufficiency interact.</w:t>
      </w:r>
    </w:p>
    <w:p w:rsidR="00100681" w:rsidRPr="00FA60B4">
      <w:pPr>
        <w:spacing w:before="240" w:after="240" w:line="240" w:lineRule="auto"/>
        <w:rPr>
          <w:rFonts w:ascii="Verdana" w:hAnsi="Verdana"/>
        </w:rPr>
      </w:pPr>
      <w:r w:rsidRPr="00FA60B4">
        <w:rPr>
          <w:rFonts w:ascii="Verdana" w:hAnsi="Verdana"/>
          <w:b/>
          <w:bCs/>
          <w:lang w:val="en-US"/>
        </w:rPr>
        <w:t>Added value:</w:t>
      </w:r>
      <w:r w:rsidRPr="00FA60B4">
        <w:rPr>
          <w:rFonts w:ascii="Verdana" w:hAnsi="Verdana"/>
          <w:lang w:val="en-US"/>
        </w:rPr>
        <w:t xml:space="preserve"> the Committee can request a “school place transition test” tying money, estate and outcomes together.</w:t>
      </w:r>
    </w:p>
    <w:p w:rsidR="00100681" w:rsidRPr="00FA60B4">
      <w:pPr>
        <w:spacing w:before="240" w:after="240" w:line="240" w:lineRule="auto"/>
        <w:rPr>
          <w:rFonts w:ascii="Verdana" w:hAnsi="Verdana"/>
          <w:b/>
          <w:bCs/>
        </w:rPr>
      </w:pPr>
      <w:r w:rsidRPr="00FA60B4">
        <w:rPr>
          <w:rFonts w:ascii="Verdana" w:hAnsi="Verdana"/>
          <w:b/>
          <w:bCs/>
        </w:rPr>
        <w:t>Three points</w:t>
      </w:r>
    </w:p>
    <w:p w:rsidR="00100681" w:rsidRPr="00FA60B4">
      <w:pPr>
        <w:numPr>
          <w:ilvl w:val="0"/>
          <w:numId w:val="6"/>
        </w:numPr>
        <w:spacing w:before="240" w:line="240" w:lineRule="auto"/>
        <w:rPr>
          <w:rFonts w:ascii="Verdana" w:hAnsi="Verdana"/>
        </w:rPr>
      </w:pPr>
      <w:r w:rsidRPr="00FA60B4">
        <w:rPr>
          <w:rFonts w:ascii="Verdana" w:hAnsi="Verdana"/>
        </w:rPr>
        <w:t>“Policy success should be measured by fit between demand, space, money and outcomes.”</w:t>
      </w:r>
    </w:p>
    <w:p w:rsidR="00100681" w:rsidRPr="00FA60B4">
      <w:pPr>
        <w:numPr>
          <w:ilvl w:val="0"/>
          <w:numId w:val="6"/>
        </w:numPr>
        <w:spacing w:line="240" w:lineRule="auto"/>
        <w:rPr>
          <w:rFonts w:ascii="Verdana" w:hAnsi="Verdana"/>
        </w:rPr>
      </w:pPr>
      <w:r w:rsidRPr="00FA60B4">
        <w:rPr>
          <w:rFonts w:ascii="Verdana" w:hAnsi="Verdana"/>
        </w:rPr>
        <w:t>“Repurposing surplus space is value for money only if it passes a quality and cost test.”</w:t>
      </w:r>
    </w:p>
    <w:p w:rsidR="00100681" w:rsidRPr="00FA60B4">
      <w:pPr>
        <w:numPr>
          <w:ilvl w:val="0"/>
          <w:numId w:val="6"/>
        </w:numPr>
        <w:spacing w:after="240" w:line="240" w:lineRule="auto"/>
        <w:rPr>
          <w:rFonts w:ascii="Verdana" w:hAnsi="Verdana"/>
        </w:rPr>
      </w:pPr>
      <w:r w:rsidRPr="00FA60B4">
        <w:rPr>
          <w:rFonts w:ascii="Verdana" w:hAnsi="Verdana"/>
        </w:rPr>
        <w:t>“Government support should make local choices more transparent, not more fragmented.”</w:t>
      </w:r>
    </w:p>
    <w:p w:rsidR="00100681" w:rsidRPr="00FA60B4">
      <w:pPr>
        <w:spacing w:before="240" w:after="240" w:line="240" w:lineRule="auto"/>
        <w:rPr>
          <w:rFonts w:ascii="Verdana" w:hAnsi="Verdana"/>
        </w:rPr>
      </w:pPr>
      <w:r w:rsidRPr="00FA60B4">
        <w:rPr>
          <w:rFonts w:ascii="Verdana" w:hAnsi="Verdana"/>
          <w:b/>
          <w:bCs/>
          <w:lang w:val="en-US"/>
        </w:rPr>
        <w:t>Counterpoint:</w:t>
      </w:r>
      <w:r w:rsidRPr="00FA60B4">
        <w:rPr>
          <w:rFonts w:ascii="Verdana" w:hAnsi="Verdana"/>
          <w:lang w:val="en-US"/>
        </w:rPr>
        <w:t xml:space="preserve"> a single national model must not override local knowledge. It should set minimum data, thresholds and assurance.</w:t>
      </w:r>
    </w:p>
    <w:p w:rsidR="00100681" w:rsidRPr="00FA60B4">
      <w:pPr>
        <w:spacing w:before="240" w:after="240" w:line="240" w:lineRule="auto"/>
        <w:rPr>
          <w:rFonts w:ascii="Verdana" w:hAnsi="Verdana"/>
        </w:rPr>
      </w:pPr>
      <w:r w:rsidRPr="00FA60B4">
        <w:rPr>
          <w:rFonts w:ascii="Verdana" w:hAnsi="Verdana"/>
          <w:b/>
          <w:bCs/>
          <w:lang w:val="en-US"/>
        </w:rPr>
        <w:t>Options:</w:t>
      </w:r>
      <w:r w:rsidRPr="00FA60B4">
        <w:rPr>
          <w:rFonts w:ascii="Verdana" w:hAnsi="Verdana"/>
          <w:lang w:val="en-US"/>
        </w:rPr>
        <w:t xml:space="preserve"> A: guidance and examples. B: annual school-place transition report to Parliament. Preferred: B, because it supports scrutiny and learning.</w:t>
      </w:r>
    </w:p>
    <w:p w:rsidR="00100681" w:rsidRPr="00FA60B4">
      <w:pPr>
        <w:pStyle w:val="Heading2"/>
        <w:keepNext w:val="0"/>
        <w:keepLines w:val="0"/>
        <w:spacing w:after="80"/>
        <w:rPr>
          <w:rFonts w:ascii="Verdana" w:hAnsi="Verdana"/>
          <w:b/>
          <w:bCs/>
          <w:sz w:val="22"/>
          <w:szCs w:val="22"/>
        </w:rPr>
      </w:pPr>
      <w:bookmarkStart w:id="4" w:name="_uin81el3cai5" w:colFirst="0" w:colLast="0"/>
      <w:bookmarkEnd w:id="4"/>
      <w:r w:rsidRPr="00FA60B4">
        <w:rPr>
          <w:rFonts w:ascii="Verdana" w:hAnsi="Verdana"/>
          <w:b/>
          <w:bCs/>
          <w:sz w:val="22"/>
          <w:szCs w:val="22"/>
        </w:rPr>
        <w:t>6) Recommendations</w:t>
      </w:r>
    </w:p>
    <w:p w:rsidR="00100681" w:rsidRPr="00FA60B4">
      <w:pPr>
        <w:spacing w:before="240" w:after="240" w:line="240" w:lineRule="auto"/>
        <w:rPr>
          <w:rFonts w:ascii="Verdana" w:hAnsi="Verdana"/>
          <w:b/>
          <w:bCs/>
        </w:rPr>
      </w:pPr>
      <w:r w:rsidRPr="00FA60B4">
        <w:rPr>
          <w:rFonts w:ascii="Verdana" w:hAnsi="Verdana"/>
          <w:b/>
          <w:bCs/>
        </w:rPr>
        <w:t>Quick wins</w:t>
      </w:r>
    </w:p>
    <w:p w:rsidR="00100681" w:rsidRPr="00FA60B4" w:rsidP="79D1A2BD">
      <w:pPr>
        <w:numPr>
          <w:ilvl w:val="0"/>
          <w:numId w:val="3"/>
        </w:numPr>
        <w:spacing w:before="240" w:line="240" w:lineRule="auto"/>
        <w:rPr>
          <w:rFonts w:ascii="Verdana" w:hAnsi="Verdana"/>
        </w:rPr>
      </w:pPr>
      <w:r w:rsidRPr="00FA60B4">
        <w:rPr>
          <w:rFonts w:ascii="Verdana" w:hAnsi="Verdana"/>
          <w:b/>
          <w:bCs/>
          <w:lang w:val="en-US"/>
        </w:rPr>
        <w:t>Planning-area dashboard.</w:t>
      </w:r>
      <w:r w:rsidRPr="00FA60B4">
        <w:rPr>
          <w:rFonts w:ascii="Verdana" w:hAnsi="Verdana"/>
          <w:lang w:val="en-US"/>
        </w:rPr>
        <w:t xml:space="preserve"> Committee lever: ask DfE to provide it within three months. Delivery: DfE and local authorities publish capacity, unfilled places, forecasts, PAN, school type and planned changes. Check: dashboard coverage and update date.</w:t>
      </w:r>
    </w:p>
    <w:p w:rsidR="00100681" w:rsidRPr="00FA60B4" w:rsidP="79D1A2BD">
      <w:pPr>
        <w:numPr>
          <w:ilvl w:val="0"/>
          <w:numId w:val="3"/>
        </w:numPr>
        <w:spacing w:line="240" w:lineRule="auto"/>
        <w:rPr>
          <w:rFonts w:ascii="Verdana" w:hAnsi="Verdana"/>
        </w:rPr>
      </w:pPr>
      <w:r w:rsidRPr="00FA60B4">
        <w:rPr>
          <w:rFonts w:ascii="Verdana" w:hAnsi="Verdana"/>
          <w:b/>
          <w:bCs/>
          <w:lang w:val="en-US"/>
        </w:rPr>
        <w:t>Falling rolls fund outcome report.</w:t>
      </w:r>
      <w:r w:rsidRPr="00FA60B4">
        <w:rPr>
          <w:rFonts w:ascii="Verdana" w:hAnsi="Verdana"/>
          <w:lang w:val="en-US"/>
        </w:rPr>
        <w:t xml:space="preserve"> Committee lever: request allocations, refusals and outcomes for 2024/25 to 2026/27. Delivery: DfE defines whether the fund is a bridge, restructuring or sufficiency support. Check: 12-month school-level outcomes.</w:t>
      </w:r>
    </w:p>
    <w:p w:rsidR="00100681" w:rsidRPr="00FA60B4" w:rsidP="79D1A2BD">
      <w:pPr>
        <w:numPr>
          <w:ilvl w:val="0"/>
          <w:numId w:val="3"/>
        </w:numPr>
        <w:spacing w:after="240" w:line="240" w:lineRule="auto"/>
        <w:rPr>
          <w:rFonts w:ascii="Verdana" w:hAnsi="Verdana"/>
        </w:rPr>
      </w:pPr>
      <w:r w:rsidRPr="00FA60B4">
        <w:rPr>
          <w:rFonts w:ascii="Verdana" w:hAnsi="Verdana"/>
          <w:b/>
          <w:bCs/>
          <w:lang w:val="en-US"/>
        </w:rPr>
        <w:t>SEND conversion pipeline.</w:t>
      </w:r>
      <w:r w:rsidRPr="00FA60B4">
        <w:rPr>
          <w:rFonts w:ascii="Verdana" w:hAnsi="Verdana"/>
          <w:lang w:val="en-US"/>
        </w:rPr>
        <w:t xml:space="preserve"> Committee lever: ask DfE for local authority returns on spare-space suitability. Delivery: local authorities and trusts assess adaptation, staffing, transport and quality assurance by 2027. Check: places opened and outcomes monitored.</w:t>
      </w:r>
    </w:p>
    <w:p w:rsidR="00100681" w:rsidRPr="00FA60B4">
      <w:pPr>
        <w:spacing w:before="240" w:after="240" w:line="240" w:lineRule="auto"/>
        <w:rPr>
          <w:rFonts w:ascii="Verdana" w:hAnsi="Verdana"/>
          <w:b/>
          <w:bCs/>
        </w:rPr>
      </w:pPr>
      <w:r w:rsidRPr="00FA60B4">
        <w:rPr>
          <w:rFonts w:ascii="Verdana" w:hAnsi="Verdana"/>
          <w:b/>
          <w:bCs/>
        </w:rPr>
        <w:t>Structural</w:t>
      </w:r>
    </w:p>
    <w:p w:rsidR="00100681" w:rsidRPr="00FA60B4" w:rsidP="79D1A2BD">
      <w:pPr>
        <w:numPr>
          <w:ilvl w:val="0"/>
          <w:numId w:val="4"/>
        </w:numPr>
        <w:spacing w:before="240" w:line="240" w:lineRule="auto"/>
        <w:rPr>
          <w:rFonts w:ascii="Verdana" w:hAnsi="Verdana"/>
        </w:rPr>
      </w:pPr>
      <w:r w:rsidRPr="00FA60B4">
        <w:rPr>
          <w:rFonts w:ascii="Verdana" w:hAnsi="Verdana"/>
          <w:b/>
          <w:bCs/>
          <w:lang w:val="en-US"/>
        </w:rPr>
        <w:t>Accountability chain.</w:t>
      </w:r>
      <w:r w:rsidRPr="00FA60B4">
        <w:rPr>
          <w:rFonts w:ascii="Verdana" w:hAnsi="Verdana"/>
          <w:lang w:val="en-US"/>
        </w:rPr>
        <w:t xml:space="preserve"> Committee lever: hearing questions to DfE, local authorities and trusts. Delivery: DfE publishes decision rules for PAN reduction, merger, closure, repurposing, dispute and funding by 2027. Check: five worked local examples.</w:t>
      </w:r>
    </w:p>
    <w:p w:rsidR="00100681" w:rsidRPr="00FA60B4" w:rsidP="79D1A2BD">
      <w:pPr>
        <w:numPr>
          <w:ilvl w:val="0"/>
          <w:numId w:val="4"/>
        </w:numPr>
        <w:spacing w:after="240" w:line="240" w:lineRule="auto"/>
        <w:rPr>
          <w:rFonts w:ascii="Verdana" w:hAnsi="Verdana"/>
        </w:rPr>
      </w:pPr>
      <w:r w:rsidRPr="00FA60B4">
        <w:rPr>
          <w:rFonts w:ascii="Verdana" w:hAnsi="Verdana"/>
          <w:b/>
          <w:bCs/>
          <w:lang w:val="en-US"/>
        </w:rPr>
        <w:t>Annual VFM and outcomes report.</w:t>
      </w:r>
      <w:r w:rsidRPr="00FA60B4">
        <w:rPr>
          <w:rFonts w:ascii="Verdana" w:hAnsi="Verdana"/>
          <w:lang w:val="en-US"/>
        </w:rPr>
        <w:t xml:space="preserve"> Committee lever: recommend annual reporting to Parliament from 2026/27. Delivery: DfE reports demand, capacity, finance, SEND conversion and pupil outcomes. Check: metrics in section 8.</w:t>
      </w:r>
    </w:p>
    <w:p w:rsidR="00100681" w:rsidRPr="00FA60B4">
      <w:pPr>
        <w:pStyle w:val="Heading2"/>
        <w:keepNext w:val="0"/>
        <w:keepLines w:val="0"/>
        <w:spacing w:after="80"/>
        <w:rPr>
          <w:rFonts w:ascii="Verdana" w:hAnsi="Verdana"/>
          <w:b/>
          <w:bCs/>
          <w:sz w:val="22"/>
          <w:szCs w:val="22"/>
        </w:rPr>
      </w:pPr>
      <w:bookmarkStart w:id="5" w:name="_e05v1fj949of" w:colFirst="0" w:colLast="0"/>
      <w:bookmarkEnd w:id="5"/>
      <w:r w:rsidRPr="00FA60B4">
        <w:rPr>
          <w:rFonts w:ascii="Verdana" w:hAnsi="Verdana"/>
          <w:b/>
          <w:bCs/>
          <w:sz w:val="22"/>
          <w:szCs w:val="22"/>
        </w:rPr>
        <w:t>7) Quant-lite results and Minimum Data Request Pack</w:t>
      </w:r>
    </w:p>
    <w:p w:rsidR="00100681" w:rsidRPr="00FA60B4">
      <w:pPr>
        <w:spacing w:before="240" w:after="240" w:line="240" w:lineRule="auto"/>
        <w:rPr>
          <w:rFonts w:ascii="Verdana" w:hAnsi="Verdana"/>
          <w:b/>
          <w:bCs/>
        </w:rPr>
      </w:pPr>
      <w:r w:rsidRPr="00FA60B4">
        <w:rPr>
          <w:rFonts w:ascii="Verdana" w:hAnsi="Verdana"/>
          <w:b/>
          <w:bCs/>
        </w:rPr>
        <w:t>Derived metrics</w:t>
      </w:r>
    </w:p>
    <w:tbl>
      <w:tblPr>
        <w:tblStyle w:val="Table1"/>
        <w:tblW w:w="9025" w:type="dxa"/>
        <w:tblInd w:w="0" w:type="dxa"/>
        <w:tblBorders>
          <w:top w:val="nil"/>
          <w:left w:val="nil"/>
          <w:bottom w:val="nil"/>
          <w:right w:val="nil"/>
          <w:insideH w:val="nil"/>
          <w:insideV w:val="nil"/>
        </w:tblBorders>
        <w:tblLayout w:type="fixed"/>
        <w:tblLook w:val="0600"/>
      </w:tblPr>
      <w:tblGrid>
        <w:gridCol w:w="1494"/>
        <w:gridCol w:w="3177"/>
        <w:gridCol w:w="1991"/>
        <w:gridCol w:w="2363"/>
      </w:tblGrid>
      <w:tr>
        <w:tblPrEx>
          <w:tblW w:w="9025" w:type="dxa"/>
          <w:tblInd w:w="0" w:type="dxa"/>
          <w:tblBorders>
            <w:top w:val="nil"/>
            <w:left w:val="nil"/>
            <w:bottom w:val="nil"/>
            <w:right w:val="nil"/>
            <w:insideH w:val="nil"/>
            <w:insideV w:val="nil"/>
          </w:tblBorders>
          <w:tblLayout w:type="fixed"/>
          <w:tblLook w:val="0600"/>
        </w:tblPrEx>
        <w:trPr>
          <w:trHeight w:val="500"/>
        </w:trPr>
        <w:tc>
          <w:tcPr>
            <w:tcW w:w="1494"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Metric</w:t>
            </w:r>
          </w:p>
        </w:tc>
        <w:tc>
          <w:tcPr>
            <w:tcW w:w="3177"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Definition and inputs</w:t>
            </w:r>
          </w:p>
        </w:tc>
        <w:tc>
          <w:tcPr>
            <w:tcW w:w="1991"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Result and use</w:t>
            </w:r>
          </w:p>
        </w:tc>
        <w:tc>
          <w:tcPr>
            <w:tcW w:w="2363"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Caveat</w:t>
            </w:r>
          </w:p>
        </w:tc>
      </w:tr>
      <w:tr>
        <w:tblPrEx>
          <w:tblW w:w="9025" w:type="dxa"/>
          <w:tblInd w:w="0" w:type="dxa"/>
          <w:tblLayout w:type="fixed"/>
          <w:tblLook w:val="0600"/>
        </w:tblPrEx>
        <w:trPr>
          <w:trHeight w:val="1055"/>
        </w:trPr>
        <w:tc>
          <w:tcPr>
            <w:tcW w:w="1494"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Local mismatch ratio</w:t>
            </w:r>
          </w:p>
        </w:tc>
        <w:tc>
          <w:tcPr>
            <w:tcW w:w="317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680,000 unfilled primary places divided by 26,000 primary places still needed by 2029/30 [2].</w:t>
            </w:r>
          </w:p>
        </w:tc>
        <w:tc>
          <w:tcPr>
            <w:tcW w:w="1991"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26.2, rounded to 26:1. Tests planning-area need.</w:t>
            </w:r>
          </w:p>
        </w:tc>
        <w:tc>
          <w:tcPr>
            <w:tcW w:w="2363"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Rounded national figures; not a closure indicator.</w:t>
            </w:r>
          </w:p>
        </w:tc>
      </w:tr>
      <w:tr>
        <w:tblPrEx>
          <w:tblW w:w="9025" w:type="dxa"/>
          <w:tblInd w:w="0" w:type="dxa"/>
          <w:tblLayout w:type="fixed"/>
          <w:tblLook w:val="0600"/>
        </w:tblPrEx>
        <w:trPr>
          <w:trHeight w:val="1325"/>
        </w:trPr>
        <w:tc>
          <w:tcPr>
            <w:tcW w:w="1494"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Transition finance ratio</w:t>
            </w:r>
          </w:p>
        </w:tc>
        <w:tc>
          <w:tcPr>
            <w:tcW w:w="317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Just under £27m falling rolls fund divided by £288m illustrative 2027 funding exposure [5].</w:t>
            </w:r>
          </w:p>
        </w:tc>
        <w:tc>
          <w:tcPr>
            <w:tcW w:w="1991"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Below 9.4%. Tests support scale and purpose.</w:t>
            </w:r>
          </w:p>
        </w:tc>
        <w:tc>
          <w:tcPr>
            <w:tcW w:w="2363"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Denominator is illustrative exposure, not net deficits.</w:t>
            </w:r>
          </w:p>
        </w:tc>
      </w:tr>
      <w:tr>
        <w:tblPrEx>
          <w:tblW w:w="9025" w:type="dxa"/>
          <w:tblInd w:w="0" w:type="dxa"/>
          <w:tblLayout w:type="fixed"/>
          <w:tblLook w:val="0600"/>
        </w:tblPrEx>
        <w:trPr>
          <w:trHeight w:val="1055"/>
        </w:trPr>
        <w:tc>
          <w:tcPr>
            <w:tcW w:w="1494"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Specialist demand growth</w:t>
            </w:r>
          </w:p>
        </w:tc>
        <w:tc>
          <w:tcPr>
            <w:tcW w:w="317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310,000 minus 260,000, divided by 260,000 [2].</w:t>
            </w:r>
          </w:p>
        </w:tc>
        <w:tc>
          <w:tcPr>
            <w:tcW w:w="1991"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19.2%. Tests need for SEND pipeline.</w:t>
            </w:r>
          </w:p>
        </w:tc>
        <w:tc>
          <w:tcPr>
            <w:tcW w:w="2363"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SEN data are official statistics in development.</w:t>
            </w:r>
          </w:p>
        </w:tc>
      </w:tr>
    </w:tbl>
    <w:p w:rsidR="00100681" w:rsidRPr="00FA60B4">
      <w:pPr>
        <w:spacing w:before="240" w:after="240" w:line="240" w:lineRule="auto"/>
        <w:rPr>
          <w:rFonts w:ascii="Verdana" w:hAnsi="Verdana"/>
          <w:b/>
          <w:bCs/>
        </w:rPr>
      </w:pPr>
      <w:r w:rsidRPr="00FA60B4">
        <w:rPr>
          <w:rFonts w:ascii="Verdana" w:hAnsi="Verdana"/>
          <w:b/>
          <w:bCs/>
        </w:rPr>
        <w:t>Minimum Data Request Pack</w:t>
      </w:r>
    </w:p>
    <w:tbl>
      <w:tblPr>
        <w:tblStyle w:val="Table2"/>
        <w:tblW w:w="9025" w:type="dxa"/>
        <w:tblInd w:w="0" w:type="dxa"/>
        <w:tblBorders>
          <w:top w:val="nil"/>
          <w:left w:val="nil"/>
          <w:bottom w:val="nil"/>
          <w:right w:val="nil"/>
          <w:insideH w:val="nil"/>
          <w:insideV w:val="nil"/>
        </w:tblBorders>
        <w:tblLayout w:type="fixed"/>
        <w:tblLook w:val="0600"/>
      </w:tblPr>
      <w:tblGrid>
        <w:gridCol w:w="1536"/>
        <w:gridCol w:w="3137"/>
        <w:gridCol w:w="1794"/>
        <w:gridCol w:w="1008"/>
        <w:gridCol w:w="1550"/>
      </w:tblGrid>
      <w:tr>
        <w:tblPrEx>
          <w:tblW w:w="9025" w:type="dxa"/>
          <w:tblInd w:w="0" w:type="dxa"/>
          <w:tblBorders>
            <w:top w:val="nil"/>
            <w:left w:val="nil"/>
            <w:bottom w:val="nil"/>
            <w:right w:val="nil"/>
            <w:insideH w:val="nil"/>
            <w:insideV w:val="nil"/>
          </w:tblBorders>
          <w:tblLayout w:type="fixed"/>
          <w:tblLook w:val="0600"/>
        </w:tblPrEx>
        <w:trPr>
          <w:trHeight w:val="785"/>
        </w:trPr>
        <w:tc>
          <w:tcPr>
            <w:tcW w:w="1537"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Field</w:t>
            </w:r>
          </w:p>
        </w:tc>
        <w:tc>
          <w:tcPr>
            <w:tcW w:w="3137"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Definition</w:t>
            </w:r>
          </w:p>
        </w:tc>
        <w:tc>
          <w:tcPr>
            <w:tcW w:w="1794"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Owner</w:t>
            </w:r>
          </w:p>
        </w:tc>
        <w:tc>
          <w:tcPr>
            <w:tcW w:w="1008"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Cadence</w:t>
            </w:r>
          </w:p>
        </w:tc>
        <w:tc>
          <w:tcPr>
            <w:tcW w:w="1550"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Enables test of</w:t>
            </w:r>
          </w:p>
        </w:tc>
      </w:tr>
      <w:tr>
        <w:tblPrEx>
          <w:tblW w:w="9025" w:type="dxa"/>
          <w:tblInd w:w="0" w:type="dxa"/>
          <w:tblLayout w:type="fixed"/>
          <w:tblLook w:val="0600"/>
        </w:tblPrEx>
        <w:trPr>
          <w:trHeight w:val="785"/>
        </w:trPr>
        <w:tc>
          <w:tcPr>
            <w:tcW w:w="153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Planning-area capacity</w:t>
            </w:r>
          </w:p>
        </w:tc>
        <w:tc>
          <w:tcPr>
            <w:tcW w:w="313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Capacity, roll, unfilled places, forecast by year group</w:t>
            </w:r>
          </w:p>
        </w:tc>
        <w:tc>
          <w:tcPr>
            <w:tcW w:w="1794"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DfE, local authorities</w:t>
            </w:r>
          </w:p>
        </w:tc>
        <w:tc>
          <w:tcPr>
            <w:tcW w:w="1008"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Annual</w:t>
            </w:r>
          </w:p>
        </w:tc>
        <w:tc>
          <w:tcPr>
            <w:tcW w:w="155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Local mismatch</w:t>
            </w:r>
          </w:p>
        </w:tc>
      </w:tr>
      <w:tr>
        <w:tblPrEx>
          <w:tblW w:w="9025" w:type="dxa"/>
          <w:tblInd w:w="0" w:type="dxa"/>
          <w:tblLayout w:type="fixed"/>
          <w:tblLook w:val="0600"/>
        </w:tblPrEx>
        <w:trPr>
          <w:trHeight w:val="785"/>
        </w:trPr>
        <w:tc>
          <w:tcPr>
            <w:tcW w:w="153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PAN changes</w:t>
            </w:r>
          </w:p>
        </w:tc>
        <w:tc>
          <w:tcPr>
            <w:tcW w:w="313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Published admission number, proposed and agreed changes</w:t>
            </w:r>
          </w:p>
        </w:tc>
        <w:tc>
          <w:tcPr>
            <w:tcW w:w="1794"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Local authorities, trusts</w:t>
            </w:r>
          </w:p>
        </w:tc>
        <w:tc>
          <w:tcPr>
            <w:tcW w:w="1008"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Annual</w:t>
            </w:r>
          </w:p>
        </w:tc>
        <w:tc>
          <w:tcPr>
            <w:tcW w:w="155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Active adjustment</w:t>
            </w:r>
          </w:p>
        </w:tc>
      </w:tr>
      <w:tr>
        <w:tblPrEx>
          <w:tblW w:w="9025" w:type="dxa"/>
          <w:tblInd w:w="0" w:type="dxa"/>
          <w:tblLayout w:type="fixed"/>
          <w:tblLook w:val="0600"/>
        </w:tblPrEx>
        <w:trPr>
          <w:trHeight w:val="785"/>
        </w:trPr>
        <w:tc>
          <w:tcPr>
            <w:tcW w:w="153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Falling rolls fund</w:t>
            </w:r>
          </w:p>
        </w:tc>
        <w:tc>
          <w:tcPr>
            <w:tcW w:w="313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Applications, allocations, refusals, use, outcome</w:t>
            </w:r>
          </w:p>
        </w:tc>
        <w:tc>
          <w:tcPr>
            <w:tcW w:w="1794"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DfE, local authorities</w:t>
            </w:r>
          </w:p>
        </w:tc>
        <w:tc>
          <w:tcPr>
            <w:tcW w:w="1008"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Annual</w:t>
            </w:r>
          </w:p>
        </w:tc>
        <w:tc>
          <w:tcPr>
            <w:tcW w:w="155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Fund effectiveness</w:t>
            </w:r>
          </w:p>
        </w:tc>
      </w:tr>
      <w:tr>
        <w:tblPrEx>
          <w:tblW w:w="9025" w:type="dxa"/>
          <w:tblInd w:w="0" w:type="dxa"/>
          <w:tblLayout w:type="fixed"/>
          <w:tblLook w:val="0600"/>
        </w:tblPrEx>
        <w:trPr>
          <w:trHeight w:val="785"/>
        </w:trPr>
        <w:tc>
          <w:tcPr>
            <w:tcW w:w="153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Financial risk</w:t>
            </w:r>
          </w:p>
        </w:tc>
        <w:tc>
          <w:tcPr>
            <w:tcW w:w="313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Deficit, reserves, pupil change, staffing cost</w:t>
            </w:r>
          </w:p>
        </w:tc>
        <w:tc>
          <w:tcPr>
            <w:tcW w:w="1794"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DfE, ESFA, local authorities</w:t>
            </w:r>
          </w:p>
        </w:tc>
        <w:tc>
          <w:tcPr>
            <w:tcW w:w="1008"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Annual</w:t>
            </w:r>
          </w:p>
        </w:tc>
        <w:tc>
          <w:tcPr>
            <w:tcW w:w="155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Sufficiency</w:t>
            </w:r>
          </w:p>
        </w:tc>
      </w:tr>
      <w:tr>
        <w:tblPrEx>
          <w:tblW w:w="9025" w:type="dxa"/>
          <w:tblInd w:w="0" w:type="dxa"/>
          <w:tblLayout w:type="fixed"/>
          <w:tblLook w:val="0600"/>
        </w:tblPrEx>
        <w:trPr>
          <w:trHeight w:val="785"/>
        </w:trPr>
        <w:tc>
          <w:tcPr>
            <w:tcW w:w="153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SEND pipeline</w:t>
            </w:r>
          </w:p>
        </w:tc>
        <w:tc>
          <w:tcPr>
            <w:tcW w:w="313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Space assessed, capital, staffing, places opened</w:t>
            </w:r>
          </w:p>
        </w:tc>
        <w:tc>
          <w:tcPr>
            <w:tcW w:w="1794"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DfE, local authorities</w:t>
            </w:r>
          </w:p>
        </w:tc>
        <w:tc>
          <w:tcPr>
            <w:tcW w:w="1008"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Termly</w:t>
            </w:r>
          </w:p>
        </w:tc>
        <w:tc>
          <w:tcPr>
            <w:tcW w:w="155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Conversion quality</w:t>
            </w:r>
          </w:p>
        </w:tc>
      </w:tr>
      <w:tr>
        <w:tblPrEx>
          <w:tblW w:w="9025" w:type="dxa"/>
          <w:tblInd w:w="0" w:type="dxa"/>
          <w:tblLayout w:type="fixed"/>
          <w:tblLook w:val="0600"/>
        </w:tblPrEx>
        <w:trPr>
          <w:trHeight w:val="785"/>
        </w:trPr>
        <w:tc>
          <w:tcPr>
            <w:tcW w:w="153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Family impact</w:t>
            </w:r>
          </w:p>
        </w:tc>
        <w:tc>
          <w:tcPr>
            <w:tcW w:w="313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Travel time, appeals, consultation themes</w:t>
            </w:r>
          </w:p>
        </w:tc>
        <w:tc>
          <w:tcPr>
            <w:tcW w:w="1794"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Local authorities</w:t>
            </w:r>
          </w:p>
        </w:tc>
        <w:tc>
          <w:tcPr>
            <w:tcW w:w="1008"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Annual</w:t>
            </w:r>
          </w:p>
        </w:tc>
        <w:tc>
          <w:tcPr>
            <w:tcW w:w="155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Community effect</w:t>
            </w:r>
          </w:p>
        </w:tc>
      </w:tr>
      <w:tr>
        <w:tblPrEx>
          <w:tblW w:w="9025" w:type="dxa"/>
          <w:tblInd w:w="0" w:type="dxa"/>
          <w:tblLayout w:type="fixed"/>
          <w:tblLook w:val="0600"/>
        </w:tblPrEx>
        <w:trPr>
          <w:trHeight w:val="1055"/>
        </w:trPr>
        <w:tc>
          <w:tcPr>
            <w:tcW w:w="153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Outcomes</w:t>
            </w:r>
          </w:p>
        </w:tc>
        <w:tc>
          <w:tcPr>
            <w:tcW w:w="3137"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Attendance, attainment, exclusions by SEND and disadvantage</w:t>
            </w:r>
          </w:p>
        </w:tc>
        <w:tc>
          <w:tcPr>
            <w:tcW w:w="1794"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DfE</w:t>
            </w:r>
          </w:p>
        </w:tc>
        <w:tc>
          <w:tcPr>
            <w:tcW w:w="1008"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Annual</w:t>
            </w:r>
          </w:p>
        </w:tc>
        <w:tc>
          <w:tcPr>
            <w:tcW w:w="155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Equity and quality</w:t>
            </w:r>
          </w:p>
        </w:tc>
      </w:tr>
    </w:tbl>
    <w:p w:rsidR="00100681" w:rsidRPr="00FA60B4">
      <w:pPr>
        <w:pStyle w:val="Heading2"/>
        <w:keepNext w:val="0"/>
        <w:keepLines w:val="0"/>
        <w:spacing w:after="80"/>
        <w:rPr>
          <w:rFonts w:ascii="Verdana" w:hAnsi="Verdana"/>
          <w:b/>
          <w:bCs/>
          <w:sz w:val="22"/>
          <w:szCs w:val="22"/>
        </w:rPr>
      </w:pPr>
      <w:bookmarkStart w:id="6" w:name="_s4k1mbh1y0fh" w:colFirst="0" w:colLast="0"/>
      <w:bookmarkEnd w:id="6"/>
      <w:r w:rsidRPr="00FA60B4">
        <w:rPr>
          <w:rFonts w:ascii="Verdana" w:hAnsi="Verdana"/>
          <w:b/>
          <w:bCs/>
          <w:sz w:val="22"/>
          <w:szCs w:val="22"/>
        </w:rPr>
        <w:t>8) Impact / performance / VFM artefact</w:t>
      </w:r>
    </w:p>
    <w:p w:rsidR="00100681" w:rsidRPr="00FA60B4">
      <w:pPr>
        <w:spacing w:before="240" w:after="240" w:line="240" w:lineRule="auto"/>
        <w:rPr>
          <w:rFonts w:ascii="Verdana" w:hAnsi="Verdana"/>
        </w:rPr>
      </w:pPr>
      <w:r w:rsidRPr="00FA60B4">
        <w:rPr>
          <w:rFonts w:ascii="Verdana" w:hAnsi="Verdana"/>
        </w:rPr>
        <w:t>The Committee could request a standard “school place transition template” for each high-risk planning area:</w:t>
      </w:r>
    </w:p>
    <w:p w:rsidR="00100681" w:rsidRPr="00FA60B4">
      <w:pPr>
        <w:numPr>
          <w:ilvl w:val="0"/>
          <w:numId w:val="17"/>
        </w:numPr>
        <w:spacing w:before="240" w:line="240" w:lineRule="auto"/>
        <w:rPr>
          <w:rFonts w:ascii="Verdana" w:hAnsi="Verdana"/>
        </w:rPr>
      </w:pPr>
      <w:r w:rsidRPr="00FA60B4">
        <w:rPr>
          <w:rFonts w:ascii="Verdana" w:hAnsi="Verdana"/>
        </w:rPr>
        <w:t>Demand: actual roll, forecast roll, forecast error.</w:t>
      </w:r>
    </w:p>
    <w:p w:rsidR="00100681" w:rsidRPr="00FA60B4">
      <w:pPr>
        <w:numPr>
          <w:ilvl w:val="0"/>
          <w:numId w:val="17"/>
        </w:numPr>
        <w:spacing w:line="240" w:lineRule="auto"/>
        <w:rPr>
          <w:rFonts w:ascii="Verdana" w:hAnsi="Verdana"/>
        </w:rPr>
      </w:pPr>
      <w:r w:rsidRPr="00FA60B4">
        <w:rPr>
          <w:rFonts w:ascii="Verdana" w:hAnsi="Verdana"/>
        </w:rPr>
        <w:t>Capacity: places, unfilled places, condition and suitability.</w:t>
      </w:r>
    </w:p>
    <w:p w:rsidR="00100681" w:rsidRPr="00FA60B4">
      <w:pPr>
        <w:numPr>
          <w:ilvl w:val="0"/>
          <w:numId w:val="17"/>
        </w:numPr>
        <w:spacing w:line="240" w:lineRule="auto"/>
        <w:rPr>
          <w:rFonts w:ascii="Verdana" w:hAnsi="Verdana"/>
        </w:rPr>
      </w:pPr>
      <w:r w:rsidRPr="00FA60B4">
        <w:rPr>
          <w:rFonts w:ascii="Verdana" w:hAnsi="Verdana"/>
        </w:rPr>
        <w:t>Decision: retain, reduce PAN, merge, close, repurpose or convert.</w:t>
      </w:r>
    </w:p>
    <w:p w:rsidR="00100681" w:rsidRPr="00FA60B4">
      <w:pPr>
        <w:numPr>
          <w:ilvl w:val="0"/>
          <w:numId w:val="17"/>
        </w:numPr>
        <w:spacing w:line="240" w:lineRule="auto"/>
        <w:rPr>
          <w:rFonts w:ascii="Verdana" w:hAnsi="Verdana"/>
        </w:rPr>
      </w:pPr>
      <w:r w:rsidRPr="00FA60B4">
        <w:rPr>
          <w:rFonts w:ascii="Verdana" w:hAnsi="Verdana"/>
        </w:rPr>
        <w:t>Money: per-pupil funding change, transition support, capital cost.</w:t>
      </w:r>
    </w:p>
    <w:p w:rsidR="00100681" w:rsidRPr="00FA60B4">
      <w:pPr>
        <w:numPr>
          <w:ilvl w:val="0"/>
          <w:numId w:val="17"/>
        </w:numPr>
        <w:spacing w:after="240" w:line="240" w:lineRule="auto"/>
        <w:rPr>
          <w:rFonts w:ascii="Verdana" w:hAnsi="Verdana"/>
        </w:rPr>
      </w:pPr>
      <w:r w:rsidRPr="00FA60B4">
        <w:rPr>
          <w:rFonts w:ascii="Verdana" w:hAnsi="Verdana"/>
        </w:rPr>
        <w:t>Impact: attendance, attainment, exclusions, SEND access, travel time and staffing change.</w:t>
      </w:r>
    </w:p>
    <w:p w:rsidR="00100681" w:rsidRPr="00FA60B4">
      <w:pPr>
        <w:spacing w:before="240" w:after="240" w:line="240" w:lineRule="auto"/>
        <w:rPr>
          <w:rFonts w:ascii="Verdana" w:hAnsi="Verdana"/>
        </w:rPr>
      </w:pPr>
      <w:r w:rsidRPr="00FA60B4">
        <w:rPr>
          <w:rFonts w:ascii="Verdana" w:hAnsi="Verdana"/>
        </w:rPr>
        <w:t>Candidate metrics: unfilled places as percentage of capacity; forecast variance by year group; local mismatch ratio; transition support as percentage of funding exposure; surplus space assessed for SEND or early years; places removed or repurposed with cost; outcomes for disadvantaged and SEND pupils.</w:t>
      </w:r>
    </w:p>
    <w:p w:rsidR="00100681" w:rsidRPr="00FA60B4">
      <w:pPr>
        <w:pStyle w:val="Heading2"/>
        <w:keepNext w:val="0"/>
        <w:keepLines w:val="0"/>
        <w:spacing w:after="80"/>
        <w:rPr>
          <w:rFonts w:ascii="Verdana" w:hAnsi="Verdana"/>
          <w:b/>
          <w:bCs/>
          <w:sz w:val="22"/>
          <w:szCs w:val="22"/>
        </w:rPr>
      </w:pPr>
      <w:bookmarkStart w:id="7" w:name="_31um7m1wwjjd" w:colFirst="0" w:colLast="0"/>
      <w:bookmarkEnd w:id="7"/>
      <w:r w:rsidRPr="00FA60B4">
        <w:rPr>
          <w:rFonts w:ascii="Verdana" w:hAnsi="Verdana"/>
          <w:b/>
          <w:bCs/>
          <w:sz w:val="22"/>
          <w:szCs w:val="22"/>
        </w:rPr>
        <w:t>9) Committee may wish to ask</w:t>
      </w:r>
    </w:p>
    <w:p w:rsidR="00100681" w:rsidRPr="00FA60B4">
      <w:pPr>
        <w:spacing w:before="240" w:after="240" w:line="240" w:lineRule="auto"/>
        <w:rPr>
          <w:rFonts w:ascii="Verdana" w:hAnsi="Verdana"/>
          <w:b/>
          <w:bCs/>
        </w:rPr>
      </w:pPr>
      <w:r w:rsidRPr="00FA60B4">
        <w:rPr>
          <w:rFonts w:ascii="Verdana" w:hAnsi="Verdana"/>
          <w:b/>
          <w:bCs/>
        </w:rPr>
        <w:t>DfE</w:t>
      </w:r>
    </w:p>
    <w:p w:rsidR="00100681" w:rsidRPr="00FA60B4">
      <w:pPr>
        <w:numPr>
          <w:ilvl w:val="0"/>
          <w:numId w:val="7"/>
        </w:numPr>
        <w:spacing w:before="240" w:line="240" w:lineRule="auto"/>
        <w:rPr>
          <w:rFonts w:ascii="Verdana" w:hAnsi="Verdana"/>
        </w:rPr>
      </w:pPr>
      <w:r w:rsidRPr="00FA60B4">
        <w:rPr>
          <w:rFonts w:ascii="Verdana" w:hAnsi="Verdana"/>
        </w:rPr>
        <w:t>What threshold turns unfilled primary places into a value-for-money risk?</w:t>
      </w:r>
    </w:p>
    <w:p w:rsidR="00100681" w:rsidRPr="00FA60B4">
      <w:pPr>
        <w:numPr>
          <w:ilvl w:val="0"/>
          <w:numId w:val="7"/>
        </w:numPr>
        <w:spacing w:line="240" w:lineRule="auto"/>
        <w:rPr>
          <w:rFonts w:ascii="Verdana" w:hAnsi="Verdana"/>
        </w:rPr>
      </w:pPr>
      <w:r w:rsidRPr="00FA60B4">
        <w:rPr>
          <w:rFonts w:ascii="Verdana" w:hAnsi="Verdana"/>
        </w:rPr>
        <w:t>Is the falling rolls fund a bridge, restructuring tool or sufficiency mechanism?</w:t>
      </w:r>
    </w:p>
    <w:p w:rsidR="00100681" w:rsidRPr="00FA60B4">
      <w:pPr>
        <w:numPr>
          <w:ilvl w:val="0"/>
          <w:numId w:val="7"/>
        </w:numPr>
        <w:spacing w:line="240" w:lineRule="auto"/>
        <w:rPr>
          <w:rFonts w:ascii="Verdana" w:hAnsi="Verdana"/>
        </w:rPr>
      </w:pPr>
      <w:r w:rsidRPr="00FA60B4">
        <w:rPr>
          <w:rFonts w:ascii="Verdana" w:hAnsi="Verdana"/>
        </w:rPr>
        <w:t>Who decides where a local authority and academy trust disagree on PAN or repurposing?</w:t>
      </w:r>
    </w:p>
    <w:p w:rsidR="00100681" w:rsidRPr="00FA60B4">
      <w:pPr>
        <w:numPr>
          <w:ilvl w:val="0"/>
          <w:numId w:val="7"/>
        </w:numPr>
        <w:spacing w:after="240" w:line="240" w:lineRule="auto"/>
        <w:rPr>
          <w:rFonts w:ascii="Verdana" w:hAnsi="Verdana"/>
        </w:rPr>
      </w:pPr>
      <w:r w:rsidRPr="00FA60B4">
        <w:rPr>
          <w:rFonts w:ascii="Verdana" w:hAnsi="Verdana"/>
        </w:rPr>
        <w:t>How will the white paper’s SEND reforms change place-planning forecasts?</w:t>
      </w:r>
    </w:p>
    <w:p w:rsidR="00100681" w:rsidRPr="00FA60B4">
      <w:pPr>
        <w:spacing w:before="240" w:after="240" w:line="240" w:lineRule="auto"/>
        <w:rPr>
          <w:rFonts w:ascii="Verdana" w:hAnsi="Verdana"/>
          <w:b/>
          <w:bCs/>
        </w:rPr>
      </w:pPr>
      <w:r w:rsidRPr="00FA60B4">
        <w:rPr>
          <w:rFonts w:ascii="Verdana" w:hAnsi="Verdana"/>
          <w:b/>
          <w:bCs/>
        </w:rPr>
        <w:t>Local authorities and schools forums</w:t>
      </w:r>
    </w:p>
    <w:p w:rsidR="00100681" w:rsidRPr="00FA60B4">
      <w:pPr>
        <w:numPr>
          <w:ilvl w:val="0"/>
          <w:numId w:val="12"/>
        </w:numPr>
        <w:spacing w:before="240" w:line="240" w:lineRule="auto"/>
        <w:rPr>
          <w:rFonts w:ascii="Verdana" w:hAnsi="Verdana"/>
        </w:rPr>
      </w:pPr>
      <w:r w:rsidRPr="00FA60B4">
        <w:rPr>
          <w:rFonts w:ascii="Verdana" w:hAnsi="Verdana"/>
        </w:rPr>
        <w:t>Which planning-area data are shared publicly before PAN reductions, closures or conversions?</w:t>
      </w:r>
    </w:p>
    <w:p w:rsidR="00100681" w:rsidRPr="00FA60B4">
      <w:pPr>
        <w:numPr>
          <w:ilvl w:val="0"/>
          <w:numId w:val="12"/>
        </w:numPr>
        <w:spacing w:after="240" w:line="240" w:lineRule="auto"/>
        <w:rPr>
          <w:rFonts w:ascii="Verdana" w:hAnsi="Verdana"/>
        </w:rPr>
      </w:pPr>
      <w:r w:rsidRPr="00FA60B4">
        <w:rPr>
          <w:rFonts w:ascii="Verdana" w:hAnsi="Verdana"/>
        </w:rPr>
        <w:t>How are family travel, rural access, disadvantage and SEND considered?</w:t>
      </w:r>
    </w:p>
    <w:p w:rsidR="00100681" w:rsidRPr="00FA60B4">
      <w:pPr>
        <w:spacing w:before="240" w:after="240" w:line="240" w:lineRule="auto"/>
        <w:rPr>
          <w:rFonts w:ascii="Verdana" w:hAnsi="Verdana"/>
          <w:b/>
          <w:bCs/>
        </w:rPr>
      </w:pPr>
      <w:r w:rsidRPr="00FA60B4">
        <w:rPr>
          <w:rFonts w:ascii="Verdana" w:hAnsi="Verdana"/>
          <w:b/>
          <w:bCs/>
        </w:rPr>
        <w:t>Academy trusts and schools</w:t>
      </w:r>
    </w:p>
    <w:p w:rsidR="00100681" w:rsidRPr="00FA60B4">
      <w:pPr>
        <w:numPr>
          <w:ilvl w:val="0"/>
          <w:numId w:val="1"/>
        </w:numPr>
        <w:spacing w:before="240" w:after="240" w:line="240" w:lineRule="auto"/>
        <w:rPr>
          <w:rFonts w:ascii="Verdana" w:hAnsi="Verdana"/>
        </w:rPr>
      </w:pPr>
      <w:r w:rsidRPr="00FA60B4">
        <w:rPr>
          <w:rFonts w:ascii="Verdana" w:hAnsi="Verdana"/>
        </w:rPr>
        <w:t>What support is needed to reduce capacity without narrowing curriculum or destabilising staffing?</w:t>
      </w:r>
    </w:p>
    <w:p w:rsidR="00100681" w:rsidRPr="00FA60B4">
      <w:pPr>
        <w:spacing w:before="240" w:after="240" w:line="240" w:lineRule="auto"/>
        <w:rPr>
          <w:rFonts w:ascii="Verdana" w:hAnsi="Verdana"/>
          <w:b/>
          <w:bCs/>
        </w:rPr>
      </w:pPr>
      <w:r w:rsidRPr="00FA60B4">
        <w:rPr>
          <w:rFonts w:ascii="Verdana" w:hAnsi="Verdana"/>
          <w:b/>
          <w:bCs/>
        </w:rPr>
        <w:t>NAO, Ofsted and DfE</w:t>
      </w:r>
    </w:p>
    <w:p w:rsidR="00100681" w:rsidRPr="00FA60B4">
      <w:pPr>
        <w:numPr>
          <w:ilvl w:val="0"/>
          <w:numId w:val="13"/>
        </w:numPr>
        <w:spacing w:before="240" w:after="240" w:line="240" w:lineRule="auto"/>
        <w:rPr>
          <w:rFonts w:ascii="Verdana" w:hAnsi="Verdana"/>
        </w:rPr>
      </w:pPr>
      <w:r w:rsidRPr="00FA60B4">
        <w:rPr>
          <w:rFonts w:ascii="Verdana" w:hAnsi="Verdana"/>
        </w:rPr>
        <w:t>What outcome metrics would show that falling-rolls decisions protected educational quality?</w:t>
      </w:r>
    </w:p>
    <w:p w:rsidR="00100681" w:rsidRPr="00FA60B4">
      <w:pPr>
        <w:pStyle w:val="Heading2"/>
        <w:keepNext w:val="0"/>
        <w:keepLines w:val="0"/>
        <w:spacing w:after="80"/>
        <w:rPr>
          <w:rFonts w:ascii="Verdana" w:hAnsi="Verdana"/>
          <w:b/>
          <w:bCs/>
          <w:sz w:val="22"/>
          <w:szCs w:val="22"/>
        </w:rPr>
      </w:pPr>
      <w:bookmarkStart w:id="8" w:name="_7bn2nqsu5hm" w:colFirst="0" w:colLast="0"/>
      <w:bookmarkEnd w:id="8"/>
      <w:r w:rsidRPr="00FA60B4">
        <w:rPr>
          <w:rFonts w:ascii="Verdana" w:hAnsi="Verdana"/>
          <w:b/>
          <w:bCs/>
          <w:sz w:val="22"/>
          <w:szCs w:val="22"/>
        </w:rPr>
        <w:t>10) Risks and further work + References + Annex list + Annexes</w:t>
      </w:r>
    </w:p>
    <w:p w:rsidR="00100681" w:rsidRPr="00FA60B4">
      <w:pPr>
        <w:spacing w:before="240" w:after="240" w:line="240" w:lineRule="auto"/>
        <w:rPr>
          <w:rFonts w:ascii="Verdana" w:hAnsi="Verdana"/>
          <w:b/>
          <w:bCs/>
        </w:rPr>
      </w:pPr>
      <w:r w:rsidRPr="00FA60B4">
        <w:rPr>
          <w:rFonts w:ascii="Verdana" w:hAnsi="Verdana"/>
          <w:b/>
          <w:bCs/>
        </w:rPr>
        <w:t>Risks and further work</w:t>
      </w:r>
    </w:p>
    <w:p w:rsidR="00100681" w:rsidRPr="00FA60B4">
      <w:pPr>
        <w:numPr>
          <w:ilvl w:val="0"/>
          <w:numId w:val="8"/>
        </w:numPr>
        <w:spacing w:before="240" w:line="240" w:lineRule="auto"/>
        <w:rPr>
          <w:rFonts w:ascii="Verdana" w:hAnsi="Verdana"/>
        </w:rPr>
      </w:pPr>
      <w:r w:rsidRPr="00FA60B4">
        <w:rPr>
          <w:rFonts w:ascii="Verdana" w:hAnsi="Verdana"/>
        </w:rPr>
        <w:t>National averages may conceal acute local shortage or overcapacity.</w:t>
      </w:r>
    </w:p>
    <w:p w:rsidR="00100681" w:rsidRPr="00FA60B4">
      <w:pPr>
        <w:numPr>
          <w:ilvl w:val="0"/>
          <w:numId w:val="8"/>
        </w:numPr>
        <w:spacing w:line="240" w:lineRule="auto"/>
        <w:rPr>
          <w:rFonts w:ascii="Verdana" w:hAnsi="Verdana"/>
        </w:rPr>
      </w:pPr>
      <w:r w:rsidRPr="00FA60B4">
        <w:rPr>
          <w:rFonts w:ascii="Verdana" w:hAnsi="Verdana"/>
        </w:rPr>
        <w:t>Some spare places are prudent and should not be treated as waste.</w:t>
      </w:r>
    </w:p>
    <w:p w:rsidR="00100681" w:rsidRPr="00FA60B4">
      <w:pPr>
        <w:numPr>
          <w:ilvl w:val="0"/>
          <w:numId w:val="8"/>
        </w:numPr>
        <w:spacing w:line="240" w:lineRule="auto"/>
        <w:rPr>
          <w:rFonts w:ascii="Verdana" w:hAnsi="Verdana"/>
        </w:rPr>
      </w:pPr>
      <w:r w:rsidRPr="00FA60B4">
        <w:rPr>
          <w:rFonts w:ascii="Verdana" w:hAnsi="Verdana"/>
        </w:rPr>
        <w:t>SEN capacity data are still developing.</w:t>
      </w:r>
    </w:p>
    <w:p w:rsidR="00100681" w:rsidRPr="00FA60B4">
      <w:pPr>
        <w:numPr>
          <w:ilvl w:val="0"/>
          <w:numId w:val="8"/>
        </w:numPr>
        <w:spacing w:line="240" w:lineRule="auto"/>
        <w:rPr>
          <w:rFonts w:ascii="Verdana" w:hAnsi="Verdana"/>
        </w:rPr>
      </w:pPr>
      <w:r w:rsidRPr="00FA60B4">
        <w:rPr>
          <w:rFonts w:ascii="Verdana" w:hAnsi="Verdana"/>
        </w:rPr>
        <w:t>Finance metrics may overstate net impact if schools adjust costs successfully.</w:t>
      </w:r>
    </w:p>
    <w:p w:rsidR="00100681" w:rsidRPr="00FA60B4">
      <w:pPr>
        <w:numPr>
          <w:ilvl w:val="0"/>
          <w:numId w:val="8"/>
        </w:numPr>
        <w:spacing w:line="240" w:lineRule="auto"/>
        <w:rPr>
          <w:rFonts w:ascii="Verdana" w:hAnsi="Verdana"/>
        </w:rPr>
      </w:pPr>
      <w:r w:rsidRPr="00FA60B4">
        <w:rPr>
          <w:rFonts w:ascii="Verdana" w:hAnsi="Verdana"/>
        </w:rPr>
        <w:t>Closure or merger impacts on families and communities need better evidence.</w:t>
      </w:r>
    </w:p>
    <w:p w:rsidR="00100681" w:rsidRPr="00FA60B4">
      <w:pPr>
        <w:numPr>
          <w:ilvl w:val="0"/>
          <w:numId w:val="8"/>
        </w:numPr>
        <w:spacing w:after="240" w:line="240" w:lineRule="auto"/>
        <w:rPr>
          <w:rFonts w:ascii="Verdana" w:hAnsi="Verdana"/>
        </w:rPr>
      </w:pPr>
      <w:r w:rsidRPr="00FA60B4">
        <w:rPr>
          <w:rFonts w:ascii="Verdana" w:hAnsi="Verdana"/>
        </w:rPr>
        <w:t>Further independent or local case evidence would strengthen context claims.</w:t>
      </w:r>
    </w:p>
    <w:p w:rsidR="00100681" w:rsidRPr="00FA60B4">
      <w:pPr>
        <w:spacing w:before="240" w:after="240" w:line="240" w:lineRule="auto"/>
        <w:rPr>
          <w:rFonts w:ascii="Verdana" w:hAnsi="Verdana"/>
          <w:b/>
          <w:bCs/>
        </w:rPr>
      </w:pPr>
      <w:r w:rsidRPr="00FA60B4">
        <w:rPr>
          <w:rFonts w:ascii="Verdana" w:hAnsi="Verdana"/>
          <w:b/>
          <w:bCs/>
        </w:rPr>
        <w:t>References</w:t>
      </w:r>
    </w:p>
    <w:p w:rsidR="00100681" w:rsidRPr="00FA60B4">
      <w:pPr>
        <w:spacing w:before="240" w:after="240" w:line="240" w:lineRule="auto"/>
        <w:rPr>
          <w:rFonts w:ascii="Verdana" w:hAnsi="Verdana"/>
          <w:color w:val="1155CC"/>
          <w:u w:val="single"/>
        </w:rPr>
      </w:pPr>
      <w:r w:rsidRPr="00FA60B4">
        <w:rPr>
          <w:rFonts w:ascii="Verdana" w:hAnsi="Verdana"/>
        </w:rPr>
        <w:t xml:space="preserve">[1] Department for Education, </w:t>
      </w:r>
      <w:r w:rsidRPr="00FA60B4">
        <w:rPr>
          <w:rFonts w:ascii="Verdana" w:hAnsi="Verdana"/>
          <w:i/>
          <w:iCs/>
        </w:rPr>
        <w:t>National pupil projections</w:t>
      </w:r>
      <w:r w:rsidRPr="00FA60B4">
        <w:rPr>
          <w:rFonts w:ascii="Verdana" w:hAnsi="Verdana"/>
        </w:rPr>
        <w:t>, reporting year 2025, published 17 July 2025.</w:t>
      </w:r>
      <w:r>
        <w:fldChar w:fldCharType="begin"/>
      </w:r>
      <w:r>
        <w:instrText xml:space="preserve"> HYPERLINK "https://explore-education-statistics.service.gov.uk/find-statistics/national-pupil-projections/2025" </w:instrText>
      </w:r>
      <w:r>
        <w:fldChar w:fldCharType="separate"/>
      </w:r>
      <w:r w:rsidRPr="00FA60B4">
        <w:rPr>
          <w:rFonts w:ascii="Verdana" w:hAnsi="Verdana"/>
        </w:rPr>
        <w:t xml:space="preserve"> </w:t>
      </w:r>
      <w:r>
        <w:fldChar w:fldCharType="end"/>
      </w:r>
      <w:r>
        <w:fldChar w:fldCharType="begin"/>
      </w:r>
      <w:r>
        <w:instrText xml:space="preserve"> HYPERLINK "https://explore-education-statistics.service.gov.uk/find-statistics/national-pupil-projections/2025" </w:instrText>
      </w:r>
      <w:r>
        <w:fldChar w:fldCharType="separate"/>
      </w:r>
      <w:r w:rsidRPr="00FA60B4">
        <w:rPr>
          <w:rFonts w:ascii="Verdana" w:hAnsi="Verdana"/>
          <w:color w:val="1155CC"/>
          <w:u w:val="single"/>
        </w:rPr>
        <w:t>Link</w:t>
      </w:r>
      <w:r>
        <w:fldChar w:fldCharType="end"/>
      </w:r>
    </w:p>
    <w:p w:rsidR="00100681" w:rsidRPr="00FA60B4">
      <w:pPr>
        <w:spacing w:before="240" w:after="240" w:line="240" w:lineRule="auto"/>
        <w:rPr>
          <w:rFonts w:ascii="Verdana" w:hAnsi="Verdana"/>
          <w:color w:val="1155CC"/>
          <w:u w:val="single"/>
        </w:rPr>
      </w:pPr>
      <w:r w:rsidRPr="00FA60B4">
        <w:rPr>
          <w:rFonts w:ascii="Verdana" w:hAnsi="Verdana"/>
        </w:rPr>
        <w:t xml:space="preserve">[2] Department for Education, </w:t>
      </w:r>
      <w:r w:rsidRPr="00FA60B4">
        <w:rPr>
          <w:rFonts w:ascii="Verdana" w:hAnsi="Verdana"/>
          <w:i/>
          <w:iCs/>
        </w:rPr>
        <w:t>School capacity</w:t>
      </w:r>
      <w:r w:rsidRPr="00FA60B4">
        <w:rPr>
          <w:rFonts w:ascii="Verdana" w:hAnsi="Verdana"/>
        </w:rPr>
        <w:t>, academic year 2024/25, published 19 March 2026, updated 20 March 2026.</w:t>
      </w:r>
      <w:r>
        <w:fldChar w:fldCharType="begin"/>
      </w:r>
      <w:r>
        <w:instrText xml:space="preserve"> HYPERLINK "https://explore-education-statistics.service.gov.uk/find-statistics/school-capacity/2024-25" </w:instrText>
      </w:r>
      <w:r>
        <w:fldChar w:fldCharType="separate"/>
      </w:r>
      <w:r w:rsidRPr="00FA60B4">
        <w:rPr>
          <w:rFonts w:ascii="Verdana" w:hAnsi="Verdana"/>
        </w:rPr>
        <w:t xml:space="preserve"> </w:t>
      </w:r>
      <w:r>
        <w:fldChar w:fldCharType="end"/>
      </w:r>
      <w:r>
        <w:fldChar w:fldCharType="begin"/>
      </w:r>
      <w:r>
        <w:instrText xml:space="preserve"> HYPERLINK "https://explore-education-statistics.service.gov.uk/find-statistics/school-capacity/2024-25" </w:instrText>
      </w:r>
      <w:r>
        <w:fldChar w:fldCharType="separate"/>
      </w:r>
      <w:r w:rsidRPr="00FA60B4">
        <w:rPr>
          <w:rFonts w:ascii="Verdana" w:hAnsi="Verdana"/>
          <w:color w:val="1155CC"/>
          <w:u w:val="single"/>
        </w:rPr>
        <w:t>Link</w:t>
      </w:r>
      <w:r>
        <w:fldChar w:fldCharType="end"/>
      </w:r>
    </w:p>
    <w:p w:rsidR="00100681" w:rsidRPr="00FA60B4">
      <w:pPr>
        <w:spacing w:before="240" w:after="240" w:line="240" w:lineRule="auto"/>
        <w:rPr>
          <w:rFonts w:ascii="Verdana" w:hAnsi="Verdana"/>
          <w:color w:val="1155CC"/>
          <w:u w:val="single"/>
        </w:rPr>
      </w:pPr>
      <w:r w:rsidRPr="00FA60B4">
        <w:rPr>
          <w:rFonts w:ascii="Verdana" w:hAnsi="Verdana"/>
        </w:rPr>
        <w:t xml:space="preserve">[3] Department for Education, </w:t>
      </w:r>
      <w:r w:rsidRPr="00FA60B4">
        <w:rPr>
          <w:rFonts w:ascii="Verdana" w:hAnsi="Verdana"/>
          <w:i/>
          <w:iCs/>
        </w:rPr>
        <w:t>Schools, pupils and their characteristics</w:t>
      </w:r>
      <w:r w:rsidRPr="00FA60B4">
        <w:rPr>
          <w:rFonts w:ascii="Verdana" w:hAnsi="Verdana"/>
        </w:rPr>
        <w:t>, academic year 2024/25, published 5 June 2025, updated 25 September 2025.</w:t>
      </w:r>
      <w:r>
        <w:fldChar w:fldCharType="begin"/>
      </w:r>
      <w:r>
        <w:instrText xml:space="preserve"> HYPERLINK "https://explore-education-statistics.service.gov.uk/find-statistics/school-pupils-and-their-characteristics/2024-25" </w:instrText>
      </w:r>
      <w:r>
        <w:fldChar w:fldCharType="separate"/>
      </w:r>
      <w:r w:rsidRPr="00FA60B4">
        <w:rPr>
          <w:rFonts w:ascii="Verdana" w:hAnsi="Verdana"/>
        </w:rPr>
        <w:t xml:space="preserve"> </w:t>
      </w:r>
      <w:r>
        <w:fldChar w:fldCharType="end"/>
      </w:r>
      <w:r>
        <w:fldChar w:fldCharType="begin"/>
      </w:r>
      <w:r>
        <w:instrText xml:space="preserve"> HYPERLINK "https://explore-education-statistics.service.gov.uk/find-statistics/school-pupils-and-their-characteristics/2024-25" </w:instrText>
      </w:r>
      <w:r>
        <w:fldChar w:fldCharType="separate"/>
      </w:r>
      <w:r w:rsidRPr="00FA60B4">
        <w:rPr>
          <w:rFonts w:ascii="Verdana" w:hAnsi="Verdana"/>
          <w:color w:val="1155CC"/>
          <w:u w:val="single"/>
        </w:rPr>
        <w:t>Link</w:t>
      </w:r>
      <w:r>
        <w:fldChar w:fldCharType="end"/>
      </w:r>
    </w:p>
    <w:p w:rsidR="00100681" w:rsidRPr="00FA60B4">
      <w:pPr>
        <w:spacing w:before="240" w:after="240" w:line="240" w:lineRule="auto"/>
        <w:rPr>
          <w:rFonts w:ascii="Verdana" w:hAnsi="Verdana"/>
          <w:color w:val="1155CC"/>
          <w:u w:val="single"/>
        </w:rPr>
      </w:pPr>
      <w:r w:rsidRPr="00FA60B4">
        <w:rPr>
          <w:rFonts w:ascii="Verdana" w:hAnsi="Verdana"/>
        </w:rPr>
        <w:t xml:space="preserve">[4] National Audit Office, </w:t>
      </w:r>
      <w:r w:rsidRPr="00FA60B4">
        <w:rPr>
          <w:rFonts w:ascii="Verdana" w:hAnsi="Verdana"/>
          <w:i/>
          <w:iCs/>
        </w:rPr>
        <w:t>Responding to changing demand for school places</w:t>
      </w:r>
      <w:r w:rsidRPr="00FA60B4">
        <w:rPr>
          <w:rFonts w:ascii="Verdana" w:hAnsi="Verdana"/>
        </w:rPr>
        <w:t>, report, 22 April 2026.</w:t>
      </w:r>
      <w:r>
        <w:fldChar w:fldCharType="begin"/>
      </w:r>
      <w:r>
        <w:instrText xml:space="preserve"> HYPERLINK "https://www.nao.org.uk/reports/responding-to-changing-demand-for-school-places/" </w:instrText>
      </w:r>
      <w:r>
        <w:fldChar w:fldCharType="separate"/>
      </w:r>
      <w:r w:rsidRPr="00FA60B4">
        <w:rPr>
          <w:rFonts w:ascii="Verdana" w:hAnsi="Verdana"/>
        </w:rPr>
        <w:t xml:space="preserve"> </w:t>
      </w:r>
      <w:r>
        <w:fldChar w:fldCharType="end"/>
      </w:r>
      <w:r>
        <w:fldChar w:fldCharType="begin"/>
      </w:r>
      <w:r>
        <w:instrText xml:space="preserve"> HYPERLINK "https://www.nao.org.uk/reports/responding-to-changing-demand-for-school-places/" </w:instrText>
      </w:r>
      <w:r>
        <w:fldChar w:fldCharType="separate"/>
      </w:r>
      <w:r w:rsidRPr="00FA60B4">
        <w:rPr>
          <w:rFonts w:ascii="Verdana" w:hAnsi="Verdana"/>
          <w:color w:val="1155CC"/>
          <w:u w:val="single"/>
        </w:rPr>
        <w:t>Link</w:t>
      </w:r>
      <w:r>
        <w:fldChar w:fldCharType="end"/>
      </w:r>
    </w:p>
    <w:p w:rsidR="00100681" w:rsidRPr="00FA60B4">
      <w:pPr>
        <w:spacing w:before="240" w:after="240" w:line="240" w:lineRule="auto"/>
        <w:rPr>
          <w:rFonts w:ascii="Verdana" w:hAnsi="Verdana"/>
          <w:color w:val="1155CC"/>
          <w:u w:val="single"/>
        </w:rPr>
      </w:pPr>
      <w:r w:rsidRPr="00FA60B4">
        <w:rPr>
          <w:rFonts w:ascii="Verdana" w:hAnsi="Verdana"/>
        </w:rPr>
        <w:t xml:space="preserve">[5] National Audit Office, </w:t>
      </w:r>
      <w:r w:rsidRPr="00FA60B4">
        <w:rPr>
          <w:rFonts w:ascii="Verdana" w:hAnsi="Verdana"/>
          <w:i/>
          <w:iCs/>
        </w:rPr>
        <w:t>Falling pupil numbers in primary schools requires a coordinated response from DfE, local authorities and academy trusts</w:t>
      </w:r>
      <w:r w:rsidRPr="00FA60B4">
        <w:rPr>
          <w:rFonts w:ascii="Verdana" w:hAnsi="Verdana"/>
        </w:rPr>
        <w:t>, press release, 22 April 2026.</w:t>
      </w:r>
      <w:r>
        <w:fldChar w:fldCharType="begin"/>
      </w:r>
      <w:r>
        <w:instrText xml:space="preserve"> HYPERLINK "https://www.nao.org.uk/press-releases/falling-pupil-numbers-in-primary-schools-requires-a-coordinated-response-from-dfe-local-authorities-and-academy-trusts/" </w:instrText>
      </w:r>
      <w:r>
        <w:fldChar w:fldCharType="separate"/>
      </w:r>
      <w:r w:rsidRPr="00FA60B4">
        <w:rPr>
          <w:rFonts w:ascii="Verdana" w:hAnsi="Verdana"/>
        </w:rPr>
        <w:t xml:space="preserve"> </w:t>
      </w:r>
      <w:r>
        <w:fldChar w:fldCharType="end"/>
      </w:r>
      <w:r>
        <w:fldChar w:fldCharType="begin"/>
      </w:r>
      <w:r>
        <w:instrText xml:space="preserve"> HYPERLINK "https://www.nao.org.uk/press-releases/falling-pupil-numbers-in-primary-schools-requires-a-coordinated-response-from-dfe-local-authorities-and-academy-trusts/" </w:instrText>
      </w:r>
      <w:r>
        <w:fldChar w:fldCharType="separate"/>
      </w:r>
      <w:r w:rsidRPr="00FA60B4">
        <w:rPr>
          <w:rFonts w:ascii="Verdana" w:hAnsi="Verdana"/>
          <w:color w:val="1155CC"/>
          <w:u w:val="single"/>
        </w:rPr>
        <w:t>Link</w:t>
      </w:r>
      <w:r>
        <w:fldChar w:fldCharType="end"/>
      </w:r>
    </w:p>
    <w:p w:rsidR="00100681" w:rsidRPr="00FA60B4">
      <w:pPr>
        <w:spacing w:before="240" w:after="240" w:line="240" w:lineRule="auto"/>
        <w:rPr>
          <w:rFonts w:ascii="Verdana" w:hAnsi="Verdana"/>
          <w:color w:val="1155CC"/>
          <w:u w:val="single"/>
        </w:rPr>
      </w:pPr>
      <w:r w:rsidRPr="00FA60B4">
        <w:rPr>
          <w:rFonts w:ascii="Verdana" w:hAnsi="Verdana"/>
        </w:rPr>
        <w:t xml:space="preserve">[6] Office for National Statistics, </w:t>
      </w:r>
      <w:r w:rsidRPr="00FA60B4">
        <w:rPr>
          <w:rFonts w:ascii="Verdana" w:hAnsi="Verdana"/>
          <w:i/>
          <w:iCs/>
        </w:rPr>
        <w:t>Births in England and Wales: 2025</w:t>
      </w:r>
      <w:r w:rsidRPr="00FA60B4">
        <w:rPr>
          <w:rFonts w:ascii="Verdana" w:hAnsi="Verdana"/>
        </w:rPr>
        <w:t>, released 27 May 2026, corrected 1 June 2026.</w:t>
      </w:r>
      <w:r>
        <w:fldChar w:fldCharType="begin"/>
      </w:r>
      <w:r>
        <w:instrText xml:space="preserve"> HYPERLINK "https://www.ons.gov.uk/peoplepopulationandcommunity/birthsdeathsandmarriages/livebirths/bulletins/birthsummarytablesenglandandwales/2025" </w:instrText>
      </w:r>
      <w:r>
        <w:fldChar w:fldCharType="separate"/>
      </w:r>
      <w:r w:rsidRPr="00FA60B4">
        <w:rPr>
          <w:rFonts w:ascii="Verdana" w:hAnsi="Verdana"/>
        </w:rPr>
        <w:t xml:space="preserve"> </w:t>
      </w:r>
      <w:r>
        <w:fldChar w:fldCharType="end"/>
      </w:r>
      <w:r>
        <w:fldChar w:fldCharType="begin"/>
      </w:r>
      <w:r>
        <w:instrText xml:space="preserve"> HYPERLINK "https://www.ons.gov.uk/peoplepopulationandcommunity/birthsdeathsandmarriages/livebirths/bulletins/birthsummarytablesenglandandwales/2025" </w:instrText>
      </w:r>
      <w:r>
        <w:fldChar w:fldCharType="separate"/>
      </w:r>
      <w:r w:rsidRPr="00FA60B4">
        <w:rPr>
          <w:rFonts w:ascii="Verdana" w:hAnsi="Verdana"/>
          <w:color w:val="1155CC"/>
          <w:u w:val="single"/>
        </w:rPr>
        <w:t>Link</w:t>
      </w:r>
      <w:r>
        <w:fldChar w:fldCharType="end"/>
      </w:r>
    </w:p>
    <w:p w:rsidR="00100681" w:rsidRPr="00FA60B4">
      <w:pPr>
        <w:spacing w:before="240" w:after="240" w:line="240" w:lineRule="auto"/>
        <w:rPr>
          <w:rFonts w:ascii="Verdana" w:hAnsi="Verdana"/>
          <w:color w:val="1155CC"/>
          <w:u w:val="single"/>
        </w:rPr>
      </w:pPr>
      <w:r w:rsidRPr="00FA60B4">
        <w:rPr>
          <w:rFonts w:ascii="Verdana" w:hAnsi="Verdana"/>
        </w:rPr>
        <w:t xml:space="preserve">[7] Department for Education, </w:t>
      </w:r>
      <w:r w:rsidRPr="00FA60B4">
        <w:rPr>
          <w:rFonts w:ascii="Verdana" w:hAnsi="Verdana"/>
          <w:i/>
          <w:iCs/>
        </w:rPr>
        <w:t>Schools operational guide: 2026 to 2027</w:t>
      </w:r>
      <w:r w:rsidRPr="00FA60B4">
        <w:rPr>
          <w:rFonts w:ascii="Verdana" w:hAnsi="Verdana"/>
        </w:rPr>
        <w:t>, updated 26 January 2026.</w:t>
      </w:r>
      <w:r>
        <w:fldChar w:fldCharType="begin"/>
      </w:r>
      <w:r>
        <w:instrText xml:space="preserve"> HYPERLINK "https://www.gov.uk/government/publications/pre-16-schools-funding-local-authority-guidance-for-2026-to-2027/schools-operational-guide-2026-to-2027" </w:instrText>
      </w:r>
      <w:r>
        <w:fldChar w:fldCharType="separate"/>
      </w:r>
      <w:r w:rsidRPr="00FA60B4">
        <w:rPr>
          <w:rFonts w:ascii="Verdana" w:hAnsi="Verdana"/>
        </w:rPr>
        <w:t xml:space="preserve"> </w:t>
      </w:r>
      <w:r>
        <w:fldChar w:fldCharType="end"/>
      </w:r>
      <w:r>
        <w:fldChar w:fldCharType="begin"/>
      </w:r>
      <w:r>
        <w:instrText xml:space="preserve"> HYPERLINK "https://www.gov.uk/government/publications/pre-16-schools-funding-local-authority-guidance-for-2026-to-2027/schools-operational-guide-2026-to-2027" </w:instrText>
      </w:r>
      <w:r>
        <w:fldChar w:fldCharType="separate"/>
      </w:r>
      <w:r w:rsidRPr="00FA60B4">
        <w:rPr>
          <w:rFonts w:ascii="Verdana" w:hAnsi="Verdana"/>
          <w:color w:val="1155CC"/>
          <w:u w:val="single"/>
        </w:rPr>
        <w:t>Link</w:t>
      </w:r>
      <w:r>
        <w:fldChar w:fldCharType="end"/>
      </w:r>
    </w:p>
    <w:p w:rsidR="00100681" w:rsidRPr="00FA60B4">
      <w:pPr>
        <w:spacing w:before="240" w:after="240" w:line="240" w:lineRule="auto"/>
        <w:rPr>
          <w:rFonts w:ascii="Verdana" w:hAnsi="Verdana"/>
          <w:color w:val="1155CC"/>
          <w:u w:val="single"/>
        </w:rPr>
      </w:pPr>
      <w:r w:rsidRPr="00FA60B4">
        <w:rPr>
          <w:rFonts w:ascii="Verdana" w:hAnsi="Verdana"/>
        </w:rPr>
        <w:t xml:space="preserve">[8] Department for Education, </w:t>
      </w:r>
      <w:r w:rsidRPr="00FA60B4">
        <w:rPr>
          <w:rFonts w:ascii="Verdana" w:hAnsi="Verdana"/>
          <w:i/>
          <w:iCs/>
        </w:rPr>
        <w:t>Education estates strategy</w:t>
      </w:r>
      <w:r w:rsidRPr="00FA60B4">
        <w:rPr>
          <w:rFonts w:ascii="Verdana" w:hAnsi="Verdana"/>
        </w:rPr>
        <w:t>, published 11 February 2026, updated 16 February 2026.</w:t>
      </w:r>
      <w:r>
        <w:fldChar w:fldCharType="begin"/>
      </w:r>
      <w:r>
        <w:instrText xml:space="preserve"> HYPERLINK "https://www.gov.uk/government/publications/education-estates-strategy" </w:instrText>
      </w:r>
      <w:r>
        <w:fldChar w:fldCharType="separate"/>
      </w:r>
      <w:r w:rsidRPr="00FA60B4">
        <w:rPr>
          <w:rFonts w:ascii="Verdana" w:hAnsi="Verdana"/>
        </w:rPr>
        <w:t xml:space="preserve"> </w:t>
      </w:r>
      <w:r>
        <w:fldChar w:fldCharType="end"/>
      </w:r>
      <w:r>
        <w:fldChar w:fldCharType="begin"/>
      </w:r>
      <w:r>
        <w:instrText xml:space="preserve"> HYPERLINK "https://www.gov.uk/government/publications/education-estates-strategy" </w:instrText>
      </w:r>
      <w:r>
        <w:fldChar w:fldCharType="separate"/>
      </w:r>
      <w:r w:rsidRPr="00FA60B4">
        <w:rPr>
          <w:rFonts w:ascii="Verdana" w:hAnsi="Verdana"/>
          <w:color w:val="1155CC"/>
          <w:u w:val="single"/>
        </w:rPr>
        <w:t>Link</w:t>
      </w:r>
      <w:r>
        <w:fldChar w:fldCharType="end"/>
      </w:r>
    </w:p>
    <w:p w:rsidR="00100681" w:rsidRPr="00FA60B4">
      <w:pPr>
        <w:spacing w:before="240" w:after="240" w:line="240" w:lineRule="auto"/>
        <w:rPr>
          <w:rFonts w:ascii="Verdana" w:hAnsi="Verdana"/>
          <w:color w:val="1155CC"/>
          <w:u w:val="single"/>
        </w:rPr>
      </w:pPr>
      <w:r w:rsidRPr="00FA60B4">
        <w:rPr>
          <w:rFonts w:ascii="Verdana" w:hAnsi="Verdana"/>
        </w:rPr>
        <w:t xml:space="preserve">[9] UK Parliament, </w:t>
      </w:r>
      <w:r w:rsidRPr="00FA60B4">
        <w:rPr>
          <w:rFonts w:ascii="Verdana" w:hAnsi="Verdana"/>
          <w:i/>
          <w:iCs/>
        </w:rPr>
        <w:t>Children’s Wellbeing and Schools Act 2026</w:t>
      </w:r>
      <w:r w:rsidRPr="00FA60B4">
        <w:rPr>
          <w:rFonts w:ascii="Verdana" w:hAnsi="Verdana"/>
        </w:rPr>
        <w:t>, Bill page, current version c.21, last updated 8 May 2026.</w:t>
      </w:r>
      <w:r>
        <w:fldChar w:fldCharType="begin"/>
      </w:r>
      <w:r>
        <w:instrText xml:space="preserve"> HYPERLINK "https://bills.parliament.uk/bills/3909" </w:instrText>
      </w:r>
      <w:r>
        <w:fldChar w:fldCharType="separate"/>
      </w:r>
      <w:r w:rsidRPr="00FA60B4">
        <w:rPr>
          <w:rFonts w:ascii="Verdana" w:hAnsi="Verdana"/>
        </w:rPr>
        <w:t xml:space="preserve"> </w:t>
      </w:r>
      <w:r>
        <w:fldChar w:fldCharType="end"/>
      </w:r>
      <w:r>
        <w:fldChar w:fldCharType="begin"/>
      </w:r>
      <w:r>
        <w:instrText xml:space="preserve"> HYPERLINK "https://bills.parliament.uk/bills/3909" </w:instrText>
      </w:r>
      <w:r>
        <w:fldChar w:fldCharType="separate"/>
      </w:r>
      <w:r w:rsidRPr="00FA60B4">
        <w:rPr>
          <w:rFonts w:ascii="Verdana" w:hAnsi="Verdana"/>
          <w:color w:val="1155CC"/>
          <w:u w:val="single"/>
        </w:rPr>
        <w:t>Link</w:t>
      </w:r>
      <w:r>
        <w:fldChar w:fldCharType="end"/>
      </w:r>
    </w:p>
    <w:p w:rsidR="00100681" w:rsidRPr="00FA60B4">
      <w:pPr>
        <w:spacing w:before="240" w:after="240" w:line="240" w:lineRule="auto"/>
        <w:rPr>
          <w:rFonts w:ascii="Verdana" w:hAnsi="Verdana"/>
          <w:color w:val="1155CC"/>
          <w:u w:val="single"/>
        </w:rPr>
      </w:pPr>
      <w:r w:rsidRPr="00FA60B4">
        <w:rPr>
          <w:rFonts w:ascii="Verdana" w:hAnsi="Verdana"/>
        </w:rPr>
        <w:t xml:space="preserve">[10] Department for Education, </w:t>
      </w:r>
      <w:r w:rsidRPr="00FA60B4">
        <w:rPr>
          <w:rFonts w:ascii="Verdana" w:hAnsi="Verdana"/>
          <w:i/>
          <w:iCs/>
        </w:rPr>
        <w:t>Every child achieving and thriving</w:t>
      </w:r>
      <w:r w:rsidRPr="00FA60B4">
        <w:rPr>
          <w:rFonts w:ascii="Verdana" w:hAnsi="Verdana"/>
        </w:rPr>
        <w:t>, published 23 February 2026, updated 27 April 2026.</w:t>
      </w:r>
      <w:r>
        <w:fldChar w:fldCharType="begin"/>
      </w:r>
      <w:r>
        <w:instrText xml:space="preserve"> HYPERLINK "https://www.gov.uk/government/publications/every-child-achieving-and-thriving" </w:instrText>
      </w:r>
      <w:r>
        <w:fldChar w:fldCharType="separate"/>
      </w:r>
      <w:r w:rsidRPr="00FA60B4">
        <w:rPr>
          <w:rFonts w:ascii="Verdana" w:hAnsi="Verdana"/>
        </w:rPr>
        <w:t xml:space="preserve"> </w:t>
      </w:r>
      <w:r>
        <w:fldChar w:fldCharType="end"/>
      </w:r>
      <w:r>
        <w:fldChar w:fldCharType="begin"/>
      </w:r>
      <w:r>
        <w:instrText xml:space="preserve"> HYPERLINK "https://www.gov.uk/government/publications/every-child-achieving-and-thriving" </w:instrText>
      </w:r>
      <w:r>
        <w:fldChar w:fldCharType="separate"/>
      </w:r>
      <w:r w:rsidRPr="00FA60B4">
        <w:rPr>
          <w:rFonts w:ascii="Verdana" w:hAnsi="Verdana"/>
          <w:color w:val="1155CC"/>
          <w:u w:val="single"/>
        </w:rPr>
        <w:t>Link</w:t>
      </w:r>
      <w:r>
        <w:fldChar w:fldCharType="end"/>
      </w:r>
    </w:p>
    <w:p w:rsidR="00100681" w:rsidRPr="00FA60B4">
      <w:pPr>
        <w:spacing w:before="240" w:after="240" w:line="240" w:lineRule="auto"/>
        <w:rPr>
          <w:rFonts w:ascii="Verdana" w:hAnsi="Verdana"/>
          <w:b/>
          <w:bCs/>
        </w:rPr>
      </w:pPr>
      <w:r w:rsidRPr="00FA60B4">
        <w:rPr>
          <w:rFonts w:ascii="Verdana" w:hAnsi="Verdana"/>
          <w:b/>
          <w:bCs/>
        </w:rPr>
        <w:t>Annex list</w:t>
      </w:r>
    </w:p>
    <w:p w:rsidR="00100681" w:rsidRPr="00FA60B4">
      <w:pPr>
        <w:numPr>
          <w:ilvl w:val="0"/>
          <w:numId w:val="11"/>
        </w:numPr>
        <w:spacing w:before="240" w:line="240" w:lineRule="auto"/>
        <w:rPr>
          <w:rFonts w:ascii="Verdana" w:hAnsi="Verdana"/>
        </w:rPr>
      </w:pPr>
      <w:r w:rsidRPr="00FA60B4">
        <w:rPr>
          <w:rFonts w:ascii="Verdana" w:hAnsi="Verdana"/>
        </w:rPr>
        <w:t>Annex A: Evidence Ledger.</w:t>
      </w:r>
    </w:p>
    <w:p w:rsidR="00100681" w:rsidRPr="00FA60B4">
      <w:pPr>
        <w:numPr>
          <w:ilvl w:val="0"/>
          <w:numId w:val="11"/>
        </w:numPr>
        <w:spacing w:after="240" w:line="240" w:lineRule="auto"/>
        <w:rPr>
          <w:rFonts w:ascii="Verdana" w:hAnsi="Verdana"/>
        </w:rPr>
      </w:pPr>
      <w:r w:rsidRPr="00FA60B4">
        <w:rPr>
          <w:rFonts w:ascii="Verdana" w:hAnsi="Verdana"/>
        </w:rPr>
        <w:t>Annex B: Data Request Pack is included in section 7.</w:t>
      </w:r>
    </w:p>
    <w:p w:rsidR="00100681" w:rsidRPr="00FA60B4">
      <w:pPr>
        <w:spacing w:before="240" w:after="240" w:line="240" w:lineRule="auto"/>
        <w:rPr>
          <w:rFonts w:ascii="Verdana" w:hAnsi="Verdana"/>
          <w:b/>
          <w:bCs/>
        </w:rPr>
      </w:pPr>
      <w:r w:rsidRPr="00FA60B4">
        <w:rPr>
          <w:rFonts w:ascii="Verdana" w:hAnsi="Verdana"/>
          <w:b/>
          <w:bCs/>
        </w:rPr>
        <w:t>Annex A: Evidence Ledger</w:t>
      </w:r>
    </w:p>
    <w:tbl>
      <w:tblPr>
        <w:tblStyle w:val="Table3"/>
        <w:tblW w:w="9705" w:type="dxa"/>
        <w:tblInd w:w="0" w:type="dxa"/>
        <w:tblBorders>
          <w:top w:val="nil"/>
          <w:left w:val="nil"/>
          <w:bottom w:val="nil"/>
          <w:right w:val="nil"/>
          <w:insideH w:val="nil"/>
          <w:insideV w:val="nil"/>
        </w:tblBorders>
        <w:tblLayout w:type="fixed"/>
        <w:tblLook w:val="0600"/>
      </w:tblPr>
      <w:tblGrid>
        <w:gridCol w:w="1710"/>
        <w:gridCol w:w="840"/>
        <w:gridCol w:w="765"/>
        <w:gridCol w:w="1275"/>
        <w:gridCol w:w="1320"/>
        <w:gridCol w:w="1110"/>
        <w:gridCol w:w="1320"/>
        <w:gridCol w:w="1365"/>
      </w:tblGrid>
      <w:tr>
        <w:tblPrEx>
          <w:tblW w:w="9705" w:type="dxa"/>
          <w:tblInd w:w="0" w:type="dxa"/>
          <w:tblBorders>
            <w:top w:val="nil"/>
            <w:left w:val="nil"/>
            <w:bottom w:val="nil"/>
            <w:right w:val="nil"/>
            <w:insideH w:val="nil"/>
            <w:insideV w:val="nil"/>
          </w:tblBorders>
          <w:tblLayout w:type="fixed"/>
          <w:tblLook w:val="0600"/>
        </w:tblPrEx>
        <w:trPr>
          <w:trHeight w:val="1325"/>
        </w:trPr>
        <w:tc>
          <w:tcPr>
            <w:tcW w:w="1710"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Claim</w:t>
            </w:r>
          </w:p>
        </w:tc>
        <w:tc>
          <w:tcPr>
            <w:tcW w:w="840"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Type</w:t>
            </w:r>
          </w:p>
        </w:tc>
        <w:tc>
          <w:tcPr>
            <w:tcW w:w="765"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Source A</w:t>
            </w:r>
          </w:p>
        </w:tc>
        <w:tc>
          <w:tcPr>
            <w:tcW w:w="1275"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Source B and role</w:t>
            </w:r>
          </w:p>
        </w:tc>
        <w:tc>
          <w:tcPr>
            <w:tcW w:w="1320"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Status</w:t>
            </w:r>
          </w:p>
        </w:tc>
        <w:tc>
          <w:tcPr>
            <w:tcW w:w="1110"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Confidence</w:t>
            </w:r>
          </w:p>
        </w:tc>
        <w:tc>
          <w:tcPr>
            <w:tcW w:w="1320"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What would change my mind</w:t>
            </w:r>
          </w:p>
        </w:tc>
        <w:tc>
          <w:tcPr>
            <w:tcW w:w="1365" w:type="dxa"/>
            <w:tcBorders>
              <w:top w:val="nil"/>
              <w:left w:val="nil"/>
              <w:bottom w:val="nil"/>
              <w:right w:val="nil"/>
            </w:tcBorders>
            <w:tcMar>
              <w:top w:w="100" w:type="dxa"/>
              <w:left w:w="100" w:type="dxa"/>
              <w:bottom w:w="100" w:type="dxa"/>
              <w:right w:w="100" w:type="dxa"/>
            </w:tcMar>
          </w:tcPr>
          <w:p w:rsidR="00100681" w:rsidRPr="00FA60B4">
            <w:pPr>
              <w:jc w:val="center"/>
              <w:rPr>
                <w:rFonts w:ascii="Verdana" w:hAnsi="Verdana"/>
              </w:rPr>
            </w:pPr>
            <w:r w:rsidRPr="00FA60B4">
              <w:rPr>
                <w:rFonts w:ascii="Verdana" w:hAnsi="Verdana"/>
                <w:b/>
                <w:bCs/>
              </w:rPr>
              <w:t>Owner</w:t>
            </w:r>
          </w:p>
        </w:tc>
      </w:tr>
      <w:tr>
        <w:tblPrEx>
          <w:tblW w:w="9705" w:type="dxa"/>
          <w:tblInd w:w="0" w:type="dxa"/>
          <w:tblLayout w:type="fixed"/>
          <w:tblLook w:val="0600"/>
        </w:tblPrEx>
        <w:trPr>
          <w:trHeight w:val="1610"/>
        </w:trPr>
        <w:tc>
          <w:tcPr>
            <w:tcW w:w="171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National spare places do not equal usable local capacity.</w:t>
            </w:r>
          </w:p>
        </w:tc>
        <w:tc>
          <w:tcPr>
            <w:tcW w:w="84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SYNTHESIS</w:t>
            </w:r>
          </w:p>
        </w:tc>
        <w:tc>
          <w:tcPr>
            <w:tcW w:w="765"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[2]</w:t>
            </w:r>
          </w:p>
        </w:tc>
        <w:tc>
          <w:tcPr>
            <w:tcW w:w="1275"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[4], independent</w:t>
            </w:r>
          </w:p>
        </w:tc>
        <w:tc>
          <w:tcPr>
            <w:tcW w:w="132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INPUTS-ANCHORED</w:t>
            </w:r>
          </w:p>
        </w:tc>
        <w:tc>
          <w:tcPr>
            <w:tcW w:w="111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High, sources align</w:t>
            </w:r>
          </w:p>
        </w:tc>
        <w:tc>
          <w:tcPr>
            <w:tcW w:w="132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Planning-area mismatch negligible</w:t>
            </w:r>
          </w:p>
        </w:tc>
        <w:tc>
          <w:tcPr>
            <w:tcW w:w="1365"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DfE, local authorities</w:t>
            </w:r>
          </w:p>
        </w:tc>
      </w:tr>
      <w:tr>
        <w:tblPrEx>
          <w:tblW w:w="9705" w:type="dxa"/>
          <w:tblInd w:w="0" w:type="dxa"/>
          <w:tblLayout w:type="fixed"/>
          <w:tblLook w:val="0600"/>
        </w:tblPrEx>
        <w:trPr>
          <w:trHeight w:val="1880"/>
        </w:trPr>
        <w:tc>
          <w:tcPr>
            <w:tcW w:w="171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The falling rolls fund is much smaller than illustrative exposure.</w:t>
            </w:r>
          </w:p>
        </w:tc>
        <w:tc>
          <w:tcPr>
            <w:tcW w:w="84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SYNTHESIS</w:t>
            </w:r>
          </w:p>
        </w:tc>
        <w:tc>
          <w:tcPr>
            <w:tcW w:w="765"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[5]</w:t>
            </w:r>
          </w:p>
        </w:tc>
        <w:tc>
          <w:tcPr>
            <w:tcW w:w="1275"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[7], context only</w:t>
            </w:r>
          </w:p>
        </w:tc>
        <w:tc>
          <w:tcPr>
            <w:tcW w:w="132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INPUTS-ANCHORED; NAO press release input</w:t>
            </w:r>
          </w:p>
        </w:tc>
        <w:tc>
          <w:tcPr>
            <w:tcW w:w="111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Medium, concepts differ</w:t>
            </w:r>
          </w:p>
        </w:tc>
        <w:tc>
          <w:tcPr>
            <w:tcW w:w="132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Outcomes show adequate support</w:t>
            </w:r>
          </w:p>
        </w:tc>
        <w:tc>
          <w:tcPr>
            <w:tcW w:w="1365"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DfE</w:t>
            </w:r>
          </w:p>
        </w:tc>
      </w:tr>
      <w:tr>
        <w:tblPrEx>
          <w:tblW w:w="9705" w:type="dxa"/>
          <w:tblInd w:w="0" w:type="dxa"/>
          <w:tblLayout w:type="fixed"/>
          <w:tblLook w:val="0600"/>
        </w:tblPrEx>
        <w:trPr>
          <w:trHeight w:val="1880"/>
        </w:trPr>
        <w:tc>
          <w:tcPr>
            <w:tcW w:w="171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SEND demand moves against mainstream contraction.</w:t>
            </w:r>
          </w:p>
        </w:tc>
        <w:tc>
          <w:tcPr>
            <w:tcW w:w="84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SYNTHESIS</w:t>
            </w:r>
          </w:p>
        </w:tc>
        <w:tc>
          <w:tcPr>
            <w:tcW w:w="765"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[2]</w:t>
            </w:r>
          </w:p>
        </w:tc>
        <w:tc>
          <w:tcPr>
            <w:tcW w:w="1275"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[1] and [10], same issuer/context</w:t>
            </w:r>
          </w:p>
        </w:tc>
        <w:tc>
          <w:tcPr>
            <w:tcW w:w="132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INPUTS-ANCHORED</w:t>
            </w:r>
          </w:p>
        </w:tc>
        <w:tc>
          <w:tcPr>
            <w:tcW w:w="111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Medium, SEN data developing</w:t>
            </w:r>
          </w:p>
        </w:tc>
        <w:tc>
          <w:tcPr>
            <w:tcW w:w="132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Pipeline meets forecast need</w:t>
            </w:r>
          </w:p>
        </w:tc>
        <w:tc>
          <w:tcPr>
            <w:tcW w:w="1365"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DfE, local authorities</w:t>
            </w:r>
          </w:p>
        </w:tc>
      </w:tr>
      <w:tr>
        <w:tblPrEx>
          <w:tblW w:w="9705" w:type="dxa"/>
          <w:tblInd w:w="0" w:type="dxa"/>
          <w:tblLayout w:type="fixed"/>
          <w:tblLook w:val="0600"/>
        </w:tblPrEx>
        <w:trPr>
          <w:trHeight w:val="1610"/>
        </w:trPr>
        <w:tc>
          <w:tcPr>
            <w:tcW w:w="171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Falling rolls need an accountability chain.</w:t>
            </w:r>
          </w:p>
        </w:tc>
        <w:tc>
          <w:tcPr>
            <w:tcW w:w="84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INFERENCE</w:t>
            </w:r>
          </w:p>
        </w:tc>
        <w:tc>
          <w:tcPr>
            <w:tcW w:w="765"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[3]</w:t>
            </w:r>
          </w:p>
        </w:tc>
        <w:tc>
          <w:tcPr>
            <w:tcW w:w="1275"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[4], independent</w:t>
            </w:r>
          </w:p>
        </w:tc>
        <w:tc>
          <w:tcPr>
            <w:tcW w:w="132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INPUTS-ANCHORED</w:t>
            </w:r>
          </w:p>
        </w:tc>
        <w:tc>
          <w:tcPr>
            <w:tcW w:w="111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Medium, routes vary locally</w:t>
            </w:r>
          </w:p>
        </w:tc>
        <w:tc>
          <w:tcPr>
            <w:tcW w:w="1320"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DfE publishes owners and thresholds</w:t>
            </w:r>
          </w:p>
        </w:tc>
        <w:tc>
          <w:tcPr>
            <w:tcW w:w="1365" w:type="dxa"/>
            <w:tcBorders>
              <w:top w:val="nil"/>
              <w:left w:val="nil"/>
              <w:bottom w:val="nil"/>
              <w:right w:val="nil"/>
            </w:tcBorders>
            <w:tcMar>
              <w:top w:w="100" w:type="dxa"/>
              <w:left w:w="100" w:type="dxa"/>
              <w:bottom w:w="100" w:type="dxa"/>
              <w:right w:w="100" w:type="dxa"/>
            </w:tcMar>
          </w:tcPr>
          <w:p w:rsidR="00100681" w:rsidRPr="00FA60B4">
            <w:pPr>
              <w:rPr>
                <w:rFonts w:ascii="Verdana" w:hAnsi="Verdana"/>
              </w:rPr>
            </w:pPr>
            <w:r w:rsidRPr="00FA60B4">
              <w:rPr>
                <w:rFonts w:ascii="Verdana" w:hAnsi="Verdana"/>
              </w:rPr>
              <w:t>DfE</w:t>
            </w:r>
          </w:p>
        </w:tc>
      </w:tr>
    </w:tbl>
    <w:p w:rsidR="00100681" w:rsidRPr="00E85A01">
      <w:pPr>
        <w:rPr>
          <w:rFonts w:ascii="Verdana" w:hAnsi="Verdana"/>
          <w:i/>
          <w:iCs/>
        </w:rPr>
      </w:pPr>
      <w:r>
        <w:rPr>
          <w:rFonts w:ascii="Verdana" w:hAnsi="Verdana"/>
          <w:i/>
          <w:iCs/>
        </w:rPr>
        <w:t>03 June 2026</w:t>
      </w:r>
    </w:p>
    <w:sectPr>
      <w:pgSz w:w="11909" w:h="16834"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C4180EF8-8028-49DE-9FFF-8107363BBA90}"/>
    <w:embedBold r:id="rId2" w:fontKey="{C0AD4A52-3B90-4A8C-ACC9-76126716723A}"/>
    <w:embedItalic r:id="rId3" w:fontKey="{716C4548-0B21-453B-92C9-5A9C83530123}"/>
  </w:font>
  <w:font w:name="Calibri">
    <w:panose1 w:val="020F0502020204030204"/>
    <w:charset w:val="00"/>
    <w:family w:val="swiss"/>
    <w:pitch w:val="variable"/>
    <w:sig w:usb0="E4002EFF" w:usb1="C200247B" w:usb2="00000009" w:usb3="00000000" w:csb0="000001FF" w:csb1="00000000"/>
    <w:embedRegular r:id="rId4" w:fontKey="{E12CEF28-97AE-4F9F-8C74-D5353D069FD6}"/>
  </w:font>
  <w:font w:name="Cambria">
    <w:panose1 w:val="02040503050406030204"/>
    <w:charset w:val="00"/>
    <w:family w:val="roman"/>
    <w:pitch w:val="variable"/>
    <w:sig w:usb0="E00006FF" w:usb1="420024FF" w:usb2="02000000" w:usb3="00000000" w:csb0="0000019F" w:csb1="00000000"/>
    <w:embedRegular r:id="rId5" w:fontKey="{7DDCC439-D6EE-45F6-A5D9-9E6FD98B141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0000000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0000003"/>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00000004"/>
    <w:multiLevelType w:val="hybridMultilevel"/>
    <w:tmpl w:val="0000000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00000005"/>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0000000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0000007"/>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0000000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000000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0000000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0000000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0000000C"/>
    <w:multiLevelType w:val="hybridMultilevel"/>
    <w:tmpl w:val="0000000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nsid w:val="0000000D"/>
    <w:multiLevelType w:val="hybridMultilevel"/>
    <w:tmpl w:val="00000000"/>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nsid w:val="0000000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0000000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0000001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0000001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0000001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basedOn w:val="Normal1"/>
    <w:next w:val="Normal1"/>
    <w:pPr>
      <w:keepNext/>
      <w:keepLines/>
      <w:spacing w:before="400" w:after="120" w:line="240" w:lineRule="auto"/>
      <w:outlineLvl w:val="0"/>
    </w:pPr>
    <w:rPr>
      <w:sz w:val="40"/>
      <w:szCs w:val="40"/>
    </w:rPr>
  </w:style>
  <w:style w:type="paragraph" w:styleId="Heading2">
    <w:name w:val="heading 2"/>
    <w:basedOn w:val="Normal1"/>
    <w:next w:val="Normal1"/>
    <w:pPr>
      <w:keepNext/>
      <w:keepLines/>
      <w:spacing w:before="360" w:after="120" w:line="240" w:lineRule="auto"/>
      <w:outlineLvl w:val="1"/>
    </w:pPr>
    <w:rPr>
      <w:sz w:val="32"/>
      <w:szCs w:val="32"/>
    </w:rPr>
  </w:style>
  <w:style w:type="paragraph" w:styleId="Heading3">
    <w:name w:val="heading 3"/>
    <w:basedOn w:val="Normal1"/>
    <w:next w:val="Normal1"/>
    <w:pPr>
      <w:keepNext/>
      <w:keepLines/>
      <w:spacing w:before="320" w:after="80" w:line="240" w:lineRule="auto"/>
      <w:outlineLvl w:val="2"/>
    </w:pPr>
    <w:rPr>
      <w:color w:val="434343"/>
      <w:sz w:val="28"/>
      <w:szCs w:val="28"/>
    </w:rPr>
  </w:style>
  <w:style w:type="paragraph" w:styleId="Heading4">
    <w:name w:val="heading 4"/>
    <w:basedOn w:val="Normal1"/>
    <w:next w:val="Normal1"/>
    <w:pPr>
      <w:keepNext/>
      <w:keepLines/>
      <w:spacing w:before="280" w:after="80" w:line="240" w:lineRule="auto"/>
      <w:outlineLvl w:val="3"/>
    </w:pPr>
    <w:rPr>
      <w:color w:val="666666"/>
      <w:sz w:val="24"/>
      <w:szCs w:val="24"/>
    </w:rPr>
  </w:style>
  <w:style w:type="paragraph" w:styleId="Heading5">
    <w:name w:val="heading 5"/>
    <w:basedOn w:val="Normal1"/>
    <w:next w:val="Normal1"/>
    <w:pPr>
      <w:keepNext/>
      <w:keepLines/>
      <w:spacing w:before="240" w:after="80" w:line="240" w:lineRule="auto"/>
      <w:outlineLvl w:val="4"/>
    </w:pPr>
    <w:rPr>
      <w:color w:val="666666"/>
    </w:rPr>
  </w:style>
  <w:style w:type="paragraph" w:styleId="Heading6">
    <w:name w:val="heading 6"/>
    <w:basedOn w:val="Normal1"/>
    <w:next w:val="Normal1"/>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pPr>
      <w:keepNext/>
      <w:keepLines/>
      <w:spacing w:after="60" w:line="240" w:lineRule="auto"/>
    </w:pPr>
    <w:rPr>
      <w:sz w:val="52"/>
      <w:szCs w:val="52"/>
    </w:rPr>
  </w:style>
  <w:style w:type="paragraph" w:styleId="Subtitle">
    <w:name w:val="Subtitle"/>
    <w:basedOn w:val="Normal1"/>
    <w:next w:val="Normal1"/>
    <w:pPr>
      <w:keepNext/>
      <w:keepLines/>
      <w:spacing w:after="320" w:line="240" w:lineRule="auto"/>
    </w:pPr>
    <w:rPr>
      <w:color w:val="666666"/>
      <w:sz w:val="30"/>
      <w:szCs w:val="30"/>
    </w:rPr>
  </w:style>
  <w:style w:type="table" w:customStyle="1" w:styleId="Table1">
    <w:name w:val="Table1"/>
    <w:basedOn w:val="TableNormal0"/>
    <w:tblPr>
      <w:tblStyleRowBandSize w:val="1"/>
      <w:tblStyleColBandSize w:val="1"/>
    </w:tblPr>
  </w:style>
  <w:style w:type="table" w:customStyle="1" w:styleId="Table2">
    <w:name w:val="Table2"/>
    <w:basedOn w:val="TableNormal0"/>
    <w:tblPr>
      <w:tblStyleRowBandSize w:val="1"/>
      <w:tblStyleColBandSize w:val="1"/>
    </w:tblPr>
  </w:style>
  <w:style w:type="table" w:customStyle="1" w:styleId="Table3">
    <w:name w:val="Table3"/>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54</Value>
      <Value>3</Value>
      <Value>47</Value>
      <Value>106</Value>
      <Value>5</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lcf76f155ced4ddcb4097134ff3c332f xmlns="ac6055d9-4673-4f2d-bff4-8106c5e1167f">
      <Terms xmlns="http://schemas.microsoft.com/office/infopath/2007/PartnerControls"/>
    </lcf76f155ced4ddcb4097134ff3c332f>
    <Meeting_x0020_Date xmlns="2d7e0317-ce4a-4cde-9e0e-6511d8769bb0" xsi:nil="tru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2d7e0317-ce4a-4cde-9e0e-6511d8769bb0">T6XQXZ27YFPC-1750559506-3108</_dlc_DocId>
    <_dlc_DocIdUrl xmlns="2d7e0317-ce4a-4cde-9e0e-6511d8769bb0">
      <Url>https://hopuk.sharepoint.com/sites/hlc-publicservices/_layouts/15/DocIdRedir.aspx?ID=T6XQXZ27YFPC-1750559506-3108</Url>
      <Description>T6XQXZ27YFPC-1750559506-3108</Description>
    </_dlc_DocIdUrl>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7" ma:contentTypeDescription="Create a new document." ma:contentTypeScope="" ma:versionID="93718f12f0121550e5523f01af020fab">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39bb642d6adfc70c7ec779ee01884d07"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7" nillable="true" ma:displayName="MediaServiceObjectDetectorVersions" ma:hidden="true" ma:indexed="true" ma:internalName="MediaServiceObjectDetectorVersions" ma:readOnly="true">
      <xsd:simpleType>
        <xsd:restriction base="dms:Text"/>
      </xsd:simpleType>
    </xsd:element>
    <xsd:element name="MediaServiceSearchProperties" ma:index="4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5;#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s" ma:default="106;#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B7D27E-9BF3-409C-8AFA-24B73D4281F2}">
  <ds:schemaRefs>
    <ds:schemaRef ds:uri="http://schemas.microsoft.com/office/2006/metadata/properties"/>
    <ds:schemaRef ds:uri="http://schemas.microsoft.com/office/infopath/2007/PartnerControls"/>
    <ds:schemaRef ds:uri="4600776d-0a3c-44b4-bff2-0ceaafb13046"/>
    <ds:schemaRef ds:uri="2d7e0317-ce4a-4cde-9e0e-6511d8769bb0"/>
    <ds:schemaRef ds:uri="ac6055d9-4673-4f2d-bff4-8106c5e1167f"/>
  </ds:schemaRefs>
</ds:datastoreItem>
</file>

<file path=customXml/itemProps2.xml><?xml version="1.0" encoding="utf-8"?>
<ds:datastoreItem xmlns:ds="http://schemas.openxmlformats.org/officeDocument/2006/customXml" ds:itemID="{8B1E4E7E-424B-4026-B2FE-57435CD95891}">
  <ds:schemaRefs>
    <ds:schemaRef ds:uri="http://schemas.microsoft.com/sharepoint/v3/contenttype/forms"/>
  </ds:schemaRefs>
</ds:datastoreItem>
</file>

<file path=customXml/itemProps3.xml><?xml version="1.0" encoding="utf-8"?>
<ds:datastoreItem xmlns:ds="http://schemas.openxmlformats.org/officeDocument/2006/customXml" ds:itemID="{DD33AB14-B2B5-4E5D-B528-F099D70C8D85}">
  <ds:schemaRefs>
    <ds:schemaRef ds:uri="http://schemas.microsoft.com/sharepoint/events"/>
  </ds:schemaRefs>
</ds:datastoreItem>
</file>

<file path=customXml/itemProps4.xml><?xml version="1.0" encoding="utf-8"?>
<ds:datastoreItem xmlns:ds="http://schemas.openxmlformats.org/officeDocument/2006/customXml" ds:itemID="{16C9F50D-DA4F-4F1F-865A-C6004B1F7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FPS0005</dc:title>
  <cp:revision>0</cp:revision>
</cp:coreProperties>
</file>