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267C" w:rsidRPr="00B775EB" w:rsidP="0020267C">
      <w:pPr>
        <w:rPr>
          <w:rFonts w:ascii="Calibri" w:eastAsia="Arial Nova" w:hAnsi="Calibri" w:cs="Calibri"/>
          <w:b/>
          <w:bCs/>
          <w:sz w:val="22"/>
          <w:szCs w:val="22"/>
        </w:rPr>
      </w:pPr>
      <w:r w:rsidRPr="00B775EB">
        <w:rPr>
          <w:rFonts w:ascii="Calibri" w:eastAsia="Arial Nova" w:hAnsi="Calibri" w:cs="Calibri"/>
          <w:b/>
          <w:bCs/>
          <w:sz w:val="22"/>
          <w:szCs w:val="22"/>
        </w:rPr>
        <w:t xml:space="preserve">Written evidence submitted by </w:t>
      </w:r>
      <w:r w:rsidRPr="00B775EB">
        <w:rPr>
          <w:rFonts w:ascii="Calibri" w:eastAsia="Arial Nova" w:hAnsi="Calibri" w:cs="Calibri"/>
          <w:b/>
          <w:bCs/>
          <w:sz w:val="22"/>
          <w:szCs w:val="22"/>
        </w:rPr>
        <w:t xml:space="preserve">CBT Procedural Offices </w:t>
      </w:r>
      <w:r w:rsidRPr="00B775EB">
        <w:rPr>
          <w:rFonts w:ascii="Calibri" w:eastAsia="Arial Nova" w:hAnsi="Calibri" w:cs="Calibri"/>
          <w:b/>
          <w:bCs/>
          <w:sz w:val="22"/>
          <w:szCs w:val="22"/>
        </w:rPr>
        <w:t>(BBB0020)</w:t>
      </w:r>
    </w:p>
    <w:p w:rsidR="0020267C" w:rsidP="00A206D2">
      <w:pPr>
        <w:pStyle w:val="Heading2"/>
      </w:pPr>
    </w:p>
    <w:p w:rsidR="00A206D2" w:rsidP="00A206D2">
      <w:pPr>
        <w:pStyle w:val="Heading2"/>
      </w:pPr>
      <w:r w:rsidRPr="00DC4BAF">
        <w:t>Introduction</w:t>
      </w:r>
    </w:p>
    <w:p w:rsidR="00A206D2" w:rsidP="00A206D2">
      <w:pPr>
        <w:pStyle w:val="ListParagraph"/>
        <w:numPr>
          <w:ilvl w:val="0"/>
          <w:numId w:val="1"/>
        </w:numPr>
      </w:pPr>
      <w:r>
        <w:t xml:space="preserve">This submission </w:t>
      </w:r>
      <w:r w:rsidR="00FC30B8">
        <w:t>by the procedural offices within the Chamber Business Team</w:t>
      </w:r>
      <w:r>
        <w:t xml:space="preserve"> provides the historical and procedural context to the creation of the Backbench Business Committee and the Petitions </w:t>
      </w:r>
      <w:r>
        <w:t>Committee</w:t>
      </w:r>
      <w:r w:rsidR="00FC30B8">
        <w:t>, and</w:t>
      </w:r>
      <w:r w:rsidR="00FC30B8">
        <w:t xml:space="preserve"> is to be read alongside the submissions from the </w:t>
      </w:r>
      <w:r w:rsidR="00DE0BD6">
        <w:t>Backbench Business Committee and Petitions Committee</w:t>
      </w:r>
      <w:r>
        <w:t xml:space="preserve">. It sets out why they were constituted and how they have evolved since their establishment. It is for the </w:t>
      </w:r>
      <w:r w:rsidR="00DE0BD6">
        <w:t xml:space="preserve">Modernisation </w:t>
      </w:r>
      <w:r w:rsidR="00E71808">
        <w:t>Committee to assess</w:t>
      </w:r>
      <w:r>
        <w:t xml:space="preserve"> whether </w:t>
      </w:r>
      <w:r w:rsidRPr="00884FC2">
        <w:t xml:space="preserve">the current </w:t>
      </w:r>
      <w:r>
        <w:t xml:space="preserve">approach to </w:t>
      </w:r>
      <w:r w:rsidRPr="00884FC2">
        <w:t>Petitions and Backbench Business debates is appropriate and effective.</w:t>
      </w:r>
      <w:r>
        <w:t xml:space="preserve"> </w:t>
      </w:r>
      <w:r w:rsidR="00232FE0">
        <w:t>We</w:t>
      </w:r>
      <w:r w:rsidRPr="00802C18">
        <w:t xml:space="preserve"> would be pleased to provide further information on any of the details </w:t>
      </w:r>
      <w:r>
        <w:t>below.</w:t>
      </w:r>
    </w:p>
    <w:p w:rsidR="00A206D2" w:rsidRPr="00A206D2" w:rsidP="00A206D2">
      <w:pPr>
        <w:pStyle w:val="Heading2"/>
      </w:pPr>
      <w:r>
        <w:t>Backbench Business Committee</w:t>
      </w:r>
    </w:p>
    <w:p w:rsidR="00C217B0" w:rsidP="00C217B0">
      <w:pPr>
        <w:pStyle w:val="ListParagraph"/>
        <w:numPr>
          <w:ilvl w:val="0"/>
          <w:numId w:val="1"/>
        </w:numPr>
      </w:pPr>
      <w:r w:rsidRPr="00A206D2">
        <w:t>The Backbench Business Committee</w:t>
      </w:r>
      <w:r>
        <w:t xml:space="preserve"> (BBCom)</w:t>
      </w:r>
      <w:r w:rsidRPr="00A206D2">
        <w:t xml:space="preserve"> was established on 15 June 2010, following recommendations </w:t>
      </w:r>
      <w:r>
        <w:t>made by</w:t>
      </w:r>
      <w:r w:rsidRPr="00A206D2">
        <w:t xml:space="preserve"> the</w:t>
      </w:r>
      <w:r w:rsidR="004156C0">
        <w:t xml:space="preserve"> </w:t>
      </w:r>
      <w:r>
        <w:t>R</w:t>
      </w:r>
      <w:r w:rsidRPr="00746FC1">
        <w:t>eform of the House of Commons Select Committee</w:t>
      </w:r>
      <w:r>
        <w:t>,</w:t>
      </w:r>
      <w:r>
        <w:t xml:space="preserve"> commonly known as the Wright </w:t>
      </w:r>
      <w:r>
        <w:t>Committee</w:t>
      </w:r>
      <w:r>
        <w:t xml:space="preserve">. </w:t>
      </w:r>
      <w:r w:rsidR="00804A72">
        <w:t xml:space="preserve">In its </w:t>
      </w:r>
      <w:r w:rsidRPr="00804A72" w:rsidR="00804A72">
        <w:rPr>
          <w:i/>
          <w:iCs/>
        </w:rPr>
        <w:t>Rebuilding the House</w:t>
      </w:r>
      <w:r w:rsidR="00804A72">
        <w:t xml:space="preserve"> Report, t</w:t>
      </w:r>
      <w:r>
        <w:t>he Wright Committee concluded that responsibility for scheduling backbench business should rest with backbench Members, rather than with the Government.</w:t>
      </w:r>
      <w:r w:rsidRPr="00C217B0">
        <w:rPr>
          <w:rStyle w:val="FootnoteReference"/>
        </w:rPr>
        <w:t xml:space="preserve"> </w:t>
      </w:r>
      <w:r>
        <w:rPr>
          <w:rStyle w:val="FootnoteReference"/>
        </w:rPr>
        <w:footnoteReference w:id="2"/>
      </w:r>
      <w:r>
        <w:t xml:space="preserve"> To give effect to this principle, it recommended the establishment of a Backbench Business Committee and the identification and protection of a minimum of one day per sitting week for backbench business.</w:t>
      </w:r>
      <w:r w:rsidRPr="00C217B0">
        <w:t xml:space="preserve"> </w:t>
      </w:r>
      <w:r>
        <w:t>It believed that this would:</w:t>
      </w:r>
    </w:p>
    <w:p w:rsidR="00C217B0" w:rsidP="00C217B0">
      <w:pPr>
        <w:ind w:left="1440"/>
      </w:pPr>
      <w:r>
        <w:t xml:space="preserve">… be a major step forward… </w:t>
      </w:r>
      <w:r w:rsidRPr="00090D04">
        <w:t>It will create new opportunities for all Members, giving them a greater sense of ownership and responsibility for what goes on in their own House. It will make debates more responsive to public concerns, as fed in to Members by their constituents. It will strengthen the position of the widely-respected select committees. We feel that this is an essential reform which will have many benefits for Members, for Parliament as a whole, and for the esteem in which it is held.</w:t>
      </w:r>
      <w:r>
        <w:rPr>
          <w:rStyle w:val="FootnoteReference"/>
        </w:rPr>
        <w:footnoteReference w:id="3"/>
      </w:r>
    </w:p>
    <w:p w:rsidR="00522B6C" w:rsidP="00522B6C">
      <w:pPr>
        <w:pStyle w:val="ListParagraph"/>
        <w:numPr>
          <w:ilvl w:val="0"/>
          <w:numId w:val="1"/>
        </w:numPr>
        <w:ind w:left="714" w:hanging="357"/>
      </w:pPr>
      <w:r>
        <w:t xml:space="preserve">The House agreed to the Committee’s recommendation on 4 March 2010, having </w:t>
      </w:r>
      <w:r w:rsidR="00232FE0">
        <w:t xml:space="preserve">agreed </w:t>
      </w:r>
      <w:r>
        <w:t xml:space="preserve">an amendment tabled by the Shadow Leader of the House to ensure that BBCom was set up in time for the next Parliament, rather than within 10 sitting </w:t>
      </w:r>
      <w:r>
        <w:t>weeks of the beginning of the next Parliament</w:t>
      </w:r>
      <w:r w:rsidR="00617E3B">
        <w:t xml:space="preserve"> as the Government had intended</w:t>
      </w:r>
      <w:r>
        <w:t>.</w:t>
      </w:r>
      <w:r w:rsidRPr="00C0377B">
        <w:rPr>
          <w:rStyle w:val="FootnoteReference"/>
        </w:rPr>
        <w:t xml:space="preserve"> </w:t>
      </w:r>
      <w:r>
        <w:rPr>
          <w:rStyle w:val="FootnoteReference"/>
        </w:rPr>
        <w:footnoteReference w:id="4"/>
      </w:r>
      <w:r w:rsidR="00617E3B">
        <w:rPr>
          <w:rStyle w:val="FootnoteReference"/>
        </w:rPr>
        <w:t xml:space="preserve"> </w:t>
      </w:r>
      <w:r w:rsidR="00617E3B">
        <w:t xml:space="preserve"> The subsequent Standing Order changes were agreed on 15 June 2010 following the 2010 General Election.</w:t>
      </w:r>
      <w:r>
        <w:rPr>
          <w:rStyle w:val="FootnoteReference"/>
        </w:rPr>
        <w:footnoteReference w:id="5"/>
      </w:r>
      <w:r w:rsidR="00617E3B">
        <w:t xml:space="preserve"> BBCom held its first </w:t>
      </w:r>
      <w:r w:rsidR="003E6039">
        <w:t>private</w:t>
      </w:r>
      <w:r w:rsidR="00617E3B">
        <w:t xml:space="preserve"> meeting on 6 July 2010, and the first debate scheduled on </w:t>
      </w:r>
      <w:r w:rsidR="00C311AE">
        <w:t>its</w:t>
      </w:r>
      <w:r w:rsidR="00617E3B">
        <w:t xml:space="preserve"> recommendation took place on 20 July 2010. </w:t>
      </w:r>
      <w:r w:rsidR="00151BD5">
        <w:t xml:space="preserve">It first heard </w:t>
      </w:r>
      <w:r w:rsidR="00AC78B2">
        <w:t>oral represe</w:t>
      </w:r>
      <w:r w:rsidR="000402E2">
        <w:t xml:space="preserve">ntations </w:t>
      </w:r>
      <w:r w:rsidR="00151BD5">
        <w:t xml:space="preserve">from backbenchers on </w:t>
      </w:r>
      <w:r w:rsidR="000270DA">
        <w:t>15 September 2015.</w:t>
      </w:r>
      <w:r>
        <w:rPr>
          <w:rStyle w:val="FootnoteReference"/>
        </w:rPr>
        <w:footnoteReference w:id="6"/>
      </w:r>
    </w:p>
    <w:p w:rsidR="00C217B0" w:rsidP="00457A76">
      <w:pPr>
        <w:pStyle w:val="ListParagraph"/>
        <w:numPr>
          <w:ilvl w:val="0"/>
          <w:numId w:val="1"/>
        </w:numPr>
        <w:ind w:left="714" w:hanging="357"/>
        <w:contextualSpacing w:val="0"/>
      </w:pPr>
      <w:r w:rsidRPr="00522B6C">
        <w:t>The Committee adopted a provisional approach</w:t>
      </w:r>
      <w:r w:rsidR="005E1CFC">
        <w:t xml:space="preserve"> to scheduling backbench business</w:t>
      </w:r>
      <w:r w:rsidRPr="00522B6C">
        <w:t>, expecting its practices to evolve in line with the needs of the House and backbench Members</w:t>
      </w:r>
      <w:r w:rsidR="00BC327D">
        <w:t xml:space="preserve"> in recognition of</w:t>
      </w:r>
      <w:r w:rsidR="00B240A6">
        <w:t xml:space="preserve"> </w:t>
      </w:r>
      <w:r w:rsidR="00F14928">
        <w:t>its nascent stage</w:t>
      </w:r>
      <w:r w:rsidRPr="00522B6C">
        <w:t>.</w:t>
      </w:r>
      <w:r>
        <w:rPr>
          <w:rStyle w:val="FootnoteReference"/>
        </w:rPr>
        <w:footnoteReference w:id="7"/>
      </w:r>
      <w:r w:rsidRPr="00522B6C">
        <w:t xml:space="preserve"> It instituted open meetings for Members to present proposals for debate, supported by a standard application form setting out the case for consideration and the level of support.</w:t>
      </w:r>
      <w:r>
        <w:t xml:space="preserve"> </w:t>
      </w:r>
      <w:r w:rsidRPr="00522B6C">
        <w:t xml:space="preserve">In assessing proposals, the Committee </w:t>
      </w:r>
      <w:r w:rsidR="00254335">
        <w:t>said it would consider</w:t>
      </w:r>
      <w:r w:rsidRPr="00522B6C">
        <w:t xml:space="preserve"> factors including topicality, significance, breadth of support (including across parties), the availability of alternative opportunities, and the time required. </w:t>
      </w:r>
      <w:r w:rsidR="00130542">
        <w:t>Th</w:t>
      </w:r>
      <w:r w:rsidRPr="00130542" w:rsidR="00130542">
        <w:t xml:space="preserve">e Committee </w:t>
      </w:r>
      <w:r w:rsidR="00EF2441">
        <w:t>met</w:t>
      </w:r>
      <w:r w:rsidRPr="00130542" w:rsidR="00130542">
        <w:t xml:space="preserve"> in private to determine which subjects should be scheduled for debate, subject to the availability of </w:t>
      </w:r>
      <w:r w:rsidR="00A7296F">
        <w:t xml:space="preserve">backbench </w:t>
      </w:r>
      <w:r w:rsidRPr="00130542" w:rsidR="00130542">
        <w:t>time</w:t>
      </w:r>
      <w:r w:rsidR="00A7296F">
        <w:t xml:space="preserve">. </w:t>
      </w:r>
      <w:r w:rsidR="006B1487">
        <w:t xml:space="preserve">This process has broadly remained the same </w:t>
      </w:r>
      <w:r w:rsidR="00EB1859">
        <w:t xml:space="preserve">ever since. </w:t>
      </w:r>
    </w:p>
    <w:p w:rsidR="004E27F8" w:rsidP="00617E3B">
      <w:pPr>
        <w:pStyle w:val="ListParagraph"/>
        <w:numPr>
          <w:ilvl w:val="0"/>
          <w:numId w:val="1"/>
        </w:numPr>
        <w:ind w:left="714" w:hanging="357"/>
        <w:contextualSpacing w:val="0"/>
      </w:pPr>
      <w:r>
        <w:t xml:space="preserve">Until the end of last </w:t>
      </w:r>
      <w:r w:rsidR="008B7F23">
        <w:t>s</w:t>
      </w:r>
      <w:r>
        <w:t>ession</w:t>
      </w:r>
      <w:r w:rsidR="0061475A">
        <w:t>,</w:t>
      </w:r>
      <w:r>
        <w:t xml:space="preserve"> the Chair of BBCom was elected each session, an</w:t>
      </w:r>
      <w:r w:rsidR="00912635">
        <w:t xml:space="preserve">d the Members of the Committee were also appointed </w:t>
      </w:r>
      <w:r w:rsidR="00402345">
        <w:t xml:space="preserve">for a session. On </w:t>
      </w:r>
      <w:r w:rsidR="004B59BC">
        <w:t>28 April 2026</w:t>
      </w:r>
      <w:r w:rsidR="0072105B">
        <w:t>,</w:t>
      </w:r>
      <w:r w:rsidR="004B59BC">
        <w:t xml:space="preserve"> </w:t>
      </w:r>
      <w:r w:rsidR="00AE136E">
        <w:t xml:space="preserve">the House agreed to amend the Standing Orders so that, like </w:t>
      </w:r>
      <w:r w:rsidR="00952BCC">
        <w:t>other</w:t>
      </w:r>
      <w:r w:rsidR="00AE136E">
        <w:t xml:space="preserve"> </w:t>
      </w:r>
      <w:r w:rsidR="00952BCC">
        <w:t xml:space="preserve">Select </w:t>
      </w:r>
      <w:r w:rsidR="00AE136E">
        <w:t>Committees</w:t>
      </w:r>
      <w:r w:rsidR="00952BCC">
        <w:t xml:space="preserve"> appointed under the Standing Orders</w:t>
      </w:r>
      <w:r w:rsidR="00F17F55">
        <w:t>, the default is that</w:t>
      </w:r>
      <w:r w:rsidR="00952BCC">
        <w:t xml:space="preserve"> </w:t>
      </w:r>
      <w:r w:rsidR="005709F5">
        <w:t xml:space="preserve">Chair and Members </w:t>
      </w:r>
      <w:r w:rsidR="00F17F55">
        <w:t xml:space="preserve">serve </w:t>
      </w:r>
      <w:r w:rsidR="005709F5">
        <w:t xml:space="preserve">for </w:t>
      </w:r>
      <w:r w:rsidR="00F17F55">
        <w:t>the entire</w:t>
      </w:r>
      <w:r w:rsidR="005709F5">
        <w:t xml:space="preserve"> Parliament.</w:t>
      </w:r>
    </w:p>
    <w:p w:rsidR="00BF412C" w:rsidRPr="001F0A7E" w:rsidP="001F0A7E">
      <w:pPr>
        <w:pStyle w:val="ListParagraph"/>
        <w:numPr>
          <w:ilvl w:val="0"/>
          <w:numId w:val="1"/>
        </w:numPr>
        <w:rPr>
          <w:u w:val="single"/>
        </w:rPr>
      </w:pPr>
      <w:r>
        <w:t>In terms of</w:t>
      </w:r>
      <w:r w:rsidR="00CD5E31">
        <w:t xml:space="preserve"> the allocation of time for</w:t>
      </w:r>
      <w:r>
        <w:t xml:space="preserve"> debate</w:t>
      </w:r>
      <w:r w:rsidR="006D73DD">
        <w:t>s</w:t>
      </w:r>
      <w:r>
        <w:t xml:space="preserve">, </w:t>
      </w:r>
      <w:r w:rsidR="0091571D">
        <w:t xml:space="preserve">the original </w:t>
      </w:r>
      <w:r w:rsidR="00CD5E31">
        <w:t>provision</w:t>
      </w:r>
      <w:r w:rsidR="0091571D">
        <w:t xml:space="preserve"> of 35</w:t>
      </w:r>
      <w:r w:rsidR="00D35BC6">
        <w:t xml:space="preserve"> backbench business</w:t>
      </w:r>
      <w:r w:rsidR="0091571D">
        <w:t xml:space="preserve"> days, of which at least 27 must be held in the Chamber, under Standing Order No. 14</w:t>
      </w:r>
      <w:r w:rsidR="00E25302">
        <w:t>,</w:t>
      </w:r>
      <w:r w:rsidR="0091571D">
        <w:t xml:space="preserve"> has remained </w:t>
      </w:r>
      <w:r w:rsidR="004A31B4">
        <w:t xml:space="preserve">unchanged </w:t>
      </w:r>
      <w:r w:rsidR="00647ED2">
        <w:t>since the Committee’s inception</w:t>
      </w:r>
      <w:r w:rsidR="0091571D">
        <w:t xml:space="preserve">. </w:t>
      </w:r>
      <w:r w:rsidRPr="001F0A7E" w:rsidR="001F0A7E">
        <w:t>Decisions regarding which sitting days are allocated for Backbench Business rest with the Government. In addition, the Government may make available further debating time outside this formal allocation, commonly referred to as “unallotted days</w:t>
      </w:r>
      <w:r w:rsidRPr="001F0A7E" w:rsidR="004863DC">
        <w:t>”</w:t>
      </w:r>
      <w:r w:rsidRPr="001F0A7E" w:rsidR="00A517B0">
        <w:t>.</w:t>
      </w:r>
      <w:r w:rsidRPr="001F0A7E" w:rsidR="001F0A7E">
        <w:t xml:space="preserve"> Table 1 below summarises the distribution of time spent on </w:t>
      </w:r>
      <w:r w:rsidR="001A7D1C">
        <w:t>b</w:t>
      </w:r>
      <w:r w:rsidRPr="001F0A7E" w:rsidR="001F0A7E">
        <w:t xml:space="preserve">ackbench </w:t>
      </w:r>
      <w:r w:rsidR="001A7D1C">
        <w:t>b</w:t>
      </w:r>
      <w:r w:rsidRPr="001F0A7E" w:rsidR="001F0A7E">
        <w:t>usiness in the Chamber and in Westminster Hall</w:t>
      </w:r>
      <w:r w:rsidR="00E6157E">
        <w:t xml:space="preserve"> in recent sessions. </w:t>
      </w:r>
    </w:p>
    <w:p w:rsidR="00BF412C" w:rsidP="00BF412C">
      <w:pPr>
        <w:pStyle w:val="ListParagraph"/>
      </w:pPr>
    </w:p>
    <w:p w:rsidR="005C3F5B" w:rsidRPr="005C3F5B" w:rsidP="00BF412C">
      <w:pPr>
        <w:pStyle w:val="ListParagraph"/>
        <w:rPr>
          <w:u w:val="single"/>
        </w:rPr>
      </w:pPr>
      <w:r w:rsidRPr="005C3F5B">
        <w:rPr>
          <w:u w:val="single"/>
        </w:rPr>
        <w:t xml:space="preserve">Table </w:t>
      </w:r>
      <w:r w:rsidR="00CB76BE">
        <w:rPr>
          <w:u w:val="single"/>
        </w:rPr>
        <w:t>1</w:t>
      </w:r>
      <w:r w:rsidRPr="005C3F5B">
        <w:rPr>
          <w:u w:val="single"/>
        </w:rPr>
        <w:t xml:space="preserve">: </w:t>
      </w:r>
      <w:r w:rsidR="00B20660">
        <w:rPr>
          <w:u w:val="single"/>
        </w:rPr>
        <w:t>Percentage of t</w:t>
      </w:r>
      <w:r w:rsidR="005D2E78">
        <w:rPr>
          <w:u w:val="single"/>
        </w:rPr>
        <w:t xml:space="preserve">ime spent on the floor of the House </w:t>
      </w:r>
      <w:r w:rsidR="00CD55A2">
        <w:rPr>
          <w:u w:val="single"/>
        </w:rPr>
        <w:t>and Westminster Hall on backbench business</w:t>
      </w:r>
      <w:r w:rsidR="00B20660">
        <w:rPr>
          <w:u w:val="single"/>
        </w:rPr>
        <w:t xml:space="preserve"> since session 2012-13</w:t>
      </w:r>
      <w:r>
        <w:rPr>
          <w:rStyle w:val="FootnoteReference"/>
        </w:rPr>
        <w:footnoteReference w:id="8"/>
      </w:r>
    </w:p>
    <w:p w:rsidR="00E24976" w:rsidP="00226788">
      <w:pPr>
        <w:pStyle w:val="ListParagraph"/>
        <w:contextualSpacing w:val="0"/>
      </w:pPr>
    </w:p>
    <w:tbl>
      <w:tblPr>
        <w:tblStyle w:val="TableGrid"/>
        <w:tblW w:w="0" w:type="auto"/>
        <w:tblInd w:w="720" w:type="dxa"/>
        <w:tblLook w:val="04A0"/>
      </w:tblPr>
      <w:tblGrid>
        <w:gridCol w:w="2733"/>
        <w:gridCol w:w="2754"/>
        <w:gridCol w:w="2809"/>
      </w:tblGrid>
      <w:tr>
        <w:tblPrEx>
          <w:tblW w:w="0" w:type="auto"/>
          <w:tblInd w:w="720" w:type="dxa"/>
          <w:tblLook w:val="04A0"/>
        </w:tblPrEx>
        <w:tc>
          <w:tcPr>
            <w:tcW w:w="2733" w:type="dxa"/>
          </w:tcPr>
          <w:p w:rsidR="006A126B" w:rsidRPr="00A12DD6">
            <w:pPr>
              <w:pStyle w:val="ListParagraph"/>
              <w:ind w:left="0"/>
              <w:rPr>
                <w:b/>
                <w:bCs/>
              </w:rPr>
            </w:pPr>
            <w:r w:rsidRPr="00A12DD6">
              <w:rPr>
                <w:b/>
                <w:bCs/>
              </w:rPr>
              <w:t>Session</w:t>
            </w:r>
          </w:p>
        </w:tc>
        <w:tc>
          <w:tcPr>
            <w:tcW w:w="2754" w:type="dxa"/>
          </w:tcPr>
          <w:p w:rsidR="006A126B" w:rsidRPr="00A12DD6">
            <w:pPr>
              <w:pStyle w:val="ListParagraph"/>
              <w:ind w:left="0"/>
              <w:rPr>
                <w:b/>
                <w:bCs/>
              </w:rPr>
            </w:pPr>
            <w:r w:rsidRPr="00A12DD6">
              <w:rPr>
                <w:b/>
                <w:bCs/>
              </w:rPr>
              <w:t>Chamber</w:t>
            </w:r>
          </w:p>
        </w:tc>
        <w:tc>
          <w:tcPr>
            <w:tcW w:w="2809" w:type="dxa"/>
          </w:tcPr>
          <w:p w:rsidR="006A126B" w:rsidRPr="00A12DD6">
            <w:pPr>
              <w:pStyle w:val="ListParagraph"/>
              <w:ind w:left="0"/>
              <w:rPr>
                <w:b/>
                <w:bCs/>
              </w:rPr>
            </w:pPr>
            <w:r w:rsidRPr="00A12DD6">
              <w:rPr>
                <w:b/>
                <w:bCs/>
              </w:rPr>
              <w:t>Westminster Hall</w:t>
            </w:r>
          </w:p>
        </w:tc>
      </w:tr>
      <w:tr>
        <w:tblPrEx>
          <w:tblW w:w="0" w:type="auto"/>
          <w:tblInd w:w="720" w:type="dxa"/>
          <w:tblLook w:val="04A0"/>
        </w:tblPrEx>
        <w:tc>
          <w:tcPr>
            <w:tcW w:w="2733" w:type="dxa"/>
          </w:tcPr>
          <w:p w:rsidR="006A126B">
            <w:pPr>
              <w:pStyle w:val="ListParagraph"/>
              <w:ind w:left="0"/>
            </w:pPr>
            <w:r>
              <w:t>2012-13</w:t>
            </w:r>
          </w:p>
        </w:tc>
        <w:tc>
          <w:tcPr>
            <w:tcW w:w="2754" w:type="dxa"/>
          </w:tcPr>
          <w:p w:rsidR="006A126B">
            <w:pPr>
              <w:pStyle w:val="ListParagraph"/>
              <w:ind w:left="0"/>
            </w:pPr>
            <w:r>
              <w:t>10.52%</w:t>
            </w:r>
          </w:p>
        </w:tc>
        <w:tc>
          <w:tcPr>
            <w:tcW w:w="2809" w:type="dxa"/>
          </w:tcPr>
          <w:p w:rsidR="006A126B">
            <w:pPr>
              <w:pStyle w:val="ListParagraph"/>
              <w:ind w:left="0"/>
            </w:pPr>
            <w:r>
              <w:t>9.41%</w:t>
            </w:r>
          </w:p>
        </w:tc>
      </w:tr>
      <w:tr>
        <w:tblPrEx>
          <w:tblW w:w="0" w:type="auto"/>
          <w:tblInd w:w="720" w:type="dxa"/>
          <w:tblLook w:val="04A0"/>
        </w:tblPrEx>
        <w:tc>
          <w:tcPr>
            <w:tcW w:w="2733" w:type="dxa"/>
          </w:tcPr>
          <w:p w:rsidR="006A126B">
            <w:pPr>
              <w:pStyle w:val="ListParagraph"/>
              <w:ind w:left="0"/>
            </w:pPr>
            <w:r>
              <w:t>2013-14</w:t>
            </w:r>
          </w:p>
        </w:tc>
        <w:tc>
          <w:tcPr>
            <w:tcW w:w="2754" w:type="dxa"/>
          </w:tcPr>
          <w:p w:rsidR="006A126B">
            <w:pPr>
              <w:pStyle w:val="ListParagraph"/>
              <w:ind w:left="0"/>
            </w:pPr>
            <w:r>
              <w:t>13.7%</w:t>
            </w:r>
          </w:p>
        </w:tc>
        <w:tc>
          <w:tcPr>
            <w:tcW w:w="2809" w:type="dxa"/>
          </w:tcPr>
          <w:p w:rsidR="006A126B">
            <w:pPr>
              <w:pStyle w:val="ListParagraph"/>
              <w:ind w:left="0"/>
            </w:pPr>
            <w:r>
              <w:t>14.78%</w:t>
            </w:r>
          </w:p>
        </w:tc>
      </w:tr>
      <w:tr>
        <w:tblPrEx>
          <w:tblW w:w="0" w:type="auto"/>
          <w:tblInd w:w="720" w:type="dxa"/>
          <w:tblLook w:val="04A0"/>
        </w:tblPrEx>
        <w:tc>
          <w:tcPr>
            <w:tcW w:w="2733" w:type="dxa"/>
          </w:tcPr>
          <w:p w:rsidR="006A126B">
            <w:pPr>
              <w:pStyle w:val="ListParagraph"/>
              <w:ind w:left="0"/>
            </w:pPr>
            <w:r>
              <w:t>2014-15</w:t>
            </w:r>
          </w:p>
        </w:tc>
        <w:tc>
          <w:tcPr>
            <w:tcW w:w="2754" w:type="dxa"/>
          </w:tcPr>
          <w:p w:rsidR="006A126B">
            <w:pPr>
              <w:pStyle w:val="ListParagraph"/>
              <w:ind w:left="0"/>
            </w:pPr>
            <w:r>
              <w:t>13.37%</w:t>
            </w:r>
          </w:p>
        </w:tc>
        <w:tc>
          <w:tcPr>
            <w:tcW w:w="2809" w:type="dxa"/>
          </w:tcPr>
          <w:p w:rsidR="006A126B">
            <w:pPr>
              <w:pStyle w:val="ListParagraph"/>
              <w:ind w:left="0"/>
            </w:pPr>
            <w:r>
              <w:t>8.24%</w:t>
            </w:r>
          </w:p>
        </w:tc>
      </w:tr>
      <w:tr>
        <w:tblPrEx>
          <w:tblW w:w="0" w:type="auto"/>
          <w:tblInd w:w="720" w:type="dxa"/>
          <w:tblLook w:val="04A0"/>
        </w:tblPrEx>
        <w:tc>
          <w:tcPr>
            <w:tcW w:w="2733" w:type="dxa"/>
          </w:tcPr>
          <w:p w:rsidR="006A126B">
            <w:pPr>
              <w:pStyle w:val="ListParagraph"/>
              <w:ind w:left="0"/>
            </w:pPr>
            <w:r>
              <w:t>2015-16</w:t>
            </w:r>
          </w:p>
        </w:tc>
        <w:tc>
          <w:tcPr>
            <w:tcW w:w="2754" w:type="dxa"/>
          </w:tcPr>
          <w:p w:rsidR="006A126B">
            <w:pPr>
              <w:pStyle w:val="ListParagraph"/>
              <w:ind w:left="0"/>
            </w:pPr>
            <w:r>
              <w:t>10.71%</w:t>
            </w:r>
          </w:p>
        </w:tc>
        <w:tc>
          <w:tcPr>
            <w:tcW w:w="2809" w:type="dxa"/>
          </w:tcPr>
          <w:p w:rsidR="006A126B">
            <w:pPr>
              <w:pStyle w:val="ListParagraph"/>
              <w:ind w:left="0"/>
            </w:pPr>
            <w:r>
              <w:t>12.25%</w:t>
            </w:r>
          </w:p>
        </w:tc>
      </w:tr>
      <w:tr>
        <w:tblPrEx>
          <w:tblW w:w="0" w:type="auto"/>
          <w:tblInd w:w="720" w:type="dxa"/>
          <w:tblLook w:val="04A0"/>
        </w:tblPrEx>
        <w:tc>
          <w:tcPr>
            <w:tcW w:w="2733" w:type="dxa"/>
          </w:tcPr>
          <w:p w:rsidR="006A126B">
            <w:pPr>
              <w:pStyle w:val="ListParagraph"/>
              <w:ind w:left="0"/>
            </w:pPr>
            <w:r>
              <w:t>2016-17</w:t>
            </w:r>
          </w:p>
        </w:tc>
        <w:tc>
          <w:tcPr>
            <w:tcW w:w="2754" w:type="dxa"/>
          </w:tcPr>
          <w:p w:rsidR="006A126B">
            <w:pPr>
              <w:pStyle w:val="ListParagraph"/>
              <w:ind w:left="0"/>
            </w:pPr>
            <w:r>
              <w:t>11.39%</w:t>
            </w:r>
          </w:p>
        </w:tc>
        <w:tc>
          <w:tcPr>
            <w:tcW w:w="2809" w:type="dxa"/>
          </w:tcPr>
          <w:p w:rsidR="006A126B">
            <w:pPr>
              <w:pStyle w:val="ListParagraph"/>
              <w:ind w:left="0"/>
            </w:pPr>
            <w:r>
              <w:t>14.46%</w:t>
            </w:r>
          </w:p>
        </w:tc>
      </w:tr>
      <w:tr>
        <w:tblPrEx>
          <w:tblW w:w="0" w:type="auto"/>
          <w:tblInd w:w="720" w:type="dxa"/>
          <w:tblLook w:val="04A0"/>
        </w:tblPrEx>
        <w:tc>
          <w:tcPr>
            <w:tcW w:w="2733" w:type="dxa"/>
          </w:tcPr>
          <w:p w:rsidR="006A126B">
            <w:pPr>
              <w:pStyle w:val="ListParagraph"/>
              <w:ind w:left="0"/>
            </w:pPr>
            <w:r>
              <w:t>2017-19</w:t>
            </w:r>
          </w:p>
        </w:tc>
        <w:tc>
          <w:tcPr>
            <w:tcW w:w="2754" w:type="dxa"/>
          </w:tcPr>
          <w:p w:rsidR="006A126B">
            <w:pPr>
              <w:pStyle w:val="ListParagraph"/>
              <w:ind w:left="0"/>
            </w:pPr>
            <w:r>
              <w:t>8.24%</w:t>
            </w:r>
          </w:p>
        </w:tc>
        <w:tc>
          <w:tcPr>
            <w:tcW w:w="2809" w:type="dxa"/>
          </w:tcPr>
          <w:p w:rsidR="006A126B">
            <w:pPr>
              <w:pStyle w:val="ListParagraph"/>
              <w:ind w:left="0"/>
            </w:pPr>
            <w:r>
              <w:t>10.57%</w:t>
            </w:r>
          </w:p>
        </w:tc>
      </w:tr>
      <w:tr>
        <w:tblPrEx>
          <w:tblW w:w="0" w:type="auto"/>
          <w:tblInd w:w="720" w:type="dxa"/>
          <w:tblLook w:val="04A0"/>
        </w:tblPrEx>
        <w:tc>
          <w:tcPr>
            <w:tcW w:w="2733" w:type="dxa"/>
          </w:tcPr>
          <w:p w:rsidR="006A126B">
            <w:pPr>
              <w:pStyle w:val="ListParagraph"/>
              <w:ind w:left="0"/>
            </w:pPr>
            <w:r>
              <w:t>2019</w:t>
            </w:r>
          </w:p>
        </w:tc>
        <w:tc>
          <w:tcPr>
            <w:tcW w:w="2754" w:type="dxa"/>
          </w:tcPr>
          <w:p w:rsidR="006A126B">
            <w:pPr>
              <w:pStyle w:val="ListParagraph"/>
              <w:ind w:left="0"/>
            </w:pPr>
            <w:r>
              <w:t>0</w:t>
            </w:r>
          </w:p>
        </w:tc>
        <w:tc>
          <w:tcPr>
            <w:tcW w:w="2809" w:type="dxa"/>
          </w:tcPr>
          <w:p w:rsidR="006A126B">
            <w:pPr>
              <w:pStyle w:val="ListParagraph"/>
              <w:ind w:left="0"/>
            </w:pPr>
            <w:r>
              <w:t>0</w:t>
            </w:r>
          </w:p>
        </w:tc>
      </w:tr>
      <w:tr>
        <w:tblPrEx>
          <w:tblW w:w="0" w:type="auto"/>
          <w:tblInd w:w="720" w:type="dxa"/>
          <w:tblLook w:val="04A0"/>
        </w:tblPrEx>
        <w:tc>
          <w:tcPr>
            <w:tcW w:w="2733" w:type="dxa"/>
          </w:tcPr>
          <w:p w:rsidR="006A126B">
            <w:pPr>
              <w:pStyle w:val="ListParagraph"/>
              <w:ind w:left="0"/>
            </w:pPr>
            <w:r>
              <w:t>2019-21</w:t>
            </w:r>
          </w:p>
        </w:tc>
        <w:tc>
          <w:tcPr>
            <w:tcW w:w="2754" w:type="dxa"/>
          </w:tcPr>
          <w:p w:rsidR="006A126B">
            <w:pPr>
              <w:pStyle w:val="ListParagraph"/>
              <w:ind w:left="0"/>
            </w:pPr>
            <w:r>
              <w:t>4.92%</w:t>
            </w:r>
          </w:p>
        </w:tc>
        <w:tc>
          <w:tcPr>
            <w:tcW w:w="2809" w:type="dxa"/>
          </w:tcPr>
          <w:p w:rsidR="006A126B">
            <w:pPr>
              <w:pStyle w:val="ListParagraph"/>
              <w:ind w:left="0"/>
            </w:pPr>
            <w:r>
              <w:t>7.87%</w:t>
            </w:r>
          </w:p>
        </w:tc>
      </w:tr>
      <w:tr>
        <w:tblPrEx>
          <w:tblW w:w="0" w:type="auto"/>
          <w:tblInd w:w="720" w:type="dxa"/>
          <w:tblLook w:val="04A0"/>
        </w:tblPrEx>
        <w:tc>
          <w:tcPr>
            <w:tcW w:w="2733" w:type="dxa"/>
          </w:tcPr>
          <w:p w:rsidR="006A126B">
            <w:pPr>
              <w:pStyle w:val="ListParagraph"/>
              <w:ind w:left="0"/>
            </w:pPr>
            <w:r>
              <w:t>2021-22</w:t>
            </w:r>
          </w:p>
        </w:tc>
        <w:tc>
          <w:tcPr>
            <w:tcW w:w="2754" w:type="dxa"/>
          </w:tcPr>
          <w:p w:rsidR="006A126B">
            <w:pPr>
              <w:pStyle w:val="ListParagraph"/>
              <w:ind w:left="0"/>
            </w:pPr>
            <w:r>
              <w:t>7.93%</w:t>
            </w:r>
          </w:p>
        </w:tc>
        <w:tc>
          <w:tcPr>
            <w:tcW w:w="2809" w:type="dxa"/>
          </w:tcPr>
          <w:p w:rsidR="006A126B">
            <w:pPr>
              <w:pStyle w:val="ListParagraph"/>
              <w:ind w:left="0"/>
            </w:pPr>
            <w:r>
              <w:t>9.24%</w:t>
            </w:r>
          </w:p>
        </w:tc>
      </w:tr>
      <w:tr>
        <w:tblPrEx>
          <w:tblW w:w="0" w:type="auto"/>
          <w:tblInd w:w="720" w:type="dxa"/>
          <w:tblLook w:val="04A0"/>
        </w:tblPrEx>
        <w:tc>
          <w:tcPr>
            <w:tcW w:w="2733" w:type="dxa"/>
          </w:tcPr>
          <w:p w:rsidR="006A126B">
            <w:pPr>
              <w:pStyle w:val="ListParagraph"/>
              <w:ind w:left="0"/>
            </w:pPr>
            <w:r>
              <w:t>2022-23</w:t>
            </w:r>
          </w:p>
        </w:tc>
        <w:tc>
          <w:tcPr>
            <w:tcW w:w="2754" w:type="dxa"/>
          </w:tcPr>
          <w:p w:rsidR="006A126B">
            <w:pPr>
              <w:pStyle w:val="ListParagraph"/>
              <w:ind w:left="0"/>
            </w:pPr>
            <w:r>
              <w:t>10.38%</w:t>
            </w:r>
          </w:p>
        </w:tc>
        <w:tc>
          <w:tcPr>
            <w:tcW w:w="2809" w:type="dxa"/>
          </w:tcPr>
          <w:p w:rsidR="006A126B">
            <w:pPr>
              <w:pStyle w:val="ListParagraph"/>
              <w:ind w:left="0"/>
            </w:pPr>
            <w:r>
              <w:t>8.83%</w:t>
            </w:r>
          </w:p>
        </w:tc>
      </w:tr>
      <w:tr>
        <w:tblPrEx>
          <w:tblW w:w="0" w:type="auto"/>
          <w:tblInd w:w="720" w:type="dxa"/>
          <w:tblLook w:val="04A0"/>
        </w:tblPrEx>
        <w:tc>
          <w:tcPr>
            <w:tcW w:w="2733" w:type="dxa"/>
          </w:tcPr>
          <w:p w:rsidR="006A126B">
            <w:pPr>
              <w:pStyle w:val="ListParagraph"/>
              <w:ind w:left="0"/>
            </w:pPr>
            <w:r>
              <w:t>2023-24</w:t>
            </w:r>
          </w:p>
        </w:tc>
        <w:tc>
          <w:tcPr>
            <w:tcW w:w="2754" w:type="dxa"/>
          </w:tcPr>
          <w:p w:rsidR="006A126B">
            <w:pPr>
              <w:pStyle w:val="ListParagraph"/>
              <w:ind w:left="0"/>
            </w:pPr>
            <w:r>
              <w:t>7.57%</w:t>
            </w:r>
          </w:p>
        </w:tc>
        <w:tc>
          <w:tcPr>
            <w:tcW w:w="2809" w:type="dxa"/>
          </w:tcPr>
          <w:p w:rsidR="006A126B">
            <w:pPr>
              <w:pStyle w:val="ListParagraph"/>
              <w:ind w:left="0"/>
            </w:pPr>
            <w:r>
              <w:t>9.29%</w:t>
            </w:r>
          </w:p>
        </w:tc>
      </w:tr>
    </w:tbl>
    <w:p w:rsidR="00A53A91" w:rsidP="00A53A91">
      <w:pPr>
        <w:pStyle w:val="ListParagraph"/>
      </w:pPr>
    </w:p>
    <w:p w:rsidR="00BF412C" w:rsidP="00D01ED0">
      <w:pPr>
        <w:pStyle w:val="ListParagraph"/>
        <w:numPr>
          <w:ilvl w:val="0"/>
          <w:numId w:val="1"/>
        </w:numPr>
        <w:contextualSpacing w:val="0"/>
      </w:pPr>
      <w:r>
        <w:t xml:space="preserve">Other types of backbench business have developed over time: </w:t>
      </w:r>
    </w:p>
    <w:p w:rsidR="00BF412C" w:rsidP="00D01ED0">
      <w:pPr>
        <w:pStyle w:val="ListParagraph"/>
        <w:numPr>
          <w:ilvl w:val="1"/>
          <w:numId w:val="5"/>
        </w:numPr>
        <w:contextualSpacing w:val="0"/>
      </w:pPr>
      <w:r>
        <w:t>Under Standing Order No.</w:t>
      </w:r>
      <w:r w:rsidRPr="00D85E22">
        <w:t xml:space="preserve"> 22D,</w:t>
      </w:r>
      <w:r>
        <w:t xml:space="preserve"> which was agreed by the House in December 2013,</w:t>
      </w:r>
      <w:r w:rsidRPr="00D85E22">
        <w:t xml:space="preserve"> </w:t>
      </w:r>
      <w:r>
        <w:t xml:space="preserve">BBCom </w:t>
      </w:r>
      <w:r w:rsidRPr="00D85E22">
        <w:t>can allocate select committee statements on any full day allocated for backbench business in the Chamber and on any Thursday in Westminster Hall</w:t>
      </w:r>
      <w:r>
        <w:t xml:space="preserve">. </w:t>
      </w:r>
    </w:p>
    <w:p w:rsidR="00BF412C" w:rsidP="00D01ED0">
      <w:pPr>
        <w:pStyle w:val="ListParagraph"/>
        <w:numPr>
          <w:ilvl w:val="1"/>
          <w:numId w:val="5"/>
        </w:numPr>
        <w:contextualSpacing w:val="0"/>
      </w:pPr>
      <w:r>
        <w:t xml:space="preserve">The Committee also determines </w:t>
      </w:r>
      <w:r w:rsidRPr="00C34866">
        <w:t>the Estimates to be debated on Estimates days, on the basis of bids from Members</w:t>
      </w:r>
      <w:r>
        <w:t>, under changes to Standing Orders made in February 2026 which formalised a long-standing arrangement with the Liaison Committee.</w:t>
      </w:r>
      <w:r>
        <w:rPr>
          <w:rStyle w:val="FootnoteReference"/>
        </w:rPr>
        <w:footnoteReference w:id="9"/>
      </w:r>
    </w:p>
    <w:p w:rsidR="00A42A8C" w:rsidP="00D01ED0">
      <w:pPr>
        <w:pStyle w:val="ListParagraph"/>
        <w:contextualSpacing w:val="0"/>
      </w:pPr>
      <w:r w:rsidRPr="00E00E88">
        <w:t xml:space="preserve">By contrast with the Estimates, for which three days are ordinarily allocated for debate in each </w:t>
      </w:r>
      <w:r w:rsidR="008B7F23">
        <w:t>s</w:t>
      </w:r>
      <w:r w:rsidRPr="00E00E88">
        <w:t>ession, the scheduling of select committee statements is less predictable. Table 2 below illustrates the variation in the number of such statements made since the procedure was introduced.</w:t>
      </w:r>
    </w:p>
    <w:p w:rsidR="00A42A8C" w:rsidRPr="00A42A8C" w:rsidP="008224D0">
      <w:pPr>
        <w:pStyle w:val="ListParagraph"/>
        <w:contextualSpacing w:val="0"/>
        <w:rPr>
          <w:u w:val="single"/>
        </w:rPr>
      </w:pPr>
      <w:r w:rsidRPr="00A42A8C">
        <w:rPr>
          <w:u w:val="single"/>
        </w:rPr>
        <w:t xml:space="preserve">Table </w:t>
      </w:r>
      <w:r w:rsidR="006F675C">
        <w:rPr>
          <w:u w:val="single"/>
        </w:rPr>
        <w:t>2</w:t>
      </w:r>
      <w:r w:rsidRPr="00A42A8C">
        <w:rPr>
          <w:u w:val="single"/>
        </w:rPr>
        <w:t>: Select Committee Statements</w:t>
      </w:r>
      <w:r>
        <w:rPr>
          <w:u w:val="single"/>
        </w:rPr>
        <w:t xml:space="preserve"> </w:t>
      </w:r>
      <w:r w:rsidRPr="00A42A8C">
        <w:rPr>
          <w:u w:val="single"/>
        </w:rPr>
        <w:t>under Standing Order No. 22D</w:t>
      </w:r>
    </w:p>
    <w:p w:rsidR="00A42A8C" w:rsidP="00A42A8C">
      <w:pPr>
        <w:pStyle w:val="ListParagraph"/>
      </w:pPr>
      <w:r>
        <w:t xml:space="preserve">Standing Order No. 22D, </w:t>
      </w:r>
      <w:r w:rsidR="006F675C">
        <w:t xml:space="preserve">initially </w:t>
      </w:r>
      <w:r>
        <w:t xml:space="preserve">agreed by the House of Commons in December 2013, </w:t>
      </w:r>
      <w:r w:rsidRPr="00AC4E59" w:rsidR="00AC4E59">
        <w:t>permits select committees to make a statement in connection with the publication of a report or the announcement of a new inquiry, provided that the statement is made within ten sitting days of the publication or announcement.</w:t>
      </w:r>
      <w:r>
        <w:rPr>
          <w:rStyle w:val="FootnoteReference"/>
        </w:rPr>
        <w:footnoteReference w:id="10"/>
      </w:r>
    </w:p>
    <w:tbl>
      <w:tblPr>
        <w:tblStyle w:val="TableGrid"/>
        <w:tblW w:w="0" w:type="auto"/>
        <w:tblInd w:w="704" w:type="dxa"/>
        <w:tblLook w:val="04A0"/>
      </w:tblPr>
      <w:tblGrid>
        <w:gridCol w:w="1418"/>
        <w:gridCol w:w="3447"/>
        <w:gridCol w:w="3447"/>
      </w:tblGrid>
      <w:tr w:rsidTr="001B76CC">
        <w:tblPrEx>
          <w:tblW w:w="0" w:type="auto"/>
          <w:tblInd w:w="704" w:type="dxa"/>
          <w:tblLook w:val="04A0"/>
        </w:tblPrEx>
        <w:tc>
          <w:tcPr>
            <w:tcW w:w="1418" w:type="dxa"/>
          </w:tcPr>
          <w:p w:rsidR="00A42A8C" w:rsidRPr="006F381C">
            <w:pPr>
              <w:spacing w:line="278" w:lineRule="auto"/>
              <w:rPr>
                <w:b/>
                <w:bCs/>
              </w:rPr>
            </w:pPr>
            <w:r w:rsidRPr="006F381C">
              <w:rPr>
                <w:b/>
                <w:bCs/>
              </w:rPr>
              <w:t>Session</w:t>
            </w:r>
          </w:p>
        </w:tc>
        <w:tc>
          <w:tcPr>
            <w:tcW w:w="3447" w:type="dxa"/>
          </w:tcPr>
          <w:p w:rsidR="00A42A8C" w:rsidRPr="006F381C">
            <w:pPr>
              <w:spacing w:line="278" w:lineRule="auto"/>
              <w:rPr>
                <w:b/>
                <w:bCs/>
              </w:rPr>
            </w:pPr>
            <w:r w:rsidRPr="006F381C">
              <w:rPr>
                <w:b/>
                <w:bCs/>
              </w:rPr>
              <w:t>Chamber</w:t>
            </w:r>
          </w:p>
        </w:tc>
        <w:tc>
          <w:tcPr>
            <w:tcW w:w="3447" w:type="dxa"/>
          </w:tcPr>
          <w:p w:rsidR="00A42A8C" w:rsidRPr="006F381C">
            <w:pPr>
              <w:spacing w:line="278" w:lineRule="auto"/>
              <w:rPr>
                <w:b/>
                <w:bCs/>
              </w:rPr>
            </w:pPr>
            <w:r w:rsidRPr="006F381C">
              <w:rPr>
                <w:b/>
                <w:bCs/>
              </w:rPr>
              <w:t>Westminster Hall</w:t>
            </w:r>
          </w:p>
        </w:tc>
      </w:tr>
      <w:tr w:rsidTr="001B76CC">
        <w:tblPrEx>
          <w:tblW w:w="0" w:type="auto"/>
          <w:tblInd w:w="704" w:type="dxa"/>
          <w:tblLook w:val="04A0"/>
        </w:tblPrEx>
        <w:tc>
          <w:tcPr>
            <w:tcW w:w="1418" w:type="dxa"/>
          </w:tcPr>
          <w:p w:rsidR="00A42A8C" w:rsidRPr="006F381C">
            <w:pPr>
              <w:spacing w:line="278" w:lineRule="auto"/>
            </w:pPr>
            <w:r w:rsidRPr="006F381C">
              <w:t>2013-14</w:t>
            </w:r>
          </w:p>
        </w:tc>
        <w:tc>
          <w:tcPr>
            <w:tcW w:w="3447" w:type="dxa"/>
          </w:tcPr>
          <w:p w:rsidR="00A42A8C" w:rsidRPr="006F381C">
            <w:r w:rsidRPr="006F381C">
              <w:t>7</w:t>
            </w:r>
          </w:p>
        </w:tc>
        <w:tc>
          <w:tcPr>
            <w:tcW w:w="3447" w:type="dxa"/>
          </w:tcPr>
          <w:p w:rsidR="00A42A8C" w:rsidRPr="006F381C">
            <w:r w:rsidRPr="006F381C">
              <w:t>1</w:t>
            </w:r>
          </w:p>
        </w:tc>
      </w:tr>
      <w:tr w:rsidTr="001B76CC">
        <w:tblPrEx>
          <w:tblW w:w="0" w:type="auto"/>
          <w:tblInd w:w="704" w:type="dxa"/>
          <w:tblLook w:val="04A0"/>
        </w:tblPrEx>
        <w:tc>
          <w:tcPr>
            <w:tcW w:w="1418" w:type="dxa"/>
          </w:tcPr>
          <w:p w:rsidR="00A42A8C" w:rsidRPr="006F381C">
            <w:pPr>
              <w:spacing w:line="278" w:lineRule="auto"/>
            </w:pPr>
            <w:r w:rsidRPr="006F381C">
              <w:t>2014-15</w:t>
            </w:r>
          </w:p>
        </w:tc>
        <w:tc>
          <w:tcPr>
            <w:tcW w:w="3447" w:type="dxa"/>
          </w:tcPr>
          <w:p w:rsidR="00A42A8C" w:rsidRPr="006F381C">
            <w:r w:rsidRPr="006F381C">
              <w:t>6</w:t>
            </w:r>
          </w:p>
        </w:tc>
        <w:tc>
          <w:tcPr>
            <w:tcW w:w="3447" w:type="dxa"/>
          </w:tcPr>
          <w:p w:rsidR="00A42A8C" w:rsidRPr="006F381C">
            <w:r w:rsidRPr="006F381C">
              <w:t>0</w:t>
            </w:r>
          </w:p>
        </w:tc>
      </w:tr>
      <w:tr w:rsidTr="001B76CC">
        <w:tblPrEx>
          <w:tblW w:w="0" w:type="auto"/>
          <w:tblInd w:w="704" w:type="dxa"/>
          <w:tblLook w:val="04A0"/>
        </w:tblPrEx>
        <w:tc>
          <w:tcPr>
            <w:tcW w:w="1418" w:type="dxa"/>
          </w:tcPr>
          <w:p w:rsidR="00A42A8C" w:rsidRPr="006F381C">
            <w:pPr>
              <w:spacing w:line="278" w:lineRule="auto"/>
            </w:pPr>
            <w:r w:rsidRPr="006F381C">
              <w:t>2015-16</w:t>
            </w:r>
          </w:p>
        </w:tc>
        <w:tc>
          <w:tcPr>
            <w:tcW w:w="3447" w:type="dxa"/>
          </w:tcPr>
          <w:p w:rsidR="00A42A8C" w:rsidRPr="006F381C">
            <w:r w:rsidRPr="006F381C">
              <w:t>6</w:t>
            </w:r>
          </w:p>
        </w:tc>
        <w:tc>
          <w:tcPr>
            <w:tcW w:w="3447" w:type="dxa"/>
          </w:tcPr>
          <w:p w:rsidR="00A42A8C" w:rsidRPr="006F381C">
            <w:r w:rsidRPr="006F381C">
              <w:t>0</w:t>
            </w:r>
          </w:p>
        </w:tc>
      </w:tr>
      <w:tr w:rsidTr="001B76CC">
        <w:tblPrEx>
          <w:tblW w:w="0" w:type="auto"/>
          <w:tblInd w:w="704" w:type="dxa"/>
          <w:tblLook w:val="04A0"/>
        </w:tblPrEx>
        <w:tc>
          <w:tcPr>
            <w:tcW w:w="1418" w:type="dxa"/>
          </w:tcPr>
          <w:p w:rsidR="00A42A8C" w:rsidRPr="006F381C">
            <w:pPr>
              <w:spacing w:line="278" w:lineRule="auto"/>
            </w:pPr>
            <w:r w:rsidRPr="006F381C">
              <w:t>2016-17</w:t>
            </w:r>
          </w:p>
        </w:tc>
        <w:tc>
          <w:tcPr>
            <w:tcW w:w="3447" w:type="dxa"/>
          </w:tcPr>
          <w:p w:rsidR="00A42A8C" w:rsidRPr="006F381C">
            <w:r w:rsidRPr="006F381C">
              <w:t>8</w:t>
            </w:r>
          </w:p>
        </w:tc>
        <w:tc>
          <w:tcPr>
            <w:tcW w:w="3447" w:type="dxa"/>
          </w:tcPr>
          <w:p w:rsidR="00A42A8C" w:rsidRPr="006F381C">
            <w:r w:rsidRPr="006F381C">
              <w:t>0</w:t>
            </w:r>
          </w:p>
        </w:tc>
      </w:tr>
      <w:tr w:rsidTr="001B76CC">
        <w:tblPrEx>
          <w:tblW w:w="0" w:type="auto"/>
          <w:tblInd w:w="704" w:type="dxa"/>
          <w:tblLook w:val="04A0"/>
        </w:tblPrEx>
        <w:tc>
          <w:tcPr>
            <w:tcW w:w="1418" w:type="dxa"/>
          </w:tcPr>
          <w:p w:rsidR="00A42A8C" w:rsidRPr="006F381C">
            <w:pPr>
              <w:spacing w:line="278" w:lineRule="auto"/>
            </w:pPr>
            <w:r w:rsidRPr="006F381C">
              <w:t>2017-19</w:t>
            </w:r>
          </w:p>
        </w:tc>
        <w:tc>
          <w:tcPr>
            <w:tcW w:w="3447" w:type="dxa"/>
          </w:tcPr>
          <w:p w:rsidR="00A42A8C" w:rsidRPr="006F381C">
            <w:r w:rsidRPr="006F381C">
              <w:t>34</w:t>
            </w:r>
          </w:p>
        </w:tc>
        <w:tc>
          <w:tcPr>
            <w:tcW w:w="3447" w:type="dxa"/>
          </w:tcPr>
          <w:p w:rsidR="00A42A8C" w:rsidRPr="006F381C">
            <w:r w:rsidRPr="006F381C">
              <w:t>9</w:t>
            </w:r>
          </w:p>
        </w:tc>
      </w:tr>
      <w:tr w:rsidTr="001B76CC">
        <w:tblPrEx>
          <w:tblW w:w="0" w:type="auto"/>
          <w:tblInd w:w="704" w:type="dxa"/>
          <w:tblLook w:val="04A0"/>
        </w:tblPrEx>
        <w:tc>
          <w:tcPr>
            <w:tcW w:w="1418" w:type="dxa"/>
          </w:tcPr>
          <w:p w:rsidR="00A42A8C" w:rsidRPr="006F381C">
            <w:pPr>
              <w:spacing w:line="278" w:lineRule="auto"/>
            </w:pPr>
            <w:r w:rsidRPr="006F381C">
              <w:t>2019</w:t>
            </w:r>
          </w:p>
        </w:tc>
        <w:tc>
          <w:tcPr>
            <w:tcW w:w="3447" w:type="dxa"/>
          </w:tcPr>
          <w:p w:rsidR="00A42A8C" w:rsidRPr="006F381C">
            <w:r w:rsidRPr="006F381C">
              <w:t>0</w:t>
            </w:r>
          </w:p>
        </w:tc>
        <w:tc>
          <w:tcPr>
            <w:tcW w:w="3447" w:type="dxa"/>
          </w:tcPr>
          <w:p w:rsidR="00A42A8C" w:rsidRPr="006F381C">
            <w:r w:rsidRPr="006F381C">
              <w:t>0</w:t>
            </w:r>
          </w:p>
        </w:tc>
      </w:tr>
      <w:tr w:rsidTr="001B76CC">
        <w:tblPrEx>
          <w:tblW w:w="0" w:type="auto"/>
          <w:tblInd w:w="704" w:type="dxa"/>
          <w:tblLook w:val="04A0"/>
        </w:tblPrEx>
        <w:tc>
          <w:tcPr>
            <w:tcW w:w="1418" w:type="dxa"/>
          </w:tcPr>
          <w:p w:rsidR="00A42A8C" w:rsidRPr="006F381C">
            <w:pPr>
              <w:spacing w:line="278" w:lineRule="auto"/>
            </w:pPr>
            <w:r w:rsidRPr="006F381C">
              <w:t>2019-21</w:t>
            </w:r>
          </w:p>
        </w:tc>
        <w:tc>
          <w:tcPr>
            <w:tcW w:w="3447" w:type="dxa"/>
          </w:tcPr>
          <w:p w:rsidR="00A42A8C" w:rsidRPr="006F381C">
            <w:r w:rsidRPr="006F381C">
              <w:t>7</w:t>
            </w:r>
          </w:p>
        </w:tc>
        <w:tc>
          <w:tcPr>
            <w:tcW w:w="3447" w:type="dxa"/>
          </w:tcPr>
          <w:p w:rsidR="00A42A8C" w:rsidRPr="006F381C">
            <w:r w:rsidRPr="006F381C">
              <w:t>0</w:t>
            </w:r>
          </w:p>
        </w:tc>
      </w:tr>
      <w:tr w:rsidTr="001B76CC">
        <w:tblPrEx>
          <w:tblW w:w="0" w:type="auto"/>
          <w:tblInd w:w="704" w:type="dxa"/>
          <w:tblLook w:val="04A0"/>
        </w:tblPrEx>
        <w:tc>
          <w:tcPr>
            <w:tcW w:w="1418" w:type="dxa"/>
          </w:tcPr>
          <w:p w:rsidR="00A42A8C" w:rsidRPr="006F381C">
            <w:pPr>
              <w:spacing w:line="278" w:lineRule="auto"/>
            </w:pPr>
            <w:r w:rsidRPr="006F381C">
              <w:t>2021-22</w:t>
            </w:r>
          </w:p>
        </w:tc>
        <w:tc>
          <w:tcPr>
            <w:tcW w:w="3447" w:type="dxa"/>
          </w:tcPr>
          <w:p w:rsidR="00A42A8C" w:rsidRPr="006F381C">
            <w:r w:rsidRPr="006F381C">
              <w:t>9</w:t>
            </w:r>
          </w:p>
        </w:tc>
        <w:tc>
          <w:tcPr>
            <w:tcW w:w="3447" w:type="dxa"/>
          </w:tcPr>
          <w:p w:rsidR="00A42A8C" w:rsidRPr="006F381C">
            <w:r w:rsidRPr="006F381C">
              <w:t>2</w:t>
            </w:r>
          </w:p>
        </w:tc>
      </w:tr>
      <w:tr w:rsidTr="001B76CC">
        <w:tblPrEx>
          <w:tblW w:w="0" w:type="auto"/>
          <w:tblInd w:w="704" w:type="dxa"/>
          <w:tblLook w:val="04A0"/>
        </w:tblPrEx>
        <w:tc>
          <w:tcPr>
            <w:tcW w:w="1418" w:type="dxa"/>
          </w:tcPr>
          <w:p w:rsidR="00A42A8C" w:rsidRPr="006F381C">
            <w:pPr>
              <w:spacing w:line="278" w:lineRule="auto"/>
            </w:pPr>
            <w:r w:rsidRPr="006F381C">
              <w:t>2022-23</w:t>
            </w:r>
          </w:p>
        </w:tc>
        <w:tc>
          <w:tcPr>
            <w:tcW w:w="3447" w:type="dxa"/>
          </w:tcPr>
          <w:p w:rsidR="00A42A8C" w:rsidRPr="006F381C">
            <w:r w:rsidRPr="006F381C">
              <w:t>13</w:t>
            </w:r>
          </w:p>
        </w:tc>
        <w:tc>
          <w:tcPr>
            <w:tcW w:w="3447" w:type="dxa"/>
          </w:tcPr>
          <w:p w:rsidR="00A42A8C" w:rsidRPr="006F381C">
            <w:r w:rsidRPr="006F381C">
              <w:t>4</w:t>
            </w:r>
          </w:p>
        </w:tc>
      </w:tr>
      <w:tr w:rsidTr="001B76CC">
        <w:tblPrEx>
          <w:tblW w:w="0" w:type="auto"/>
          <w:tblInd w:w="704" w:type="dxa"/>
          <w:tblLook w:val="04A0"/>
        </w:tblPrEx>
        <w:tc>
          <w:tcPr>
            <w:tcW w:w="1418" w:type="dxa"/>
          </w:tcPr>
          <w:p w:rsidR="00A42A8C" w:rsidRPr="006F381C">
            <w:pPr>
              <w:spacing w:line="278" w:lineRule="auto"/>
            </w:pPr>
            <w:r w:rsidRPr="006F381C">
              <w:t>2023-24</w:t>
            </w:r>
          </w:p>
        </w:tc>
        <w:tc>
          <w:tcPr>
            <w:tcW w:w="3447" w:type="dxa"/>
          </w:tcPr>
          <w:p w:rsidR="00A42A8C" w:rsidRPr="006F381C">
            <w:r w:rsidRPr="006F381C">
              <w:t>7</w:t>
            </w:r>
          </w:p>
        </w:tc>
        <w:tc>
          <w:tcPr>
            <w:tcW w:w="3447" w:type="dxa"/>
          </w:tcPr>
          <w:p w:rsidR="00A42A8C" w:rsidRPr="006F381C">
            <w:r w:rsidRPr="006F381C">
              <w:t>1</w:t>
            </w:r>
          </w:p>
        </w:tc>
      </w:tr>
      <w:tr w:rsidTr="001B76CC">
        <w:tblPrEx>
          <w:tblW w:w="0" w:type="auto"/>
          <w:tblInd w:w="704" w:type="dxa"/>
          <w:tblLook w:val="04A0"/>
        </w:tblPrEx>
        <w:tc>
          <w:tcPr>
            <w:tcW w:w="1418" w:type="dxa"/>
          </w:tcPr>
          <w:p w:rsidR="00A42A8C" w:rsidRPr="006F381C">
            <w:pPr>
              <w:spacing w:line="278" w:lineRule="auto"/>
            </w:pPr>
            <w:r w:rsidRPr="006F381C">
              <w:t>2024-26</w:t>
            </w:r>
          </w:p>
        </w:tc>
        <w:tc>
          <w:tcPr>
            <w:tcW w:w="3447" w:type="dxa"/>
          </w:tcPr>
          <w:p w:rsidR="00A42A8C" w:rsidRPr="006F381C">
            <w:r w:rsidRPr="006F381C">
              <w:t>41</w:t>
            </w:r>
          </w:p>
        </w:tc>
        <w:tc>
          <w:tcPr>
            <w:tcW w:w="3447" w:type="dxa"/>
          </w:tcPr>
          <w:p w:rsidR="00A42A8C" w:rsidRPr="006F381C">
            <w:r w:rsidRPr="006F381C">
              <w:t>11</w:t>
            </w:r>
          </w:p>
        </w:tc>
      </w:tr>
    </w:tbl>
    <w:p w:rsidR="00A42A8C" w:rsidP="00BF412C">
      <w:pPr>
        <w:pStyle w:val="ListParagraph"/>
      </w:pPr>
    </w:p>
    <w:p w:rsidR="00C217B0" w:rsidP="008224D0">
      <w:pPr>
        <w:pStyle w:val="ListParagraph"/>
        <w:numPr>
          <w:ilvl w:val="0"/>
          <w:numId w:val="1"/>
        </w:numPr>
        <w:ind w:left="714" w:hanging="357"/>
        <w:contextualSpacing w:val="0"/>
      </w:pPr>
      <w:r>
        <w:t>The Wright Committee recommended that the Committee have its own secretariat, provided for by the Clerk of the House.</w:t>
      </w:r>
      <w:r>
        <w:rPr>
          <w:rStyle w:val="FootnoteReference"/>
        </w:rPr>
        <w:footnoteReference w:id="11"/>
      </w:r>
      <w:r>
        <w:t xml:space="preserve"> BBCom has been continuously staffed by the Table Office within the Chamber and Business Team. </w:t>
      </w:r>
    </w:p>
    <w:p w:rsidR="008B420C" w:rsidRPr="008B420C" w:rsidP="008B420C">
      <w:pPr>
        <w:pStyle w:val="ListParagraph"/>
        <w:numPr>
          <w:ilvl w:val="0"/>
          <w:numId w:val="1"/>
        </w:numPr>
      </w:pPr>
      <w:r w:rsidRPr="008B420C">
        <w:t xml:space="preserve">In relation to </w:t>
      </w:r>
      <w:r w:rsidR="002643D3">
        <w:t>the current management of backbench business</w:t>
      </w:r>
      <w:r w:rsidRPr="008B420C">
        <w:t xml:space="preserve">, the Administration would draw the Committee’s attention to </w:t>
      </w:r>
      <w:r>
        <w:t>BBCom’s</w:t>
      </w:r>
      <w:r w:rsidRPr="008B420C">
        <w:t xml:space="preserve"> report</w:t>
      </w:r>
      <w:r w:rsidR="002643D3">
        <w:t>,</w:t>
      </w:r>
      <w:r w:rsidRPr="008B420C">
        <w:t xml:space="preserve"> marking its fifteenth anniversary, which sets out </w:t>
      </w:r>
      <w:r w:rsidR="002643D3">
        <w:t xml:space="preserve">its </w:t>
      </w:r>
      <w:r w:rsidRPr="008B420C">
        <w:t xml:space="preserve">own assessment of </w:t>
      </w:r>
      <w:r w:rsidR="002643D3">
        <w:t>w</w:t>
      </w:r>
      <w:r w:rsidRPr="002643D3" w:rsidR="002643D3">
        <w:t>hether the original objectives of the Wright Committee have been fulfilled</w:t>
      </w:r>
      <w:r w:rsidR="00C05603">
        <w:t xml:space="preserve">, </w:t>
      </w:r>
      <w:r w:rsidR="00E1160F">
        <w:t>a discussion of its working practices</w:t>
      </w:r>
      <w:r w:rsidR="00CD7723">
        <w:t>, and</w:t>
      </w:r>
      <w:r w:rsidR="002643D3">
        <w:t xml:space="preserve"> proposals for reform</w:t>
      </w:r>
      <w:r w:rsidRPr="008B420C">
        <w:t>.</w:t>
      </w:r>
      <w:r>
        <w:rPr>
          <w:rStyle w:val="FootnoteReference"/>
        </w:rPr>
        <w:footnoteReference w:id="12"/>
      </w:r>
      <w:r w:rsidRPr="008B420C">
        <w:t xml:space="preserve"> In addition, the operation of the Backbench Business Committee has been subject to scrutiny by the Procedure Committee </w:t>
      </w:r>
      <w:r>
        <w:t>and t</w:t>
      </w:r>
      <w:r w:rsidRPr="008B420C">
        <w:t>he Political and Constitutional Reform Committee</w:t>
      </w:r>
      <w:r>
        <w:t xml:space="preserve"> in previous Parliaments.</w:t>
      </w:r>
      <w:r>
        <w:rPr>
          <w:rStyle w:val="FootnoteReference"/>
        </w:rPr>
        <w:footnoteReference w:id="13"/>
      </w:r>
    </w:p>
    <w:p w:rsidR="002643D3" w:rsidP="002643D3">
      <w:pPr>
        <w:pStyle w:val="Heading2"/>
      </w:pPr>
      <w:r>
        <w:t>Petitions Committee</w:t>
      </w:r>
    </w:p>
    <w:p w:rsidR="006A6515" w:rsidP="00E60678">
      <w:pPr>
        <w:pStyle w:val="ListParagraph"/>
        <w:numPr>
          <w:ilvl w:val="0"/>
          <w:numId w:val="1"/>
        </w:numPr>
        <w:ind w:left="714" w:hanging="357"/>
        <w:contextualSpacing w:val="0"/>
      </w:pPr>
      <w:r w:rsidRPr="00BB5CCC">
        <w:t>Petitioning the House of Commons is one of the oldest means by which the public has raised grievances and proposals before Parliament, with origins dating back at least to the seventeenth century, when the House affirmed the right of commoners to petition.</w:t>
      </w:r>
      <w:r>
        <w:rPr>
          <w:rStyle w:val="FootnoteReference"/>
        </w:rPr>
        <w:footnoteReference w:id="14"/>
      </w:r>
      <w:r w:rsidRPr="00BB5CCC">
        <w:t xml:space="preserve"> While petitions initially had the potential to prompt debate, the rapid growth in their number during the nineteenth century, combined with increasing pressures on parliamentary time, led to the adoption of Standing Orders that rendered petitioning a largely formal process without immediate debate.</w:t>
      </w:r>
      <w:r>
        <w:rPr>
          <w:rStyle w:val="FootnoteReference"/>
        </w:rPr>
        <w:footnoteReference w:id="15"/>
      </w:r>
      <w:r w:rsidR="00E61D98">
        <w:t xml:space="preserve"> </w:t>
      </w:r>
      <w:r w:rsidRPr="00BB5CCC">
        <w:t xml:space="preserve">These arrangements remained largely unchanged from 1842 until 1974, when the Petitions Committee was abolished </w:t>
      </w:r>
      <w:r w:rsidRPr="003A30C5" w:rsidR="003A30C5">
        <w:t xml:space="preserve">and changes were </w:t>
      </w:r>
      <w:r w:rsidRPr="003A30C5" w:rsidR="003A30C5">
        <w:t>made to the procedures governing the presentation and processing of petitions.</w:t>
      </w:r>
      <w:r w:rsidRPr="00BB5CCC">
        <w:t xml:space="preserve"> Further reforms followed in the early twenty</w:t>
      </w:r>
      <w:r w:rsidRPr="00BB5CCC">
        <w:noBreakHyphen/>
        <w:t>first century in response to recommendations from the Procedure Committee</w:t>
      </w:r>
      <w:r w:rsidR="00EA6A29">
        <w:t>.</w:t>
      </w:r>
      <w:r>
        <w:rPr>
          <w:rStyle w:val="FootnoteReference"/>
        </w:rPr>
        <w:footnoteReference w:id="16"/>
      </w:r>
      <w:r w:rsidRPr="00BB5CCC">
        <w:t xml:space="preserve"> </w:t>
      </w:r>
      <w:r w:rsidR="00EA6A29">
        <w:t>T</w:t>
      </w:r>
      <w:r w:rsidRPr="00BB5CCC">
        <w:t>hroughout this period</w:t>
      </w:r>
      <w:r w:rsidR="00EA6A29">
        <w:t>,</w:t>
      </w:r>
      <w:r w:rsidRPr="00BB5CCC">
        <w:t xml:space="preserve"> the</w:t>
      </w:r>
      <w:r w:rsidR="002803E8">
        <w:t xml:space="preserve"> importance of the</w:t>
      </w:r>
      <w:r w:rsidRPr="00BB5CCC">
        <w:t xml:space="preserve"> right to petition was </w:t>
      </w:r>
      <w:r w:rsidR="000F30A2">
        <w:t>recognised</w:t>
      </w:r>
      <w:r w:rsidR="00F05F55">
        <w:t xml:space="preserve"> in the</w:t>
      </w:r>
      <w:r w:rsidR="003261CC">
        <w:t xml:space="preserve"> still-standing</w:t>
      </w:r>
      <w:r w:rsidRPr="00BB5CCC">
        <w:t xml:space="preserve"> </w:t>
      </w:r>
      <w:r w:rsidR="00040D04">
        <w:t>ability</w:t>
      </w:r>
      <w:r w:rsidRPr="00BB5CCC">
        <w:t xml:space="preserve"> for petitions to be sent free of postage </w:t>
      </w:r>
      <w:r w:rsidR="00D63A30">
        <w:t>to</w:t>
      </w:r>
      <w:r w:rsidR="0019483B">
        <w:t xml:space="preserve"> the House.</w:t>
      </w:r>
      <w:r w:rsidR="00AF18CB">
        <w:t xml:space="preserve"> </w:t>
      </w:r>
    </w:p>
    <w:p w:rsidR="007204A4" w:rsidP="00E60678">
      <w:pPr>
        <w:pStyle w:val="ListParagraph"/>
        <w:numPr>
          <w:ilvl w:val="0"/>
          <w:numId w:val="1"/>
        </w:numPr>
        <w:ind w:left="714" w:hanging="357"/>
        <w:contextualSpacing w:val="0"/>
      </w:pPr>
      <w:r w:rsidRPr="0049021D">
        <w:t xml:space="preserve">At the turn of the century, the House began to explore the potential of electronic petitioning as part of a wider consideration of public engagement with parliamentary processes. This interest was reflected in the Procedure Committee’s work in 2006–07 and was reinforced by renewed attention to participation and accountability in its 2008 report, followed by the </w:t>
      </w:r>
      <w:r w:rsidR="0079131E">
        <w:t xml:space="preserve">Wright </w:t>
      </w:r>
      <w:r w:rsidR="00FA2BBF">
        <w:t>Committee reforms</w:t>
      </w:r>
      <w:r w:rsidRPr="0049021D">
        <w:t xml:space="preserve">, which called for the public </w:t>
      </w:r>
      <w:r w:rsidR="00CD7723">
        <w:t xml:space="preserve">to be given </w:t>
      </w:r>
      <w:r w:rsidRPr="0049021D">
        <w:t>a greater voice and for rebalancing Parliament’s relationship with the executive</w:t>
      </w:r>
      <w:r w:rsidR="00CA3EB7">
        <w:t>.</w:t>
      </w:r>
      <w:r>
        <w:rPr>
          <w:rStyle w:val="FootnoteReference"/>
        </w:rPr>
        <w:footnoteReference w:id="17"/>
      </w:r>
    </w:p>
    <w:p w:rsidR="00473E3C" w:rsidP="009E6424">
      <w:pPr>
        <w:pStyle w:val="ListParagraph"/>
        <w:numPr>
          <w:ilvl w:val="0"/>
          <w:numId w:val="1"/>
        </w:numPr>
        <w:ind w:left="714" w:hanging="357"/>
        <w:contextualSpacing w:val="0"/>
      </w:pPr>
      <w:r w:rsidRPr="00CA3EB7">
        <w:t>In parallel, the Government introduced an e</w:t>
      </w:r>
      <w:r w:rsidRPr="00CA3EB7">
        <w:noBreakHyphen/>
        <w:t>petitioning facility on the No. 10 Downing Street website in November 2006</w:t>
      </w:r>
      <w:r w:rsidR="00DA40E8">
        <w:t>.</w:t>
      </w:r>
      <w:r w:rsidRPr="00CA3EB7">
        <w:t xml:space="preserve"> That site was closed in 2010 at the end of the Parliament</w:t>
      </w:r>
      <w:r w:rsidR="00921D89">
        <w:t xml:space="preserve">, </w:t>
      </w:r>
      <w:r w:rsidR="002A4331">
        <w:t>but</w:t>
      </w:r>
      <w:r w:rsidRPr="00CA3EB7">
        <w:t xml:space="preserve"> a Government-run e</w:t>
      </w:r>
      <w:r w:rsidRPr="00CA3EB7">
        <w:noBreakHyphen/>
        <w:t>petitions website</w:t>
      </w:r>
      <w:r w:rsidR="002A4331">
        <w:t xml:space="preserve"> was relaunched</w:t>
      </w:r>
      <w:r w:rsidRPr="00CA3EB7">
        <w:t xml:space="preserve"> in July 2011.</w:t>
      </w:r>
      <w:r>
        <w:rPr>
          <w:rStyle w:val="FootnoteReference"/>
        </w:rPr>
        <w:footnoteReference w:id="18"/>
      </w:r>
      <w:r w:rsidRPr="00CA3EB7">
        <w:t xml:space="preserve"> </w:t>
      </w:r>
    </w:p>
    <w:p w:rsidR="008C38E9" w:rsidP="00473E3C">
      <w:pPr>
        <w:pStyle w:val="ListParagraph"/>
        <w:numPr>
          <w:ilvl w:val="0"/>
          <w:numId w:val="1"/>
        </w:numPr>
        <w:ind w:left="714" w:hanging="357"/>
        <w:contextualSpacing w:val="0"/>
      </w:pPr>
      <w:r w:rsidRPr="00DF5ED2">
        <w:t>In February 2015,</w:t>
      </w:r>
      <w:r w:rsidR="00056A55">
        <w:t xml:space="preserve"> as recommended by the Procedure Committee,</w:t>
      </w:r>
      <w:r>
        <w:rPr>
          <w:rStyle w:val="FootnoteReference"/>
        </w:rPr>
        <w:footnoteReference w:id="19"/>
      </w:r>
      <w:r w:rsidRPr="00DF5ED2">
        <w:t xml:space="preserve"> the House agreed both to the creation of a joint House–Government e</w:t>
      </w:r>
      <w:r w:rsidRPr="00DF5ED2">
        <w:noBreakHyphen/>
        <w:t xml:space="preserve">petition system and to the establishment of a dedicated Petitions Committee </w:t>
      </w:r>
      <w:r>
        <w:t>at the start of the next</w:t>
      </w:r>
      <w:r w:rsidRPr="00DF5ED2">
        <w:t xml:space="preserve"> Parliament to oversee the operation of that system alongside the existing paper petitions process.</w:t>
      </w:r>
      <w:r>
        <w:rPr>
          <w:rStyle w:val="FootnoteReference"/>
        </w:rPr>
        <w:footnoteReference w:id="20"/>
      </w:r>
      <w:r w:rsidRPr="00C24C88">
        <w:rPr>
          <w:rStyle w:val="FootnoteReference"/>
        </w:rPr>
        <w:t xml:space="preserve"> </w:t>
      </w:r>
      <w:r w:rsidR="00057194">
        <w:t xml:space="preserve"> </w:t>
      </w:r>
    </w:p>
    <w:p w:rsidR="00473E3C" w:rsidRPr="00C06A02" w:rsidP="00C06A02">
      <w:pPr>
        <w:pStyle w:val="ListParagraph"/>
        <w:numPr>
          <w:ilvl w:val="0"/>
          <w:numId w:val="1"/>
        </w:numPr>
        <w:ind w:left="714" w:hanging="357"/>
        <w:contextualSpacing w:val="0"/>
      </w:pPr>
      <w:r w:rsidRPr="00C06A02">
        <w:t xml:space="preserve">The </w:t>
      </w:r>
      <w:r w:rsidR="00580D99">
        <w:t xml:space="preserve">modern </w:t>
      </w:r>
      <w:r w:rsidRPr="00C06A02">
        <w:t>Petitions Committee was accordingly established at the start of the 2015 Parliament</w:t>
      </w:r>
      <w:r w:rsidRPr="00DF5ED2" w:rsidR="00DF5ED2">
        <w:t xml:space="preserve">. The Committee </w:t>
      </w:r>
      <w:r w:rsidR="00331E66">
        <w:t>was granted the</w:t>
      </w:r>
      <w:r w:rsidR="00764A58">
        <w:t xml:space="preserve"> </w:t>
      </w:r>
      <w:r w:rsidR="0067483F">
        <w:t>power</w:t>
      </w:r>
      <w:r w:rsidRPr="00DF5ED2" w:rsidR="00DF5ED2">
        <w:t xml:space="preserve"> to schedule debates on petitions</w:t>
      </w:r>
      <w:r w:rsidR="004E1FAA">
        <w:t xml:space="preserve"> or e-petitions</w:t>
      </w:r>
      <w:r w:rsidRPr="00DF5ED2" w:rsidR="00DF5ED2">
        <w:t xml:space="preserve"> in Westminster Hall on Mondays for a maximum of three hours from 4.30 pm</w:t>
      </w:r>
      <w:r w:rsidR="00FE394A">
        <w:t xml:space="preserve"> under</w:t>
      </w:r>
      <w:r w:rsidRPr="00DF5ED2" w:rsidR="00DF5ED2">
        <w:t xml:space="preserve"> Standing Order No. 10. The Committee was not, and is not, authorised to schedule debates in the Chamber. Where debates in the Chamber are sought, the Committee must obtain the agreement of the Backbench Business Committee or be allocated time by the Government. These arrangements have remained unchanged since the Committee’s establishment.</w:t>
      </w:r>
    </w:p>
    <w:p w:rsidR="00E44BD1" w:rsidP="00473E3C">
      <w:pPr>
        <w:pStyle w:val="ListParagraph"/>
        <w:numPr>
          <w:ilvl w:val="0"/>
          <w:numId w:val="1"/>
        </w:numPr>
        <w:ind w:left="714" w:hanging="357"/>
        <w:contextualSpacing w:val="0"/>
      </w:pPr>
      <w:r w:rsidRPr="00634EDD">
        <w:t xml:space="preserve">The allocation of Monday afternoon time in Westminster Hall for debates on </w:t>
      </w:r>
      <w:r w:rsidR="004E1FAA">
        <w:t>e-</w:t>
      </w:r>
      <w:r w:rsidRPr="00634EDD">
        <w:t xml:space="preserve">petitions did not represent an increase in available </w:t>
      </w:r>
      <w:r w:rsidR="006964F8">
        <w:t xml:space="preserve">backbench </w:t>
      </w:r>
      <w:r w:rsidRPr="00634EDD">
        <w:t>debating time</w:t>
      </w:r>
      <w:r w:rsidR="000A0A1F">
        <w:t xml:space="preserve"> for e-petitions</w:t>
      </w:r>
      <w:r w:rsidRPr="00634EDD">
        <w:t xml:space="preserve">. That slot had previously been </w:t>
      </w:r>
      <w:r w:rsidR="00DC1A89">
        <w:t>allotted</w:t>
      </w:r>
      <w:r w:rsidRPr="00634EDD" w:rsidR="00DC1A89">
        <w:t xml:space="preserve"> </w:t>
      </w:r>
      <w:r w:rsidRPr="00634EDD">
        <w:t xml:space="preserve">to </w:t>
      </w:r>
      <w:r>
        <w:t>BBCom</w:t>
      </w:r>
      <w:r w:rsidRPr="00634EDD">
        <w:t xml:space="preserve"> in July 2012</w:t>
      </w:r>
      <w:r w:rsidR="00953C4E">
        <w:t xml:space="preserve"> to </w:t>
      </w:r>
      <w:r w:rsidR="00783D62">
        <w:t>schedule e-petition</w:t>
      </w:r>
      <w:r w:rsidR="008472D9">
        <w:t>, and later petition,</w:t>
      </w:r>
      <w:r w:rsidR="00783D62">
        <w:t xml:space="preserve"> debates</w:t>
      </w:r>
      <w:r w:rsidRPr="00634EDD">
        <w:t>, following a recommendation of the Procedure Committee</w:t>
      </w:r>
      <w:r w:rsidR="00CC56AD">
        <w:t xml:space="preserve"> in 2012</w:t>
      </w:r>
      <w:r w:rsidRPr="00634EDD">
        <w:t>.</w:t>
      </w:r>
      <w:r>
        <w:rPr>
          <w:rStyle w:val="FootnoteReference"/>
        </w:rPr>
        <w:footnoteReference w:id="21"/>
      </w:r>
      <w:r w:rsidRPr="00634EDD">
        <w:t xml:space="preserve"> </w:t>
      </w:r>
      <w:r w:rsidR="00C51211">
        <w:t>In practice, BBCom scheduled</w:t>
      </w:r>
      <w:r w:rsidR="00A81F05">
        <w:t xml:space="preserve"> </w:t>
      </w:r>
      <w:r w:rsidR="009E1068">
        <w:t>few</w:t>
      </w:r>
      <w:r w:rsidR="00CD2644">
        <w:t>er</w:t>
      </w:r>
      <w:r w:rsidR="009E1068">
        <w:t xml:space="preserve"> Monday e-petition </w:t>
      </w:r>
      <w:r w:rsidR="00B50008">
        <w:t xml:space="preserve">or petition </w:t>
      </w:r>
      <w:r w:rsidR="009E1068">
        <w:t>debates</w:t>
      </w:r>
      <w:r w:rsidR="00B8170D">
        <w:t xml:space="preserve"> </w:t>
      </w:r>
      <w:r w:rsidR="00EF2D4A">
        <w:t>than</w:t>
      </w:r>
      <w:r w:rsidR="00B8170D">
        <w:t xml:space="preserve"> the </w:t>
      </w:r>
      <w:r>
        <w:t>Petitions Committee</w:t>
      </w:r>
      <w:r w:rsidR="00EF2D4A">
        <w:t xml:space="preserve"> as can be seen in Table 2 below.</w:t>
      </w:r>
      <w:r w:rsidRPr="00EF2D4A" w:rsidR="00EF2D4A">
        <w:t xml:space="preserve"> </w:t>
      </w:r>
      <w:r w:rsidRPr="00634EDD" w:rsidR="00EF2D4A">
        <w:t xml:space="preserve">Prior to the establishment of separate provision for </w:t>
      </w:r>
      <w:r w:rsidR="00EF2D4A">
        <w:t>e-</w:t>
      </w:r>
      <w:r w:rsidRPr="00634EDD" w:rsidR="00EF2D4A">
        <w:t xml:space="preserve">petition debates, </w:t>
      </w:r>
      <w:r w:rsidR="00EF2D4A">
        <w:t>BBCom</w:t>
      </w:r>
      <w:r w:rsidRPr="00634EDD" w:rsidR="00EF2D4A">
        <w:t xml:space="preserve"> had been expected to accommodate such debates within its existing allocation of backbench business days.</w:t>
      </w:r>
      <w:r w:rsidRPr="002F40EC" w:rsidR="00EF2D4A">
        <w:rPr>
          <w:rStyle w:val="FootnoteReference"/>
        </w:rPr>
        <w:t xml:space="preserve"> </w:t>
      </w:r>
      <w:r>
        <w:rPr>
          <w:rStyle w:val="FootnoteReference"/>
        </w:rPr>
        <w:footnoteReference w:id="22"/>
      </w:r>
    </w:p>
    <w:p w:rsidR="00086B35" w:rsidRPr="00C66DAA" w:rsidP="00CB76BE">
      <w:pPr>
        <w:ind w:left="357"/>
        <w:rPr>
          <w:u w:val="single"/>
        </w:rPr>
      </w:pPr>
      <w:r w:rsidRPr="00C66DAA">
        <w:rPr>
          <w:u w:val="single"/>
        </w:rPr>
        <w:t xml:space="preserve">Table 2: Number of e-petitions and petition debates held in the Chamber and </w:t>
      </w:r>
      <w:r w:rsidR="00DA07D4">
        <w:rPr>
          <w:u w:val="single"/>
        </w:rPr>
        <w:t xml:space="preserve">on Mondays in </w:t>
      </w:r>
      <w:r w:rsidRPr="00C66DAA">
        <w:rPr>
          <w:u w:val="single"/>
        </w:rPr>
        <w:t>Westminster Hall</w:t>
      </w:r>
    </w:p>
    <w:p w:rsidR="00086B35" w:rsidP="00EF2D4A">
      <w:pPr>
        <w:ind w:left="714"/>
      </w:pPr>
      <w:r>
        <w:t xml:space="preserve">This table shows the number of individual debates on one or more </w:t>
      </w:r>
      <w:r w:rsidR="00832A99">
        <w:t xml:space="preserve">named </w:t>
      </w:r>
      <w:r>
        <w:t>petitions or e-petitions that were scheduled by BBCom in the 2010 Parliament and by the Petitions Committee from the 2015 Parliament onwards</w:t>
      </w:r>
      <w:r w:rsidR="0051107E">
        <w:t xml:space="preserve"> in the Chamber and on Mondays in Westminster Hall.</w:t>
      </w:r>
      <w:r>
        <w:rPr>
          <w:rStyle w:val="FootnoteReference"/>
        </w:rPr>
        <w:footnoteReference w:id="23"/>
      </w:r>
      <w:r>
        <w:t xml:space="preserve"> </w:t>
      </w:r>
    </w:p>
    <w:tbl>
      <w:tblPr>
        <w:tblStyle w:val="TableGrid"/>
        <w:tblW w:w="0" w:type="auto"/>
        <w:tblInd w:w="714" w:type="dxa"/>
        <w:tblLook w:val="04A0"/>
      </w:tblPr>
      <w:tblGrid>
        <w:gridCol w:w="1271"/>
        <w:gridCol w:w="3047"/>
        <w:gridCol w:w="3048"/>
      </w:tblGrid>
      <w:tr w:rsidTr="00EF2D4A">
        <w:tblPrEx>
          <w:tblW w:w="0" w:type="auto"/>
          <w:tblInd w:w="714" w:type="dxa"/>
          <w:tblLook w:val="04A0"/>
        </w:tblPrEx>
        <w:tc>
          <w:tcPr>
            <w:tcW w:w="1271" w:type="dxa"/>
          </w:tcPr>
          <w:p w:rsidR="00086B35" w:rsidRPr="00B71559">
            <w:pPr>
              <w:spacing w:line="278" w:lineRule="auto"/>
              <w:rPr>
                <w:b/>
                <w:bCs/>
              </w:rPr>
            </w:pPr>
            <w:r w:rsidRPr="00B71559">
              <w:rPr>
                <w:b/>
                <w:bCs/>
              </w:rPr>
              <w:t>Session</w:t>
            </w:r>
          </w:p>
        </w:tc>
        <w:tc>
          <w:tcPr>
            <w:tcW w:w="3047" w:type="dxa"/>
          </w:tcPr>
          <w:p w:rsidR="00086B35" w:rsidRPr="00B71559">
            <w:pPr>
              <w:spacing w:line="278" w:lineRule="auto"/>
              <w:rPr>
                <w:b/>
                <w:bCs/>
              </w:rPr>
            </w:pPr>
            <w:r w:rsidRPr="00B71559">
              <w:rPr>
                <w:b/>
                <w:bCs/>
              </w:rPr>
              <w:t xml:space="preserve">Chamber </w:t>
            </w:r>
          </w:p>
        </w:tc>
        <w:tc>
          <w:tcPr>
            <w:tcW w:w="3048" w:type="dxa"/>
          </w:tcPr>
          <w:p w:rsidR="00086B35" w:rsidRPr="00B71559">
            <w:pPr>
              <w:spacing w:line="278" w:lineRule="auto"/>
              <w:rPr>
                <w:b/>
                <w:bCs/>
              </w:rPr>
            </w:pPr>
            <w:r w:rsidRPr="00B71559">
              <w:rPr>
                <w:b/>
                <w:bCs/>
              </w:rPr>
              <w:t>Westminster Hall</w:t>
            </w:r>
          </w:p>
        </w:tc>
      </w:tr>
      <w:tr w:rsidTr="00EF2D4A">
        <w:tblPrEx>
          <w:tblW w:w="0" w:type="auto"/>
          <w:tblInd w:w="714" w:type="dxa"/>
          <w:tblLook w:val="04A0"/>
        </w:tblPrEx>
        <w:tc>
          <w:tcPr>
            <w:tcW w:w="7366" w:type="dxa"/>
            <w:gridSpan w:val="3"/>
          </w:tcPr>
          <w:p w:rsidR="00086B35" w:rsidRPr="00B71559">
            <w:pPr>
              <w:spacing w:line="278" w:lineRule="auto"/>
              <w:rPr>
                <w:i/>
                <w:iCs/>
              </w:rPr>
            </w:pPr>
            <w:r w:rsidRPr="00B71559">
              <w:rPr>
                <w:i/>
                <w:iCs/>
              </w:rPr>
              <w:t>BBCom constituted at the start of the 2010 Parliament</w:t>
            </w:r>
          </w:p>
        </w:tc>
      </w:tr>
      <w:tr w:rsidTr="00F37B4A">
        <w:tblPrEx>
          <w:tblW w:w="0" w:type="auto"/>
          <w:tblInd w:w="714" w:type="dxa"/>
          <w:tblLook w:val="04A0"/>
        </w:tblPrEx>
        <w:tc>
          <w:tcPr>
            <w:tcW w:w="1271" w:type="dxa"/>
          </w:tcPr>
          <w:p w:rsidR="00086B35" w:rsidRPr="00B71559">
            <w:pPr>
              <w:spacing w:line="278" w:lineRule="auto"/>
            </w:pPr>
            <w:r w:rsidRPr="00B71559">
              <w:t>2010-12</w:t>
            </w:r>
          </w:p>
        </w:tc>
        <w:tc>
          <w:tcPr>
            <w:tcW w:w="3047" w:type="dxa"/>
          </w:tcPr>
          <w:p w:rsidR="00086B35" w:rsidRPr="00B71559">
            <w:pPr>
              <w:spacing w:line="278" w:lineRule="auto"/>
            </w:pPr>
            <w:r w:rsidRPr="00B71559">
              <w:t>1</w:t>
            </w:r>
          </w:p>
        </w:tc>
        <w:tc>
          <w:tcPr>
            <w:tcW w:w="3048" w:type="dxa"/>
          </w:tcPr>
          <w:p w:rsidR="00086B35" w:rsidRPr="00B71559">
            <w:pPr>
              <w:spacing w:line="278" w:lineRule="auto"/>
            </w:pPr>
            <w:r w:rsidRPr="00B71559">
              <w:t>0</w:t>
            </w:r>
          </w:p>
        </w:tc>
      </w:tr>
      <w:tr w:rsidTr="00F37B4A">
        <w:tblPrEx>
          <w:tblW w:w="0" w:type="auto"/>
          <w:tblInd w:w="714" w:type="dxa"/>
          <w:tblLook w:val="04A0"/>
        </w:tblPrEx>
        <w:tc>
          <w:tcPr>
            <w:tcW w:w="1271" w:type="dxa"/>
          </w:tcPr>
          <w:p w:rsidR="00086B35" w:rsidRPr="00B71559">
            <w:pPr>
              <w:spacing w:line="278" w:lineRule="auto"/>
            </w:pPr>
            <w:r w:rsidRPr="00B71559">
              <w:t>2012-13</w:t>
            </w:r>
          </w:p>
        </w:tc>
        <w:tc>
          <w:tcPr>
            <w:tcW w:w="3047" w:type="dxa"/>
          </w:tcPr>
          <w:p w:rsidR="00086B35" w:rsidRPr="00B71559">
            <w:pPr>
              <w:spacing w:line="278" w:lineRule="auto"/>
            </w:pPr>
            <w:r w:rsidRPr="00B71559">
              <w:t>1</w:t>
            </w:r>
          </w:p>
        </w:tc>
        <w:tc>
          <w:tcPr>
            <w:tcW w:w="3048" w:type="dxa"/>
          </w:tcPr>
          <w:p w:rsidR="00086B35" w:rsidRPr="00B71559">
            <w:pPr>
              <w:spacing w:line="278" w:lineRule="auto"/>
            </w:pPr>
            <w:r w:rsidRPr="00B71559">
              <w:t>4</w:t>
            </w:r>
          </w:p>
        </w:tc>
      </w:tr>
      <w:tr w:rsidTr="00F37B4A">
        <w:tblPrEx>
          <w:tblW w:w="0" w:type="auto"/>
          <w:tblInd w:w="714" w:type="dxa"/>
          <w:tblLook w:val="04A0"/>
        </w:tblPrEx>
        <w:tc>
          <w:tcPr>
            <w:tcW w:w="1271" w:type="dxa"/>
          </w:tcPr>
          <w:p w:rsidR="00086B35" w:rsidRPr="00B71559">
            <w:pPr>
              <w:spacing w:line="278" w:lineRule="auto"/>
            </w:pPr>
            <w:r w:rsidRPr="00B71559">
              <w:t>2013-14</w:t>
            </w:r>
          </w:p>
        </w:tc>
        <w:tc>
          <w:tcPr>
            <w:tcW w:w="3047" w:type="dxa"/>
          </w:tcPr>
          <w:p w:rsidR="00086B35" w:rsidRPr="00B71559">
            <w:pPr>
              <w:spacing w:line="278" w:lineRule="auto"/>
            </w:pPr>
            <w:r w:rsidRPr="00B71559">
              <w:t>1</w:t>
            </w:r>
          </w:p>
        </w:tc>
        <w:tc>
          <w:tcPr>
            <w:tcW w:w="3048" w:type="dxa"/>
          </w:tcPr>
          <w:p w:rsidR="00086B35" w:rsidRPr="00B71559">
            <w:pPr>
              <w:spacing w:line="278" w:lineRule="auto"/>
            </w:pPr>
            <w:r w:rsidRPr="00B71559">
              <w:t>3</w:t>
            </w:r>
          </w:p>
        </w:tc>
      </w:tr>
      <w:tr w:rsidTr="00F37B4A">
        <w:tblPrEx>
          <w:tblW w:w="0" w:type="auto"/>
          <w:tblInd w:w="714" w:type="dxa"/>
          <w:tblLook w:val="04A0"/>
        </w:tblPrEx>
        <w:tc>
          <w:tcPr>
            <w:tcW w:w="1271" w:type="dxa"/>
          </w:tcPr>
          <w:p w:rsidR="00086B35" w:rsidRPr="00B71559">
            <w:pPr>
              <w:spacing w:line="278" w:lineRule="auto"/>
            </w:pPr>
            <w:r w:rsidRPr="00B71559">
              <w:t>2014-15</w:t>
            </w:r>
          </w:p>
        </w:tc>
        <w:tc>
          <w:tcPr>
            <w:tcW w:w="3047" w:type="dxa"/>
          </w:tcPr>
          <w:p w:rsidR="00086B35" w:rsidRPr="00B71559">
            <w:pPr>
              <w:spacing w:line="278" w:lineRule="auto"/>
            </w:pPr>
            <w:r w:rsidRPr="00B71559">
              <w:t>1</w:t>
            </w:r>
          </w:p>
        </w:tc>
        <w:tc>
          <w:tcPr>
            <w:tcW w:w="3048" w:type="dxa"/>
          </w:tcPr>
          <w:p w:rsidR="00086B35" w:rsidRPr="00B71559">
            <w:pPr>
              <w:spacing w:line="278" w:lineRule="auto"/>
            </w:pPr>
            <w:r w:rsidRPr="00B71559">
              <w:t>8</w:t>
            </w:r>
          </w:p>
        </w:tc>
      </w:tr>
      <w:tr w:rsidTr="00EF2D4A">
        <w:tblPrEx>
          <w:tblW w:w="0" w:type="auto"/>
          <w:tblInd w:w="714" w:type="dxa"/>
          <w:tblLook w:val="04A0"/>
        </w:tblPrEx>
        <w:tc>
          <w:tcPr>
            <w:tcW w:w="7366" w:type="dxa"/>
            <w:gridSpan w:val="3"/>
          </w:tcPr>
          <w:p w:rsidR="00086B35" w:rsidRPr="00B71559">
            <w:pPr>
              <w:spacing w:line="278" w:lineRule="auto"/>
              <w:rPr>
                <w:i/>
                <w:iCs/>
              </w:rPr>
            </w:pPr>
            <w:r w:rsidRPr="00B71559">
              <w:rPr>
                <w:i/>
                <w:iCs/>
              </w:rPr>
              <w:t>Petitions Committee constituted at the start of the 2015 Parliament</w:t>
            </w:r>
          </w:p>
        </w:tc>
      </w:tr>
      <w:tr w:rsidTr="00EF2D4A">
        <w:tblPrEx>
          <w:tblW w:w="0" w:type="auto"/>
          <w:tblInd w:w="714" w:type="dxa"/>
          <w:tblLook w:val="04A0"/>
        </w:tblPrEx>
        <w:tc>
          <w:tcPr>
            <w:tcW w:w="1271" w:type="dxa"/>
          </w:tcPr>
          <w:p w:rsidR="00086B35" w:rsidRPr="00B71559">
            <w:pPr>
              <w:spacing w:line="278" w:lineRule="auto"/>
            </w:pPr>
            <w:r w:rsidRPr="00B71559">
              <w:t>2015-16</w:t>
            </w:r>
          </w:p>
        </w:tc>
        <w:tc>
          <w:tcPr>
            <w:tcW w:w="3047" w:type="dxa"/>
          </w:tcPr>
          <w:p w:rsidR="00086B35" w:rsidRPr="00B71559">
            <w:pPr>
              <w:spacing w:line="278" w:lineRule="auto"/>
            </w:pPr>
            <w:r w:rsidRPr="00B71559">
              <w:t>0</w:t>
            </w:r>
          </w:p>
        </w:tc>
        <w:tc>
          <w:tcPr>
            <w:tcW w:w="3048" w:type="dxa"/>
          </w:tcPr>
          <w:p w:rsidR="00086B35" w:rsidRPr="00B71559">
            <w:pPr>
              <w:spacing w:line="278" w:lineRule="auto"/>
            </w:pPr>
            <w:r w:rsidRPr="00B71559">
              <w:t>15</w:t>
            </w:r>
          </w:p>
        </w:tc>
      </w:tr>
      <w:tr w:rsidTr="00EF2D4A">
        <w:tblPrEx>
          <w:tblW w:w="0" w:type="auto"/>
          <w:tblInd w:w="714" w:type="dxa"/>
          <w:tblLook w:val="04A0"/>
        </w:tblPrEx>
        <w:tc>
          <w:tcPr>
            <w:tcW w:w="1271" w:type="dxa"/>
          </w:tcPr>
          <w:p w:rsidR="00086B35" w:rsidRPr="00B71559">
            <w:pPr>
              <w:spacing w:line="278" w:lineRule="auto"/>
            </w:pPr>
            <w:r w:rsidRPr="00B71559">
              <w:t>2016-17</w:t>
            </w:r>
          </w:p>
        </w:tc>
        <w:tc>
          <w:tcPr>
            <w:tcW w:w="3047" w:type="dxa"/>
          </w:tcPr>
          <w:p w:rsidR="00086B35" w:rsidRPr="00B71559">
            <w:pPr>
              <w:spacing w:line="278" w:lineRule="auto"/>
            </w:pPr>
            <w:r w:rsidRPr="00B71559">
              <w:t>0</w:t>
            </w:r>
          </w:p>
        </w:tc>
        <w:tc>
          <w:tcPr>
            <w:tcW w:w="3048" w:type="dxa"/>
          </w:tcPr>
          <w:p w:rsidR="00086B35" w:rsidRPr="00B71559">
            <w:pPr>
              <w:spacing w:line="278" w:lineRule="auto"/>
            </w:pPr>
            <w:r w:rsidRPr="00B71559">
              <w:t>24</w:t>
            </w:r>
          </w:p>
        </w:tc>
      </w:tr>
      <w:tr w:rsidTr="00EF2D4A">
        <w:tblPrEx>
          <w:tblW w:w="0" w:type="auto"/>
          <w:tblInd w:w="714" w:type="dxa"/>
          <w:tblLook w:val="04A0"/>
        </w:tblPrEx>
        <w:tc>
          <w:tcPr>
            <w:tcW w:w="1271" w:type="dxa"/>
          </w:tcPr>
          <w:p w:rsidR="00086B35" w:rsidRPr="00B71559">
            <w:pPr>
              <w:spacing w:line="278" w:lineRule="auto"/>
            </w:pPr>
            <w:r w:rsidRPr="00B71559">
              <w:t>2017-19</w:t>
            </w:r>
          </w:p>
        </w:tc>
        <w:tc>
          <w:tcPr>
            <w:tcW w:w="3047" w:type="dxa"/>
          </w:tcPr>
          <w:p w:rsidR="00086B35" w:rsidRPr="00B71559">
            <w:pPr>
              <w:spacing w:line="278" w:lineRule="auto"/>
            </w:pPr>
            <w:r w:rsidRPr="00B71559">
              <w:t>0</w:t>
            </w:r>
          </w:p>
        </w:tc>
        <w:tc>
          <w:tcPr>
            <w:tcW w:w="3048" w:type="dxa"/>
          </w:tcPr>
          <w:p w:rsidR="00086B35" w:rsidRPr="00B71559">
            <w:pPr>
              <w:spacing w:line="278" w:lineRule="auto"/>
            </w:pPr>
            <w:r w:rsidRPr="00B71559">
              <w:t>59</w:t>
            </w:r>
          </w:p>
        </w:tc>
      </w:tr>
      <w:tr w:rsidTr="00EF2D4A">
        <w:tblPrEx>
          <w:tblW w:w="0" w:type="auto"/>
          <w:tblInd w:w="714" w:type="dxa"/>
          <w:tblLook w:val="04A0"/>
        </w:tblPrEx>
        <w:tc>
          <w:tcPr>
            <w:tcW w:w="1271" w:type="dxa"/>
          </w:tcPr>
          <w:p w:rsidR="00086B35" w:rsidRPr="00B71559">
            <w:pPr>
              <w:spacing w:line="278" w:lineRule="auto"/>
            </w:pPr>
            <w:r w:rsidRPr="00B71559">
              <w:t>2019</w:t>
            </w:r>
          </w:p>
        </w:tc>
        <w:tc>
          <w:tcPr>
            <w:tcW w:w="3047" w:type="dxa"/>
          </w:tcPr>
          <w:p w:rsidR="00086B35" w:rsidRPr="00B71559">
            <w:pPr>
              <w:spacing w:line="278" w:lineRule="auto"/>
            </w:pPr>
            <w:r w:rsidRPr="00B71559">
              <w:t>0</w:t>
            </w:r>
          </w:p>
        </w:tc>
        <w:tc>
          <w:tcPr>
            <w:tcW w:w="3048" w:type="dxa"/>
          </w:tcPr>
          <w:p w:rsidR="00086B35" w:rsidRPr="00B71559">
            <w:pPr>
              <w:spacing w:line="278" w:lineRule="auto"/>
            </w:pPr>
            <w:r w:rsidRPr="00B71559">
              <w:t>1</w:t>
            </w:r>
          </w:p>
        </w:tc>
      </w:tr>
      <w:tr w:rsidTr="00EF2D4A">
        <w:tblPrEx>
          <w:tblW w:w="0" w:type="auto"/>
          <w:tblInd w:w="714" w:type="dxa"/>
          <w:tblLook w:val="04A0"/>
        </w:tblPrEx>
        <w:tc>
          <w:tcPr>
            <w:tcW w:w="1271" w:type="dxa"/>
          </w:tcPr>
          <w:p w:rsidR="00086B35" w:rsidRPr="00B71559">
            <w:pPr>
              <w:spacing w:line="278" w:lineRule="auto"/>
            </w:pPr>
            <w:r w:rsidRPr="00B71559">
              <w:t>2019-21</w:t>
            </w:r>
          </w:p>
        </w:tc>
        <w:tc>
          <w:tcPr>
            <w:tcW w:w="3047" w:type="dxa"/>
          </w:tcPr>
          <w:p w:rsidR="00086B35" w:rsidRPr="00B71559">
            <w:pPr>
              <w:spacing w:line="278" w:lineRule="auto"/>
            </w:pPr>
            <w:r w:rsidRPr="00B71559">
              <w:t>3</w:t>
            </w:r>
          </w:p>
        </w:tc>
        <w:tc>
          <w:tcPr>
            <w:tcW w:w="3048" w:type="dxa"/>
          </w:tcPr>
          <w:p w:rsidR="00086B35" w:rsidRPr="00B71559">
            <w:pPr>
              <w:spacing w:line="278" w:lineRule="auto"/>
            </w:pPr>
            <w:r w:rsidRPr="00B71559">
              <w:t>35</w:t>
            </w:r>
          </w:p>
        </w:tc>
      </w:tr>
      <w:tr w:rsidTr="00EF2D4A">
        <w:tblPrEx>
          <w:tblW w:w="0" w:type="auto"/>
          <w:tblInd w:w="714" w:type="dxa"/>
          <w:tblLook w:val="04A0"/>
        </w:tblPrEx>
        <w:tc>
          <w:tcPr>
            <w:tcW w:w="1271" w:type="dxa"/>
          </w:tcPr>
          <w:p w:rsidR="00086B35" w:rsidRPr="00B71559">
            <w:pPr>
              <w:spacing w:line="278" w:lineRule="auto"/>
            </w:pPr>
            <w:r w:rsidRPr="00B71559">
              <w:t>2021-22</w:t>
            </w:r>
          </w:p>
        </w:tc>
        <w:tc>
          <w:tcPr>
            <w:tcW w:w="3047" w:type="dxa"/>
          </w:tcPr>
          <w:p w:rsidR="00086B35" w:rsidRPr="00B71559">
            <w:pPr>
              <w:spacing w:line="278" w:lineRule="auto"/>
            </w:pPr>
            <w:r w:rsidRPr="00B71559">
              <w:t>0</w:t>
            </w:r>
          </w:p>
        </w:tc>
        <w:tc>
          <w:tcPr>
            <w:tcW w:w="3048" w:type="dxa"/>
          </w:tcPr>
          <w:p w:rsidR="00086B35" w:rsidRPr="00B71559">
            <w:pPr>
              <w:spacing w:line="278" w:lineRule="auto"/>
            </w:pPr>
            <w:r w:rsidRPr="00B71559">
              <w:t>47</w:t>
            </w:r>
          </w:p>
        </w:tc>
      </w:tr>
      <w:tr w:rsidTr="00EF2D4A">
        <w:tblPrEx>
          <w:tblW w:w="0" w:type="auto"/>
          <w:tblInd w:w="714" w:type="dxa"/>
          <w:tblLook w:val="04A0"/>
        </w:tblPrEx>
        <w:tc>
          <w:tcPr>
            <w:tcW w:w="1271" w:type="dxa"/>
          </w:tcPr>
          <w:p w:rsidR="00086B35" w:rsidRPr="00B71559">
            <w:pPr>
              <w:spacing w:line="278" w:lineRule="auto"/>
            </w:pPr>
            <w:r w:rsidRPr="00B71559">
              <w:t>2022-23</w:t>
            </w:r>
          </w:p>
        </w:tc>
        <w:tc>
          <w:tcPr>
            <w:tcW w:w="3047" w:type="dxa"/>
          </w:tcPr>
          <w:p w:rsidR="00086B35" w:rsidRPr="00B71559">
            <w:pPr>
              <w:spacing w:line="278" w:lineRule="auto"/>
            </w:pPr>
            <w:r w:rsidRPr="00B71559">
              <w:t>0</w:t>
            </w:r>
          </w:p>
        </w:tc>
        <w:tc>
          <w:tcPr>
            <w:tcW w:w="3048" w:type="dxa"/>
          </w:tcPr>
          <w:p w:rsidR="00086B35" w:rsidRPr="00B71559">
            <w:pPr>
              <w:spacing w:line="278" w:lineRule="auto"/>
            </w:pPr>
            <w:r w:rsidRPr="00B71559">
              <w:t>43</w:t>
            </w:r>
          </w:p>
        </w:tc>
      </w:tr>
      <w:tr w:rsidTr="00EF2D4A">
        <w:tblPrEx>
          <w:tblW w:w="0" w:type="auto"/>
          <w:tblInd w:w="714" w:type="dxa"/>
          <w:tblLook w:val="04A0"/>
        </w:tblPrEx>
        <w:tc>
          <w:tcPr>
            <w:tcW w:w="1271" w:type="dxa"/>
          </w:tcPr>
          <w:p w:rsidR="00086B35" w:rsidRPr="00B71559">
            <w:pPr>
              <w:spacing w:line="278" w:lineRule="auto"/>
            </w:pPr>
            <w:r w:rsidRPr="00B71559">
              <w:t>2023-24</w:t>
            </w:r>
          </w:p>
        </w:tc>
        <w:tc>
          <w:tcPr>
            <w:tcW w:w="3047" w:type="dxa"/>
          </w:tcPr>
          <w:p w:rsidR="00086B35" w:rsidRPr="00B71559">
            <w:pPr>
              <w:spacing w:line="278" w:lineRule="auto"/>
            </w:pPr>
            <w:r w:rsidRPr="00B71559">
              <w:t>0</w:t>
            </w:r>
          </w:p>
        </w:tc>
        <w:tc>
          <w:tcPr>
            <w:tcW w:w="3048" w:type="dxa"/>
          </w:tcPr>
          <w:p w:rsidR="00086B35" w:rsidRPr="00B71559">
            <w:pPr>
              <w:spacing w:line="278" w:lineRule="auto"/>
            </w:pPr>
            <w:r w:rsidRPr="00B71559">
              <w:t>20</w:t>
            </w:r>
          </w:p>
        </w:tc>
      </w:tr>
      <w:tr w:rsidTr="00A11F61">
        <w:tblPrEx>
          <w:tblW w:w="0" w:type="auto"/>
          <w:tblInd w:w="714" w:type="dxa"/>
          <w:tblLook w:val="04A0"/>
        </w:tblPrEx>
        <w:tc>
          <w:tcPr>
            <w:tcW w:w="1271" w:type="dxa"/>
          </w:tcPr>
          <w:p w:rsidR="00086B35" w:rsidRPr="00A11F61">
            <w:pPr>
              <w:spacing w:line="278" w:lineRule="auto"/>
            </w:pPr>
            <w:r w:rsidRPr="00A11F61">
              <w:t>2024-26</w:t>
            </w:r>
          </w:p>
        </w:tc>
        <w:tc>
          <w:tcPr>
            <w:tcW w:w="3047" w:type="dxa"/>
          </w:tcPr>
          <w:p w:rsidR="00086B35" w:rsidRPr="00A11F61">
            <w:pPr>
              <w:spacing w:line="278" w:lineRule="auto"/>
            </w:pPr>
            <w:r w:rsidRPr="00A11F61">
              <w:t>0</w:t>
            </w:r>
          </w:p>
        </w:tc>
        <w:tc>
          <w:tcPr>
            <w:tcW w:w="3048" w:type="dxa"/>
          </w:tcPr>
          <w:p w:rsidR="00086B35" w:rsidRPr="00A11F61">
            <w:pPr>
              <w:spacing w:line="278" w:lineRule="auto"/>
            </w:pPr>
            <w:r>
              <w:t>60</w:t>
            </w:r>
          </w:p>
        </w:tc>
      </w:tr>
    </w:tbl>
    <w:p w:rsidR="00086B35" w:rsidP="00086B35"/>
    <w:p w:rsidR="00D05095" w:rsidP="00FA563A">
      <w:pPr>
        <w:pStyle w:val="ListParagraph"/>
        <w:numPr>
          <w:ilvl w:val="0"/>
          <w:numId w:val="1"/>
        </w:numPr>
        <w:ind w:left="714" w:hanging="357"/>
        <w:contextualSpacing w:val="0"/>
      </w:pPr>
      <w:r w:rsidRPr="00AA6086">
        <w:t>The rationale underpinning the reforms agreed in 2015 was set out by the Procedure Committee at the time. In its report, the Committee stated that:</w:t>
      </w:r>
    </w:p>
    <w:p w:rsidR="005D6450" w:rsidP="00701737">
      <w:pPr>
        <w:pStyle w:val="ListParagraph"/>
        <w:ind w:left="1440"/>
      </w:pPr>
      <w:r w:rsidRPr="005D6450">
        <w:t>Together with the rebranding and redesigning of the e-petition website, the establishment of a Petitions Committee with its own team of staff has the potential to produce a significant improvement in the information which is available to petitioners about what the House of Commons does and the many ways in which Members of Parliament use the opportunities the House offers them to respond to the public’s concerns. The proposals</w:t>
      </w:r>
      <w:r w:rsidR="00193A0F">
        <w:t>…</w:t>
      </w:r>
      <w:r w:rsidRPr="005D6450">
        <w:t xml:space="preserve"> should bring about a significant enhancement of the relationship between the petitioning public and their elected representatives</w:t>
      </w:r>
      <w:r w:rsidR="00FA563A">
        <w:t>.</w:t>
      </w:r>
      <w:r>
        <w:rPr>
          <w:rStyle w:val="FootnoteReference"/>
        </w:rPr>
        <w:footnoteReference w:id="24"/>
      </w:r>
    </w:p>
    <w:p w:rsidR="007520A7" w:rsidP="00D05095">
      <w:pPr>
        <w:pStyle w:val="ListParagraph"/>
      </w:pPr>
    </w:p>
    <w:p w:rsidR="00BB18D1" w:rsidP="00FA563A">
      <w:pPr>
        <w:pStyle w:val="ListParagraph"/>
        <w:numPr>
          <w:ilvl w:val="0"/>
          <w:numId w:val="1"/>
        </w:numPr>
        <w:ind w:left="714" w:hanging="357"/>
        <w:contextualSpacing w:val="0"/>
      </w:pPr>
      <w:r w:rsidRPr="00BB18D1">
        <w:t>It is not for the House Administration to assess whether those original objectives have been fully realised. However, the House may wish to note comments made by the current Chair of the Petitions Committee on the occasion of the tenth anniversary of the e</w:t>
      </w:r>
      <w:r w:rsidRPr="00FA563A">
        <w:rPr>
          <w:rFonts w:ascii="Cambria Math" w:hAnsi="Cambria Math" w:cs="Cambria Math"/>
        </w:rPr>
        <w:t>‑</w:t>
      </w:r>
      <w:r w:rsidRPr="00BB18D1">
        <w:t>petitions website and the establishment of the Committee. The Chair observed that:</w:t>
      </w:r>
    </w:p>
    <w:p w:rsidR="00D05095" w:rsidP="00FA563A">
      <w:pPr>
        <w:pStyle w:val="ListParagraph"/>
        <w:ind w:left="1440"/>
        <w:contextualSpacing w:val="0"/>
      </w:pPr>
      <w:r>
        <w:t>As we mark the 10-year anniversary of the opening of petition.parliament.uk, we celebrate a decade of individuals raising issues that matter to them. Since the website opened on 20 July 2015, the parliamentary e-petitions system has become a bridge between the public and Parliament, allowing people to set the agenda in Parliament</w:t>
      </w:r>
      <w:r w:rsidR="00E83CA9">
        <w:t>…</w:t>
      </w:r>
      <w:r>
        <w:t xml:space="preserve"> parliamentary e-petitions have allowed millions of people in the UK to engage with Parliament in a way that is transparent and accessible – showing that democracy does not end at the ballot box</w:t>
      </w:r>
      <w:r w:rsidR="00E83CA9">
        <w:t>.</w:t>
      </w:r>
      <w:r>
        <w:rPr>
          <w:rStyle w:val="FootnoteReference"/>
        </w:rPr>
        <w:footnoteReference w:id="25"/>
      </w:r>
    </w:p>
    <w:p w:rsidR="00BD6B47" w:rsidRPr="00325580" w:rsidP="000F4135">
      <w:pPr>
        <w:pStyle w:val="ListParagraph"/>
        <w:numPr>
          <w:ilvl w:val="0"/>
          <w:numId w:val="1"/>
        </w:numPr>
        <w:contextualSpacing w:val="0"/>
      </w:pPr>
      <w:r>
        <w:t>Since its establishment, the Petitions Committee has been supported by a dedicated secretariat</w:t>
      </w:r>
      <w:r w:rsidR="007A0523">
        <w:t xml:space="preserve"> within the Chamber Business </w:t>
      </w:r>
      <w:r w:rsidR="00974B5D">
        <w:t>Team.</w:t>
      </w:r>
      <w:r w:rsidR="000F4135">
        <w:t xml:space="preserve"> </w:t>
      </w:r>
      <w:r w:rsidRPr="00BD6B47">
        <w:t>The Petition Committee’s own submission to your inquiry sets out the quantum of work which its team has to carry out in respect of moderation of e-petitions, and, in line with the rationale underpinning the 2015 reforms, the engagement work which it also seeks to undertake with petitioners and signatories. This work includes directly emailing members of the public not only about business on the Floor of the House or in Westminster Hall which is relevant to their petition but also to the work of select committees and to Government consultations</w:t>
      </w:r>
      <w:r w:rsidR="000F4135">
        <w:t>.</w:t>
      </w:r>
    </w:p>
    <w:p w:rsidR="003A2021" w:rsidP="00F578A4">
      <w:pPr>
        <w:pStyle w:val="ListParagraph"/>
        <w:ind w:left="714"/>
        <w:contextualSpacing w:val="0"/>
      </w:pPr>
    </w:p>
    <w:p w:rsidR="0020267C" w:rsidP="0020267C">
      <w:pPr>
        <w:jc w:val="right"/>
        <w:rPr>
          <w:rFonts w:ascii="Calibri" w:eastAsia="Aptos" w:hAnsi="Calibri" w:cs="Calibri"/>
          <w:b/>
          <w:bCs/>
          <w:i/>
          <w:iCs/>
          <w:sz w:val="22"/>
          <w:szCs w:val="22"/>
        </w:rPr>
      </w:pPr>
    </w:p>
    <w:p w:rsidR="00592539" w:rsidRPr="0020267C" w:rsidP="0020267C">
      <w:pPr>
        <w:jc w:val="right"/>
        <w:rPr>
          <w:rFonts w:ascii="Calibri" w:eastAsia="Aptos" w:hAnsi="Calibri" w:cs="Calibri"/>
          <w:b/>
          <w:bCs/>
          <w:i/>
          <w:iCs/>
          <w:sz w:val="22"/>
          <w:szCs w:val="22"/>
        </w:rPr>
      </w:pPr>
      <w:r>
        <w:rPr>
          <w:rFonts w:ascii="Calibri" w:eastAsia="Aptos" w:hAnsi="Calibri" w:cs="Calibri"/>
          <w:b/>
          <w:bCs/>
          <w:i/>
          <w:iCs/>
          <w:sz w:val="22"/>
          <w:szCs w:val="22"/>
        </w:rPr>
        <w:t>June</w:t>
      </w:r>
      <w:r w:rsidRPr="006E0133">
        <w:rPr>
          <w:rFonts w:ascii="Calibri" w:eastAsia="Aptos" w:hAnsi="Calibri" w:cs="Calibri"/>
          <w:b/>
          <w:bCs/>
          <w:i/>
          <w:iCs/>
          <w:sz w:val="22"/>
          <w:szCs w:val="22"/>
        </w:rPr>
        <w:t xml:space="preserve">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73AA6" w:rsidP="00A206D2">
      <w:pPr>
        <w:spacing w:after="0" w:line="240" w:lineRule="auto"/>
      </w:pPr>
      <w:r>
        <w:separator/>
      </w:r>
    </w:p>
  </w:footnote>
  <w:footnote w:type="continuationSeparator" w:id="1">
    <w:p w:rsidR="00173AA6" w:rsidP="00A206D2">
      <w:pPr>
        <w:spacing w:after="0" w:line="240" w:lineRule="auto"/>
      </w:pPr>
      <w:r>
        <w:continuationSeparator/>
      </w:r>
    </w:p>
  </w:footnote>
  <w:footnote w:id="2">
    <w:p w:rsidR="00C217B0" w:rsidP="00C217B0">
      <w:pPr>
        <w:pStyle w:val="FootnoteText"/>
      </w:pPr>
      <w:r>
        <w:rPr>
          <w:rStyle w:val="FootnoteReference"/>
        </w:rPr>
        <w:footnoteRef/>
      </w:r>
      <w:r>
        <w:t xml:space="preserve"> </w:t>
      </w:r>
      <w:r w:rsidR="00804A72">
        <w:t xml:space="preserve">House of Commons Reform Committee, First Report of Session 2008-09, </w:t>
      </w:r>
      <w:r>
        <w:fldChar w:fldCharType="begin"/>
      </w:r>
      <w:r>
        <w:instrText xml:space="preserve"> HYPERLINK "https://publications.parliament.uk/pa/cm200809/cmselect/cmrefhoc/cmrefhoc.htm" </w:instrText>
      </w:r>
      <w:r>
        <w:fldChar w:fldCharType="separate"/>
      </w:r>
      <w:r w:rsidRPr="00804A72" w:rsidR="00804A72">
        <w:rPr>
          <w:rStyle w:val="Hyperlink"/>
        </w:rPr>
        <w:t>Rebuilding the House</w:t>
      </w:r>
      <w:r>
        <w:fldChar w:fldCharType="end"/>
      </w:r>
      <w:r w:rsidRPr="00804A72" w:rsidR="00804A72">
        <w:t>,</w:t>
      </w:r>
      <w:r w:rsidR="00804A72">
        <w:t xml:space="preserve"> HC 1117, para 176</w:t>
      </w:r>
    </w:p>
  </w:footnote>
  <w:footnote w:id="3">
    <w:p w:rsidR="00C217B0">
      <w:pPr>
        <w:pStyle w:val="FootnoteText"/>
      </w:pPr>
      <w:r>
        <w:rPr>
          <w:rStyle w:val="FootnoteReference"/>
        </w:rPr>
        <w:footnoteRef/>
      </w:r>
      <w:r>
        <w:t xml:space="preserve"> </w:t>
      </w:r>
      <w:r w:rsidR="00804A72">
        <w:t xml:space="preserve">House of Commons Reform Committee, First Report of Session 2008-09, </w:t>
      </w:r>
      <w:r>
        <w:fldChar w:fldCharType="begin"/>
      </w:r>
      <w:r>
        <w:instrText xml:space="preserve"> HYPERLINK "https://publications.parliament.uk/pa/cm200809/cmselect/cmrefhoc/cmrefhoc.htm" </w:instrText>
      </w:r>
      <w:r>
        <w:fldChar w:fldCharType="separate"/>
      </w:r>
      <w:r w:rsidRPr="00804A72" w:rsidR="00804A72">
        <w:rPr>
          <w:rStyle w:val="Hyperlink"/>
        </w:rPr>
        <w:t>Rebuilding the House</w:t>
      </w:r>
      <w:r>
        <w:fldChar w:fldCharType="end"/>
      </w:r>
      <w:r w:rsidRPr="00804A72" w:rsidR="00804A72">
        <w:t>,</w:t>
      </w:r>
      <w:r w:rsidR="00804A72">
        <w:t xml:space="preserve"> HC 1117, para 181</w:t>
      </w:r>
    </w:p>
  </w:footnote>
  <w:footnote w:id="4">
    <w:p w:rsidR="00C0377B" w:rsidP="00C0377B">
      <w:pPr>
        <w:pStyle w:val="FootnoteText"/>
      </w:pPr>
      <w:r>
        <w:rPr>
          <w:rStyle w:val="FootnoteReference"/>
        </w:rPr>
        <w:footnoteRef/>
      </w:r>
      <w:r>
        <w:t xml:space="preserve"> CJ (2009-10) </w:t>
      </w:r>
      <w:r>
        <w:fldChar w:fldCharType="begin"/>
      </w:r>
      <w:r>
        <w:instrText xml:space="preserve"> HYPERLINK "https://publications.parliament.uk/pa/cm200910/cmjournal/266/050.htm" </w:instrText>
      </w:r>
      <w:r>
        <w:fldChar w:fldCharType="separate"/>
      </w:r>
      <w:r w:rsidRPr="00C0377B">
        <w:rPr>
          <w:rStyle w:val="Hyperlink"/>
        </w:rPr>
        <w:t>293-294</w:t>
      </w:r>
      <w:r>
        <w:fldChar w:fldCharType="end"/>
      </w:r>
      <w:r>
        <w:t xml:space="preserve"> </w:t>
      </w:r>
    </w:p>
  </w:footnote>
  <w:footnote w:id="5">
    <w:p w:rsidR="00617E3B" w:rsidP="00617E3B">
      <w:pPr>
        <w:pStyle w:val="FootnoteText"/>
      </w:pPr>
      <w:r>
        <w:rPr>
          <w:rStyle w:val="FootnoteReference"/>
        </w:rPr>
        <w:footnoteRef/>
      </w:r>
      <w:r>
        <w:t xml:space="preserve"> CJ (2010-12) </w:t>
      </w:r>
      <w:r>
        <w:fldChar w:fldCharType="begin"/>
      </w:r>
      <w:r>
        <w:instrText xml:space="preserve"> HYPERLINK "https://publications.parliament.uk/pa/cm201012/cmjournal/267/part1/100615v01.htm" </w:instrText>
      </w:r>
      <w:r>
        <w:fldChar w:fldCharType="separate"/>
      </w:r>
      <w:r w:rsidRPr="00617E3B">
        <w:rPr>
          <w:rStyle w:val="Hyperlink"/>
        </w:rPr>
        <w:t>33-37</w:t>
      </w:r>
      <w:r>
        <w:fldChar w:fldCharType="end"/>
      </w:r>
    </w:p>
  </w:footnote>
  <w:footnote w:id="6">
    <w:p w:rsidR="000270DA">
      <w:pPr>
        <w:pStyle w:val="FootnoteText"/>
      </w:pPr>
      <w:r>
        <w:rPr>
          <w:rStyle w:val="FootnoteReference"/>
        </w:rPr>
        <w:footnoteRef/>
      </w:r>
      <w:r>
        <w:t xml:space="preserve"> Backbench Business Committee, </w:t>
      </w:r>
      <w:r>
        <w:fldChar w:fldCharType="begin"/>
      </w:r>
      <w:r>
        <w:instrText xml:space="preserve"> HYPERLINK "https://www.parliament.uk/globalassets/documents/commons-committees/backbench-business/Formal-minutes-2010-2012.pdf" </w:instrText>
      </w:r>
      <w:r>
        <w:fldChar w:fldCharType="separate"/>
      </w:r>
      <w:r w:rsidRPr="000270DA">
        <w:rPr>
          <w:rStyle w:val="Hyperlink"/>
        </w:rPr>
        <w:t>Formal Minutes</w:t>
      </w:r>
      <w:r>
        <w:fldChar w:fldCharType="end"/>
      </w:r>
      <w:r w:rsidR="003A4D3D">
        <w:t xml:space="preserve"> and </w:t>
      </w:r>
      <w:r>
        <w:fldChar w:fldCharType="begin"/>
      </w:r>
      <w:r>
        <w:instrText xml:space="preserve"> HYPERLINK "https://publications.parliament.uk/pa/cm201011/cmselect/cmbackben/cbbc1509/cbbc01.htm" </w:instrText>
      </w:r>
      <w:r>
        <w:fldChar w:fldCharType="separate"/>
      </w:r>
      <w:r w:rsidRPr="003A4D3D" w:rsidR="003A4D3D">
        <w:rPr>
          <w:rStyle w:val="Hyperlink"/>
        </w:rPr>
        <w:t>Transcript</w:t>
      </w:r>
      <w:r>
        <w:fldChar w:fldCharType="end"/>
      </w:r>
      <w:r>
        <w:t>, 15 September 2015</w:t>
      </w:r>
    </w:p>
  </w:footnote>
  <w:footnote w:id="7">
    <w:p w:rsidR="00F14928">
      <w:pPr>
        <w:pStyle w:val="FootnoteText"/>
      </w:pPr>
      <w:r>
        <w:rPr>
          <w:rStyle w:val="FootnoteReference"/>
        </w:rPr>
        <w:footnoteRef/>
      </w:r>
      <w:r>
        <w:t xml:space="preserve"> Backbench Business Committee, </w:t>
      </w:r>
      <w:r w:rsidR="00BC1CD8">
        <w:t xml:space="preserve">First Special Report of Session 2010-11, </w:t>
      </w:r>
      <w:r>
        <w:fldChar w:fldCharType="begin"/>
      </w:r>
      <w:r>
        <w:instrText xml:space="preserve"> HYPERLINK "https://publications.parliament.uk/pa/cm201011/cmselect/cmbackben/334/334.pdf" </w:instrText>
      </w:r>
      <w:r>
        <w:fldChar w:fldCharType="separate"/>
      </w:r>
      <w:r w:rsidRPr="00BC1CD8" w:rsidR="00BC1CD8">
        <w:rPr>
          <w:rStyle w:val="Hyperlink"/>
        </w:rPr>
        <w:t>Provisional Approach: Session 2010-11</w:t>
      </w:r>
      <w:r>
        <w:fldChar w:fldCharType="end"/>
      </w:r>
      <w:r w:rsidR="00BC1CD8">
        <w:t>, HC 334, para 1</w:t>
      </w:r>
    </w:p>
  </w:footnote>
  <w:footnote w:id="8">
    <w:p w:rsidR="00E1160F" w:rsidRPr="00226788" w:rsidP="00E1160F">
      <w:pPr>
        <w:pStyle w:val="FootnoteText"/>
        <w:rPr>
          <w:b/>
          <w:bCs/>
        </w:rPr>
      </w:pPr>
      <w:r>
        <w:rPr>
          <w:rStyle w:val="FootnoteReference"/>
        </w:rPr>
        <w:footnoteRef/>
      </w:r>
      <w:r>
        <w:t xml:space="preserve"> </w:t>
      </w:r>
      <w:r>
        <w:fldChar w:fldCharType="begin"/>
      </w:r>
      <w:r>
        <w:instrText xml:space="preserve"> HYPERLINK "https://www.parliament.uk/business/publications/commons/sessional-returns/" </w:instrText>
      </w:r>
      <w:r>
        <w:fldChar w:fldCharType="separate"/>
      </w:r>
      <w:r w:rsidRPr="00A12DD6">
        <w:rPr>
          <w:rStyle w:val="Hyperlink"/>
        </w:rPr>
        <w:t>Sessional Returns</w:t>
      </w:r>
      <w:r>
        <w:fldChar w:fldCharType="end"/>
      </w:r>
      <w:r>
        <w:t>. Backbench business was not recorded in the Sessional Returns prior to Session 2012-13.</w:t>
      </w:r>
    </w:p>
  </w:footnote>
  <w:footnote w:id="9">
    <w:p w:rsidR="00BF412C" w:rsidP="00BF412C">
      <w:pPr>
        <w:pStyle w:val="FootnoteText"/>
      </w:pPr>
      <w:r>
        <w:rPr>
          <w:rStyle w:val="FootnoteReference"/>
        </w:rPr>
        <w:footnoteRef/>
      </w:r>
      <w:r>
        <w:t xml:space="preserve"> Votes and Proceedings, </w:t>
      </w:r>
      <w:r>
        <w:fldChar w:fldCharType="begin"/>
      </w:r>
      <w:r>
        <w:instrText xml:space="preserve"> HYPERLINK "https://commonsbusiness.parliament.uk/Document/102151/Html?subType=Standard" </w:instrText>
      </w:r>
      <w:r>
        <w:fldChar w:fldCharType="separate"/>
      </w:r>
      <w:r w:rsidRPr="0097248F">
        <w:rPr>
          <w:rStyle w:val="Hyperlink"/>
        </w:rPr>
        <w:t>2 February 2026</w:t>
      </w:r>
      <w:r>
        <w:fldChar w:fldCharType="end"/>
      </w:r>
    </w:p>
  </w:footnote>
  <w:footnote w:id="10">
    <w:p w:rsidR="00E07AED">
      <w:pPr>
        <w:pStyle w:val="FootnoteText"/>
      </w:pPr>
      <w:r>
        <w:rPr>
          <w:rStyle w:val="FootnoteReference"/>
        </w:rPr>
        <w:footnoteRef/>
      </w:r>
      <w:r>
        <w:t xml:space="preserve"> </w:t>
      </w:r>
      <w:r w:rsidR="00450488">
        <w:t xml:space="preserve">Until </w:t>
      </w:r>
      <w:r w:rsidR="00D26634">
        <w:t>recently</w:t>
      </w:r>
      <w:r w:rsidR="00450488">
        <w:t xml:space="preserve">, </w:t>
      </w:r>
      <w:r w:rsidR="00F45EC7">
        <w:t xml:space="preserve">a select committee statement had to be made within </w:t>
      </w:r>
      <w:r w:rsidR="00D26634">
        <w:t>five sitting days. However, changes to Standing Orders agreed by the House on 28 April 2026</w:t>
      </w:r>
      <w:r w:rsidR="00A34ADD">
        <w:t xml:space="preserve"> changed the limit to ten sitting days. </w:t>
      </w:r>
    </w:p>
  </w:footnote>
  <w:footnote w:id="11">
    <w:p w:rsidR="00C311AE" w:rsidP="00C311AE">
      <w:pPr>
        <w:pStyle w:val="FootnoteText"/>
      </w:pPr>
      <w:r>
        <w:rPr>
          <w:rStyle w:val="FootnoteReference"/>
        </w:rPr>
        <w:footnoteRef/>
      </w:r>
      <w:r>
        <w:t xml:space="preserve"> House of Commons Reform Committee, First Report of Session 2008-09, </w:t>
      </w:r>
      <w:r>
        <w:fldChar w:fldCharType="begin"/>
      </w:r>
      <w:r>
        <w:instrText xml:space="preserve"> HYPERLINK "https://publications.parliament.uk/pa/cm200809/cmselect/cmrefhoc/cmrefhoc.htm" </w:instrText>
      </w:r>
      <w:r>
        <w:fldChar w:fldCharType="separate"/>
      </w:r>
      <w:r w:rsidRPr="00804A72">
        <w:rPr>
          <w:rStyle w:val="Hyperlink"/>
        </w:rPr>
        <w:t>Rebuilding the House</w:t>
      </w:r>
      <w:r>
        <w:fldChar w:fldCharType="end"/>
      </w:r>
      <w:r w:rsidRPr="00804A72">
        <w:t>,</w:t>
      </w:r>
      <w:r>
        <w:t xml:space="preserve"> HC 1117, para 180 </w:t>
      </w:r>
    </w:p>
  </w:footnote>
  <w:footnote w:id="12">
    <w:p w:rsidR="008B420C" w:rsidP="008B420C">
      <w:pPr>
        <w:pStyle w:val="FootnoteText"/>
      </w:pPr>
      <w:r>
        <w:rPr>
          <w:rStyle w:val="FootnoteReference"/>
        </w:rPr>
        <w:footnoteRef/>
      </w:r>
      <w:r>
        <w:t xml:space="preserve"> Backbench Business Committee, First Special Report of Session 2024-16, </w:t>
      </w:r>
      <w:r>
        <w:fldChar w:fldCharType="begin"/>
      </w:r>
      <w:r>
        <w:instrText xml:space="preserve"> HYPERLINK "https://publications.parliament.uk/pa/cm5901/cmselect/cmbackben/1548/report.html" </w:instrText>
      </w:r>
      <w:r>
        <w:fldChar w:fldCharType="separate"/>
      </w:r>
      <w:r w:rsidRPr="00C77AD8">
        <w:rPr>
          <w:rStyle w:val="Hyperlink"/>
        </w:rPr>
        <w:t>15</w:t>
      </w:r>
      <w:r w:rsidRPr="00C77AD8">
        <w:rPr>
          <w:rStyle w:val="Hyperlink"/>
          <w:vertAlign w:val="superscript"/>
        </w:rPr>
        <w:t>th</w:t>
      </w:r>
      <w:r w:rsidRPr="00C77AD8">
        <w:rPr>
          <w:rStyle w:val="Hyperlink"/>
        </w:rPr>
        <w:t xml:space="preserve"> anniversary of the Backbench Business Committee</w:t>
      </w:r>
      <w:r>
        <w:fldChar w:fldCharType="end"/>
      </w:r>
      <w:r>
        <w:t xml:space="preserve">, HC 1548 </w:t>
      </w:r>
    </w:p>
  </w:footnote>
  <w:footnote w:id="13">
    <w:p w:rsidR="008B420C" w:rsidP="008B420C">
      <w:pPr>
        <w:pStyle w:val="FootnoteText"/>
      </w:pPr>
      <w:r>
        <w:rPr>
          <w:rStyle w:val="FootnoteReference"/>
        </w:rPr>
        <w:footnoteRef/>
      </w:r>
      <w:r>
        <w:t xml:space="preserve"> Procedure Committee, Second Report of Session 2012-13, </w:t>
      </w:r>
      <w:r>
        <w:fldChar w:fldCharType="begin"/>
      </w:r>
      <w:r>
        <w:instrText xml:space="preserve"> HYPERLINK "https://publications.parliament.uk/pa/cm201213/cmselect/cmproced/168/168.pdf" </w:instrText>
      </w:r>
      <w:r>
        <w:fldChar w:fldCharType="separate"/>
      </w:r>
      <w:r w:rsidRPr="00C77AD8">
        <w:rPr>
          <w:rStyle w:val="Hyperlink"/>
        </w:rPr>
        <w:t>Review of the Backbench Business Committee</w:t>
      </w:r>
      <w:r>
        <w:fldChar w:fldCharType="end"/>
      </w:r>
      <w:r>
        <w:t xml:space="preserve">, HC 168, and Political and Constitutional Reform Committee, Third Report of Session 2013-14, </w:t>
      </w:r>
      <w:r>
        <w:fldChar w:fldCharType="begin"/>
      </w:r>
      <w:r>
        <w:instrText xml:space="preserve"> HYPERLINK "https://publications.parliament.uk/pa/cm201314/cmselect/cmpolcon/82/82.pdf" </w:instrText>
      </w:r>
      <w:r>
        <w:fldChar w:fldCharType="separate"/>
      </w:r>
      <w:r w:rsidRPr="008B420C">
        <w:rPr>
          <w:rStyle w:val="Hyperlink"/>
          <w:i/>
          <w:iCs/>
        </w:rPr>
        <w:t>Revisiting Rebuilding</w:t>
      </w:r>
      <w:r>
        <w:rPr>
          <w:rStyle w:val="Hyperlink"/>
          <w:i/>
          <w:iCs/>
        </w:rPr>
        <w:t xml:space="preserve"> </w:t>
      </w:r>
      <w:r w:rsidRPr="008B420C">
        <w:rPr>
          <w:rStyle w:val="Hyperlink"/>
          <w:i/>
          <w:iCs/>
        </w:rPr>
        <w:t>the House</w:t>
      </w:r>
      <w:r w:rsidRPr="008B420C">
        <w:rPr>
          <w:rStyle w:val="Hyperlink"/>
        </w:rPr>
        <w:t>: the impact of the Wright reforms</w:t>
      </w:r>
      <w:r>
        <w:fldChar w:fldCharType="end"/>
      </w:r>
      <w:r>
        <w:t>, HC 82</w:t>
      </w:r>
    </w:p>
  </w:footnote>
  <w:footnote w:id="14">
    <w:p w:rsidR="00E61D98" w:rsidP="00E61D98">
      <w:pPr>
        <w:pStyle w:val="FootnoteText"/>
      </w:pPr>
      <w:r>
        <w:rPr>
          <w:rStyle w:val="FootnoteReference"/>
        </w:rPr>
        <w:footnoteRef/>
      </w:r>
      <w:r>
        <w:t xml:space="preserve"> Erskine </w:t>
      </w:r>
      <w:r>
        <w:t>May,</w:t>
      </w:r>
      <w:r>
        <w:t xml:space="preserve"> 2</w:t>
      </w:r>
      <w:r w:rsidR="00625CE7">
        <w:t>5</w:t>
      </w:r>
      <w:r w:rsidRPr="00695EF8">
        <w:rPr>
          <w:vertAlign w:val="superscript"/>
        </w:rPr>
        <w:t>th</w:t>
      </w:r>
      <w:r>
        <w:t xml:space="preserve"> </w:t>
      </w:r>
      <w:r w:rsidR="00625CE7">
        <w:t>den</w:t>
      </w:r>
      <w:r>
        <w:t xml:space="preserve">, </w:t>
      </w:r>
      <w:r w:rsidRPr="00061C4A">
        <w:t>A brief history of petitioning Parliament</w:t>
      </w:r>
      <w:r>
        <w:t xml:space="preserve">,  </w:t>
      </w:r>
      <w:r>
        <w:fldChar w:fldCharType="begin"/>
      </w:r>
      <w:r>
        <w:instrText xml:space="preserve"> HYPERLINK "https://erskinemay.parliament.uk/section/5072/a-brief-history-of-petitioning-parliament/" </w:instrText>
      </w:r>
      <w:r>
        <w:fldChar w:fldCharType="separate"/>
      </w:r>
      <w:r w:rsidRPr="00695EF8">
        <w:rPr>
          <w:rStyle w:val="Hyperlink"/>
        </w:rPr>
        <w:t>para 24.2</w:t>
      </w:r>
      <w:r>
        <w:fldChar w:fldCharType="end"/>
      </w:r>
    </w:p>
  </w:footnote>
  <w:footnote w:id="15">
    <w:p w:rsidR="00E61D98" w:rsidP="00E61D98">
      <w:pPr>
        <w:pStyle w:val="FootnoteText"/>
      </w:pPr>
      <w:r>
        <w:rPr>
          <w:rStyle w:val="FootnoteReference"/>
        </w:rPr>
        <w:footnoteRef/>
      </w:r>
      <w:r>
        <w:t xml:space="preserve"> Erskine </w:t>
      </w:r>
      <w:r>
        <w:t>May,</w:t>
      </w:r>
      <w:r>
        <w:t xml:space="preserve"> 2</w:t>
      </w:r>
      <w:r w:rsidR="00625CE7">
        <w:t>5</w:t>
      </w:r>
      <w:r w:rsidRPr="00695EF8">
        <w:rPr>
          <w:vertAlign w:val="superscript"/>
        </w:rPr>
        <w:t>th</w:t>
      </w:r>
      <w:r>
        <w:t xml:space="preserve"> </w:t>
      </w:r>
      <w:r>
        <w:t>edn</w:t>
      </w:r>
      <w:r>
        <w:t xml:space="preserve">, </w:t>
      </w:r>
      <w:r w:rsidRPr="00061C4A">
        <w:t>A brief history of petitioning Parliament</w:t>
      </w:r>
      <w:r>
        <w:t xml:space="preserve">,  </w:t>
      </w:r>
      <w:r>
        <w:fldChar w:fldCharType="begin"/>
      </w:r>
      <w:r>
        <w:instrText xml:space="preserve"> HYPERLINK "https://erskinemay.parliament.uk/section/5072/a-brief-history-of-petitioning-parliament/" </w:instrText>
      </w:r>
      <w:r>
        <w:fldChar w:fldCharType="separate"/>
      </w:r>
      <w:r w:rsidRPr="00695EF8">
        <w:rPr>
          <w:rStyle w:val="Hyperlink"/>
        </w:rPr>
        <w:t>para 24.2</w:t>
      </w:r>
      <w:r>
        <w:fldChar w:fldCharType="end"/>
      </w:r>
    </w:p>
  </w:footnote>
  <w:footnote w:id="16">
    <w:p w:rsidR="001970D8">
      <w:pPr>
        <w:pStyle w:val="FootnoteText"/>
      </w:pPr>
      <w:r>
        <w:rPr>
          <w:rStyle w:val="FootnoteReference"/>
        </w:rPr>
        <w:footnoteRef/>
      </w:r>
      <w:r>
        <w:t xml:space="preserve"> </w:t>
      </w:r>
      <w:r w:rsidRPr="00CA547A">
        <w:t>Procedure Committee</w:t>
      </w:r>
      <w:r w:rsidRPr="00CA547A" w:rsidR="00DF3D43">
        <w:t xml:space="preserve">, </w:t>
      </w:r>
      <w:r w:rsidRPr="00CA547A" w:rsidR="008202F1">
        <w:t>First</w:t>
      </w:r>
      <w:r w:rsidR="008202F1">
        <w:t xml:space="preserve"> Report of Session 2006-07, </w:t>
      </w:r>
      <w:r>
        <w:fldChar w:fldCharType="begin"/>
      </w:r>
      <w:r>
        <w:instrText xml:space="preserve"> HYPERLINK "https://publications.parliament.uk/pa/cm200607/cmselect/cmproced/513/513.pdf" </w:instrText>
      </w:r>
      <w:r>
        <w:fldChar w:fldCharType="separate"/>
      </w:r>
      <w:r w:rsidRPr="008202F1" w:rsidR="008202F1">
        <w:rPr>
          <w:rStyle w:val="Hyperlink"/>
        </w:rPr>
        <w:t>Public Petitions and Early Day Motions</w:t>
      </w:r>
      <w:r>
        <w:fldChar w:fldCharType="end"/>
      </w:r>
      <w:r w:rsidR="008202F1">
        <w:t>, HC 513</w:t>
      </w:r>
    </w:p>
  </w:footnote>
  <w:footnote w:id="17">
    <w:p w:rsidR="00A572A0">
      <w:pPr>
        <w:pStyle w:val="FootnoteText"/>
      </w:pPr>
      <w:r>
        <w:rPr>
          <w:rStyle w:val="FootnoteReference"/>
        </w:rPr>
        <w:footnoteRef/>
      </w:r>
      <w:r>
        <w:t xml:space="preserve"> </w:t>
      </w:r>
      <w:r w:rsidRPr="00CA547A" w:rsidR="00CA547A">
        <w:t>Procedure Committee, First</w:t>
      </w:r>
      <w:r w:rsidR="00CA547A">
        <w:t xml:space="preserve"> Report of Session 2006-07, </w:t>
      </w:r>
      <w:r>
        <w:fldChar w:fldCharType="begin"/>
      </w:r>
      <w:r>
        <w:instrText xml:space="preserve"> HYPERLINK "https://publications.parliament.uk/pa/cm200607/cmselect/cmproced/513/513.pdf" </w:instrText>
      </w:r>
      <w:r>
        <w:fldChar w:fldCharType="separate"/>
      </w:r>
      <w:r w:rsidRPr="008202F1" w:rsidR="00CA547A">
        <w:rPr>
          <w:rStyle w:val="Hyperlink"/>
        </w:rPr>
        <w:t>Public Petitions and Early Day Motions</w:t>
      </w:r>
      <w:r>
        <w:fldChar w:fldCharType="end"/>
      </w:r>
      <w:r w:rsidR="00CA547A">
        <w:t>, HC 513; Procedure Committee,</w:t>
      </w:r>
      <w:r w:rsidR="00527100">
        <w:t xml:space="preserve"> First Report of Session 2007-08, </w:t>
      </w:r>
      <w:r>
        <w:fldChar w:fldCharType="begin"/>
      </w:r>
      <w:r>
        <w:instrText xml:space="preserve"> HYPERLINK "https://publications.parliament.uk/pa/cm200708/cmselect/cmproced/136/136.pdf" </w:instrText>
      </w:r>
      <w:r>
        <w:fldChar w:fldCharType="separate"/>
      </w:r>
      <w:r w:rsidRPr="002E4D4B" w:rsidR="00527100">
        <w:rPr>
          <w:rStyle w:val="Hyperlink"/>
        </w:rPr>
        <w:t>e-Petitions</w:t>
      </w:r>
      <w:r>
        <w:fldChar w:fldCharType="end"/>
      </w:r>
      <w:r w:rsidR="00527100">
        <w:t>, HC</w:t>
      </w:r>
      <w:r w:rsidR="002E4D4B">
        <w:t xml:space="preserve"> 136</w:t>
      </w:r>
      <w:r w:rsidR="00527100">
        <w:t xml:space="preserve">; and </w:t>
      </w:r>
      <w:r>
        <w:t xml:space="preserve">House of Commons Reform Committee, First Report of Session 2008-09, </w:t>
      </w:r>
      <w:r>
        <w:fldChar w:fldCharType="begin"/>
      </w:r>
      <w:r>
        <w:instrText xml:space="preserve"> HYPERLINK "https://publications.parliament.uk/pa/cm200809/cmselect/cmrefhoc/cmrefhoc.htm" </w:instrText>
      </w:r>
      <w:r>
        <w:fldChar w:fldCharType="separate"/>
      </w:r>
      <w:r w:rsidRPr="00804A72">
        <w:rPr>
          <w:rStyle w:val="Hyperlink"/>
        </w:rPr>
        <w:t>Rebuilding the House</w:t>
      </w:r>
      <w:r>
        <w:fldChar w:fldCharType="end"/>
      </w:r>
      <w:r w:rsidRPr="00804A72">
        <w:t>,</w:t>
      </w:r>
      <w:r>
        <w:t xml:space="preserve"> HC 1117</w:t>
      </w:r>
    </w:p>
  </w:footnote>
  <w:footnote w:id="18">
    <w:p w:rsidR="00303BDF">
      <w:pPr>
        <w:pStyle w:val="FootnoteText"/>
      </w:pPr>
      <w:r>
        <w:rPr>
          <w:rStyle w:val="FootnoteReference"/>
        </w:rPr>
        <w:footnoteRef/>
      </w:r>
      <w:r>
        <w:t xml:space="preserve"> </w:t>
      </w:r>
      <w:r>
        <w:t xml:space="preserve"> </w:t>
      </w:r>
      <w:r w:rsidR="00DF6726">
        <w:t xml:space="preserve">HM Government, </w:t>
      </w:r>
      <w:r>
        <w:fldChar w:fldCharType="begin"/>
      </w:r>
      <w:r>
        <w:instrText xml:space="preserve"> HYPERLINK "https://assets.publishing.service.gov.uk/media/5a74a4b3e5274a5294069025/coalition_programme_for_government.pdf" </w:instrText>
      </w:r>
      <w:r>
        <w:fldChar w:fldCharType="separate"/>
      </w:r>
      <w:r w:rsidRPr="00DF6726" w:rsidR="00DF6726">
        <w:rPr>
          <w:rStyle w:val="Hyperlink"/>
        </w:rPr>
        <w:t>The Coalition: our programme for government</w:t>
      </w:r>
      <w:r>
        <w:fldChar w:fldCharType="end"/>
      </w:r>
      <w:r w:rsidR="00DF6726">
        <w:t xml:space="preserve">, p. </w:t>
      </w:r>
      <w:r w:rsidR="0086578B">
        <w:t>27</w:t>
      </w:r>
      <w:r w:rsidR="00A37B4F">
        <w:t xml:space="preserve">; </w:t>
      </w:r>
      <w:r w:rsidRPr="00A37B4F" w:rsidR="00A37B4F">
        <w:t>Procedure Committee, Third Report of Session 2014-15, E-petitions: a collaborative system, HC 235, para 4</w:t>
      </w:r>
    </w:p>
    <w:p w:rsidR="003977F6">
      <w:pPr>
        <w:pStyle w:val="FootnoteText"/>
      </w:pPr>
      <w:r w:rsidRPr="0031054C">
        <w:t xml:space="preserve">Leader of the House of Commons, News Release </w:t>
      </w:r>
      <w:r w:rsidRPr="0031054C">
        <w:t>LHoc</w:t>
      </w:r>
      <w:r w:rsidRPr="0031054C">
        <w:t xml:space="preserve">/11/ 02, </w:t>
      </w:r>
      <w:r>
        <w:fldChar w:fldCharType="begin"/>
      </w:r>
      <w:r>
        <w:instrText xml:space="preserve"> HYPERLINK "http://www.cabinetoffice.gov.uk/sites/default/files/resources/News-Release-29-July-2011-Public-Petitions-website-could-lead-way-to-Commons-Debates.pdf" </w:instrText>
      </w:r>
      <w:r>
        <w:fldChar w:fldCharType="separate"/>
      </w:r>
      <w:r w:rsidRPr="003B60B9">
        <w:rPr>
          <w:rStyle w:val="Hyperlink"/>
        </w:rPr>
        <w:t xml:space="preserve">Public Petitions Website Could Lead Way </w:t>
      </w:r>
      <w:r w:rsidRPr="003B60B9">
        <w:rPr>
          <w:rStyle w:val="Hyperlink"/>
        </w:rPr>
        <w:t>To</w:t>
      </w:r>
      <w:r w:rsidRPr="003B60B9">
        <w:rPr>
          <w:rStyle w:val="Hyperlink"/>
        </w:rPr>
        <w:t xml:space="preserve"> Commons Debates</w:t>
      </w:r>
      <w:r>
        <w:fldChar w:fldCharType="end"/>
      </w:r>
      <w:r>
        <w:t>,</w:t>
      </w:r>
      <w:r w:rsidRPr="0031054C">
        <w:t xml:space="preserve"> 29 July 2011</w:t>
      </w:r>
    </w:p>
  </w:footnote>
  <w:footnote w:id="19">
    <w:p w:rsidR="00056A55">
      <w:pPr>
        <w:pStyle w:val="FootnoteText"/>
      </w:pPr>
      <w:r>
        <w:rPr>
          <w:rStyle w:val="FootnoteReference"/>
        </w:rPr>
        <w:footnoteRef/>
      </w:r>
      <w:r>
        <w:t xml:space="preserve"> Procedure Committee, Third Report of Session 2014-15, </w:t>
      </w:r>
      <w:r>
        <w:fldChar w:fldCharType="begin"/>
      </w:r>
      <w:r>
        <w:instrText xml:space="preserve"> HYPERLINK "https://www.parliament.uk/globalassets/documents/commons-committees/petitions/e-petitions-a-collaborative-system.pdf" </w:instrText>
      </w:r>
      <w:r>
        <w:fldChar w:fldCharType="separate"/>
      </w:r>
      <w:r w:rsidRPr="00BF05EB">
        <w:rPr>
          <w:rStyle w:val="Hyperlink"/>
        </w:rPr>
        <w:t>E-petitions: a collaborative system</w:t>
      </w:r>
      <w:r>
        <w:fldChar w:fldCharType="end"/>
      </w:r>
      <w:r>
        <w:t>, HC 235</w:t>
      </w:r>
    </w:p>
  </w:footnote>
  <w:footnote w:id="20">
    <w:p w:rsidR="00056A55" w:rsidP="00056A55">
      <w:pPr>
        <w:pStyle w:val="FootnoteText"/>
      </w:pPr>
      <w:r>
        <w:rPr>
          <w:rStyle w:val="FootnoteReference"/>
        </w:rPr>
        <w:footnoteRef/>
      </w:r>
      <w:r>
        <w:t xml:space="preserve"> CJ (2014-15) </w:t>
      </w:r>
      <w:r>
        <w:fldChar w:fldCharType="begin"/>
      </w:r>
      <w:r>
        <w:instrText xml:space="preserve"> HYPERLINK "https://publications.parliament.uk/pa/cm201415/cmjournal/270/270.pdf" </w:instrText>
      </w:r>
      <w:r>
        <w:fldChar w:fldCharType="separate"/>
      </w:r>
      <w:r w:rsidRPr="009E0C3A">
        <w:rPr>
          <w:rStyle w:val="Hyperlink"/>
        </w:rPr>
        <w:t>554</w:t>
      </w:r>
      <w:r>
        <w:fldChar w:fldCharType="end"/>
      </w:r>
    </w:p>
  </w:footnote>
  <w:footnote w:id="21">
    <w:p w:rsidR="0024225F" w:rsidP="0024225F">
      <w:pPr>
        <w:pStyle w:val="FootnoteText"/>
      </w:pPr>
      <w:r>
        <w:rPr>
          <w:rStyle w:val="FootnoteReference"/>
        </w:rPr>
        <w:footnoteRef/>
      </w:r>
      <w:r>
        <w:t xml:space="preserve"> CJ (2012-13) </w:t>
      </w:r>
      <w:r>
        <w:fldChar w:fldCharType="begin"/>
      </w:r>
      <w:r>
        <w:instrText xml:space="preserve"> HYPERLINK "https://publications.parliament.uk/pa/cm201213/cmjournal/268/268.pdf" </w:instrText>
      </w:r>
      <w:r>
        <w:fldChar w:fldCharType="separate"/>
      </w:r>
      <w:r w:rsidRPr="00E706FC">
        <w:rPr>
          <w:rStyle w:val="Hyperlink"/>
        </w:rPr>
        <w:t>188-189</w:t>
      </w:r>
      <w:r>
        <w:fldChar w:fldCharType="end"/>
      </w:r>
      <w:r w:rsidR="00FA4E2E">
        <w:t xml:space="preserve">; </w:t>
      </w:r>
      <w:r>
        <w:t xml:space="preserve">Procedure Committee, Seventh Report of Session 2010-12,  </w:t>
      </w:r>
      <w:r>
        <w:fldChar w:fldCharType="begin"/>
      </w:r>
      <w:r>
        <w:instrText xml:space="preserve"> HYPERLINK "https://publications.parliament.uk/pa/cm201012/cmselect/cmproced/1706/1706.pdf" </w:instrText>
      </w:r>
      <w:r>
        <w:fldChar w:fldCharType="separate"/>
      </w:r>
      <w:r w:rsidRPr="005E1DEC">
        <w:rPr>
          <w:rStyle w:val="Hyperlink"/>
        </w:rPr>
        <w:t>Debates on Government e-Petitions</w:t>
      </w:r>
      <w:r>
        <w:fldChar w:fldCharType="end"/>
      </w:r>
      <w:r>
        <w:t>, HC 1706, para 21</w:t>
      </w:r>
      <w:r w:rsidR="00FA4E2E">
        <w:t xml:space="preserve">; and CJ (2014-15) </w:t>
      </w:r>
      <w:r>
        <w:fldChar w:fldCharType="begin"/>
      </w:r>
      <w:r>
        <w:instrText xml:space="preserve"> HYPERLINK "https://publications.parliament.uk/pa/cm201415/cmjournal/270/270.pdf" </w:instrText>
      </w:r>
      <w:r>
        <w:fldChar w:fldCharType="separate"/>
      </w:r>
      <w:r w:rsidRPr="00FA4E2E" w:rsidR="00FA4E2E">
        <w:rPr>
          <w:rStyle w:val="Hyperlink"/>
        </w:rPr>
        <w:t>609</w:t>
      </w:r>
      <w:r>
        <w:fldChar w:fldCharType="end"/>
      </w:r>
    </w:p>
  </w:footnote>
  <w:footnote w:id="22">
    <w:p w:rsidR="00EF2D4A" w:rsidP="00EF2D4A">
      <w:pPr>
        <w:pStyle w:val="FootnoteText"/>
      </w:pPr>
      <w:r>
        <w:rPr>
          <w:rStyle w:val="FootnoteReference"/>
        </w:rPr>
        <w:footnoteRef/>
      </w:r>
      <w:r>
        <w:t xml:space="preserve"> Procedure Committee, Seventh Report of Session 2010-12,  </w:t>
      </w:r>
      <w:r>
        <w:fldChar w:fldCharType="begin"/>
      </w:r>
      <w:r>
        <w:instrText xml:space="preserve"> HYPERLINK "https://publications.parliament.uk/pa/cm201012/cmselect/cmproced/1706/1706.pdf" </w:instrText>
      </w:r>
      <w:r>
        <w:fldChar w:fldCharType="separate"/>
      </w:r>
      <w:r w:rsidRPr="005E1DEC">
        <w:rPr>
          <w:rStyle w:val="Hyperlink"/>
        </w:rPr>
        <w:t>Debates on Government e-Petitions</w:t>
      </w:r>
      <w:r>
        <w:fldChar w:fldCharType="end"/>
      </w:r>
      <w:r>
        <w:t>, HC 1706, paras 8-12</w:t>
      </w:r>
    </w:p>
  </w:footnote>
  <w:footnote w:id="23">
    <w:p w:rsidR="00D4786B">
      <w:pPr>
        <w:pStyle w:val="FootnoteText"/>
      </w:pPr>
      <w:r>
        <w:rPr>
          <w:rStyle w:val="FootnoteReference"/>
        </w:rPr>
        <w:footnoteRef/>
      </w:r>
      <w:r>
        <w:t xml:space="preserve"> </w:t>
      </w:r>
      <w:r w:rsidR="004051A1">
        <w:t xml:space="preserve">In the 2010 Parliament, </w:t>
      </w:r>
      <w:r w:rsidR="00DB3511">
        <w:t>BBCom schedule</w:t>
      </w:r>
      <w:r w:rsidR="005F108F">
        <w:t>d</w:t>
      </w:r>
      <w:r w:rsidR="00DB3511">
        <w:t xml:space="preserve"> </w:t>
      </w:r>
      <w:r w:rsidR="00EB07EC">
        <w:t>other</w:t>
      </w:r>
      <w:r w:rsidR="006E6238">
        <w:t xml:space="preserve"> </w:t>
      </w:r>
      <w:r w:rsidR="00DB3511">
        <w:t xml:space="preserve">debates </w:t>
      </w:r>
      <w:r w:rsidR="00672E1C">
        <w:t xml:space="preserve">on topics that were raised in e-petitions with more than 100,000 signatures. They have not been included in these figures </w:t>
      </w:r>
      <w:r w:rsidR="00B11ED1">
        <w:t xml:space="preserve">because the motion did not </w:t>
      </w:r>
      <w:r w:rsidR="0048375E">
        <w:t xml:space="preserve">explicitly reference </w:t>
      </w:r>
      <w:r w:rsidR="00B11ED1">
        <w:t xml:space="preserve">the petition. </w:t>
      </w:r>
    </w:p>
  </w:footnote>
  <w:footnote w:id="24">
    <w:p w:rsidR="00193A0F">
      <w:pPr>
        <w:pStyle w:val="FootnoteText"/>
      </w:pPr>
      <w:r>
        <w:rPr>
          <w:rStyle w:val="FootnoteReference"/>
        </w:rPr>
        <w:footnoteRef/>
      </w:r>
      <w:r>
        <w:t xml:space="preserve"> Procedure Committee, Seventh Report of Session 2010-12,  </w:t>
      </w:r>
      <w:r>
        <w:fldChar w:fldCharType="begin"/>
      </w:r>
      <w:r>
        <w:instrText xml:space="preserve"> HYPERLINK "https://publications.parliament.uk/pa/cm201012/cmselect/cmproced/1706/1706.pdf" </w:instrText>
      </w:r>
      <w:r>
        <w:fldChar w:fldCharType="separate"/>
      </w:r>
      <w:r w:rsidRPr="005E1DEC">
        <w:rPr>
          <w:rStyle w:val="Hyperlink"/>
        </w:rPr>
        <w:t>Debates on Government e-Petitions</w:t>
      </w:r>
      <w:r>
        <w:fldChar w:fldCharType="end"/>
      </w:r>
      <w:r>
        <w:t xml:space="preserve">, HC 1706, </w:t>
      </w:r>
      <w:r w:rsidR="001A4C03">
        <w:t>Summary</w:t>
      </w:r>
    </w:p>
  </w:footnote>
  <w:footnote w:id="25">
    <w:p w:rsidR="0097767C" w:rsidRPr="0097767C" w:rsidP="0097767C">
      <w:pPr>
        <w:pStyle w:val="FootnoteText"/>
      </w:pPr>
      <w:r>
        <w:rPr>
          <w:rStyle w:val="FootnoteReference"/>
        </w:rPr>
        <w:footnoteRef/>
      </w:r>
      <w:r>
        <w:t xml:space="preserve"> </w:t>
      </w:r>
      <w:r w:rsidR="00017736">
        <w:t xml:space="preserve">Petitions Committee, News article, </w:t>
      </w:r>
      <w:r>
        <w:fldChar w:fldCharType="begin"/>
      </w:r>
      <w:r>
        <w:instrText xml:space="preserve"> HYPERLINK "https://committees.parliament.uk/committee/326/petitions-committee/news/208751/10year-anniversary-of-epetitions-in-parliament/" </w:instrText>
      </w:r>
      <w:r>
        <w:fldChar w:fldCharType="separate"/>
      </w:r>
      <w:r w:rsidRPr="0097767C">
        <w:rPr>
          <w:rStyle w:val="Hyperlink"/>
        </w:rPr>
        <w:t>10-Year Anniversary of E-petitions in Parliament</w:t>
      </w:r>
      <w:r>
        <w:fldChar w:fldCharType="end"/>
      </w:r>
      <w:r>
        <w:t>, 28 July 2025</w:t>
      </w:r>
    </w:p>
    <w:p w:rsidR="00E83CA9">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C6012F"/>
    <w:multiLevelType w:val="hybridMultilevel"/>
    <w:tmpl w:val="4C28171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EC94147"/>
    <w:multiLevelType w:val="hybridMultilevel"/>
    <w:tmpl w:val="5B9E2340"/>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3516A3C"/>
    <w:multiLevelType w:val="hybridMultilevel"/>
    <w:tmpl w:val="C204AC22"/>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4794A43"/>
    <w:multiLevelType w:val="hybridMultilevel"/>
    <w:tmpl w:val="69F6609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710D4AFB"/>
    <w:multiLevelType w:val="hybridMultilevel"/>
    <w:tmpl w:val="F26A84BE"/>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1DE308F"/>
    <w:multiLevelType w:val="hybridMultilevel"/>
    <w:tmpl w:val="BFCA30C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06D2"/>
  </w:style>
  <w:style w:type="paragraph" w:styleId="Heading1">
    <w:name w:val="heading 1"/>
    <w:basedOn w:val="Normal"/>
    <w:next w:val="Normal"/>
    <w:link w:val="Heading1Char"/>
    <w:uiPriority w:val="9"/>
    <w:qFormat/>
    <w:rsid w:val="00A206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06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06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06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06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06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06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06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06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06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06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06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06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06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06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06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06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06D2"/>
    <w:rPr>
      <w:rFonts w:eastAsiaTheme="majorEastAsia" w:cstheme="majorBidi"/>
      <w:color w:val="272727" w:themeColor="text1" w:themeTint="D8"/>
    </w:rPr>
  </w:style>
  <w:style w:type="paragraph" w:styleId="Title">
    <w:name w:val="Title"/>
    <w:basedOn w:val="Normal"/>
    <w:next w:val="Normal"/>
    <w:link w:val="TitleChar"/>
    <w:uiPriority w:val="10"/>
    <w:qFormat/>
    <w:rsid w:val="00A206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06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06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06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06D2"/>
    <w:pPr>
      <w:spacing w:before="160"/>
      <w:jc w:val="center"/>
    </w:pPr>
    <w:rPr>
      <w:i/>
      <w:iCs/>
      <w:color w:val="404040" w:themeColor="text1" w:themeTint="BF"/>
    </w:rPr>
  </w:style>
  <w:style w:type="character" w:customStyle="1" w:styleId="QuoteChar">
    <w:name w:val="Quote Char"/>
    <w:basedOn w:val="DefaultParagraphFont"/>
    <w:link w:val="Quote"/>
    <w:uiPriority w:val="29"/>
    <w:rsid w:val="00A206D2"/>
    <w:rPr>
      <w:i/>
      <w:iCs/>
      <w:color w:val="404040" w:themeColor="text1" w:themeTint="BF"/>
    </w:rPr>
  </w:style>
  <w:style w:type="paragraph" w:styleId="ListParagraph">
    <w:name w:val="List Paragraph"/>
    <w:basedOn w:val="Normal"/>
    <w:uiPriority w:val="34"/>
    <w:qFormat/>
    <w:rsid w:val="00A206D2"/>
    <w:pPr>
      <w:ind w:left="720"/>
      <w:contextualSpacing/>
    </w:pPr>
  </w:style>
  <w:style w:type="character" w:styleId="IntenseEmphasis">
    <w:name w:val="Intense Emphasis"/>
    <w:basedOn w:val="DefaultParagraphFont"/>
    <w:uiPriority w:val="21"/>
    <w:qFormat/>
    <w:rsid w:val="00A206D2"/>
    <w:rPr>
      <w:i/>
      <w:iCs/>
      <w:color w:val="0F4761" w:themeColor="accent1" w:themeShade="BF"/>
    </w:rPr>
  </w:style>
  <w:style w:type="paragraph" w:styleId="IntenseQuote">
    <w:name w:val="Intense Quote"/>
    <w:basedOn w:val="Normal"/>
    <w:next w:val="Normal"/>
    <w:link w:val="IntenseQuoteChar"/>
    <w:uiPriority w:val="30"/>
    <w:qFormat/>
    <w:rsid w:val="00A206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06D2"/>
    <w:rPr>
      <w:i/>
      <w:iCs/>
      <w:color w:val="0F4761" w:themeColor="accent1" w:themeShade="BF"/>
    </w:rPr>
  </w:style>
  <w:style w:type="character" w:styleId="IntenseReference">
    <w:name w:val="Intense Reference"/>
    <w:basedOn w:val="DefaultParagraphFont"/>
    <w:uiPriority w:val="32"/>
    <w:qFormat/>
    <w:rsid w:val="00A206D2"/>
    <w:rPr>
      <w:b/>
      <w:bCs/>
      <w:smallCaps/>
      <w:color w:val="0F4761" w:themeColor="accent1" w:themeShade="BF"/>
      <w:spacing w:val="5"/>
    </w:rPr>
  </w:style>
  <w:style w:type="paragraph" w:styleId="Header">
    <w:name w:val="header"/>
    <w:basedOn w:val="Normal"/>
    <w:link w:val="HeaderChar"/>
    <w:uiPriority w:val="99"/>
    <w:unhideWhenUsed/>
    <w:rsid w:val="00A206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06D2"/>
  </w:style>
  <w:style w:type="paragraph" w:styleId="Footer">
    <w:name w:val="footer"/>
    <w:basedOn w:val="Normal"/>
    <w:link w:val="FooterChar"/>
    <w:uiPriority w:val="99"/>
    <w:unhideWhenUsed/>
    <w:rsid w:val="00A206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06D2"/>
  </w:style>
  <w:style w:type="paragraph" w:styleId="FootnoteText">
    <w:name w:val="footnote text"/>
    <w:basedOn w:val="Normal"/>
    <w:link w:val="FootnoteTextChar"/>
    <w:uiPriority w:val="99"/>
    <w:semiHidden/>
    <w:unhideWhenUsed/>
    <w:rsid w:val="00677F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7FAF"/>
    <w:rPr>
      <w:sz w:val="20"/>
      <w:szCs w:val="20"/>
    </w:rPr>
  </w:style>
  <w:style w:type="character" w:styleId="FootnoteReference">
    <w:name w:val="footnote reference"/>
    <w:basedOn w:val="DefaultParagraphFont"/>
    <w:uiPriority w:val="99"/>
    <w:semiHidden/>
    <w:unhideWhenUsed/>
    <w:rsid w:val="00677FAF"/>
    <w:rPr>
      <w:vertAlign w:val="superscript"/>
    </w:rPr>
  </w:style>
  <w:style w:type="character" w:styleId="Hyperlink">
    <w:name w:val="Hyperlink"/>
    <w:basedOn w:val="DefaultParagraphFont"/>
    <w:uiPriority w:val="99"/>
    <w:unhideWhenUsed/>
    <w:rsid w:val="00804A72"/>
    <w:rPr>
      <w:color w:val="467886" w:themeColor="hyperlink"/>
      <w:u w:val="single"/>
    </w:rPr>
  </w:style>
  <w:style w:type="character" w:customStyle="1" w:styleId="UnresolvedMention">
    <w:name w:val="Unresolved Mention"/>
    <w:basedOn w:val="DefaultParagraphFont"/>
    <w:uiPriority w:val="99"/>
    <w:semiHidden/>
    <w:unhideWhenUsed/>
    <w:rsid w:val="00804A72"/>
    <w:rPr>
      <w:color w:val="605E5C"/>
      <w:shd w:val="clear" w:color="auto" w:fill="E1DFDD"/>
    </w:rPr>
  </w:style>
  <w:style w:type="character" w:styleId="FollowedHyperlink">
    <w:name w:val="FollowedHyperlink"/>
    <w:basedOn w:val="DefaultParagraphFont"/>
    <w:uiPriority w:val="99"/>
    <w:semiHidden/>
    <w:unhideWhenUsed/>
    <w:rsid w:val="00804A72"/>
    <w:rPr>
      <w:color w:val="96607D" w:themeColor="followedHyperlink"/>
      <w:u w:val="single"/>
    </w:rPr>
  </w:style>
  <w:style w:type="character" w:styleId="CommentReference">
    <w:name w:val="annotation reference"/>
    <w:basedOn w:val="DefaultParagraphFont"/>
    <w:uiPriority w:val="99"/>
    <w:semiHidden/>
    <w:unhideWhenUsed/>
    <w:rsid w:val="00DF4EEE"/>
    <w:rPr>
      <w:sz w:val="16"/>
      <w:szCs w:val="16"/>
    </w:rPr>
  </w:style>
  <w:style w:type="paragraph" w:styleId="CommentText">
    <w:name w:val="annotation text"/>
    <w:basedOn w:val="Normal"/>
    <w:link w:val="CommentTextChar"/>
    <w:uiPriority w:val="99"/>
    <w:unhideWhenUsed/>
    <w:rsid w:val="00DF4EEE"/>
    <w:pPr>
      <w:spacing w:line="240" w:lineRule="auto"/>
    </w:pPr>
    <w:rPr>
      <w:sz w:val="20"/>
      <w:szCs w:val="20"/>
    </w:rPr>
  </w:style>
  <w:style w:type="character" w:customStyle="1" w:styleId="CommentTextChar">
    <w:name w:val="Comment Text Char"/>
    <w:basedOn w:val="DefaultParagraphFont"/>
    <w:link w:val="CommentText"/>
    <w:uiPriority w:val="99"/>
    <w:rsid w:val="00DF4EEE"/>
    <w:rPr>
      <w:sz w:val="20"/>
      <w:szCs w:val="20"/>
    </w:rPr>
  </w:style>
  <w:style w:type="paragraph" w:styleId="CommentSubject">
    <w:name w:val="annotation subject"/>
    <w:basedOn w:val="CommentText"/>
    <w:next w:val="CommentText"/>
    <w:link w:val="CommentSubjectChar"/>
    <w:uiPriority w:val="99"/>
    <w:semiHidden/>
    <w:unhideWhenUsed/>
    <w:rsid w:val="00DF4EEE"/>
    <w:rPr>
      <w:b/>
      <w:bCs/>
    </w:rPr>
  </w:style>
  <w:style w:type="character" w:customStyle="1" w:styleId="CommentSubjectChar">
    <w:name w:val="Comment Subject Char"/>
    <w:basedOn w:val="CommentTextChar"/>
    <w:link w:val="CommentSubject"/>
    <w:uiPriority w:val="99"/>
    <w:semiHidden/>
    <w:rsid w:val="00DF4EEE"/>
    <w:rPr>
      <w:b/>
      <w:bCs/>
      <w:sz w:val="20"/>
      <w:szCs w:val="20"/>
    </w:rPr>
  </w:style>
  <w:style w:type="paragraph" w:styleId="NormalWeb">
    <w:name w:val="Normal (Web)"/>
    <w:basedOn w:val="Normal"/>
    <w:uiPriority w:val="99"/>
    <w:semiHidden/>
    <w:unhideWhenUsed/>
    <w:rsid w:val="00447FD6"/>
    <w:pPr>
      <w:spacing w:before="100" w:beforeAutospacing="1" w:after="100" w:afterAutospacing="1" w:line="240" w:lineRule="auto"/>
    </w:pPr>
    <w:rPr>
      <w:rFonts w:ascii="Times New Roman" w:eastAsia="Times New Roman" w:hAnsi="Times New Roman" w:cs="Times New Roman"/>
      <w:kern w:val="0"/>
      <w:lang w:eastAsia="en-GB"/>
    </w:rPr>
  </w:style>
  <w:style w:type="paragraph" w:styleId="Revision">
    <w:name w:val="Revision"/>
    <w:hidden/>
    <w:uiPriority w:val="99"/>
    <w:semiHidden/>
    <w:rsid w:val="00447FD6"/>
    <w:pPr>
      <w:spacing w:after="0" w:line="240" w:lineRule="auto"/>
    </w:pPr>
  </w:style>
  <w:style w:type="table" w:styleId="TableGrid">
    <w:name w:val="Table Grid"/>
    <w:basedOn w:val="TableNormal"/>
    <w:uiPriority w:val="39"/>
    <w:rsid w:val="00447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447F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4DF0D-3E1C-4FF6-8E54-E87FE8F24219}">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BBB0020</dc:title>
  <cp:revision>0</cp:revision>
</cp:coreProperties>
</file>