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63C4" w:rsidP="005F47E9">
      <w:pPr>
        <w:spacing w:line="240" w:lineRule="auto"/>
        <w:jc w:val="center"/>
        <w:rPr>
          <w:rFonts w:ascii="Aptos" w:hAnsi="Aptos" w:cstheme="majorHAnsi"/>
          <w:b/>
        </w:rPr>
      </w:pPr>
      <w:r w:rsidRPr="00A73086">
        <w:rPr>
          <w:rFonts w:ascii="Aptos" w:hAnsi="Aptos" w:cstheme="majorHAnsi"/>
          <w:b/>
        </w:rPr>
        <w:t xml:space="preserve">WRITTEN EVIDENCE SUBMITTED BY </w:t>
      </w:r>
      <w:r w:rsidRPr="005F47E9">
        <w:rPr>
          <w:rFonts w:ascii="Aptos" w:hAnsi="Aptos" w:cstheme="majorHAnsi"/>
          <w:b/>
        </w:rPr>
        <w:t>IPSEA</w:t>
      </w:r>
      <w:r w:rsidRPr="005F47E9">
        <w:rPr>
          <w:rFonts w:ascii="Aptos" w:hAnsi="Aptos" w:cstheme="majorHAnsi"/>
          <w:b/>
        </w:rPr>
        <w:t xml:space="preserve"> </w:t>
      </w:r>
      <w:r w:rsidRPr="003866F6">
        <w:rPr>
          <w:rFonts w:ascii="Aptos" w:hAnsi="Aptos" w:cstheme="majorHAnsi"/>
          <w:b/>
        </w:rPr>
        <w:t>(INDEPENDENT PROVIDER OF SPECIAL EDUCATION ADVICE)</w:t>
      </w:r>
    </w:p>
    <w:p w:rsidR="005F47E9" w:rsidRPr="003866F6" w:rsidP="005F47E9">
      <w:pPr>
        <w:spacing w:line="240" w:lineRule="auto"/>
        <w:jc w:val="center"/>
        <w:rPr>
          <w:rFonts w:ascii="Aptos" w:hAnsi="Aptos" w:cstheme="majorHAnsi"/>
          <w:b/>
        </w:rPr>
      </w:pPr>
      <w:r>
        <w:rPr>
          <w:rFonts w:ascii="Aptos" w:hAnsi="Aptos" w:cstheme="majorHAnsi"/>
          <w:b/>
        </w:rPr>
        <w:t>(CSC0098)</w:t>
      </w:r>
    </w:p>
    <w:p w:rsidR="004D63C4" w:rsidRPr="001259BF" w:rsidP="006176CF">
      <w:pPr>
        <w:spacing w:line="240" w:lineRule="auto"/>
        <w:rPr>
          <w:rFonts w:ascii="Arial" w:hAnsi="Arial" w:cs="Arial"/>
          <w:b/>
          <w:bCs/>
          <w:lang w:val="en-US"/>
        </w:rPr>
      </w:pPr>
    </w:p>
    <w:p w:rsidR="004D63C4" w:rsidP="006176CF">
      <w:pPr>
        <w:spacing w:line="240" w:lineRule="auto"/>
        <w:rPr>
          <w:rFonts w:ascii="Arial" w:hAnsi="Arial" w:cs="Arial"/>
          <w:b/>
          <w:bCs/>
          <w:lang w:val="en-US"/>
        </w:rPr>
      </w:pPr>
    </w:p>
    <w:p w:rsidR="004D63C4" w:rsidRPr="000D4340" w:rsidP="006176CF">
      <w:pPr>
        <w:spacing w:line="240" w:lineRule="auto"/>
        <w:rPr>
          <w:rFonts w:ascii="Arial" w:hAnsi="Arial" w:cs="Arial"/>
          <w:b/>
          <w:bCs/>
          <w:lang w:val="en-US"/>
        </w:rPr>
      </w:pPr>
      <w:r w:rsidRPr="001259BF">
        <w:rPr>
          <w:rFonts w:ascii="Arial" w:hAnsi="Arial" w:cs="Arial"/>
          <w:b/>
          <w:bCs/>
          <w:lang w:val="en-US"/>
        </w:rPr>
        <w:t>Introduction</w:t>
      </w:r>
    </w:p>
    <w:p w:rsidR="004D63C4" w:rsidP="006176CF">
      <w:pPr>
        <w:spacing w:line="240" w:lineRule="auto"/>
        <w:rPr>
          <w:rFonts w:ascii="Arial" w:hAnsi="Arial" w:cs="Arial"/>
          <w:lang w:val="en-US"/>
        </w:rPr>
      </w:pPr>
    </w:p>
    <w:p w:rsidR="004D63C4" w:rsidRPr="006176CF" w:rsidP="006176CF">
      <w:pPr>
        <w:pStyle w:val="ListParagraph"/>
        <w:numPr>
          <w:ilvl w:val="0"/>
          <w:numId w:val="5"/>
        </w:numPr>
        <w:ind w:left="360"/>
        <w:rPr>
          <w:rFonts w:ascii="Arial" w:eastAsia="Arial" w:hAnsi="Arial" w:cs="Arial"/>
          <w:lang w:val="en-US"/>
        </w:rPr>
      </w:pPr>
      <w:r w:rsidRPr="006176CF">
        <w:rPr>
          <w:rFonts w:ascii="Arial" w:hAnsi="Arial" w:cs="Arial"/>
        </w:rPr>
        <w:t xml:space="preserve">IPSEA (Independent Provider of Special Education Advice) advises more than 4,000 parents and carers of children and young people with special educational needs and/or a disability (SEND) every year. </w:t>
      </w:r>
      <w:r w:rsidRPr="006176CF">
        <w:rPr>
          <w:rFonts w:ascii="Arial" w:eastAsia="Arial" w:hAnsi="Arial" w:cs="Arial"/>
          <w:lang w:val="en-US"/>
        </w:rPr>
        <w:t>We deliver free and independent telephone helpline services to parents/carers and young people, and run a Tribunal Support Service through which we represent parents/carers who are making appeals or claims to the SEND Tribunal. We also provide training on SEND law to parents/carers, SEND Information Advice and Support Services (SENDIASS), education professionals and local authorities.</w:t>
      </w:r>
    </w:p>
    <w:p w:rsidR="004D63C4" w:rsidRPr="00A25BA8" w:rsidP="006176CF">
      <w:pPr>
        <w:rPr>
          <w:rFonts w:ascii="Arial" w:eastAsia="Arial" w:hAnsi="Arial" w:cs="Arial"/>
          <w:lang w:val="en-US"/>
        </w:rPr>
      </w:pPr>
    </w:p>
    <w:p w:rsidR="004D63C4" w:rsidRPr="006176CF" w:rsidP="006176CF">
      <w:pPr>
        <w:pStyle w:val="ListParagraph"/>
        <w:numPr>
          <w:ilvl w:val="0"/>
          <w:numId w:val="5"/>
        </w:numPr>
        <w:ind w:left="360"/>
        <w:rPr>
          <w:rFonts w:ascii="Arial" w:hAnsi="Arial" w:cs="Arial"/>
        </w:rPr>
      </w:pPr>
      <w:r w:rsidRPr="006176CF">
        <w:rPr>
          <w:rFonts w:ascii="Arial" w:hAnsi="Arial" w:cs="Arial"/>
        </w:rPr>
        <w:t>Our focus is on the law and on ensuring that the rights and entitlements of children and young people with special educational needs and/or a disability (SEND) are upheld.</w:t>
      </w:r>
    </w:p>
    <w:p w:rsidR="004D63C4" w:rsidP="006176CF">
      <w:pPr>
        <w:spacing w:line="240" w:lineRule="auto"/>
        <w:rPr>
          <w:rFonts w:ascii="Arial" w:hAnsi="Arial" w:cs="Arial"/>
          <w:lang w:val="en-US"/>
        </w:rPr>
      </w:pPr>
    </w:p>
    <w:p w:rsidR="004D63C4" w:rsidRPr="006176CF" w:rsidP="006176CF">
      <w:pPr>
        <w:pStyle w:val="ListParagraph"/>
        <w:numPr>
          <w:ilvl w:val="0"/>
          <w:numId w:val="5"/>
        </w:numPr>
        <w:spacing w:line="240" w:lineRule="auto"/>
        <w:ind w:left="360"/>
        <w:rPr>
          <w:rFonts w:ascii="Arial" w:hAnsi="Arial" w:cs="Arial"/>
          <w:lang w:val="en-US"/>
        </w:rPr>
      </w:pPr>
      <w:r w:rsidRPr="006176CF">
        <w:rPr>
          <w:rFonts w:ascii="Arial" w:hAnsi="Arial" w:cs="Arial"/>
          <w:lang w:val="en-US"/>
        </w:rPr>
        <w:t>We have noted the Committee’s terms of reference. This submission addresses the right to an effective education, the need to protect the human rights of all children who require social care support, the over-representation of children with care experience and with SEND in the criminal justice system, and the extent to which statutory duties are understood.</w:t>
      </w:r>
    </w:p>
    <w:p w:rsidR="004D63C4" w:rsidP="006176CF">
      <w:pPr>
        <w:spacing w:line="240" w:lineRule="auto"/>
        <w:rPr>
          <w:rFonts w:ascii="Arial" w:hAnsi="Arial" w:cs="Arial"/>
          <w:lang w:val="en-US"/>
        </w:rPr>
      </w:pPr>
    </w:p>
    <w:p w:rsidR="004D63C4" w:rsidRPr="006176CF" w:rsidP="006176CF">
      <w:pPr>
        <w:spacing w:line="240" w:lineRule="auto"/>
        <w:rPr>
          <w:rFonts w:ascii="Arial" w:hAnsi="Arial" w:cs="Arial"/>
          <w:b/>
          <w:bCs/>
          <w:lang w:val="en-US"/>
        </w:rPr>
      </w:pPr>
      <w:r w:rsidRPr="006176CF">
        <w:rPr>
          <w:rFonts w:ascii="Arial" w:hAnsi="Arial" w:cs="Arial"/>
          <w:b/>
          <w:bCs/>
          <w:lang w:val="en-US"/>
        </w:rPr>
        <w:t>The right to an effective education</w:t>
      </w:r>
    </w:p>
    <w:p w:rsidR="004D63C4" w:rsidP="006176CF">
      <w:pPr>
        <w:spacing w:line="240" w:lineRule="auto"/>
        <w:rPr>
          <w:rFonts w:ascii="Arial" w:hAnsi="Arial" w:cs="Arial"/>
          <w:lang w:val="en-US"/>
        </w:rPr>
      </w:pPr>
    </w:p>
    <w:p w:rsidR="004D63C4" w:rsidRPr="006176CF" w:rsidP="006176CF">
      <w:pPr>
        <w:pStyle w:val="ListParagraph"/>
        <w:numPr>
          <w:ilvl w:val="0"/>
          <w:numId w:val="5"/>
        </w:numPr>
        <w:spacing w:line="240" w:lineRule="auto"/>
        <w:ind w:left="360"/>
        <w:rPr>
          <w:rFonts w:ascii="Arial" w:hAnsi="Arial"/>
        </w:rPr>
      </w:pPr>
      <w:r w:rsidRPr="006176CF">
        <w:rPr>
          <w:rFonts w:ascii="Arial" w:hAnsi="Arial"/>
        </w:rPr>
        <w:t>The right to an effective education, as set out in Article 2, Protocol 1 of the European Convention on Human Rights (ECHR), is particularly important for children and young people with SEND. Human rights protections can be an important way to enforce children and young people’s legal right to special educational provision and support that meets their needs. Many children with SEND depend on social care support, and a disproportionate number are in the care of a local authority.</w:t>
      </w:r>
    </w:p>
    <w:p w:rsidR="004D63C4" w:rsidP="006176CF">
      <w:pPr>
        <w:spacing w:line="240" w:lineRule="auto"/>
        <w:rPr>
          <w:rFonts w:ascii="Arial" w:hAnsi="Arial"/>
        </w:rPr>
      </w:pPr>
    </w:p>
    <w:p w:rsidR="004D63C4" w:rsidRPr="006176CF" w:rsidP="006176CF">
      <w:pPr>
        <w:pStyle w:val="ListParagraph"/>
        <w:numPr>
          <w:ilvl w:val="0"/>
          <w:numId w:val="5"/>
        </w:numPr>
        <w:spacing w:line="240" w:lineRule="auto"/>
        <w:ind w:left="360"/>
        <w:rPr>
          <w:rFonts w:ascii="Arial" w:hAnsi="Arial" w:cs="Arial"/>
          <w:lang w:val="en-US"/>
        </w:rPr>
      </w:pPr>
      <w:r w:rsidRPr="006176CF">
        <w:rPr>
          <w:rFonts w:ascii="Arial" w:hAnsi="Arial" w:cs="Arial"/>
          <w:lang w:val="en-US"/>
        </w:rPr>
        <w:t>It is estimated that 70 per cent of looked after children have some form of special educational need. A 2021 report by Ofsted stated that children living in children’s homes are “20 times more likely to be in special education than all children nationally”. The same report includes the information that three-quarters of these children have an education, health and care (EHC) plan or receive SEN support at school.</w:t>
      </w:r>
      <w:r>
        <w:rPr>
          <w:rStyle w:val="FootnoteReference"/>
          <w:rFonts w:ascii="Arial" w:hAnsi="Arial" w:cs="Arial"/>
          <w:lang w:val="en-US"/>
        </w:rPr>
        <w:footnoteReference w:id="2"/>
      </w:r>
    </w:p>
    <w:p w:rsidR="004D63C4" w:rsidP="006176CF">
      <w:pPr>
        <w:spacing w:line="240" w:lineRule="auto"/>
        <w:rPr>
          <w:rFonts w:ascii="Arial" w:hAnsi="Arial"/>
        </w:rPr>
      </w:pPr>
    </w:p>
    <w:p w:rsidR="004D63C4" w:rsidRPr="006176CF" w:rsidP="006176CF">
      <w:pPr>
        <w:pStyle w:val="ListParagraph"/>
        <w:numPr>
          <w:ilvl w:val="0"/>
          <w:numId w:val="5"/>
        </w:numPr>
        <w:spacing w:line="240" w:lineRule="auto"/>
        <w:ind w:left="360"/>
        <w:rPr>
          <w:rFonts w:ascii="Arial" w:hAnsi="Arial" w:cs="Arial"/>
          <w:lang w:val="en-US"/>
        </w:rPr>
      </w:pPr>
      <w:r w:rsidRPr="006176CF">
        <w:rPr>
          <w:rFonts w:ascii="Arial" w:hAnsi="Arial" w:cs="Arial"/>
          <w:lang w:val="en-US"/>
        </w:rPr>
        <w:t xml:space="preserve">For children who are looked after, it is essential that local authorities consider their educational needs alongside their care needs from the outset. Addressing a child’s special educational needs plays a key role in avoiding a breakdown in their care placement and improving the outcomes they are able to achieve. </w:t>
      </w:r>
    </w:p>
    <w:p w:rsidR="004D63C4" w:rsidP="006176CF">
      <w:pPr>
        <w:spacing w:line="240" w:lineRule="auto"/>
        <w:rPr>
          <w:rFonts w:ascii="Arial" w:hAnsi="Arial" w:cs="Arial"/>
          <w:lang w:val="en-US"/>
        </w:rPr>
      </w:pPr>
    </w:p>
    <w:p w:rsidR="004D63C4" w:rsidRPr="006176CF" w:rsidP="006176CF">
      <w:pPr>
        <w:spacing w:line="240" w:lineRule="auto"/>
        <w:rPr>
          <w:rFonts w:ascii="Arial" w:hAnsi="Arial" w:cs="Arial"/>
          <w:b/>
          <w:bCs/>
          <w:lang w:val="en-US"/>
        </w:rPr>
      </w:pPr>
      <w:r w:rsidRPr="006176CF">
        <w:rPr>
          <w:rFonts w:ascii="Arial" w:hAnsi="Arial" w:cs="Arial"/>
          <w:b/>
          <w:bCs/>
          <w:lang w:val="en-US"/>
        </w:rPr>
        <w:t>Protecting the human rights of children who need social care support</w:t>
      </w:r>
    </w:p>
    <w:p w:rsidR="004D63C4" w:rsidP="006176CF">
      <w:pPr>
        <w:spacing w:line="240" w:lineRule="auto"/>
        <w:rPr>
          <w:rFonts w:ascii="Arial" w:hAnsi="Arial" w:cs="Arial"/>
          <w:lang w:val="en-US"/>
        </w:rPr>
      </w:pPr>
    </w:p>
    <w:p w:rsidR="004D63C4" w:rsidRPr="006176CF" w:rsidP="006176CF">
      <w:pPr>
        <w:pStyle w:val="ListParagraph"/>
        <w:numPr>
          <w:ilvl w:val="0"/>
          <w:numId w:val="5"/>
        </w:numPr>
        <w:spacing w:line="240" w:lineRule="auto"/>
        <w:ind w:left="360"/>
        <w:rPr>
          <w:rStyle w:val="eop"/>
          <w:rFonts w:ascii="Arial" w:hAnsi="Arial" w:cs="Arial"/>
        </w:rPr>
      </w:pPr>
      <w:r w:rsidRPr="006176CF">
        <w:rPr>
          <w:rFonts w:ascii="Arial" w:hAnsi="Arial" w:cs="Arial"/>
          <w:lang w:val="en-US"/>
        </w:rPr>
        <w:t xml:space="preserve">The social care system also exists to support disabled children who are not ‘looked after’, a fact that is often overlooked. </w:t>
      </w:r>
      <w:r w:rsidRPr="006176CF">
        <w:rPr>
          <w:rStyle w:val="normaltextrun"/>
          <w:rFonts w:ascii="Arial" w:hAnsi="Arial" w:cs="Arial"/>
          <w:shd w:val="clear" w:color="auto" w:fill="FFFFFF"/>
        </w:rPr>
        <w:t>Social care is integral to the wellbeing and safety of many children and young people with SEND who are not looked after within the care system (and will not need to be looked after, if their families are supported) or considered to be at risk.</w:t>
      </w:r>
    </w:p>
    <w:p w:rsidR="004D63C4" w:rsidP="006176CF">
      <w:pPr>
        <w:spacing w:line="240" w:lineRule="auto"/>
        <w:rPr>
          <w:rStyle w:val="eop"/>
          <w:rFonts w:ascii="Arial" w:hAnsi="Arial" w:cs="Arial"/>
        </w:rPr>
      </w:pPr>
    </w:p>
    <w:p w:rsidR="004D63C4" w:rsidRPr="006176CF" w:rsidP="006176CF">
      <w:pPr>
        <w:pStyle w:val="ListParagraph"/>
        <w:numPr>
          <w:ilvl w:val="0"/>
          <w:numId w:val="5"/>
        </w:numPr>
        <w:spacing w:line="240" w:lineRule="auto"/>
        <w:ind w:left="360"/>
        <w:rPr>
          <w:rStyle w:val="normaltextrun"/>
          <w:rFonts w:ascii="Arial" w:hAnsi="Arial" w:cs="Arial"/>
          <w:shd w:val="clear" w:color="auto" w:fill="FFFFFF"/>
        </w:rPr>
      </w:pPr>
      <w:r w:rsidRPr="006176CF">
        <w:rPr>
          <w:rStyle w:val="normaltextrun"/>
          <w:rFonts w:ascii="Arial" w:hAnsi="Arial" w:cs="Arial"/>
          <w:shd w:val="clear" w:color="auto" w:fill="FFFFFF"/>
        </w:rPr>
        <w:t>The purpose of children’s social care</w:t>
      </w:r>
      <w:r w:rsidRPr="006176CF">
        <w:rPr>
          <w:rStyle w:val="normaltextrun"/>
          <w:rFonts w:ascii="Arial" w:hAnsi="Arial" w:eastAsiaTheme="majorEastAsia" w:cs="Arial"/>
          <w:shd w:val="clear" w:color="auto" w:fill="FFFFFF"/>
        </w:rPr>
        <w:t>, as we see it,</w:t>
      </w:r>
      <w:r w:rsidRPr="006176CF">
        <w:rPr>
          <w:rStyle w:val="normaltextrun"/>
          <w:rFonts w:ascii="Arial" w:hAnsi="Arial" w:cs="Arial"/>
          <w:shd w:val="clear" w:color="auto" w:fill="FFFFFF"/>
        </w:rPr>
        <w:t xml:space="preserve"> is to enable all children in need to live in physical, mental and emotional safety, have opportunities to fulfil their potential as human beings, live the sort of ‘normal’ lives that the wider population takes for granted, participate in their communities and avoid social isolation. </w:t>
      </w:r>
    </w:p>
    <w:p w:rsidR="004D63C4" w:rsidP="006176CF">
      <w:pPr>
        <w:spacing w:line="240" w:lineRule="auto"/>
        <w:rPr>
          <w:rStyle w:val="normaltextrun"/>
          <w:rFonts w:ascii="Arial" w:hAnsi="Arial" w:cs="Arial"/>
          <w:shd w:val="clear" w:color="auto" w:fill="FFFFFF"/>
        </w:rPr>
      </w:pPr>
    </w:p>
    <w:p w:rsidR="004D63C4" w:rsidRPr="006176CF" w:rsidP="006176CF">
      <w:pPr>
        <w:pStyle w:val="ListParagraph"/>
        <w:numPr>
          <w:ilvl w:val="0"/>
          <w:numId w:val="5"/>
        </w:numPr>
        <w:spacing w:line="240" w:lineRule="auto"/>
        <w:ind w:left="360"/>
        <w:rPr>
          <w:rFonts w:ascii="Arial" w:hAnsi="Arial" w:cs="Arial"/>
          <w:lang w:val="en-US"/>
        </w:rPr>
      </w:pPr>
      <w:r w:rsidRPr="006176CF">
        <w:rPr>
          <w:rStyle w:val="normaltextrun"/>
          <w:rFonts w:ascii="Arial" w:hAnsi="Arial" w:cs="Arial"/>
          <w:shd w:val="clear" w:color="auto" w:fill="FFFFFF"/>
        </w:rPr>
        <w:t xml:space="preserve">The definition of ‘children in need’ is an important one in this context. Section 17 of the Children Act 1989 makes clear that a disabled child </w:t>
      </w:r>
      <w:r w:rsidRPr="006176CF">
        <w:rPr>
          <w:rFonts w:ascii="Arial" w:hAnsi="Arial" w:cs="Arial"/>
          <w:lang w:val="en-US"/>
        </w:rPr>
        <w:t>is a child in need, and as such is entitled to social care support.</w:t>
      </w:r>
      <w:r>
        <w:rPr>
          <w:rStyle w:val="FootnoteReference"/>
          <w:rFonts w:ascii="Arial" w:hAnsi="Arial" w:cs="Arial"/>
          <w:lang w:val="en-US"/>
        </w:rPr>
        <w:footnoteReference w:id="3"/>
      </w:r>
      <w:r w:rsidRPr="006176CF">
        <w:rPr>
          <w:rFonts w:ascii="Arial" w:hAnsi="Arial" w:cs="Arial"/>
          <w:lang w:val="en-US"/>
        </w:rPr>
        <w:t xml:space="preserve"> However,</w:t>
      </w:r>
      <w:r w:rsidRPr="006176CF">
        <w:rPr>
          <w:rStyle w:val="normaltextrun"/>
          <w:rFonts w:ascii="Arial" w:hAnsi="Arial" w:cs="Arial"/>
          <w:shd w:val="clear" w:color="auto" w:fill="FFFFFF"/>
        </w:rPr>
        <w:t xml:space="preserve"> local authorities routinely fail in their legal duties to assess and support disabled children.</w:t>
      </w:r>
      <w:r w:rsidRPr="006176CF">
        <w:rPr>
          <w:rFonts w:ascii="Arial" w:hAnsi="Arial" w:cs="Arial"/>
          <w:lang w:val="en-US"/>
        </w:rPr>
        <w:t xml:space="preserve"> This failure risks violating the right to a family life, as set out in Article 8 of the ECHR. </w:t>
      </w:r>
    </w:p>
    <w:p w:rsidR="004D63C4" w:rsidP="006176CF">
      <w:pPr>
        <w:spacing w:line="240" w:lineRule="auto"/>
        <w:rPr>
          <w:rFonts w:ascii="Arial" w:hAnsi="Arial" w:cs="Arial"/>
          <w:lang w:val="en-US"/>
        </w:rPr>
      </w:pPr>
    </w:p>
    <w:p w:rsidR="004D63C4" w:rsidRPr="006176CF" w:rsidP="006176CF">
      <w:pPr>
        <w:pStyle w:val="ListParagraph"/>
        <w:numPr>
          <w:ilvl w:val="0"/>
          <w:numId w:val="5"/>
        </w:numPr>
        <w:spacing w:line="240" w:lineRule="auto"/>
        <w:ind w:left="360"/>
        <w:rPr>
          <w:rStyle w:val="eop"/>
          <w:rFonts w:ascii="Arial" w:hAnsi="Arial" w:cs="Arial"/>
        </w:rPr>
      </w:pPr>
      <w:r w:rsidRPr="006176CF">
        <w:rPr>
          <w:rFonts w:ascii="Arial" w:hAnsi="Arial" w:cs="Arial"/>
          <w:lang w:val="en-US"/>
        </w:rPr>
        <w:t xml:space="preserve">The right to a family life – and respect for private and family life – is further undermined by a widespread culture of parental blame in the social care system, in which families of disabled children routinely encounter a culture of suspicion when they are seeking support. We say this because the current social care system is set up primarily for child protection, not support. </w:t>
      </w:r>
      <w:r w:rsidRPr="006176CF">
        <w:rPr>
          <w:rStyle w:val="normaltextrun"/>
          <w:rFonts w:ascii="Arial" w:hAnsi="Arial" w:cs="Arial"/>
        </w:rPr>
        <w:t>Parents tell us they fear their child will be perceived by social workers as being ‘at risk’, when the family is struggling to cope with their disabled child’s needs and requires support to enable them to function in the same way as ‘typical’ families.</w:t>
      </w:r>
      <w:r w:rsidRPr="006176CF">
        <w:rPr>
          <w:rStyle w:val="eop"/>
          <w:rFonts w:ascii="Arial" w:hAnsi="Arial" w:cs="Arial"/>
        </w:rPr>
        <w:t> </w:t>
      </w:r>
    </w:p>
    <w:p w:rsidR="004D63C4" w:rsidP="006176CF">
      <w:pPr>
        <w:spacing w:line="240" w:lineRule="auto"/>
        <w:rPr>
          <w:rStyle w:val="eop"/>
          <w:rFonts w:ascii="Arial" w:hAnsi="Arial" w:cs="Arial"/>
        </w:rPr>
      </w:pPr>
    </w:p>
    <w:p w:rsidR="004D63C4" w:rsidRPr="00633E6E" w:rsidP="006176CF">
      <w:pPr>
        <w:pStyle w:val="paragraph"/>
        <w:numPr>
          <w:ilvl w:val="0"/>
          <w:numId w:val="5"/>
        </w:numPr>
        <w:spacing w:before="0" w:beforeAutospacing="0" w:after="0" w:afterAutospacing="0"/>
        <w:ind w:left="360"/>
        <w:textAlignment w:val="baseline"/>
        <w:rPr>
          <w:rFonts w:ascii="Arial" w:hAnsi="Arial" w:eastAsiaTheme="majorEastAsia" w:cs="Arial"/>
          <w:color w:val="000000"/>
          <w:sz w:val="22"/>
          <w:szCs w:val="22"/>
        </w:rPr>
      </w:pPr>
      <w:r w:rsidRPr="1072C086">
        <w:rPr>
          <w:rStyle w:val="normaltextrun"/>
          <w:rFonts w:ascii="Arial" w:hAnsi="Arial" w:eastAsiaTheme="majorEastAsia" w:cs="Arial"/>
          <w:sz w:val="22"/>
          <w:szCs w:val="22"/>
        </w:rPr>
        <w:t>The fear of parent blame, including accusations of fabricated or induced illness (FII) is real and well-founded. A report by the charity Cerebra in 2021 found that 86% of parents who participated in their research considered the assessment process to be extremely unsatisfactory and intrusive. Parents highlighted </w:t>
      </w:r>
      <w:r w:rsidRPr="1072C086">
        <w:rPr>
          <w:rStyle w:val="normaltextrun"/>
          <w:rFonts w:ascii="Arial" w:hAnsi="Arial" w:eastAsiaTheme="majorEastAsia" w:cs="Arial"/>
          <w:color w:val="000000"/>
          <w:sz w:val="22"/>
          <w:szCs w:val="22"/>
        </w:rPr>
        <w:t>the intimidating and intrusive nature of the social care assessment process, which focuses on safeguarding/child protection and parental ‘fitness’, rather than addressing the additional support needs that results from a child’s disability.</w:t>
      </w:r>
      <w:r>
        <w:rPr>
          <w:rStyle w:val="FootnoteReference"/>
          <w:rFonts w:ascii="Arial" w:hAnsi="Arial" w:eastAsiaTheme="majorEastAsia" w:cs="Arial"/>
          <w:color w:val="000000"/>
          <w:sz w:val="22"/>
          <w:szCs w:val="22"/>
        </w:rPr>
        <w:footnoteReference w:id="4"/>
      </w:r>
      <w:r w:rsidRPr="1072C086">
        <w:rPr>
          <w:rStyle w:val="normaltextrun"/>
          <w:rFonts w:ascii="Arial" w:hAnsi="Arial" w:eastAsiaTheme="majorEastAsia" w:cs="Arial"/>
          <w:color w:val="000000"/>
          <w:sz w:val="22"/>
          <w:szCs w:val="22"/>
        </w:rPr>
        <w:t xml:space="preserve"> </w:t>
      </w:r>
    </w:p>
    <w:p w:rsidR="004D63C4" w:rsidP="006176CF">
      <w:pPr>
        <w:spacing w:line="240" w:lineRule="auto"/>
        <w:rPr>
          <w:rFonts w:ascii="Arial" w:hAnsi="Arial" w:cs="Arial"/>
          <w:lang w:val="en-US"/>
        </w:rPr>
      </w:pPr>
    </w:p>
    <w:p w:rsidR="004D63C4" w:rsidRPr="006176CF" w:rsidP="006176CF">
      <w:pPr>
        <w:spacing w:line="240" w:lineRule="auto"/>
        <w:rPr>
          <w:rFonts w:ascii="Arial" w:hAnsi="Arial" w:cs="Arial"/>
          <w:b/>
          <w:bCs/>
          <w:lang w:val="en-US"/>
        </w:rPr>
      </w:pPr>
      <w:r w:rsidRPr="006176CF">
        <w:rPr>
          <w:rFonts w:ascii="Arial" w:hAnsi="Arial" w:cs="Arial"/>
          <w:b/>
          <w:bCs/>
          <w:lang w:val="en-US"/>
        </w:rPr>
        <w:t>Over-representation of children with care experience and with SEND in the criminal justice system</w:t>
      </w:r>
    </w:p>
    <w:p w:rsidR="004D63C4" w:rsidP="006176CF">
      <w:pPr>
        <w:spacing w:line="240" w:lineRule="auto"/>
        <w:rPr>
          <w:rFonts w:ascii="Arial" w:hAnsi="Arial" w:cs="Arial"/>
          <w:lang w:val="en-US"/>
        </w:rPr>
      </w:pPr>
    </w:p>
    <w:p w:rsidR="004D63C4" w:rsidRPr="006176CF" w:rsidP="006176CF">
      <w:pPr>
        <w:pStyle w:val="ListParagraph"/>
        <w:numPr>
          <w:ilvl w:val="0"/>
          <w:numId w:val="5"/>
        </w:numPr>
        <w:spacing w:line="240" w:lineRule="auto"/>
        <w:ind w:left="360"/>
        <w:rPr>
          <w:rFonts w:ascii="Arial" w:hAnsi="Arial" w:cs="Arial"/>
        </w:rPr>
      </w:pPr>
      <w:r w:rsidRPr="006176CF">
        <w:rPr>
          <w:rFonts w:ascii="Arial" w:hAnsi="Arial" w:cs="Arial"/>
        </w:rPr>
        <w:t>Both children with care experience and children with SEND are disproportionately represented in the youth justice system. This is spelt out clearly in reports published this year by the Michael Sieff Foundation</w:t>
      </w:r>
      <w:r>
        <w:rPr>
          <w:rStyle w:val="FootnoteReference"/>
          <w:rFonts w:ascii="Arial" w:hAnsi="Arial" w:cs="Arial"/>
        </w:rPr>
        <w:footnoteReference w:id="5"/>
      </w:r>
      <w:r w:rsidRPr="006176CF">
        <w:rPr>
          <w:rFonts w:ascii="Arial" w:hAnsi="Arial" w:cs="Arial"/>
        </w:rPr>
        <w:t xml:space="preserve"> and the Children’s Commissioner for England.</w:t>
      </w:r>
      <w:r>
        <w:rPr>
          <w:rStyle w:val="FootnoteReference"/>
          <w:rFonts w:ascii="Arial" w:hAnsi="Arial" w:cs="Arial"/>
        </w:rPr>
        <w:footnoteReference w:id="6"/>
      </w:r>
      <w:r w:rsidRPr="006176CF">
        <w:rPr>
          <w:rFonts w:ascii="Arial" w:hAnsi="Arial" w:cs="Arial"/>
        </w:rPr>
        <w:t> </w:t>
      </w:r>
    </w:p>
    <w:p w:rsidR="004D63C4" w:rsidP="006176CF">
      <w:pPr>
        <w:spacing w:line="240" w:lineRule="auto"/>
        <w:rPr>
          <w:rFonts w:ascii="Arial" w:hAnsi="Arial" w:cs="Arial"/>
        </w:rPr>
      </w:pPr>
    </w:p>
    <w:p w:rsidR="004D63C4" w:rsidRPr="006176CF" w:rsidP="006176CF">
      <w:pPr>
        <w:pStyle w:val="ListParagraph"/>
        <w:numPr>
          <w:ilvl w:val="0"/>
          <w:numId w:val="5"/>
        </w:numPr>
        <w:spacing w:line="240" w:lineRule="auto"/>
        <w:ind w:left="360"/>
        <w:rPr>
          <w:rFonts w:ascii="Arial" w:hAnsi="Arial" w:cs="Arial"/>
        </w:rPr>
      </w:pPr>
      <w:r w:rsidRPr="006176CF">
        <w:rPr>
          <w:rFonts w:ascii="Arial" w:hAnsi="Arial" w:cs="Arial"/>
        </w:rPr>
        <w:t>The Children’s Commissioner found that children in custody are five times more likely to have an Education, Health and Care (EHC) plan compared to pupils in state-funded education. In total, 40% of children in custody are known to have SEND – yet many of their needs are unidentified, unsupported, or unmet.</w:t>
      </w:r>
      <w:r>
        <w:rPr>
          <w:rStyle w:val="FootnoteReference"/>
          <w:rFonts w:ascii="Arial" w:hAnsi="Arial" w:cs="Arial"/>
        </w:rPr>
        <w:footnoteReference w:id="7"/>
      </w:r>
      <w:r w:rsidRPr="006176CF">
        <w:rPr>
          <w:rFonts w:ascii="Arial" w:hAnsi="Arial" w:cs="Arial"/>
        </w:rPr>
        <w:t> </w:t>
      </w:r>
    </w:p>
    <w:p w:rsidR="004D63C4" w:rsidP="006176CF">
      <w:pPr>
        <w:spacing w:line="240" w:lineRule="auto"/>
        <w:rPr>
          <w:rFonts w:ascii="Arial" w:hAnsi="Arial" w:cs="Arial"/>
        </w:rPr>
      </w:pPr>
    </w:p>
    <w:p w:rsidR="004D63C4" w:rsidRPr="006176CF" w:rsidP="006176CF">
      <w:pPr>
        <w:pStyle w:val="ListParagraph"/>
        <w:numPr>
          <w:ilvl w:val="0"/>
          <w:numId w:val="5"/>
        </w:numPr>
        <w:spacing w:line="240" w:lineRule="auto"/>
        <w:ind w:left="360"/>
        <w:rPr>
          <w:rFonts w:ascii="Arial" w:hAnsi="Arial" w:cs="Arial"/>
          <w:lang w:val="en-US"/>
        </w:rPr>
      </w:pPr>
      <w:r w:rsidRPr="006176CF">
        <w:rPr>
          <w:rFonts w:ascii="Arial" w:hAnsi="Arial" w:cs="Arial"/>
        </w:rPr>
        <w:t>The legal protections and frameworks around education in custody need to be strengthened. The stark disparity between the legal entitlements of children with SEND in penal detention and those in the community – coupled with the fact that even the rights they do have are too often not realised – makes this urgent and necessary.</w:t>
      </w:r>
    </w:p>
    <w:p w:rsidR="004D63C4" w:rsidP="006176CF">
      <w:pPr>
        <w:spacing w:line="240" w:lineRule="auto"/>
        <w:rPr>
          <w:rFonts w:ascii="Arial" w:hAnsi="Arial" w:cs="Arial"/>
          <w:lang w:val="en-US"/>
        </w:rPr>
      </w:pPr>
    </w:p>
    <w:p w:rsidR="004D63C4" w:rsidRPr="006176CF" w:rsidP="006176CF">
      <w:pPr>
        <w:spacing w:line="240" w:lineRule="auto"/>
        <w:rPr>
          <w:rFonts w:ascii="Arial" w:hAnsi="Arial" w:cs="Arial"/>
          <w:b/>
          <w:bCs/>
          <w:lang w:val="en-US"/>
        </w:rPr>
      </w:pPr>
      <w:r w:rsidRPr="006176CF">
        <w:rPr>
          <w:rFonts w:ascii="Arial" w:hAnsi="Arial" w:cs="Arial"/>
          <w:b/>
          <w:bCs/>
          <w:lang w:val="en-US"/>
        </w:rPr>
        <w:t>Understanding of statutory duties</w:t>
      </w:r>
    </w:p>
    <w:p w:rsidR="004D63C4" w:rsidP="006176CF">
      <w:pPr>
        <w:spacing w:line="240" w:lineRule="auto"/>
        <w:rPr>
          <w:rFonts w:ascii="Arial" w:hAnsi="Arial" w:cs="Arial"/>
          <w:b/>
          <w:bCs/>
          <w:lang w:val="en-US"/>
        </w:rPr>
      </w:pPr>
    </w:p>
    <w:p w:rsidR="004D63C4" w:rsidRPr="006176CF" w:rsidP="006176CF">
      <w:pPr>
        <w:pStyle w:val="ListParagraph"/>
        <w:numPr>
          <w:ilvl w:val="0"/>
          <w:numId w:val="5"/>
        </w:numPr>
        <w:spacing w:line="240" w:lineRule="auto"/>
        <w:ind w:left="360"/>
        <w:rPr>
          <w:rFonts w:ascii="Arial" w:hAnsi="Arial" w:cs="Arial"/>
          <w:lang w:val="en-US"/>
        </w:rPr>
      </w:pPr>
      <w:r w:rsidRPr="006176CF">
        <w:rPr>
          <w:rFonts w:ascii="Arial" w:hAnsi="Arial" w:cs="Arial"/>
          <w:lang w:val="en-US"/>
        </w:rPr>
        <w:t>The failure of public bodies to understand, or act on, their statutory duties is one of the most persistent obstacles to children with SEND receiving th</w:t>
      </w:r>
      <w:r>
        <w:rPr>
          <w:rStyle w:val="FootnoteReference"/>
          <w:rFonts w:ascii="Arial" w:hAnsi="Arial" w:cs="Arial"/>
          <w:lang w:val="en-US"/>
        </w:rPr>
        <w:footnoteReference w:id="8"/>
      </w:r>
      <w:r w:rsidRPr="006176CF">
        <w:rPr>
          <w:rFonts w:ascii="Arial" w:hAnsi="Arial" w:cs="Arial"/>
          <w:lang w:val="en-US"/>
        </w:rPr>
        <w:t>e education, care and support they need – and to which the law entitles them.</w:t>
      </w:r>
    </w:p>
    <w:p w:rsidR="004D63C4" w:rsidP="006176CF">
      <w:pPr>
        <w:pStyle w:val="paragraph"/>
        <w:spacing w:before="0" w:beforeAutospacing="0" w:after="0" w:afterAutospacing="0"/>
        <w:textAlignment w:val="baseline"/>
        <w:rPr>
          <w:rStyle w:val="normaltextrun"/>
          <w:rFonts w:ascii="Arial" w:hAnsi="Arial" w:eastAsiaTheme="majorEastAsia" w:cs="Arial"/>
          <w:sz w:val="22"/>
          <w:szCs w:val="22"/>
        </w:rPr>
      </w:pPr>
    </w:p>
    <w:p w:rsidR="004D63C4" w:rsidP="006176CF">
      <w:pPr>
        <w:pStyle w:val="paragraph"/>
        <w:numPr>
          <w:ilvl w:val="0"/>
          <w:numId w:val="5"/>
        </w:numPr>
        <w:spacing w:before="0" w:beforeAutospacing="0" w:after="0" w:afterAutospacing="0"/>
        <w:ind w:left="360"/>
        <w:textAlignment w:val="baseline"/>
        <w:rPr>
          <w:rStyle w:val="eop"/>
          <w:rFonts w:ascii="Arial" w:hAnsi="Arial" w:eastAsiaTheme="majorEastAsia" w:cs="Arial"/>
          <w:sz w:val="22"/>
          <w:szCs w:val="22"/>
        </w:rPr>
      </w:pPr>
      <w:r w:rsidRPr="001259BF">
        <w:rPr>
          <w:rStyle w:val="normaltextrun"/>
          <w:rFonts w:ascii="Arial" w:hAnsi="Arial" w:eastAsiaTheme="majorEastAsia" w:cs="Arial"/>
          <w:sz w:val="22"/>
          <w:szCs w:val="22"/>
        </w:rPr>
        <w:t xml:space="preserve">Parents of disabled children routinely face a battle to get a child in need assessment for their child under </w:t>
      </w:r>
      <w:r>
        <w:rPr>
          <w:rStyle w:val="normaltextrun"/>
          <w:rFonts w:ascii="Arial" w:hAnsi="Arial" w:eastAsiaTheme="majorEastAsia" w:cs="Arial"/>
          <w:sz w:val="22"/>
          <w:szCs w:val="22"/>
        </w:rPr>
        <w:t>S</w:t>
      </w:r>
      <w:r w:rsidRPr="001259BF">
        <w:rPr>
          <w:rStyle w:val="normaltextrun"/>
          <w:rFonts w:ascii="Arial" w:hAnsi="Arial" w:eastAsiaTheme="majorEastAsia" w:cs="Arial"/>
          <w:sz w:val="22"/>
          <w:szCs w:val="22"/>
        </w:rPr>
        <w:t xml:space="preserve">ection 17 of the Children Act 1989. We hear of children being denied assessments and support because they are deemed to be </w:t>
      </w:r>
      <w:r>
        <w:rPr>
          <w:rStyle w:val="normaltextrun"/>
          <w:rFonts w:ascii="Arial" w:hAnsi="Arial" w:eastAsiaTheme="majorEastAsia" w:cs="Arial"/>
          <w:sz w:val="22"/>
          <w:szCs w:val="22"/>
        </w:rPr>
        <w:t>“</w:t>
      </w:r>
      <w:r w:rsidRPr="001259BF">
        <w:rPr>
          <w:rStyle w:val="normaltextrun"/>
          <w:rFonts w:ascii="Arial" w:hAnsi="Arial" w:eastAsiaTheme="majorEastAsia" w:cs="Arial"/>
          <w:sz w:val="22"/>
          <w:szCs w:val="22"/>
        </w:rPr>
        <w:t>not disabled enough</w:t>
      </w:r>
      <w:r>
        <w:rPr>
          <w:rStyle w:val="normaltextrun"/>
          <w:rFonts w:ascii="Arial" w:hAnsi="Arial" w:eastAsiaTheme="majorEastAsia" w:cs="Arial"/>
          <w:sz w:val="22"/>
          <w:szCs w:val="22"/>
        </w:rPr>
        <w:t>”</w:t>
      </w:r>
      <w:r w:rsidRPr="001259BF">
        <w:rPr>
          <w:rStyle w:val="normaltextrun"/>
          <w:rFonts w:ascii="Arial" w:hAnsi="Arial" w:eastAsiaTheme="majorEastAsia" w:cs="Arial"/>
          <w:sz w:val="22"/>
          <w:szCs w:val="22"/>
        </w:rPr>
        <w:t>.</w:t>
      </w:r>
      <w:r w:rsidRPr="001259BF">
        <w:rPr>
          <w:rStyle w:val="eop"/>
          <w:rFonts w:ascii="Arial" w:hAnsi="Arial" w:eastAsiaTheme="majorEastAsia" w:cs="Arial"/>
          <w:sz w:val="22"/>
          <w:szCs w:val="22"/>
        </w:rPr>
        <w:t> </w:t>
      </w:r>
    </w:p>
    <w:p w:rsidR="004D63C4" w:rsidP="006176CF">
      <w:pPr>
        <w:pStyle w:val="paragraph"/>
        <w:spacing w:before="0" w:beforeAutospacing="0" w:after="0" w:afterAutospacing="0"/>
        <w:textAlignment w:val="baseline"/>
        <w:rPr>
          <w:rStyle w:val="eop"/>
          <w:rFonts w:ascii="Arial" w:hAnsi="Arial" w:eastAsiaTheme="majorEastAsia" w:cs="Arial"/>
          <w:sz w:val="22"/>
          <w:szCs w:val="22"/>
        </w:rPr>
      </w:pPr>
    </w:p>
    <w:p w:rsidR="004D63C4" w:rsidP="006176CF">
      <w:pPr>
        <w:pStyle w:val="paragraph"/>
        <w:numPr>
          <w:ilvl w:val="0"/>
          <w:numId w:val="5"/>
        </w:numPr>
        <w:spacing w:before="0" w:beforeAutospacing="0" w:after="0" w:afterAutospacing="0"/>
        <w:ind w:left="360"/>
        <w:textAlignment w:val="baseline"/>
        <w:rPr>
          <w:rStyle w:val="eop"/>
          <w:rFonts w:ascii="Arial" w:hAnsi="Arial" w:eastAsiaTheme="majorEastAsia" w:cs="Arial"/>
          <w:sz w:val="22"/>
          <w:szCs w:val="22"/>
        </w:rPr>
      </w:pPr>
      <w:r w:rsidRPr="001259BF">
        <w:rPr>
          <w:rStyle w:val="normaltextrun"/>
          <w:rFonts w:ascii="Arial" w:hAnsi="Arial" w:eastAsiaTheme="majorEastAsia" w:cs="Arial"/>
          <w:sz w:val="22"/>
          <w:szCs w:val="22"/>
        </w:rPr>
        <w:t xml:space="preserve">Parents of disabled children fear being overly persistent, in case their parenting is questioned or their child removed from their care. Families often do not know what social care services are available, or what their disabled child is entitled to. We frequently hear through our advice </w:t>
      </w:r>
      <w:r>
        <w:rPr>
          <w:rStyle w:val="normaltextrun"/>
          <w:rFonts w:ascii="Arial" w:hAnsi="Arial" w:eastAsiaTheme="majorEastAsia" w:cs="Arial"/>
          <w:sz w:val="22"/>
          <w:szCs w:val="22"/>
        </w:rPr>
        <w:t>service</w:t>
      </w:r>
      <w:r w:rsidRPr="001259BF">
        <w:rPr>
          <w:rStyle w:val="normaltextrun"/>
          <w:rFonts w:ascii="Arial" w:hAnsi="Arial" w:eastAsiaTheme="majorEastAsia" w:cs="Arial"/>
          <w:sz w:val="22"/>
          <w:szCs w:val="22"/>
        </w:rPr>
        <w:t xml:space="preserve"> of cases where families are misinformed by local authorities that are not following the law and are maintaining unlawful local policies.</w:t>
      </w:r>
      <w:r w:rsidRPr="001259BF">
        <w:rPr>
          <w:rStyle w:val="eop"/>
          <w:rFonts w:ascii="Arial" w:hAnsi="Arial" w:eastAsiaTheme="majorEastAsia" w:cs="Arial"/>
          <w:sz w:val="22"/>
          <w:szCs w:val="22"/>
        </w:rPr>
        <w:t> </w:t>
      </w:r>
    </w:p>
    <w:p w:rsidR="00836A3C" w:rsidP="00836A3C">
      <w:pPr>
        <w:pStyle w:val="ListParagraph"/>
        <w:rPr>
          <w:rStyle w:val="eop"/>
          <w:rFonts w:ascii="Arial" w:hAnsi="Arial" w:eastAsiaTheme="majorEastAsia" w:cs="Arial"/>
        </w:rPr>
      </w:pPr>
    </w:p>
    <w:p w:rsidR="00836A3C" w:rsidP="00836A3C">
      <w:pPr>
        <w:pStyle w:val="paragraph"/>
        <w:spacing w:before="0" w:beforeAutospacing="0" w:after="0" w:afterAutospacing="0"/>
        <w:textAlignment w:val="baseline"/>
        <w:rPr>
          <w:rStyle w:val="eop"/>
          <w:rFonts w:ascii="Arial" w:hAnsi="Arial" w:eastAsiaTheme="majorEastAsia" w:cs="Arial"/>
          <w:sz w:val="22"/>
          <w:szCs w:val="22"/>
        </w:rPr>
      </w:pPr>
    </w:p>
    <w:p w:rsidR="00836A3C" w:rsidRPr="00836A3C" w:rsidP="00836A3C">
      <w:pPr>
        <w:spacing w:line="240" w:lineRule="auto"/>
        <w:rPr>
          <w:rFonts w:ascii="Arial" w:hAnsi="Arial" w:cs="Arial"/>
          <w:b/>
          <w:bCs/>
          <w:i/>
          <w:iCs/>
          <w:lang w:val="en-US"/>
        </w:rPr>
      </w:pPr>
      <w:r>
        <w:rPr>
          <w:rFonts w:ascii="Arial" w:hAnsi="Arial" w:cs="Arial"/>
          <w:b/>
          <w:bCs/>
          <w:i/>
          <w:iCs/>
          <w:lang w:val="en-US"/>
        </w:rPr>
        <w:t>(</w:t>
      </w:r>
      <w:r w:rsidRPr="00836A3C">
        <w:rPr>
          <w:rFonts w:ascii="Arial" w:hAnsi="Arial" w:cs="Arial"/>
          <w:b/>
          <w:bCs/>
          <w:i/>
          <w:iCs/>
          <w:lang w:val="en-US"/>
        </w:rPr>
        <w:t>Aug 2025</w:t>
      </w:r>
      <w:r>
        <w:rPr>
          <w:rFonts w:ascii="Arial" w:hAnsi="Arial" w:cs="Arial"/>
          <w:b/>
          <w:bCs/>
          <w:i/>
          <w:iCs/>
          <w:lang w:val="en-US"/>
        </w:rPr>
        <w:t>)</w:t>
      </w:r>
    </w:p>
    <w:p w:rsidR="00836A3C" w:rsidRPr="001259BF" w:rsidP="00836A3C">
      <w:pPr>
        <w:pStyle w:val="paragraph"/>
        <w:spacing w:before="0" w:beforeAutospacing="0" w:after="0" w:afterAutospacing="0"/>
        <w:textAlignment w:val="baseline"/>
        <w:rPr>
          <w:rStyle w:val="eop"/>
          <w:rFonts w:ascii="Arial" w:hAnsi="Arial" w:eastAsiaTheme="majorEastAsia" w:cs="Arial"/>
          <w:sz w:val="22"/>
          <w:szCs w:val="22"/>
        </w:rPr>
      </w:pPr>
    </w:p>
    <w:p w:rsidR="004D63C4" w:rsidRPr="00AC731D" w:rsidP="002609AE">
      <w:pPr>
        <w:spacing w:line="240" w:lineRule="auto"/>
        <w:rPr>
          <w:rFonts w:ascii="Arial" w:hAnsi="Arial" w:cs="Arial"/>
          <w:b/>
          <w:bCs/>
          <w:lang w:val="en-US"/>
        </w:rPr>
      </w:pPr>
    </w:p>
    <w:p w:rsidR="004D63C4" w:rsidP="00595EEE">
      <w:pPr>
        <w:spacing w:line="240" w:lineRule="auto"/>
        <w:rPr>
          <w:rFonts w:ascii="Arial" w:hAnsi="Arial" w:cs="Arial"/>
          <w:lang w:val="en-US"/>
        </w:rPr>
      </w:pPr>
    </w:p>
    <w:p w:rsidR="004D63C4" w:rsidP="00595EEE">
      <w:pPr>
        <w:spacing w:line="240" w:lineRule="auto"/>
        <w:rPr>
          <w:rFonts w:ascii="Arial" w:hAnsi="Arial" w:cs="Arial"/>
          <w:lang w:val="en-US"/>
        </w:rPr>
      </w:pPr>
    </w:p>
    <w:p w:rsidR="004D63C4" w:rsidRPr="000642C5" w:rsidP="00595EEE">
      <w:pPr>
        <w:spacing w:line="240" w:lineRule="auto"/>
        <w:rPr>
          <w:rFonts w:ascii="Arial" w:hAnsi="Arial" w:cs="Arial"/>
          <w:b/>
          <w:bCs/>
          <w:lang w:val="en-US"/>
        </w:rPr>
      </w:pPr>
    </w:p>
    <w:p w:rsidR="004D63C4"/>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C358E" w:rsidP="00672DEB">
      <w:pPr>
        <w:spacing w:line="240" w:lineRule="auto"/>
      </w:pPr>
      <w:r>
        <w:separator/>
      </w:r>
    </w:p>
  </w:footnote>
  <w:footnote w:type="continuationSeparator" w:id="1">
    <w:p w:rsidR="00FC358E" w:rsidP="00672DEB">
      <w:pPr>
        <w:spacing w:line="240" w:lineRule="auto"/>
      </w:pPr>
      <w:r>
        <w:continuationSeparator/>
      </w:r>
    </w:p>
  </w:footnote>
  <w:footnote w:id="2">
    <w:p w:rsidR="004D63C4" w:rsidRPr="008F47AA" w:rsidP="006176CF">
      <w:pPr>
        <w:pStyle w:val="FootnoteText"/>
        <w:rPr>
          <w:rFonts w:ascii="Arial" w:hAnsi="Arial" w:cs="Arial"/>
          <w:sz w:val="18"/>
          <w:szCs w:val="18"/>
          <w:lang w:val="en-US"/>
        </w:rPr>
      </w:pPr>
      <w:r w:rsidRPr="008F47AA">
        <w:rPr>
          <w:rStyle w:val="FootnoteReference"/>
          <w:rFonts w:ascii="Arial" w:hAnsi="Arial" w:cs="Arial"/>
          <w:sz w:val="18"/>
          <w:szCs w:val="18"/>
        </w:rPr>
        <w:footnoteRef/>
      </w:r>
      <w:r w:rsidRPr="008F47AA">
        <w:rPr>
          <w:rFonts w:ascii="Arial" w:hAnsi="Arial" w:cs="Arial"/>
          <w:sz w:val="18"/>
          <w:szCs w:val="18"/>
        </w:rPr>
        <w:t xml:space="preserve"> </w:t>
      </w:r>
      <w:r w:rsidRPr="008F47AA">
        <w:rPr>
          <w:rFonts w:ascii="Arial" w:hAnsi="Arial" w:cs="Arial"/>
          <w:sz w:val="18"/>
          <w:szCs w:val="18"/>
          <w:lang w:val="en-US"/>
        </w:rPr>
        <w:t xml:space="preserve">Ofsted (2021), </w:t>
      </w:r>
      <w:r>
        <w:rPr>
          <w:rFonts w:ascii="Arial" w:hAnsi="Arial" w:cs="Arial"/>
          <w:sz w:val="18"/>
          <w:szCs w:val="18"/>
          <w:lang w:val="en-US"/>
        </w:rPr>
        <w:t>T</w:t>
      </w:r>
      <w:r w:rsidRPr="008F47AA">
        <w:rPr>
          <w:rFonts w:ascii="Arial" w:hAnsi="Arial" w:cs="Arial"/>
          <w:sz w:val="18"/>
          <w:szCs w:val="18"/>
          <w:lang w:val="en-US"/>
        </w:rPr>
        <w:t>he education of children living in children’s homes.</w:t>
      </w:r>
    </w:p>
  </w:footnote>
  <w:footnote w:id="3">
    <w:p w:rsidR="004D63C4" w:rsidRPr="007D2D47" w:rsidP="006176CF">
      <w:pPr>
        <w:pStyle w:val="FootnoteText"/>
        <w:shd w:val="clear" w:color="auto" w:fill="FFFFFF" w:themeFill="background1"/>
        <w:rPr>
          <w:rFonts w:ascii="Arial" w:eastAsia="Arial" w:hAnsi="Arial" w:cs="Arial"/>
          <w:sz w:val="18"/>
          <w:szCs w:val="18"/>
        </w:rPr>
      </w:pPr>
      <w:r w:rsidRPr="007D2D47">
        <w:rPr>
          <w:rStyle w:val="FootnoteReference"/>
          <w:rFonts w:ascii="Arial" w:eastAsia="Arial" w:hAnsi="Arial" w:cs="Arial"/>
          <w:sz w:val="18"/>
          <w:szCs w:val="18"/>
        </w:rPr>
        <w:footnoteRef/>
      </w:r>
      <w:r w:rsidRPr="007D2D47">
        <w:rPr>
          <w:rFonts w:ascii="Arial" w:eastAsia="Arial" w:hAnsi="Arial" w:cs="Arial"/>
          <w:sz w:val="18"/>
          <w:szCs w:val="18"/>
        </w:rPr>
        <w:t xml:space="preserve"> Section 17(11) Children Act 1989: (11)</w:t>
      </w:r>
    </w:p>
    <w:p w:rsidR="004D63C4" w:rsidRPr="007D2D47" w:rsidP="006176CF">
      <w:pPr>
        <w:shd w:val="clear" w:color="auto" w:fill="FFFFFF" w:themeFill="background1"/>
        <w:rPr>
          <w:rFonts w:ascii="Arial" w:eastAsia="Arial" w:hAnsi="Arial" w:cs="Arial"/>
          <w:sz w:val="18"/>
          <w:szCs w:val="18"/>
        </w:rPr>
      </w:pPr>
      <w:r w:rsidRPr="007D2D47">
        <w:rPr>
          <w:rFonts w:ascii="Arial" w:eastAsia="Arial" w:hAnsi="Arial" w:cs="Arial"/>
          <w:sz w:val="18"/>
          <w:szCs w:val="18"/>
        </w:rPr>
        <w:t>For the purposes of this Part, a child is disabled if he is blind, deaf or dumb or suffers from mental disorder of any kind or is substantially and permanently handicapped by illness, injury or congenital deformity or such other disability as may be prescribed; and in this Part—</w:t>
      </w:r>
    </w:p>
    <w:p w:rsidR="004D63C4" w:rsidRPr="007D2D47" w:rsidP="006176CF">
      <w:pPr>
        <w:shd w:val="clear" w:color="auto" w:fill="FFFFFF" w:themeFill="background1"/>
        <w:rPr>
          <w:rFonts w:ascii="Arial" w:eastAsia="Arial" w:hAnsi="Arial" w:cs="Arial"/>
          <w:sz w:val="18"/>
          <w:szCs w:val="18"/>
        </w:rPr>
      </w:pPr>
      <w:r w:rsidRPr="007D2D47">
        <w:rPr>
          <w:rFonts w:ascii="Arial" w:eastAsia="Arial" w:hAnsi="Arial" w:cs="Arial"/>
          <w:sz w:val="18"/>
          <w:szCs w:val="18"/>
        </w:rPr>
        <w:t>“development” means physical, intellectual, emotional, social or behavioural development; and</w:t>
      </w:r>
    </w:p>
    <w:p w:rsidR="004D63C4" w:rsidRPr="008A06AE" w:rsidP="006176CF">
      <w:pPr>
        <w:shd w:val="clear" w:color="auto" w:fill="FFFFFF" w:themeFill="background1"/>
        <w:rPr>
          <w:rFonts w:ascii="Arial" w:eastAsia="Arial" w:hAnsi="Arial" w:cs="Arial"/>
          <w:sz w:val="18"/>
          <w:szCs w:val="18"/>
        </w:rPr>
      </w:pPr>
      <w:r w:rsidRPr="007D2D47">
        <w:rPr>
          <w:rFonts w:ascii="Arial" w:eastAsia="Arial" w:hAnsi="Arial" w:cs="Arial"/>
          <w:sz w:val="18"/>
          <w:szCs w:val="18"/>
        </w:rPr>
        <w:t>“health” means physical or mental health.</w:t>
      </w:r>
    </w:p>
  </w:footnote>
  <w:footnote w:id="4">
    <w:p w:rsidR="004D63C4" w:rsidRPr="00CC3477" w:rsidP="006176CF">
      <w:pPr>
        <w:pStyle w:val="FootnoteText"/>
        <w:rPr>
          <w:rFonts w:ascii="Arial" w:hAnsi="Arial" w:cs="Arial"/>
          <w:sz w:val="18"/>
          <w:szCs w:val="18"/>
        </w:rPr>
      </w:pPr>
      <w:r w:rsidRPr="00CC3477">
        <w:rPr>
          <w:rStyle w:val="FootnoteReference"/>
          <w:rFonts w:ascii="Arial" w:hAnsi="Arial" w:cs="Arial"/>
          <w:sz w:val="18"/>
          <w:szCs w:val="18"/>
        </w:rPr>
        <w:footnoteRef/>
      </w:r>
      <w:r w:rsidRPr="00CC3477">
        <w:rPr>
          <w:rFonts w:ascii="Arial" w:hAnsi="Arial" w:cs="Arial"/>
          <w:sz w:val="18"/>
          <w:szCs w:val="18"/>
        </w:rPr>
        <w:t xml:space="preserve"> </w:t>
      </w:r>
      <w:r w:rsidRPr="00CC3477">
        <w:rPr>
          <w:rStyle w:val="normaltextrun"/>
          <w:rFonts w:ascii="Arial" w:hAnsi="Arial" w:cs="Arial"/>
          <w:color w:val="000000"/>
          <w:sz w:val="18"/>
          <w:szCs w:val="18"/>
        </w:rPr>
        <w:t>Cerebra/University of Leeds (2021), Institutionalising parent carer blame.</w:t>
      </w:r>
    </w:p>
  </w:footnote>
  <w:footnote w:id="5">
    <w:p w:rsidR="004D63C4" w:rsidRPr="00017DA1" w:rsidP="006176CF">
      <w:pPr>
        <w:pStyle w:val="FootnoteText"/>
        <w:rPr>
          <w:rFonts w:ascii="Arial" w:hAnsi="Arial" w:cs="Arial"/>
          <w:sz w:val="18"/>
          <w:szCs w:val="18"/>
        </w:rPr>
      </w:pPr>
      <w:r w:rsidRPr="00017DA1">
        <w:rPr>
          <w:rStyle w:val="FootnoteReference"/>
          <w:rFonts w:ascii="Arial" w:hAnsi="Arial" w:cs="Arial"/>
          <w:sz w:val="18"/>
          <w:szCs w:val="18"/>
        </w:rPr>
        <w:footnoteRef/>
      </w:r>
      <w:r w:rsidRPr="00017DA1">
        <w:rPr>
          <w:rFonts w:ascii="Arial" w:hAnsi="Arial" w:cs="Arial"/>
          <w:sz w:val="18"/>
          <w:szCs w:val="18"/>
        </w:rPr>
        <w:t xml:space="preserve"> The Michael Sieff Foundation (2025), Justice for children with SEND and neurodivergence.</w:t>
      </w:r>
    </w:p>
  </w:footnote>
  <w:footnote w:id="6">
    <w:p w:rsidR="004D63C4" w:rsidRPr="005E08AE" w:rsidP="006176CF">
      <w:pPr>
        <w:pStyle w:val="FootnoteText"/>
        <w:rPr>
          <w:rFonts w:ascii="Arial" w:hAnsi="Arial" w:cs="Arial"/>
          <w:sz w:val="18"/>
          <w:szCs w:val="18"/>
        </w:rPr>
      </w:pPr>
      <w:r w:rsidRPr="005E08AE">
        <w:rPr>
          <w:rStyle w:val="FootnoteReference"/>
          <w:rFonts w:ascii="Arial" w:hAnsi="Arial" w:cs="Arial"/>
          <w:sz w:val="18"/>
          <w:szCs w:val="18"/>
        </w:rPr>
        <w:footnoteRef/>
      </w:r>
      <w:r w:rsidRPr="005E08AE">
        <w:rPr>
          <w:rFonts w:ascii="Arial" w:hAnsi="Arial" w:cs="Arial"/>
          <w:sz w:val="18"/>
          <w:szCs w:val="18"/>
        </w:rPr>
        <w:t xml:space="preserve"> Children’s Commissioner (2025), The educational journeys of children in secure settings.</w:t>
      </w:r>
    </w:p>
  </w:footnote>
  <w:footnote w:id="7">
    <w:p w:rsidR="004D63C4" w:rsidRPr="009072AB" w:rsidP="006176CF">
      <w:pPr>
        <w:pStyle w:val="FootnoteText"/>
        <w:rPr>
          <w:rFonts w:ascii="Arial" w:hAnsi="Arial" w:cs="Arial"/>
          <w:sz w:val="18"/>
          <w:szCs w:val="18"/>
        </w:rPr>
      </w:pPr>
      <w:r w:rsidRPr="009072AB">
        <w:rPr>
          <w:rStyle w:val="FootnoteReference"/>
          <w:rFonts w:ascii="Arial" w:hAnsi="Arial" w:cs="Arial"/>
          <w:sz w:val="18"/>
          <w:szCs w:val="18"/>
        </w:rPr>
        <w:footnoteRef/>
      </w:r>
      <w:r w:rsidRPr="009072AB">
        <w:rPr>
          <w:rFonts w:ascii="Arial" w:hAnsi="Arial" w:cs="Arial"/>
          <w:sz w:val="18"/>
          <w:szCs w:val="18"/>
        </w:rPr>
        <w:t xml:space="preserve"> Howard League for Penal Reform/IPSEA (2025), Education inside penal detention for children in England.</w:t>
      </w:r>
    </w:p>
  </w:footnote>
  <w:footnote w:id="8">
    <w:p w:rsidR="004D63C4" w:rsidP="006176CF">
      <w:pPr>
        <w:pStyle w:val="FootnoteText"/>
        <w:rPr>
          <w:rFonts w:ascii="Arial" w:eastAsia="Arial" w:hAnsi="Arial" w:cs="Arial"/>
          <w:sz w:val="18"/>
          <w:szCs w:val="18"/>
        </w:rPr>
      </w:pPr>
      <w:r w:rsidRPr="1072C086">
        <w:rPr>
          <w:rStyle w:val="FootnoteReference"/>
          <w:rFonts w:ascii="Arial" w:eastAsia="Arial" w:hAnsi="Arial" w:cs="Arial"/>
          <w:sz w:val="18"/>
          <w:szCs w:val="18"/>
        </w:rPr>
        <w:footnoteRef/>
      </w:r>
      <w:r w:rsidRPr="1072C086">
        <w:rPr>
          <w:rFonts w:ascii="Arial" w:eastAsia="Arial" w:hAnsi="Arial" w:cs="Arial"/>
          <w:sz w:val="18"/>
          <w:szCs w:val="18"/>
        </w:rPr>
        <w:t xml:space="preserve"> Howard League for Penal Reform/IPSEA (2025), Education inside penal detention for children in England.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FF711E"/>
    <w:multiLevelType w:val="hybridMultilevel"/>
    <w:tmpl w:val="D390CBC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F2E0E80"/>
    <w:multiLevelType w:val="hybridMultilevel"/>
    <w:tmpl w:val="D6A4E1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324565F"/>
    <w:multiLevelType w:val="hybridMultilevel"/>
    <w:tmpl w:val="A5EA82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FD80E9C"/>
    <w:multiLevelType w:val="hybridMultilevel"/>
    <w:tmpl w:val="56349B2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0356081"/>
    <w:multiLevelType w:val="hybridMultilevel"/>
    <w:tmpl w:val="79C60F16"/>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HAns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5EEE"/>
    <w:rPr>
      <w:rFonts w:asciiTheme="minorHAnsi" w:hAnsiTheme="minorHAnsi" w:cstheme="minorBidi"/>
    </w:rPr>
  </w:style>
  <w:style w:type="paragraph" w:styleId="Heading1">
    <w:name w:val="heading 1"/>
    <w:basedOn w:val="Normal"/>
    <w:next w:val="Normal"/>
    <w:link w:val="Heading1Char"/>
    <w:uiPriority w:val="9"/>
    <w:qFormat/>
    <w:rsid w:val="00595E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5E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5E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5E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5E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5E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E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E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E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E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5E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5EE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5EE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95EE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95E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95E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95E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95E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95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E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E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95E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5EEE"/>
    <w:rPr>
      <w:i/>
      <w:iCs/>
      <w:color w:val="404040" w:themeColor="text1" w:themeTint="BF"/>
    </w:rPr>
  </w:style>
  <w:style w:type="paragraph" w:styleId="ListParagraph">
    <w:name w:val="List Paragraph"/>
    <w:basedOn w:val="Normal"/>
    <w:uiPriority w:val="34"/>
    <w:qFormat/>
    <w:rsid w:val="00595EEE"/>
    <w:pPr>
      <w:ind w:left="720"/>
      <w:contextualSpacing/>
    </w:pPr>
  </w:style>
  <w:style w:type="character" w:styleId="IntenseEmphasis">
    <w:name w:val="Intense Emphasis"/>
    <w:basedOn w:val="DefaultParagraphFont"/>
    <w:uiPriority w:val="21"/>
    <w:qFormat/>
    <w:rsid w:val="00595EEE"/>
    <w:rPr>
      <w:i/>
      <w:iCs/>
      <w:color w:val="2F5496" w:themeColor="accent1" w:themeShade="BF"/>
    </w:rPr>
  </w:style>
  <w:style w:type="paragraph" w:styleId="IntenseQuote">
    <w:name w:val="Intense Quote"/>
    <w:basedOn w:val="Normal"/>
    <w:next w:val="Normal"/>
    <w:link w:val="IntenseQuoteChar"/>
    <w:uiPriority w:val="30"/>
    <w:qFormat/>
    <w:rsid w:val="00595E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5EEE"/>
    <w:rPr>
      <w:i/>
      <w:iCs/>
      <w:color w:val="2F5496" w:themeColor="accent1" w:themeShade="BF"/>
    </w:rPr>
  </w:style>
  <w:style w:type="character" w:styleId="IntenseReference">
    <w:name w:val="Intense Reference"/>
    <w:basedOn w:val="DefaultParagraphFont"/>
    <w:uiPriority w:val="32"/>
    <w:qFormat/>
    <w:rsid w:val="00595EEE"/>
    <w:rPr>
      <w:b/>
      <w:bCs/>
      <w:smallCaps/>
      <w:color w:val="2F5496" w:themeColor="accent1" w:themeShade="BF"/>
      <w:spacing w:val="5"/>
    </w:rPr>
  </w:style>
  <w:style w:type="paragraph" w:styleId="FootnoteText">
    <w:name w:val="footnote text"/>
    <w:basedOn w:val="Normal"/>
    <w:link w:val="FootnoteTextChar"/>
    <w:uiPriority w:val="99"/>
    <w:semiHidden/>
    <w:unhideWhenUsed/>
    <w:rsid w:val="00672DEB"/>
    <w:pPr>
      <w:spacing w:line="240" w:lineRule="auto"/>
    </w:pPr>
    <w:rPr>
      <w:sz w:val="20"/>
      <w:szCs w:val="20"/>
    </w:rPr>
  </w:style>
  <w:style w:type="character" w:customStyle="1" w:styleId="FootnoteTextChar">
    <w:name w:val="Footnote Text Char"/>
    <w:basedOn w:val="DefaultParagraphFont"/>
    <w:link w:val="FootnoteText"/>
    <w:uiPriority w:val="99"/>
    <w:semiHidden/>
    <w:rsid w:val="00672DEB"/>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672DEB"/>
    <w:rPr>
      <w:vertAlign w:val="superscript"/>
    </w:rPr>
  </w:style>
  <w:style w:type="character" w:customStyle="1" w:styleId="normaltextrun">
    <w:name w:val="normaltextrun"/>
    <w:basedOn w:val="DefaultParagraphFont"/>
    <w:rsid w:val="008F5E2C"/>
  </w:style>
  <w:style w:type="paragraph" w:customStyle="1" w:styleId="paragraph">
    <w:name w:val="paragraph"/>
    <w:basedOn w:val="Normal"/>
    <w:rsid w:val="00FE46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E4649"/>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6B4-3F23-440A-A7BA-B5B51DA43EE2}">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CSC0098</dc:title>
  <cp:revision>0</cp:revision>
</cp:coreProperties>
</file>