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6565" w:rsidP="00CF63D4">
      <w:pPr>
        <w:pStyle w:val="Heading1"/>
        <w:jc w:val="center"/>
      </w:pPr>
      <w:r>
        <w:t xml:space="preserve">Written evidence submitted by </w:t>
      </w:r>
      <w:r>
        <w:t>Professor Ivan Stoianov, Imperial College London</w:t>
      </w:r>
      <w:r w:rsidR="00CF63D4">
        <w:t xml:space="preserve"> (CWR0256)</w:t>
      </w:r>
    </w:p>
    <w:p w:rsidR="00CF63D4">
      <w:pPr>
        <w:pStyle w:val="Heading1"/>
      </w:pPr>
    </w:p>
    <w:p w:rsidR="00A26565">
      <w:pPr>
        <w:spacing w:after="240"/>
      </w:pPr>
      <w:r>
        <w:rPr>
          <w:i/>
          <w:iCs/>
        </w:rPr>
        <w:t>The provision of water for firefighting at the rural–urban interface: lessons from the Grenfell Tower Inquiry for the United Kingdom’s wildfire resilience</w:t>
      </w:r>
    </w:p>
    <w:p w:rsidR="00A26565">
      <w:pPr>
        <w:pStyle w:val="Heading2"/>
      </w:pPr>
      <w:r>
        <w:t>Summary</w:t>
      </w:r>
    </w:p>
    <w:p w:rsidR="00A26565">
      <w:pPr>
        <w:pStyle w:val="ListParagraph"/>
        <w:numPr>
          <w:ilvl w:val="0"/>
          <w:numId w:val="2"/>
        </w:numPr>
        <w:spacing w:after="160" w:line="276" w:lineRule="auto"/>
      </w:pPr>
      <w:r>
        <w:t>I was the independent expert witness appointed by the Grenfell Tower Inquiry to investigate the provision of water for firefighting. My investigation identified systemic weaknesses in how water for firefighting is specified, measured, regulated and coordinated in England and Wales. These weaknesses are not confined to high-rise buildings; they apply directly to fires at the rural–urban interface, including wildfires such as the July 2022 Wennington fire that destroyed around 20 homes.</w:t>
      </w:r>
    </w:p>
    <w:p w:rsidR="00A26565">
      <w:pPr>
        <w:pStyle w:val="ListParagraph"/>
        <w:numPr>
          <w:ilvl w:val="0"/>
          <w:numId w:val="2"/>
        </w:numPr>
        <w:spacing w:after="160" w:line="276" w:lineRule="auto"/>
      </w:pPr>
      <w:r>
        <w:t>This submission addresses a dimension of wildfire resilience that is largely absent from the Committee’s terms of reference but is fundamental to protecting life and property: whether the water supply network can deliver the flow rates that fire and rescue services need, where and when they need them, and whether the systems and people responsible are equipped to make that happen.</w:t>
      </w:r>
    </w:p>
    <w:p w:rsidR="00A26565">
      <w:pPr>
        <w:pStyle w:val="ListParagraph"/>
        <w:numPr>
          <w:ilvl w:val="0"/>
          <w:numId w:val="2"/>
        </w:numPr>
        <w:spacing w:after="160" w:line="276" w:lineRule="auto"/>
      </w:pPr>
      <w:r>
        <w:t>The UK does not measure the water used at fire incidents, does not flow-test fire hydrants, and is alone among the comparable countries I reviewed in not specifying any minimum pressure or flow rate for firefighting. These are correctable evidence and regulatory gaps.</w:t>
      </w:r>
    </w:p>
    <w:p w:rsidR="00A26565">
      <w:pPr>
        <w:pStyle w:val="ListParagraph"/>
        <w:numPr>
          <w:ilvl w:val="0"/>
          <w:numId w:val="2"/>
        </w:numPr>
        <w:spacing w:after="160" w:line="276" w:lineRule="auto"/>
      </w:pPr>
      <w:r>
        <w:t>Wildfires at the rural–urban interface occur during heatwaves and drought</w:t>
      </w:r>
      <w:r w:rsidR="00164A3D">
        <w:t xml:space="preserve">, and </w:t>
      </w:r>
      <w:r>
        <w:t>precisely when water networks are under peak demand and reservoir levels are lowest. Peri-urban and rural distribution networks are designed for domestic demand, not for sustained firefighting flows, and their hydraulic capacity is largely unverified.</w:t>
      </w:r>
    </w:p>
    <w:p w:rsidR="00A26565">
      <w:pPr>
        <w:pStyle w:val="ListParagraph"/>
        <w:numPr>
          <w:ilvl w:val="0"/>
          <w:numId w:val="2"/>
        </w:numPr>
        <w:spacing w:after="160" w:line="276" w:lineRule="auto"/>
      </w:pPr>
      <w:r>
        <w:t xml:space="preserve">At Grenfell Tower the water network </w:t>
      </w:r>
      <w:r>
        <w:t>was capable of delivering</w:t>
      </w:r>
      <w:r>
        <w:t xml:space="preserve"> up to approximately 200 litres per second, yet fire crews extracted only around 72 litres per second </w:t>
      </w:r>
      <w:r w:rsidR="00164A3D">
        <w:t xml:space="preserve">(and that was nearly 3 hours after the fire started) </w:t>
      </w:r>
      <w:r>
        <w:t>in large part because of a failure of coordination between the fire service and the water company. That coordination failure would be more, not less, likely during a dispersed wildfire incident.</w:t>
      </w:r>
    </w:p>
    <w:p w:rsidR="00A26565">
      <w:pPr>
        <w:pStyle w:val="ListParagraph"/>
        <w:numPr>
          <w:ilvl w:val="0"/>
          <w:numId w:val="2"/>
        </w:numPr>
        <w:spacing w:after="160" w:line="276" w:lineRule="auto"/>
      </w:pPr>
      <w:r>
        <w:t>My recommendations are set out in paragraphs 23 to 31. They are buil</w:t>
      </w:r>
      <w:r w:rsidR="00164A3D">
        <w:t>t</w:t>
      </w:r>
      <w:r>
        <w:t xml:space="preserve"> on existing regulatory and investment </w:t>
      </w:r>
      <w:r>
        <w:t>mechanisms, and</w:t>
      </w:r>
      <w:r>
        <w:t xml:space="preserve"> are aligned with established international practice.</w:t>
      </w:r>
    </w:p>
    <w:p w:rsidR="00A26565">
      <w:pPr>
        <w:pStyle w:val="Heading2"/>
      </w:pPr>
      <w:r>
        <w:t>About the author</w:t>
      </w:r>
    </w:p>
    <w:p w:rsidR="00A26565">
      <w:pPr>
        <w:pStyle w:val="ListParagraph"/>
        <w:numPr>
          <w:ilvl w:val="0"/>
          <w:numId w:val="2"/>
        </w:numPr>
        <w:spacing w:after="160" w:line="276" w:lineRule="auto"/>
      </w:pPr>
      <w:r>
        <w:t xml:space="preserve">I am Professor of Water Systems Engineering and a Royal Academy of Engineering Research Chair in Dynamically Adaptive Water Supply Networks at Imperial College London. I was appointed by the Grenfell Tower Inquiry as the independent expert witness on the provision and use of water for </w:t>
      </w:r>
      <w:r>
        <w:t>firefighting, and</w:t>
      </w:r>
      <w:r>
        <w:t xml:space="preserve"> produced a seven-chapter report together with a set of suggested recommendations for Phase 2. My research concerns the hydraulic modelling, monitoring and adaptive control of water distribution networks. This submission draws on that work, but the views expressed are my own.</w:t>
      </w:r>
    </w:p>
    <w:p w:rsidR="00A26565">
      <w:pPr>
        <w:pStyle w:val="Heading2"/>
      </w:pPr>
      <w:r>
        <w:t>Scope of this submission</w:t>
      </w:r>
    </w:p>
    <w:p w:rsidR="00A26565">
      <w:pPr>
        <w:pStyle w:val="ListParagraph"/>
        <w:numPr>
          <w:ilvl w:val="0"/>
          <w:numId w:val="2"/>
        </w:numPr>
        <w:spacing w:after="160" w:line="276" w:lineRule="auto"/>
      </w:pPr>
      <w:r>
        <w:t xml:space="preserve">I respond selectively, on the single area where I can offer evidence the Committee is unlikely to receive from other contributors: the capacity of the water supply network to provide water for firefighting at the rural–urban interface, and the data, systems and coordination needed to </w:t>
      </w:r>
      <w:r w:rsidR="00960774">
        <w:t xml:space="preserve">assess and </w:t>
      </w:r>
      <w:r>
        <w:t>use that capacity. I do not address land management, ecology or funding for land managers, on which others are far better placed to advise. My evidence is most relevant to the Committee’s questions on monitoring and evidence gaps, on the responsibilities of different organisations, and on international best practice.</w:t>
      </w:r>
    </w:p>
    <w:p w:rsidR="00A26565">
      <w:pPr>
        <w:pStyle w:val="Heading2"/>
      </w:pPr>
      <w:r>
        <w:t>Wildfires are increasingly a built-environment problem</w:t>
      </w:r>
    </w:p>
    <w:p w:rsidR="00A26565">
      <w:pPr>
        <w:pStyle w:val="ListParagraph"/>
        <w:numPr>
          <w:ilvl w:val="0"/>
          <w:numId w:val="2"/>
        </w:numPr>
        <w:spacing w:after="160" w:line="276" w:lineRule="auto"/>
      </w:pPr>
      <w:r>
        <w:t>More than half of UK wildfires between 2009 and 2021 occurred in built-up areas, and the loss of around 20 homes at Wennington in July 2022 shows that fires originating in vegetation now routinely threaten property at the rural–urban interface. Once a wildfire reaches structures, suppression depends on the same infrastructure that supplies any building fire: fire hydrants connected to the water distribution network. The adequacy of that supply has not, to my knowledge, been examined in the wildfire context.</w:t>
      </w:r>
    </w:p>
    <w:p w:rsidR="00A26565">
      <w:pPr>
        <w:pStyle w:val="Heading2"/>
      </w:pPr>
      <w:r>
        <w:t>1. The UK does not measure water for firefighting — a fundamental evidence gap</w:t>
      </w:r>
    </w:p>
    <w:p w:rsidR="00A26565">
      <w:pPr>
        <w:pStyle w:val="ListParagraph"/>
        <w:numPr>
          <w:ilvl w:val="0"/>
          <w:numId w:val="2"/>
        </w:numPr>
        <w:spacing w:after="160" w:line="276" w:lineRule="auto"/>
      </w:pPr>
      <w:r>
        <w:t>The Committee asks how the monitoring of wildfires can be improved. A basic and correctable gap is that the UK does not record how much water is used to fight fires. Fire appliances do not log water consumption; following the Wennington fire, the London Fire Brigade confirmed in response to a freedom-of-information request that it could not state the volume of water used, because appliances do not record it.</w:t>
      </w:r>
    </w:p>
    <w:p w:rsidR="00A26565">
      <w:pPr>
        <w:pStyle w:val="ListParagraph"/>
        <w:numPr>
          <w:ilvl w:val="0"/>
          <w:numId w:val="2"/>
        </w:numPr>
        <w:spacing w:after="160" w:line="276" w:lineRule="auto"/>
      </w:pPr>
      <w:r>
        <w:t>Water companies, by contrast, operate sophisticated telemetry. The network supplying Grenfell Tower streamed flow and pressure data at its district-meter inlets, but only 15-minute average values were retained, and that data was not used during the incident to inform decisions. The consequence is that neither the fire service nor the water company can reconstruct, in real time or afterwards, whether the network delivered what was needed.</w:t>
      </w:r>
    </w:p>
    <w:p w:rsidR="00A26565">
      <w:pPr>
        <w:pStyle w:val="ListParagraph"/>
        <w:numPr>
          <w:ilvl w:val="0"/>
          <w:numId w:val="2"/>
        </w:numPr>
        <w:spacing w:after="160" w:line="276" w:lineRule="auto"/>
      </w:pPr>
      <w:r>
        <w:t>Without this data there is no evidential basis for judging whether water provision is adequate at the rural–urban interface, no feedback to improve it, and no means of learning systematically from incidents. Water use at significant incidents should be recorded, and water-company telemetry and calibrated hydraulic models should be coupled to fire-service incident command. This is achievable with existing technology.</w:t>
      </w:r>
    </w:p>
    <w:p w:rsidR="00A26565">
      <w:pPr>
        <w:pStyle w:val="Heading2"/>
      </w:pPr>
      <w:r>
        <w:t>2. Hydraulic capacity at the rural–urban interface is unverified and under strain when wildfires occur</w:t>
      </w:r>
    </w:p>
    <w:p w:rsidR="00A26565">
      <w:pPr>
        <w:pStyle w:val="ListParagraph"/>
        <w:numPr>
          <w:ilvl w:val="0"/>
          <w:numId w:val="2"/>
        </w:numPr>
        <w:spacing w:after="160" w:line="276" w:lineRule="auto"/>
      </w:pPr>
      <w:r>
        <w:t xml:space="preserve">It is the flow rate available from a hydrant </w:t>
      </w:r>
      <w:r w:rsidR="00843573">
        <w:t>(</w:t>
      </w:r>
      <w:r>
        <w:t>not merely the pressure in the main</w:t>
      </w:r>
      <w:r w:rsidR="00843573">
        <w:t xml:space="preserve">) </w:t>
      </w:r>
      <w:r>
        <w:t>that determines whether firefighting equipment can be fully used. In the UK the discharge characteristics of installed hydrants are not verified: hydrants are functionally inspected but not flow-tested, and national guidance actively advises against flow-testing. In my investigation, not one of the hydrants tested in the vicinity of Grenfell Tower met the minimum flow-coefficient requirement of the relevant British Standard; the majority delivered only around 54 to 63 p</w:t>
      </w:r>
      <w:r>
        <w:t>er cent of it.</w:t>
      </w:r>
    </w:p>
    <w:p w:rsidR="00A26565">
      <w:pPr>
        <w:pStyle w:val="ListParagraph"/>
        <w:numPr>
          <w:ilvl w:val="0"/>
          <w:numId w:val="2"/>
        </w:numPr>
        <w:spacing w:after="160" w:line="276" w:lineRule="auto"/>
      </w:pPr>
      <w:r>
        <w:t>If that is the position in a dense, recently renovated London network, the situation at the rural–urban interface is likely to be worse: hydrants are sparser, mains are smaller and older, and their discharge characteristics are unknown. These networks are designed for domestic demand, not for the sustained, concentrated flows required to defend a row of houses against an advancing grass or heath fire.</w:t>
      </w:r>
    </w:p>
    <w:p w:rsidR="00A26565">
      <w:pPr>
        <w:pStyle w:val="ListParagraph"/>
        <w:numPr>
          <w:ilvl w:val="0"/>
          <w:numId w:val="2"/>
        </w:numPr>
        <w:spacing w:after="160" w:line="276" w:lineRule="auto"/>
      </w:pPr>
      <w:r>
        <w:t>Critically, wildfires occur during heatwaves and drought, when water demand peaks and reservoir levels are lowest. This is the opposite of the Grenfell Tower fire, which occurred at night during minimum demand, when the network had ample spare capacity. A wildfire at the rural–urban interface combines the least capable part of the network with the most stressed operating conditions. The January 2025 Los Angeles fires demonstrated that even well-resourced municipal water systems can be overwhelmed when wildf</w:t>
      </w:r>
      <w:r>
        <w:t>ire firefighting demand coincides with extreme conditions; the UK should not assume its peri-urban networks are more resilient without assessing them.</w:t>
      </w:r>
    </w:p>
    <w:p w:rsidR="00A26565">
      <w:pPr>
        <w:pStyle w:val="ListParagraph"/>
        <w:numPr>
          <w:ilvl w:val="0"/>
          <w:numId w:val="2"/>
        </w:numPr>
        <w:spacing w:after="160" w:line="276" w:lineRule="auto"/>
      </w:pPr>
      <w:r>
        <w:t xml:space="preserve">The capacity that does exist is often unusable without expert intervention. At Grenfell Tower my hydraulic analysis showed the network could have delivered up to around 200 litres per second </w:t>
      </w:r>
      <w:r w:rsidR="00843573">
        <w:t xml:space="preserve">- </w:t>
      </w:r>
      <w:r>
        <w:t xml:space="preserve">almost three times the 72 litres per second actually extracted </w:t>
      </w:r>
      <w:r w:rsidR="00843573">
        <w:t xml:space="preserve">(with significant delays) </w:t>
      </w:r>
      <w:r w:rsidR="00843573">
        <w:t xml:space="preserve">- </w:t>
      </w:r>
      <w:r>
        <w:t xml:space="preserve"> through</w:t>
      </w:r>
      <w:r>
        <w:t xml:space="preserve"> optimal hydrant selection, the combined use of multiple hydrants, and control changes. That capacity went unused</w:t>
      </w:r>
      <w:r w:rsidR="00843573">
        <w:t xml:space="preserve"> and the opportunities to impede the spread of fire were missed</w:t>
      </w:r>
      <w:r>
        <w:t>. Identifying and unlocking such capacity at the rural–urban interface requires calibrated hydraulic models and the ability to act on them in real time, neither of which is currently a routine part of incident response.</w:t>
      </w:r>
    </w:p>
    <w:p w:rsidR="00A26565">
      <w:pPr>
        <w:pStyle w:val="Heading2"/>
      </w:pPr>
      <w:r>
        <w:t>3. Coordination between fire services and water companies is the critical weakness</w:t>
      </w:r>
    </w:p>
    <w:p w:rsidR="00A26565">
      <w:pPr>
        <w:pStyle w:val="ListParagraph"/>
        <w:numPr>
          <w:ilvl w:val="0"/>
          <w:numId w:val="2"/>
        </w:numPr>
        <w:spacing w:after="160" w:line="276" w:lineRule="auto"/>
      </w:pPr>
      <w:r>
        <w:t>The single most important lesson from Grenfell Tower for wildfire resilience is that the provision of water for firefighting failed not because water was absent, but because the fire service and the water company could not coordinate to deliver it. There were no protocols or agreements between them for supporting large flows; communication was indirect, qualitative and imprecise; the fire service had no dedicated officer coordinating the water supply for over five hours; and the water company did not deploy</w:t>
      </w:r>
      <w:r>
        <w:t xml:space="preserve"> an engineer, use its available hydraulic model, or act on its near-real-time data. Requests were made for “more pressure” when the need was for flow rate, and decisions not to intervene rested on mistaken assumptions about the risk of bursting “Victorian” mains that had in fact been replaced.</w:t>
      </w:r>
    </w:p>
    <w:p w:rsidR="00A26565">
      <w:pPr>
        <w:pStyle w:val="ListParagraph"/>
        <w:numPr>
          <w:ilvl w:val="0"/>
          <w:numId w:val="2"/>
        </w:numPr>
        <w:spacing w:after="160" w:line="276" w:lineRule="auto"/>
      </w:pPr>
      <w:r>
        <w:t xml:space="preserve">A wildfire at the rural–urban interface would stress </w:t>
      </w:r>
      <w:r>
        <w:t>exactly the same</w:t>
      </w:r>
      <w:r>
        <w:t xml:space="preserve"> interface, but under harder conditions: the incident is dispersed rather than concentrated at a single address; multiple hydrants across a wide area must be drawn on simultaneously; and demand may persist for many hours or days. The coordination capabilities that were absent at a single building fire in London are even less likely to be in place across a rural fire-and-rescue area facing a fast-moving fire.</w:t>
      </w:r>
    </w:p>
    <w:p w:rsidR="00A26565">
      <w:pPr>
        <w:pStyle w:val="ListParagraph"/>
        <w:numPr>
          <w:ilvl w:val="0"/>
          <w:numId w:val="2"/>
        </w:numPr>
        <w:spacing w:after="160" w:line="276" w:lineRule="auto"/>
      </w:pPr>
      <w:r>
        <w:t xml:space="preserve">Responsibility for this interface is fragmented across the Home Office (lead for severe wildfire and for fire and rescue services), Defra (land and habitat), the Cabinet Office (resilience), Ofwat (economic regulation of water companies), and the water companies and fire services themselves. No single body is accountable for ensuring that water can be delivered for </w:t>
      </w:r>
      <w:r>
        <w:t>firefighting at the rural–urban interface. The Committee’s interest in clear lines of responsibility is well placed: this is a clear case in which no one currently owns the problem.</w:t>
      </w:r>
    </w:p>
    <w:p w:rsidR="00A26565">
      <w:pPr>
        <w:pStyle w:val="Heading2"/>
      </w:pPr>
      <w:r>
        <w:t>4. The UK is behind comparable countries, and the regulatory framework is deficient</w:t>
      </w:r>
    </w:p>
    <w:p w:rsidR="00A26565">
      <w:pPr>
        <w:pStyle w:val="ListParagraph"/>
        <w:numPr>
          <w:ilvl w:val="0"/>
          <w:numId w:val="2"/>
        </w:numPr>
        <w:spacing w:after="160" w:line="276" w:lineRule="auto"/>
      </w:pPr>
      <w:r>
        <w:t>The Committee asks about international best practice. My investigation found that England and Wales have fallen behind. France, the United States, Switzerland, Germany and the Netherlands variously flow-test hydrants, specify minimum firefighting flows or pressures, and operate independent bodies that test, validate and enforce the provision of water for firefighting. The UK is alone among the countries I reviewed in not specifying any minimum pressure for firefighting, and the National Guidance Document on</w:t>
      </w:r>
      <w:r>
        <w:t xml:space="preserve"> the Provision of Water for Fire Fighting is, in my assessment, deficient in detail and out of step with modern equipment and analytical methods.</w:t>
      </w:r>
    </w:p>
    <w:p w:rsidR="00A26565">
      <w:pPr>
        <w:pStyle w:val="ListParagraph"/>
        <w:numPr>
          <w:ilvl w:val="0"/>
          <w:numId w:val="2"/>
        </w:numPr>
        <w:spacing w:after="160" w:line="276" w:lineRule="auto"/>
      </w:pPr>
      <w:r>
        <w:t>In several European countries a modest fire-safety levy funds hydrant maintenance and flow-testing. Whether such a mechanism is appropriate in the UK is a matter for government, fire services and water companies, but it illustrates that the funding question the Committee raises has been addressed elsewhere.</w:t>
      </w:r>
    </w:p>
    <w:p w:rsidR="00A26565">
      <w:pPr>
        <w:pStyle w:val="Heading2"/>
      </w:pPr>
      <w:r>
        <w:t>Recommendations</w:t>
      </w:r>
    </w:p>
    <w:p w:rsidR="00A26565">
      <w:pPr>
        <w:pStyle w:val="ListParagraph"/>
        <w:numPr>
          <w:ilvl w:val="0"/>
          <w:numId w:val="2"/>
        </w:numPr>
        <w:spacing w:after="160" w:line="276" w:lineRule="auto"/>
      </w:pPr>
      <w:r>
        <w:t>The following recommendations are adapted, for the wildfire and rural–urban interface context, from those I provided to the Grenfell Tower Inquiry. They are intended to be low-regret and to build on existing regulatory and investment mechanisms, including Ofwat’s price-review process and water-company asset-management plans.</w:t>
      </w:r>
    </w:p>
    <w:p w:rsidR="00A26565">
      <w:pPr>
        <w:pStyle w:val="ListParagraph"/>
        <w:numPr>
          <w:ilvl w:val="0"/>
          <w:numId w:val="2"/>
        </w:numPr>
        <w:spacing w:after="160" w:line="276" w:lineRule="auto"/>
      </w:pPr>
      <w:r>
        <w:rPr>
          <w:b/>
          <w:bCs/>
        </w:rPr>
        <w:t xml:space="preserve">Recommendation 1 — </w:t>
      </w:r>
      <w:r>
        <w:t>A risk-based regulatory framework for the provision of water for firefighting that explicitly addresses the rural–urban interface and wildfire scenarios, and that balances risk and cost between dense urban centres and less populated peri-urban and rural areas.</w:t>
      </w:r>
    </w:p>
    <w:p w:rsidR="00A26565">
      <w:pPr>
        <w:pStyle w:val="ListParagraph"/>
        <w:numPr>
          <w:ilvl w:val="0"/>
          <w:numId w:val="2"/>
        </w:numPr>
        <w:spacing w:after="160" w:line="276" w:lineRule="auto"/>
      </w:pPr>
      <w:r>
        <w:rPr>
          <w:b/>
          <w:bCs/>
        </w:rPr>
        <w:t xml:space="preserve">Recommendation 2 — </w:t>
      </w:r>
      <w:r>
        <w:t xml:space="preserve">Specify minimum </w:t>
      </w:r>
      <w:r>
        <w:t>flow-rate</w:t>
      </w:r>
      <w:r>
        <w:t xml:space="preserve"> and residual-pressure requirements for firefighting, taking account of the appliances likely to be deployed and the capacity of the local network to supply them.</w:t>
      </w:r>
    </w:p>
    <w:p w:rsidR="00A26565">
      <w:pPr>
        <w:pStyle w:val="ListParagraph"/>
        <w:numPr>
          <w:ilvl w:val="0"/>
          <w:numId w:val="2"/>
        </w:numPr>
        <w:spacing w:after="160" w:line="276" w:lineRule="auto"/>
      </w:pPr>
      <w:r>
        <w:rPr>
          <w:b/>
          <w:bCs/>
        </w:rPr>
        <w:t xml:space="preserve">Recommendation 3 — </w:t>
      </w:r>
      <w:r>
        <w:t>Require periodic flow-testing of fire hydrants, and the recording of validated flow coefficients, in higher-risk areas including identified rural–urban interface zones, with data captured digitally by the water company.</w:t>
      </w:r>
    </w:p>
    <w:p w:rsidR="00A26565">
      <w:pPr>
        <w:pStyle w:val="ListParagraph"/>
        <w:numPr>
          <w:ilvl w:val="0"/>
          <w:numId w:val="2"/>
        </w:numPr>
        <w:spacing w:after="160" w:line="276" w:lineRule="auto"/>
      </w:pPr>
      <w:r>
        <w:rPr>
          <w:b/>
          <w:bCs/>
        </w:rPr>
        <w:t xml:space="preserve">Recommendation 4 — </w:t>
      </w:r>
      <w:r>
        <w:t>Require water companies serving higher-risk areas to maintain calibrated hydraulic models and to make near-real-time flow and pressure data, and engineering expertise, available to fire and rescue services during incidents.</w:t>
      </w:r>
    </w:p>
    <w:p w:rsidR="00A26565">
      <w:pPr>
        <w:pStyle w:val="ListParagraph"/>
        <w:numPr>
          <w:ilvl w:val="0"/>
          <w:numId w:val="2"/>
        </w:numPr>
        <w:spacing w:after="160" w:line="276" w:lineRule="auto"/>
      </w:pPr>
      <w:r>
        <w:rPr>
          <w:b/>
          <w:bCs/>
        </w:rPr>
        <w:t xml:space="preserve">Recommendation 5 — </w:t>
      </w:r>
      <w:r>
        <w:t>Record the water used at significant fire incidents, including wildfires, and conduct structured post-incident hydraulic analysis, to close the evidence gap and enable systematic learning.</w:t>
      </w:r>
    </w:p>
    <w:p w:rsidR="00A26565">
      <w:pPr>
        <w:pStyle w:val="ListParagraph"/>
        <w:numPr>
          <w:ilvl w:val="0"/>
          <w:numId w:val="2"/>
        </w:numPr>
        <w:spacing w:after="160" w:line="276" w:lineRule="auto"/>
      </w:pPr>
      <w:r>
        <w:rPr>
          <w:b/>
          <w:bCs/>
        </w:rPr>
        <w:t xml:space="preserve">Recommendation 6 — </w:t>
      </w:r>
      <w:r>
        <w:t>Establish mandatory coordination protocols, joint training and clear communication procedures between fire and rescue services and water companies, including defined liaison roles and common terminology for flow and pressure.</w:t>
      </w:r>
    </w:p>
    <w:p w:rsidR="00A26565">
      <w:pPr>
        <w:pStyle w:val="ListParagraph"/>
        <w:numPr>
          <w:ilvl w:val="0"/>
          <w:numId w:val="2"/>
        </w:numPr>
        <w:spacing w:after="160" w:line="276" w:lineRule="auto"/>
      </w:pPr>
      <w:r>
        <w:rPr>
          <w:b/>
          <w:bCs/>
        </w:rPr>
        <w:t xml:space="preserve">Recommendation 7 — </w:t>
      </w:r>
      <w:r>
        <w:t xml:space="preserve">Plan for alternative and augmented water sources — open water, ponds, rivers, reservoirs, high-volume pumping and water relays — in rural–urban interface areas where the distribution network alone cannot meet wildfire firefighting </w:t>
      </w:r>
      <w:r>
        <w:t>demand, and</w:t>
      </w:r>
      <w:r>
        <w:t xml:space="preserve"> integrate this with local resilience and land-use planning.</w:t>
      </w:r>
    </w:p>
    <w:p w:rsidR="00A26565">
      <w:pPr>
        <w:pStyle w:val="ListParagraph"/>
        <w:numPr>
          <w:ilvl w:val="0"/>
          <w:numId w:val="2"/>
        </w:numPr>
        <w:spacing w:after="160" w:line="276" w:lineRule="auto"/>
      </w:pPr>
      <w:r>
        <w:rPr>
          <w:b/>
          <w:bCs/>
        </w:rPr>
        <w:t xml:space="preserve">Recommendation 8 — </w:t>
      </w:r>
      <w:r>
        <w:t>Clarify, at government level, which body is accountable for the provision of water for firefighting at the rural–urban interface, and provide independent oversight and enforcement, drawing on the models operating in France, Switzerland, Germany and the Netherlands.</w:t>
      </w:r>
    </w:p>
    <w:p w:rsidR="00A26565">
      <w:pPr>
        <w:pStyle w:val="ListParagraph"/>
        <w:numPr>
          <w:ilvl w:val="0"/>
          <w:numId w:val="2"/>
        </w:numPr>
        <w:spacing w:after="160" w:line="276" w:lineRule="auto"/>
      </w:pPr>
      <w:r>
        <w:rPr>
          <w:b/>
          <w:bCs/>
        </w:rPr>
        <w:t xml:space="preserve">Recommendation 9 — </w:t>
      </w:r>
      <w:r>
        <w:t>Revise the National Guidance Document on the Provision of Water for Fire Fighting to reflect wildfire and rural–urban interface scenarios, modern equipment and analytical methods, with input from independent domain experts.</w:t>
      </w:r>
    </w:p>
    <w:p w:rsidR="00A26565">
      <w:pPr>
        <w:pStyle w:val="ListParagraph"/>
        <w:numPr>
          <w:ilvl w:val="0"/>
          <w:numId w:val="2"/>
        </w:numPr>
        <w:spacing w:after="160" w:line="276" w:lineRule="auto"/>
      </w:pPr>
      <w:r>
        <w:t>I would be glad to provide further written detail, the underlying technical analysis from my Grenfell Tower Inquiry report, or oral evidence, should the Committee find it helpful.</w:t>
      </w:r>
    </w:p>
    <w:p w:rsidR="00000F6F">
      <w:pPr>
        <w:spacing w:before="240"/>
        <w:rPr>
          <w:i/>
          <w:iCs/>
          <w:color w:val="595959"/>
          <w:sz w:val="20"/>
          <w:szCs w:val="20"/>
        </w:rPr>
      </w:pPr>
    </w:p>
    <w:p w:rsidR="00000F6F">
      <w:pPr>
        <w:spacing w:before="240"/>
        <w:rPr>
          <w:i/>
          <w:iCs/>
          <w:color w:val="595959"/>
          <w:sz w:val="20"/>
          <w:szCs w:val="20"/>
        </w:rPr>
      </w:pPr>
      <w:r>
        <w:rPr>
          <w:i/>
          <w:iCs/>
          <w:color w:val="595959"/>
          <w:sz w:val="20"/>
          <w:szCs w:val="20"/>
        </w:rPr>
        <w:t>Professor Ivan Stoianov</w:t>
      </w:r>
    </w:p>
    <w:p w:rsidR="00A26565">
      <w:pPr>
        <w:spacing w:before="240"/>
      </w:pPr>
      <w:r>
        <w:rPr>
          <w:i/>
          <w:iCs/>
          <w:color w:val="595959"/>
          <w:sz w:val="20"/>
          <w:szCs w:val="20"/>
        </w:rPr>
        <w:t>May 2026</w:t>
      </w: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672428"/>
    <w:multiLevelType w:val="hybridMultilevel"/>
    <w:tmpl w:val="71A6801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nsid w:val="78D4365B"/>
    <w:multiLevelType w:val="hybridMultilevel"/>
    <w:tmpl w:val="D958A636"/>
    <w:lvl w:ilvl="0">
      <w:start w:val="1"/>
      <w:numFmt w:val="decimal"/>
      <w:lvlText w:val="%1."/>
      <w:lvlJc w:val="left"/>
      <w:pPr>
        <w:ind w:left="540" w:hanging="5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after="120"/>
      <w:outlineLvl w:val="0"/>
    </w:pPr>
    <w:rPr>
      <w:b/>
      <w:bCs/>
      <w:color w:val="000000"/>
      <w:sz w:val="30"/>
      <w:szCs w:val="30"/>
    </w:rPr>
  </w:style>
  <w:style w:type="paragraph" w:styleId="Heading2">
    <w:name w:val="heading 2"/>
    <w:uiPriority w:val="9"/>
    <w:unhideWhenUsed/>
    <w:qFormat/>
    <w:pPr>
      <w:spacing w:before="280" w:after="140"/>
      <w:outlineLvl w:val="1"/>
    </w:pPr>
    <w:rPr>
      <w:b/>
      <w:bCs/>
      <w:color w:val="00000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CWR0256</dc:title>
  <cp:revision>0</cp:revision>
</cp:coreProperties>
</file>