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7491" w:rsidRPr="00613206" w:rsidP="4F777EA7">
      <w:pPr>
        <w:spacing w:after="0"/>
        <w:ind w:left="-709"/>
        <w:jc w:val="center"/>
        <w:rPr>
          <w:rFonts w:ascii="Calibri" w:hAnsi="Calibri" w:cs="Calibri"/>
          <w:b/>
          <w:bCs/>
          <w:sz w:val="28"/>
          <w:szCs w:val="28"/>
        </w:rPr>
      </w:pPr>
    </w:p>
    <w:p w:rsidR="00613206" w:rsidRPr="00613206" w:rsidP="005524FE">
      <w:pPr>
        <w:spacing w:after="0"/>
        <w:ind w:left="-709"/>
        <w:jc w:val="center"/>
        <w:rPr>
          <w:rFonts w:ascii="Calibri" w:hAnsi="Calibri" w:cs="Calibri"/>
          <w:b/>
          <w:bCs/>
          <w:sz w:val="28"/>
          <w:szCs w:val="28"/>
        </w:rPr>
      </w:pPr>
    </w:p>
    <w:p w:rsidR="00613206" w:rsidRPr="00613206" w:rsidP="00613206">
      <w:pPr>
        <w:spacing w:after="0"/>
        <w:ind w:left="-709"/>
        <w:jc w:val="center"/>
        <w:rPr>
          <w:rFonts w:ascii="Calibri" w:hAnsi="Calibri" w:cs="Calibri"/>
          <w:b/>
          <w:bCs/>
          <w:sz w:val="28"/>
          <w:szCs w:val="28"/>
        </w:rPr>
      </w:pPr>
      <w:r w:rsidRPr="00613206">
        <w:rPr>
          <w:rFonts w:ascii="Calibri" w:hAnsi="Calibri" w:cs="Calibri"/>
          <w:b/>
          <w:bCs/>
          <w:sz w:val="28"/>
          <w:szCs w:val="28"/>
        </w:rPr>
        <w:t>Written Evidence submitted by Mr Jordan Nadat (TRN00</w:t>
      </w:r>
      <w:r w:rsidRPr="00613206">
        <w:rPr>
          <w:rFonts w:ascii="Calibri" w:hAnsi="Calibri" w:cs="Calibri"/>
          <w:b/>
          <w:bCs/>
          <w:sz w:val="28"/>
          <w:szCs w:val="28"/>
        </w:rPr>
        <w:t>70</w:t>
      </w:r>
      <w:r w:rsidRPr="00613206">
        <w:rPr>
          <w:rFonts w:ascii="Calibri" w:hAnsi="Calibri" w:cs="Calibri"/>
          <w:b/>
          <w:bCs/>
          <w:sz w:val="28"/>
          <w:szCs w:val="28"/>
        </w:rPr>
        <w:t>)</w:t>
      </w:r>
    </w:p>
    <w:p w:rsidR="00613206" w:rsidRPr="00613206" w:rsidP="005524FE">
      <w:pPr>
        <w:spacing w:after="0"/>
        <w:ind w:left="-709"/>
        <w:jc w:val="center"/>
        <w:rPr>
          <w:rFonts w:ascii="Calibri" w:hAnsi="Calibri" w:cs="Calibri"/>
          <w:b/>
          <w:bCs/>
          <w:sz w:val="22"/>
          <w:szCs w:val="22"/>
        </w:rPr>
      </w:pPr>
    </w:p>
    <w:p w:rsidR="00613206" w:rsidRPr="00613206" w:rsidP="005524FE">
      <w:pPr>
        <w:spacing w:after="0"/>
        <w:ind w:left="-709"/>
        <w:jc w:val="center"/>
        <w:rPr>
          <w:rFonts w:ascii="Calibri" w:hAnsi="Calibri" w:cs="Calibri"/>
          <w:b/>
          <w:bCs/>
          <w:sz w:val="22"/>
          <w:szCs w:val="22"/>
        </w:rPr>
      </w:pPr>
    </w:p>
    <w:p w:rsidR="00613206" w:rsidRPr="00613206" w:rsidP="005524FE">
      <w:pPr>
        <w:spacing w:after="0"/>
        <w:ind w:left="-709"/>
        <w:jc w:val="center"/>
        <w:rPr>
          <w:rFonts w:ascii="Calibri" w:hAnsi="Calibri" w:cs="Calibri"/>
          <w:b/>
          <w:bCs/>
          <w:sz w:val="22"/>
          <w:szCs w:val="22"/>
        </w:rPr>
      </w:pPr>
    </w:p>
    <w:p w:rsidR="00747491" w:rsidRPr="00613206" w:rsidP="005524FE">
      <w:pPr>
        <w:spacing w:after="0"/>
        <w:ind w:left="-709"/>
        <w:jc w:val="center"/>
        <w:rPr>
          <w:rFonts w:ascii="Calibri" w:hAnsi="Calibri" w:cs="Calibri"/>
          <w:b/>
          <w:bCs/>
          <w:sz w:val="22"/>
          <w:szCs w:val="22"/>
        </w:rPr>
      </w:pPr>
      <w:r w:rsidRPr="00613206">
        <w:rPr>
          <w:rFonts w:ascii="Calibri" w:hAnsi="Calibri" w:cs="Calibri"/>
          <w:b/>
          <w:bCs/>
          <w:sz w:val="22"/>
          <w:szCs w:val="22"/>
        </w:rPr>
        <w:t>The Transition from Child to Adult Health and Social Care Services</w:t>
      </w:r>
    </w:p>
    <w:p w:rsidR="00747491" w:rsidRPr="00613206" w:rsidP="005524FE">
      <w:pPr>
        <w:spacing w:after="0"/>
        <w:ind w:left="-709"/>
        <w:jc w:val="both"/>
        <w:rPr>
          <w:rFonts w:ascii="Calibri" w:hAnsi="Calibri" w:cs="Calibri"/>
          <w:b/>
          <w:bCs/>
          <w:sz w:val="22"/>
          <w:szCs w:val="22"/>
        </w:rPr>
      </w:pPr>
    </w:p>
    <w:p w:rsidR="00747491" w:rsidRPr="00613206" w:rsidP="005524FE">
      <w:pPr>
        <w:spacing w:after="0"/>
        <w:ind w:left="-709"/>
        <w:jc w:val="both"/>
        <w:rPr>
          <w:rFonts w:ascii="Calibri" w:hAnsi="Calibri" w:cs="Calibri"/>
          <w:sz w:val="22"/>
          <w:szCs w:val="22"/>
        </w:rPr>
      </w:pPr>
      <w:r w:rsidRPr="00613206">
        <w:rPr>
          <w:rFonts w:ascii="Calibri" w:hAnsi="Calibri" w:cs="Calibri"/>
          <w:sz w:val="22"/>
          <w:szCs w:val="22"/>
        </w:rPr>
        <w:t xml:space="preserve">Please provide a written submission answering, where possible, the questions set out in the planning grid below, relating to physical health, mental health and/or social care services. We are not expecting every stakeholder to be able to answer all the questions in the planning grid – please answer those that are relevant to your/your organisation’s area of expertise. There are boxes below each question to be filled with your answer, should you wish to use this template. </w:t>
      </w:r>
    </w:p>
    <w:p w:rsidR="00747491" w:rsidRPr="00613206" w:rsidP="005524FE">
      <w:pPr>
        <w:spacing w:after="0"/>
        <w:ind w:left="-709"/>
        <w:jc w:val="center"/>
        <w:rPr>
          <w:rFonts w:ascii="Calibri" w:hAnsi="Calibri" w:cs="Calibri"/>
          <w:b/>
          <w:bCs/>
          <w:sz w:val="22"/>
          <w:szCs w:val="22"/>
        </w:rPr>
      </w:pPr>
      <w:r w:rsidRPr="00613206">
        <w:rPr>
          <w:rFonts w:ascii="Calibri" w:hAnsi="Calibri" w:cs="Calibri"/>
          <w:b/>
          <w:bCs/>
          <w:sz w:val="22"/>
          <w:szCs w:val="22"/>
        </w:rPr>
        <w:t> </w:t>
      </w:r>
      <w:r w:rsidRPr="00613206">
        <w:rPr>
          <w:rFonts w:ascii="Calibri" w:hAnsi="Calibri" w:cs="Calibri"/>
          <w:b/>
          <w:bCs/>
          <w:sz w:val="22"/>
          <w:szCs w:val="22"/>
        </w:rPr>
        <w:t> </w:t>
      </w:r>
    </w:p>
    <w:tbl>
      <w:tblPr>
        <w:tblStyle w:val="TableGrid"/>
        <w:tblW w:w="10490" w:type="dxa"/>
        <w:tblInd w:w="-714" w:type="dxa"/>
        <w:tblLook w:val="04A0"/>
      </w:tblPr>
      <w:tblGrid>
        <w:gridCol w:w="1985"/>
        <w:gridCol w:w="8505"/>
      </w:tblGrid>
      <w:tr w:rsidTr="5EF72ECC">
        <w:tblPrEx>
          <w:tblW w:w="10490" w:type="dxa"/>
          <w:tblInd w:w="-714" w:type="dxa"/>
          <w:tblLook w:val="04A0"/>
        </w:tblPrEx>
        <w:tc>
          <w:tcPr>
            <w:tcW w:w="10490" w:type="dxa"/>
            <w:gridSpan w:val="2"/>
          </w:tcPr>
          <w:p w:rsidR="00747491" w:rsidRPr="00613206" w:rsidP="008C50D4">
            <w:pPr>
              <w:rPr>
                <w:rFonts w:ascii="Calibri" w:hAnsi="Calibri" w:cs="Calibri"/>
                <w:b/>
                <w:bCs/>
                <w:sz w:val="22"/>
                <w:szCs w:val="22"/>
              </w:rPr>
            </w:pPr>
            <w:r w:rsidRPr="00613206">
              <w:rPr>
                <w:rFonts w:ascii="Calibri" w:hAnsi="Calibri" w:cs="Calibri"/>
                <w:b/>
                <w:bCs/>
                <w:sz w:val="22"/>
                <w:szCs w:val="22"/>
              </w:rPr>
              <w:t>FOCUS AREA 1</w:t>
            </w:r>
          </w:p>
          <w:p w:rsidR="00747491" w:rsidRPr="00613206" w:rsidP="008C50D4">
            <w:pPr>
              <w:rPr>
                <w:rFonts w:ascii="Calibri" w:hAnsi="Calibri" w:cs="Calibri"/>
                <w:b/>
                <w:bCs/>
                <w:sz w:val="22"/>
                <w:szCs w:val="22"/>
              </w:rPr>
            </w:pPr>
            <w:r w:rsidRPr="00613206">
              <w:rPr>
                <w:rFonts w:ascii="Calibri" w:hAnsi="Calibri" w:cs="Calibri"/>
                <w:b/>
                <w:bCs/>
                <w:sz w:val="22"/>
                <w:szCs w:val="22"/>
              </w:rPr>
              <w:t>TIMELINESS AND PACE OF THE TRANSITION TO ADULT SERVICES</w:t>
            </w:r>
          </w:p>
        </w:tc>
      </w:tr>
      <w:tr w:rsidTr="5EF72ECC">
        <w:tblPrEx>
          <w:tblW w:w="10490" w:type="dxa"/>
          <w:tblInd w:w="-714" w:type="dxa"/>
          <w:tblLook w:val="04A0"/>
        </w:tblPrEx>
        <w:tc>
          <w:tcPr>
            <w:tcW w:w="10490" w:type="dxa"/>
            <w:gridSpan w:val="2"/>
          </w:tcPr>
          <w:p w:rsidR="00747491" w:rsidRPr="00613206" w:rsidP="005B3DF0">
            <w:pPr>
              <w:spacing w:after="120"/>
              <w:rPr>
                <w:rFonts w:ascii="Calibri" w:eastAsia="Aptos" w:hAnsi="Calibri" w:cs="Calibri"/>
                <w:sz w:val="22"/>
                <w:szCs w:val="22"/>
              </w:rPr>
            </w:pPr>
            <w:r w:rsidRPr="00613206">
              <w:rPr>
                <w:rFonts w:ascii="Calibri" w:eastAsia="Aptos" w:hAnsi="Calibri" w:cs="Calibri"/>
                <w:b/>
                <w:bCs/>
                <w:sz w:val="22"/>
                <w:szCs w:val="22"/>
                <w:lang w:val="en-US"/>
              </w:rPr>
              <w:t>Statement of intent 1:</w:t>
            </w:r>
            <w:r w:rsidRPr="00613206">
              <w:rPr>
                <w:rFonts w:ascii="Calibri" w:eastAsia="Aptos" w:hAnsi="Calibri" w:cs="Calibri"/>
                <w:sz w:val="22"/>
                <w:szCs w:val="22"/>
                <w:lang w:val="en-US"/>
              </w:rPr>
              <w:t xml:space="preserve"> “Young people who will move from children's to adults' services start planning their transition with health and social care practitioners by school year 9 (aged 13 to 14 years), or immediately if they enter children's services after school year 9”. </w:t>
            </w:r>
            <w:r>
              <w:fldChar w:fldCharType="begin"/>
            </w:r>
            <w:r>
              <w:instrText xml:space="preserve"> HYPERLINK "https://www.nice.org.uk/guidance/qs140/chapter/Quality-statement-1-Planning-transition" </w:instrText>
            </w:r>
            <w:r>
              <w:fldChar w:fldCharType="separate"/>
            </w:r>
            <w:r w:rsidRPr="00613206">
              <w:rPr>
                <w:rStyle w:val="Hyperlink"/>
                <w:rFonts w:ascii="Calibri" w:eastAsia="Aptos" w:hAnsi="Calibri" w:cs="Calibri"/>
                <w:color w:val="auto"/>
                <w:sz w:val="22"/>
                <w:szCs w:val="22"/>
                <w:lang w:val="en-US"/>
              </w:rPr>
              <w:t>NICE QS140 (1, 2016)</w:t>
            </w:r>
            <w:r>
              <w:fldChar w:fldCharType="end"/>
            </w:r>
            <w:r w:rsidRPr="00613206">
              <w:rPr>
                <w:rFonts w:ascii="Calibri" w:eastAsia="Aptos" w:hAnsi="Calibri" w:cs="Calibri"/>
                <w:b/>
                <w:bCs/>
                <w:sz w:val="22"/>
                <w:szCs w:val="22"/>
                <w:lang w:val="en-US"/>
              </w:rPr>
              <w:t xml:space="preserve"> </w:t>
            </w:r>
          </w:p>
          <w:p w:rsidR="00747491" w:rsidRPr="00613206" w:rsidP="005B3DF0">
            <w:pPr>
              <w:rPr>
                <w:rFonts w:ascii="Calibri" w:eastAsia="Aptos" w:hAnsi="Calibri" w:cs="Calibri"/>
                <w:sz w:val="22"/>
                <w:szCs w:val="22"/>
              </w:rPr>
            </w:pPr>
            <w:r w:rsidRPr="00613206">
              <w:rPr>
                <w:rFonts w:ascii="Calibri" w:eastAsia="Aptos" w:hAnsi="Calibri" w:cs="Calibri"/>
                <w:b/>
                <w:bCs/>
                <w:sz w:val="22"/>
                <w:szCs w:val="22"/>
                <w:lang w:val="en-US"/>
              </w:rPr>
              <w:t xml:space="preserve">Statement of intent 2: </w:t>
            </w:r>
            <w:r w:rsidRPr="00613206">
              <w:rPr>
                <w:rFonts w:ascii="Calibri" w:eastAsia="Aptos" w:hAnsi="Calibri" w:cs="Calibri"/>
                <w:sz w:val="22"/>
                <w:szCs w:val="22"/>
                <w:lang w:val="en-US"/>
              </w:rPr>
              <w:t xml:space="preserve">Duty for local authorities to assess a child’s needs for care and support, where it appears to a local authority that the child is likely to have needs for care and support after turning 18. </w:t>
            </w:r>
            <w:r>
              <w:fldChar w:fldCharType="begin"/>
            </w:r>
            <w:r>
              <w:instrText xml:space="preserve"> HYPERLINK "https://www.legislation.gov.uk/ukpga/2014/23/part/1/crossheading/transition-for-children-to-adult-care-and-support-etc/enacted" </w:instrText>
            </w:r>
            <w:r>
              <w:fldChar w:fldCharType="separate"/>
            </w:r>
            <w:r w:rsidRPr="00613206">
              <w:rPr>
                <w:rStyle w:val="Hyperlink"/>
                <w:rFonts w:ascii="Calibri" w:eastAsia="Aptos" w:hAnsi="Calibri" w:cs="Calibri"/>
                <w:color w:val="auto"/>
                <w:sz w:val="22"/>
                <w:szCs w:val="22"/>
                <w:lang w:val="en-US"/>
              </w:rPr>
              <w:t>Care Act 2014 (Section 58)</w:t>
            </w:r>
            <w:r>
              <w:fldChar w:fldCharType="end"/>
            </w:r>
            <w:r w:rsidRPr="00613206">
              <w:rPr>
                <w:rFonts w:ascii="Calibri" w:eastAsia="Aptos" w:hAnsi="Calibri" w:cs="Calibri"/>
                <w:sz w:val="22"/>
                <w:szCs w:val="22"/>
                <w:lang w:val="en-US"/>
              </w:rPr>
              <w:t xml:space="preserve"> Where the child has previously been receiving services, the local authority must continue to provide those services until [adult care and support is in </w:t>
            </w:r>
            <w:bookmarkStart w:id="0" w:name="_Int_m1JN335b"/>
            <w:r w:rsidRPr="00613206">
              <w:rPr>
                <w:rFonts w:ascii="Calibri" w:eastAsia="Aptos" w:hAnsi="Calibri" w:cs="Calibri"/>
                <w:sz w:val="22"/>
                <w:szCs w:val="22"/>
                <w:lang w:val="en-US"/>
              </w:rPr>
              <w:t>place].</w:t>
            </w:r>
            <w:bookmarkEnd w:id="0"/>
            <w:r w:rsidRPr="00613206">
              <w:rPr>
                <w:rFonts w:ascii="Calibri" w:eastAsia="Aptos" w:hAnsi="Calibri" w:cs="Calibri"/>
                <w:sz w:val="22"/>
                <w:szCs w:val="22"/>
                <w:lang w:val="en-US"/>
              </w:rPr>
              <w:t xml:space="preserve"> This is to ensure no gap in provision during the transition to adult care and support. </w:t>
            </w:r>
            <w:r>
              <w:fldChar w:fldCharType="begin"/>
            </w:r>
            <w:r>
              <w:instrText xml:space="preserve"> HYPERLINK "https://www.legislation.gov.uk/ukpga/2014/23/part/1/crossheading/transition-for-children-to-adult-care-and-support-etc/enacted" </w:instrText>
            </w:r>
            <w:r>
              <w:fldChar w:fldCharType="separate"/>
            </w:r>
            <w:r w:rsidRPr="00613206">
              <w:rPr>
                <w:rStyle w:val="Hyperlink"/>
                <w:rFonts w:ascii="Calibri" w:eastAsia="Aptos" w:hAnsi="Calibri" w:cs="Calibri"/>
                <w:color w:val="auto"/>
                <w:sz w:val="22"/>
                <w:szCs w:val="22"/>
                <w:lang w:val="en-US"/>
              </w:rPr>
              <w:t>Care Act 2014 (Section 66)</w:t>
            </w:r>
            <w:r>
              <w:fldChar w:fldCharType="end"/>
            </w:r>
          </w:p>
        </w:tc>
      </w:tr>
      <w:tr w:rsidTr="5EF72ECC">
        <w:tblPrEx>
          <w:tblW w:w="10490" w:type="dxa"/>
          <w:tblInd w:w="-714" w:type="dxa"/>
          <w:tblLook w:val="04A0"/>
        </w:tblPrEx>
        <w:tc>
          <w:tcPr>
            <w:tcW w:w="1985" w:type="dxa"/>
            <w:vMerge w:val="restart"/>
          </w:tcPr>
          <w:p w:rsidR="00747491" w:rsidRPr="00613206" w:rsidP="00E03AED">
            <w:pPr>
              <w:rPr>
                <w:rFonts w:ascii="Calibri" w:hAnsi="Calibri" w:cs="Calibri"/>
                <w:b/>
                <w:sz w:val="22"/>
                <w:szCs w:val="22"/>
              </w:rPr>
            </w:pPr>
            <w:r w:rsidRPr="00613206">
              <w:rPr>
                <w:rFonts w:ascii="Calibri" w:hAnsi="Calibri" w:cs="Calibri"/>
                <w:b/>
                <w:sz w:val="22"/>
                <w:szCs w:val="22"/>
              </w:rPr>
              <w:t>Resourcing</w:t>
            </w:r>
          </w:p>
        </w:tc>
        <w:tc>
          <w:tcPr>
            <w:tcW w:w="8505" w:type="dxa"/>
          </w:tcPr>
          <w:p w:rsidR="00747491" w:rsidRPr="00613206" w:rsidP="008D6BE3">
            <w:pPr>
              <w:rPr>
                <w:rFonts w:ascii="Calibri" w:hAnsi="Calibri" w:cs="Calibri"/>
                <w:sz w:val="22"/>
                <w:szCs w:val="22"/>
              </w:rPr>
            </w:pPr>
            <w:r w:rsidRPr="00613206">
              <w:rPr>
                <w:rFonts w:ascii="Calibri" w:hAnsi="Calibri" w:cs="Calibri"/>
                <w:sz w:val="22"/>
                <w:szCs w:val="22"/>
              </w:rPr>
              <w:t>1. What resources are required by health and social care services to enable identification and implementation of transition planning from year 9, or immediately after if the young person enters services later?</w:t>
            </w:r>
          </w:p>
        </w:tc>
      </w:tr>
      <w:tr w:rsidTr="5EF72ECC">
        <w:tblPrEx>
          <w:tblW w:w="10490" w:type="dxa"/>
          <w:tblInd w:w="-714" w:type="dxa"/>
          <w:tblLook w:val="04A0"/>
        </w:tblPrEx>
        <w:tc>
          <w:tcPr>
            <w:tcW w:w="1985" w:type="dxa"/>
            <w:vMerge/>
          </w:tcPr>
          <w:p w:rsidR="00747491" w:rsidRPr="00613206">
            <w:pPr>
              <w:rPr>
                <w:rFonts w:ascii="Calibri" w:hAnsi="Calibri" w:cs="Calibri"/>
                <w:b/>
                <w:sz w:val="22"/>
                <w:szCs w:val="22"/>
              </w:rPr>
            </w:pPr>
          </w:p>
        </w:tc>
        <w:tc>
          <w:tcPr>
            <w:tcW w:w="8505" w:type="dxa"/>
          </w:tcPr>
          <w:p w:rsidR="00747491" w:rsidRPr="00613206">
            <w:pPr>
              <w:rPr>
                <w:rFonts w:ascii="Calibri" w:hAnsi="Calibri" w:cs="Calibri"/>
                <w:sz w:val="22"/>
                <w:szCs w:val="22"/>
              </w:rPr>
            </w:pPr>
          </w:p>
          <w:p w:rsidR="00747491" w:rsidRPr="00613206" w:rsidP="00642B97">
            <w:pPr>
              <w:pStyle w:val="NormalWeb"/>
              <w:rPr>
                <w:rFonts w:ascii="Calibri" w:hAnsi="Calibri" w:cs="Calibri"/>
                <w:sz w:val="22"/>
                <w:szCs w:val="22"/>
              </w:rPr>
            </w:pPr>
            <w:r w:rsidRPr="00613206">
              <w:rPr>
                <w:rFonts w:ascii="Calibri" w:hAnsi="Calibri" w:cs="Calibri"/>
                <w:sz w:val="22"/>
                <w:szCs w:val="22"/>
              </w:rPr>
              <w:t xml:space="preserve">Health and social care services require dedicated workforce capacity, funding, and coordinated systems to enable effective transition planning from Year 9 onwards, or immediately when a young person enters services later. This includes long term pathway discussions between providers, local authorities, CCG, ICB’s and adults. Adults should be aware of things a lot sooner </w:t>
            </w:r>
            <w:r w:rsidRPr="00613206">
              <w:rPr>
                <w:rFonts w:ascii="Calibri" w:hAnsi="Calibri" w:cs="Calibri"/>
                <w:sz w:val="22"/>
                <w:szCs w:val="22"/>
              </w:rPr>
              <w:t xml:space="preserve">as </w:t>
            </w:r>
            <w:r w:rsidRPr="00613206">
              <w:rPr>
                <w:rFonts w:ascii="Calibri" w:hAnsi="Calibri" w:cs="Calibri"/>
                <w:sz w:val="22"/>
                <w:szCs w:val="22"/>
              </w:rPr>
              <w:t>this will enable people who can oversee planning, sufficient staffing levels to allow time for meaningful engagement with families, and secure information sharing across agencies.</w:t>
            </w:r>
          </w:p>
          <w:p w:rsidR="00747491" w:rsidRPr="00613206" w:rsidP="00642B97">
            <w:pPr>
              <w:pStyle w:val="NormalWeb"/>
              <w:rPr>
                <w:rFonts w:ascii="Calibri" w:hAnsi="Calibri" w:cs="Calibri"/>
                <w:sz w:val="22"/>
                <w:szCs w:val="22"/>
              </w:rPr>
            </w:pPr>
            <w:r w:rsidRPr="00613206">
              <w:rPr>
                <w:rFonts w:ascii="Calibri" w:hAnsi="Calibri" w:cs="Calibri"/>
                <w:sz w:val="22"/>
                <w:szCs w:val="22"/>
              </w:rPr>
              <w:t>Professionals need appropriate training in adolescent development, safeguarding, neurodevelopmental conditions, and person-centred planning to ensure young people receive consistent support throughout which</w:t>
            </w:r>
            <w:r w:rsidRPr="00613206">
              <w:rPr>
                <w:rFonts w:ascii="Calibri" w:hAnsi="Calibri" w:cs="Calibri"/>
                <w:sz w:val="22"/>
                <w:szCs w:val="22"/>
              </w:rPr>
              <w:t xml:space="preserve"> will</w:t>
            </w:r>
            <w:r w:rsidRPr="00613206">
              <w:rPr>
                <w:rFonts w:ascii="Calibri" w:hAnsi="Calibri" w:cs="Calibri"/>
                <w:sz w:val="22"/>
                <w:szCs w:val="22"/>
              </w:rPr>
              <w:t xml:space="preserve"> include clear referral pathways and shared protocols </w:t>
            </w:r>
            <w:r w:rsidRPr="00613206">
              <w:rPr>
                <w:rFonts w:ascii="Calibri" w:hAnsi="Calibri" w:cs="Calibri"/>
                <w:sz w:val="22"/>
                <w:szCs w:val="22"/>
              </w:rPr>
              <w:t xml:space="preserve">which </w:t>
            </w:r>
            <w:r w:rsidRPr="00613206">
              <w:rPr>
                <w:rFonts w:ascii="Calibri" w:hAnsi="Calibri" w:cs="Calibri"/>
                <w:sz w:val="22"/>
                <w:szCs w:val="22"/>
              </w:rPr>
              <w:t xml:space="preserve">are essential to prevent gaps in care during the move from </w:t>
            </w:r>
            <w:r w:rsidRPr="00613206">
              <w:rPr>
                <w:rFonts w:ascii="Calibri" w:hAnsi="Calibri" w:cs="Calibri"/>
                <w:sz w:val="22"/>
                <w:szCs w:val="22"/>
              </w:rPr>
              <w:t>chil</w:t>
            </w:r>
            <w:r w:rsidRPr="00613206">
              <w:rPr>
                <w:rFonts w:ascii="Calibri" w:hAnsi="Calibri" w:cs="Calibri"/>
                <w:sz w:val="22"/>
                <w:szCs w:val="22"/>
              </w:rPr>
              <w:t xml:space="preserve">d </w:t>
            </w:r>
            <w:r w:rsidRPr="00613206">
              <w:rPr>
                <w:rFonts w:ascii="Calibri" w:hAnsi="Calibri" w:cs="Calibri"/>
                <w:sz w:val="22"/>
                <w:szCs w:val="22"/>
              </w:rPr>
              <w:t>to adult services.</w:t>
            </w:r>
          </w:p>
          <w:p w:rsidR="00747491" w:rsidRPr="00613206" w:rsidP="00642B97">
            <w:pPr>
              <w:pStyle w:val="NormalWeb"/>
              <w:rPr>
                <w:rFonts w:ascii="Calibri" w:hAnsi="Calibri" w:cs="Calibri"/>
                <w:sz w:val="22"/>
                <w:szCs w:val="22"/>
              </w:rPr>
            </w:pPr>
            <w:r w:rsidRPr="00613206">
              <w:rPr>
                <w:rFonts w:ascii="Calibri" w:hAnsi="Calibri" w:cs="Calibri"/>
                <w:sz w:val="22"/>
                <w:szCs w:val="22"/>
              </w:rPr>
              <w:t>In addition, services require adequate adult provision</w:t>
            </w:r>
            <w:r w:rsidRPr="00613206">
              <w:rPr>
                <w:rFonts w:ascii="Calibri" w:hAnsi="Calibri" w:cs="Calibri"/>
                <w:sz w:val="22"/>
                <w:szCs w:val="22"/>
              </w:rPr>
              <w:t xml:space="preserve"> to</w:t>
            </w:r>
            <w:r w:rsidRPr="00613206">
              <w:rPr>
                <w:rFonts w:ascii="Calibri" w:hAnsi="Calibri" w:cs="Calibri"/>
                <w:sz w:val="22"/>
                <w:szCs w:val="22"/>
              </w:rPr>
              <w:t xml:space="preserve"> ensure continuity of care beyond childhood. Direct investment is needed in adult mental health services to minimise </w:t>
            </w:r>
            <w:r w:rsidRPr="00613206">
              <w:rPr>
                <w:rFonts w:ascii="Calibri" w:hAnsi="Calibri" w:cs="Calibri"/>
                <w:sz w:val="22"/>
                <w:szCs w:val="22"/>
              </w:rPr>
              <w:t xml:space="preserve">the </w:t>
            </w:r>
            <w:r w:rsidRPr="00613206">
              <w:rPr>
                <w:rFonts w:ascii="Calibri" w:hAnsi="Calibri" w:cs="Calibri"/>
                <w:sz w:val="22"/>
                <w:szCs w:val="22"/>
              </w:rPr>
              <w:t>risk of homeless</w:t>
            </w:r>
            <w:r w:rsidRPr="00613206">
              <w:rPr>
                <w:rFonts w:ascii="Calibri" w:hAnsi="Calibri" w:cs="Calibri"/>
                <w:sz w:val="22"/>
                <w:szCs w:val="22"/>
              </w:rPr>
              <w:t>ness</w:t>
            </w:r>
            <w:r w:rsidRPr="00613206">
              <w:rPr>
                <w:rFonts w:ascii="Calibri" w:hAnsi="Calibri" w:cs="Calibri"/>
                <w:sz w:val="22"/>
                <w:szCs w:val="22"/>
              </w:rPr>
              <w:t>, criminality or</w:t>
            </w:r>
            <w:r w:rsidRPr="00613206">
              <w:rPr>
                <w:rFonts w:ascii="Calibri" w:hAnsi="Calibri" w:cs="Calibri"/>
                <w:sz w:val="22"/>
                <w:szCs w:val="22"/>
              </w:rPr>
              <w:t xml:space="preserve"> a journey</w:t>
            </w:r>
            <w:r w:rsidRPr="00613206">
              <w:rPr>
                <w:rFonts w:ascii="Calibri" w:hAnsi="Calibri" w:cs="Calibri"/>
                <w:sz w:val="22"/>
                <w:szCs w:val="22"/>
              </w:rPr>
              <w:t xml:space="preserve"> back in to secure services. </w:t>
            </w:r>
          </w:p>
          <w:p w:rsidR="00747491" w:rsidRPr="00613206">
            <w:pPr>
              <w:rPr>
                <w:rFonts w:ascii="Calibri" w:hAnsi="Calibri" w:cs="Calibri"/>
                <w:sz w:val="22"/>
                <w:szCs w:val="22"/>
              </w:rPr>
            </w:pPr>
          </w:p>
        </w:tc>
      </w:tr>
      <w:tr w:rsidTr="5EF72ECC">
        <w:tblPrEx>
          <w:tblW w:w="10490" w:type="dxa"/>
          <w:tblInd w:w="-714" w:type="dxa"/>
          <w:tblLook w:val="04A0"/>
        </w:tblPrEx>
        <w:tc>
          <w:tcPr>
            <w:tcW w:w="1985" w:type="dxa"/>
            <w:vMerge/>
          </w:tcPr>
          <w:p w:rsidR="00747491" w:rsidRPr="00613206">
            <w:pPr>
              <w:rPr>
                <w:rFonts w:ascii="Calibri" w:hAnsi="Calibri" w:cs="Calibri"/>
                <w:b/>
                <w:sz w:val="22"/>
                <w:szCs w:val="22"/>
              </w:rPr>
            </w:pPr>
          </w:p>
        </w:tc>
        <w:tc>
          <w:tcPr>
            <w:tcW w:w="8505" w:type="dxa"/>
          </w:tcPr>
          <w:p w:rsidR="00747491" w:rsidRPr="00613206" w:rsidP="00F13F63">
            <w:pPr>
              <w:rPr>
                <w:rFonts w:ascii="Calibri" w:hAnsi="Calibri" w:cs="Calibri"/>
                <w:sz w:val="22"/>
                <w:szCs w:val="22"/>
              </w:rPr>
            </w:pPr>
            <w:r w:rsidRPr="00613206">
              <w:rPr>
                <w:rFonts w:ascii="Calibri" w:hAnsi="Calibri" w:cs="Calibri"/>
                <w:sz w:val="22"/>
                <w:szCs w:val="22"/>
              </w:rPr>
              <w:t>2. To what extent are local authorities sufficiently resourced to assess children for continuing need and provide ongoing services, where needed, to ensure no gaps in provision</w:t>
            </w:r>
          </w:p>
          <w:p w:rsidR="00747491" w:rsidRPr="00613206" w:rsidP="00F13F63">
            <w:pPr>
              <w:rPr>
                <w:rFonts w:ascii="Calibri" w:hAnsi="Calibri" w:cs="Calibri"/>
                <w:sz w:val="22"/>
                <w:szCs w:val="22"/>
              </w:rPr>
            </w:pPr>
          </w:p>
        </w:tc>
      </w:tr>
      <w:tr w:rsidTr="5EF72ECC">
        <w:tblPrEx>
          <w:tblW w:w="10490" w:type="dxa"/>
          <w:tblInd w:w="-714" w:type="dxa"/>
          <w:tblLook w:val="04A0"/>
        </w:tblPrEx>
        <w:tc>
          <w:tcPr>
            <w:tcW w:w="1985" w:type="dxa"/>
            <w:vMerge/>
          </w:tcPr>
          <w:p w:rsidR="00747491" w:rsidRPr="00613206">
            <w:pPr>
              <w:rPr>
                <w:rFonts w:ascii="Calibri" w:hAnsi="Calibri" w:cs="Calibri"/>
                <w:b/>
                <w:sz w:val="22"/>
                <w:szCs w:val="22"/>
              </w:rPr>
            </w:pPr>
          </w:p>
        </w:tc>
        <w:tc>
          <w:tcPr>
            <w:tcW w:w="8505" w:type="dxa"/>
          </w:tcPr>
          <w:p w:rsidR="00747491" w:rsidRPr="00613206">
            <w:pPr>
              <w:rPr>
                <w:rFonts w:ascii="Calibri" w:hAnsi="Calibri" w:cs="Calibri"/>
                <w:sz w:val="22"/>
                <w:szCs w:val="22"/>
              </w:rPr>
            </w:pPr>
          </w:p>
          <w:p w:rsidR="00747491" w:rsidRPr="00613206" w:rsidP="00642B97">
            <w:pPr>
              <w:pStyle w:val="NormalWeb"/>
              <w:rPr>
                <w:rFonts w:ascii="Calibri" w:hAnsi="Calibri" w:cs="Calibri"/>
                <w:sz w:val="22"/>
                <w:szCs w:val="22"/>
              </w:rPr>
            </w:pPr>
            <w:r w:rsidRPr="00613206">
              <w:rPr>
                <w:rFonts w:ascii="Calibri" w:hAnsi="Calibri" w:cs="Calibri"/>
                <w:sz w:val="22"/>
                <w:szCs w:val="22"/>
              </w:rPr>
              <w:t xml:space="preserve">Local authorities are facing significant challenges in being sufficiently resourced to assess children for continuing need and </w:t>
            </w:r>
            <w:r w:rsidRPr="00613206">
              <w:rPr>
                <w:rFonts w:ascii="Calibri" w:hAnsi="Calibri" w:cs="Calibri"/>
                <w:sz w:val="22"/>
                <w:szCs w:val="22"/>
              </w:rPr>
              <w:t xml:space="preserve">to </w:t>
            </w:r>
            <w:r w:rsidRPr="00613206">
              <w:rPr>
                <w:rFonts w:ascii="Calibri" w:hAnsi="Calibri" w:cs="Calibri"/>
                <w:sz w:val="22"/>
                <w:szCs w:val="22"/>
              </w:rPr>
              <w:t xml:space="preserve">provide consistent ongoing services. </w:t>
            </w:r>
            <w:r w:rsidRPr="00613206">
              <w:rPr>
                <w:rFonts w:ascii="Calibri" w:hAnsi="Calibri" w:cs="Calibri"/>
                <w:sz w:val="22"/>
                <w:szCs w:val="22"/>
              </w:rPr>
              <w:br/>
            </w:r>
            <w:r w:rsidRPr="00613206">
              <w:rPr>
                <w:rFonts w:ascii="Calibri" w:hAnsi="Calibri" w:cs="Calibri"/>
                <w:sz w:val="22"/>
                <w:szCs w:val="22"/>
              </w:rPr>
              <w:br/>
            </w:r>
            <w:r w:rsidRPr="00613206">
              <w:rPr>
                <w:rFonts w:ascii="Calibri" w:hAnsi="Calibri" w:cs="Calibri"/>
                <w:sz w:val="22"/>
                <w:szCs w:val="22"/>
              </w:rPr>
              <w:t>There is i</w:t>
            </w:r>
            <w:r w:rsidRPr="00613206">
              <w:rPr>
                <w:rFonts w:ascii="Calibri" w:hAnsi="Calibri" w:cs="Calibri"/>
                <w:sz w:val="22"/>
                <w:szCs w:val="22"/>
              </w:rPr>
              <w:t>ncreasing demand for health and social care support from young people due to the increase of diagnos</w:t>
            </w:r>
            <w:r w:rsidRPr="00613206">
              <w:rPr>
                <w:rFonts w:ascii="Calibri" w:hAnsi="Calibri" w:cs="Calibri"/>
                <w:sz w:val="22"/>
                <w:szCs w:val="22"/>
              </w:rPr>
              <w:t>e</w:t>
            </w:r>
            <w:r w:rsidRPr="00613206">
              <w:rPr>
                <w:rFonts w:ascii="Calibri" w:hAnsi="Calibri" w:cs="Calibri"/>
                <w:sz w:val="22"/>
                <w:szCs w:val="22"/>
              </w:rPr>
              <w:t>s, emerging diagnos</w:t>
            </w:r>
            <w:r w:rsidRPr="00613206">
              <w:rPr>
                <w:rFonts w:ascii="Calibri" w:hAnsi="Calibri" w:cs="Calibri"/>
                <w:sz w:val="22"/>
                <w:szCs w:val="22"/>
              </w:rPr>
              <w:t>es</w:t>
            </w:r>
            <w:r w:rsidRPr="00613206">
              <w:rPr>
                <w:rFonts w:ascii="Calibri" w:hAnsi="Calibri" w:cs="Calibri"/>
                <w:sz w:val="22"/>
                <w:szCs w:val="22"/>
              </w:rPr>
              <w:t xml:space="preserve">, and conditions </w:t>
            </w:r>
            <w:r w:rsidRPr="00613206">
              <w:rPr>
                <w:rFonts w:ascii="Calibri" w:hAnsi="Calibri" w:cs="Calibri"/>
                <w:sz w:val="22"/>
                <w:szCs w:val="22"/>
              </w:rPr>
              <w:t xml:space="preserve">that </w:t>
            </w:r>
            <w:r w:rsidRPr="00613206">
              <w:rPr>
                <w:rFonts w:ascii="Calibri" w:hAnsi="Calibri" w:cs="Calibri"/>
                <w:sz w:val="22"/>
                <w:szCs w:val="22"/>
              </w:rPr>
              <w:t>f</w:t>
            </w:r>
            <w:r w:rsidRPr="00613206">
              <w:rPr>
                <w:rFonts w:ascii="Calibri" w:hAnsi="Calibri" w:cs="Calibri"/>
                <w:sz w:val="22"/>
                <w:szCs w:val="22"/>
              </w:rPr>
              <w:t>all</w:t>
            </w:r>
            <w:r w:rsidRPr="00613206">
              <w:rPr>
                <w:rFonts w:ascii="Calibri" w:hAnsi="Calibri" w:cs="Calibri"/>
                <w:sz w:val="22"/>
                <w:szCs w:val="22"/>
              </w:rPr>
              <w:t xml:space="preserve"> under</w:t>
            </w:r>
            <w:r w:rsidRPr="00613206">
              <w:rPr>
                <w:rFonts w:ascii="Calibri" w:hAnsi="Calibri" w:cs="Calibri"/>
                <w:sz w:val="22"/>
                <w:szCs w:val="22"/>
              </w:rPr>
              <w:t xml:space="preserve"> the definition of</w:t>
            </w:r>
            <w:r w:rsidRPr="00613206">
              <w:rPr>
                <w:rFonts w:ascii="Calibri" w:hAnsi="Calibri" w:cs="Calibri"/>
                <w:sz w:val="22"/>
                <w:szCs w:val="22"/>
              </w:rPr>
              <w:t xml:space="preserve"> mental health.</w:t>
            </w:r>
            <w:r w:rsidRPr="00613206">
              <w:rPr>
                <w:rFonts w:ascii="Calibri" w:hAnsi="Calibri" w:cs="Calibri"/>
                <w:sz w:val="22"/>
                <w:szCs w:val="22"/>
              </w:rPr>
              <w:t xml:space="preserve">  Additionally,</w:t>
            </w:r>
            <w:r w:rsidRPr="00613206">
              <w:rPr>
                <w:rFonts w:ascii="Calibri" w:hAnsi="Calibri" w:cs="Calibri"/>
                <w:sz w:val="22"/>
                <w:szCs w:val="22"/>
              </w:rPr>
              <w:t xml:space="preserve"> there </w:t>
            </w:r>
            <w:r w:rsidRPr="00613206">
              <w:rPr>
                <w:rFonts w:ascii="Calibri" w:hAnsi="Calibri" w:cs="Calibri"/>
                <w:sz w:val="22"/>
                <w:szCs w:val="22"/>
              </w:rPr>
              <w:t xml:space="preserve">is a </w:t>
            </w:r>
            <w:r w:rsidRPr="00613206">
              <w:rPr>
                <w:rFonts w:ascii="Calibri" w:hAnsi="Calibri" w:cs="Calibri"/>
                <w:sz w:val="22"/>
                <w:szCs w:val="22"/>
              </w:rPr>
              <w:t xml:space="preserve">350% increase </w:t>
            </w:r>
            <w:r w:rsidRPr="00613206">
              <w:rPr>
                <w:rFonts w:ascii="Calibri" w:hAnsi="Calibri" w:cs="Calibri"/>
                <w:sz w:val="22"/>
                <w:szCs w:val="22"/>
              </w:rPr>
              <w:t>in the number of</w:t>
            </w:r>
            <w:r w:rsidRPr="00613206">
              <w:rPr>
                <w:rFonts w:ascii="Calibri" w:hAnsi="Calibri" w:cs="Calibri"/>
                <w:sz w:val="22"/>
                <w:szCs w:val="22"/>
              </w:rPr>
              <w:t xml:space="preserve"> people entering care at 16 and 17. </w:t>
            </w:r>
            <w:r w:rsidRPr="00613206">
              <w:rPr>
                <w:rFonts w:ascii="Calibri" w:hAnsi="Calibri" w:cs="Calibri"/>
                <w:sz w:val="22"/>
                <w:szCs w:val="22"/>
              </w:rPr>
              <w:br/>
            </w:r>
            <w:r w:rsidRPr="00613206">
              <w:rPr>
                <w:rFonts w:ascii="Calibri" w:hAnsi="Calibri" w:cs="Calibri"/>
                <w:sz w:val="22"/>
                <w:szCs w:val="22"/>
              </w:rPr>
              <w:br/>
              <w:t>Alongside these residential shortages</w:t>
            </w:r>
            <w:r w:rsidRPr="00613206">
              <w:rPr>
                <w:rFonts w:ascii="Calibri" w:hAnsi="Calibri" w:cs="Calibri"/>
                <w:sz w:val="22"/>
                <w:szCs w:val="22"/>
              </w:rPr>
              <w:t xml:space="preserve">, </w:t>
            </w:r>
            <w:r w:rsidRPr="00613206">
              <w:rPr>
                <w:rFonts w:ascii="Calibri" w:hAnsi="Calibri" w:cs="Calibri"/>
                <w:sz w:val="22"/>
                <w:szCs w:val="22"/>
              </w:rPr>
              <w:t>as the</w:t>
            </w:r>
            <w:r w:rsidRPr="00613206">
              <w:rPr>
                <w:rFonts w:ascii="Calibri" w:hAnsi="Calibri" w:cs="Calibri"/>
                <w:sz w:val="22"/>
                <w:szCs w:val="22"/>
              </w:rPr>
              <w:t>re is</w:t>
            </w:r>
            <w:r w:rsidRPr="00613206">
              <w:rPr>
                <w:rFonts w:ascii="Calibri" w:hAnsi="Calibri" w:cs="Calibri"/>
                <w:sz w:val="22"/>
                <w:szCs w:val="22"/>
              </w:rPr>
              <w:t xml:space="preserve"> </w:t>
            </w:r>
            <w:r w:rsidRPr="00613206">
              <w:rPr>
                <w:rFonts w:ascii="Calibri" w:hAnsi="Calibri" w:cs="Calibri"/>
                <w:sz w:val="22"/>
                <w:szCs w:val="22"/>
              </w:rPr>
              <w:t>little</w:t>
            </w:r>
            <w:r w:rsidRPr="00613206">
              <w:rPr>
                <w:rFonts w:ascii="Calibri" w:hAnsi="Calibri" w:cs="Calibri"/>
                <w:sz w:val="22"/>
                <w:szCs w:val="22"/>
              </w:rPr>
              <w:t xml:space="preserve"> clinical support and </w:t>
            </w:r>
            <w:r w:rsidRPr="00613206">
              <w:rPr>
                <w:rFonts w:ascii="Calibri" w:hAnsi="Calibri" w:cs="Calibri"/>
                <w:sz w:val="22"/>
                <w:szCs w:val="22"/>
              </w:rPr>
              <w:t xml:space="preserve">increasing </w:t>
            </w:r>
            <w:r w:rsidRPr="00613206">
              <w:rPr>
                <w:rFonts w:ascii="Calibri" w:hAnsi="Calibri" w:cs="Calibri"/>
                <w:sz w:val="22"/>
                <w:szCs w:val="22"/>
              </w:rPr>
              <w:t>financial pressure</w:t>
            </w:r>
            <w:r w:rsidRPr="00613206">
              <w:rPr>
                <w:rFonts w:ascii="Calibri" w:hAnsi="Calibri" w:cs="Calibri"/>
                <w:sz w:val="22"/>
                <w:szCs w:val="22"/>
              </w:rPr>
              <w:t xml:space="preserve">, </w:t>
            </w:r>
            <w:r w:rsidRPr="00613206">
              <w:rPr>
                <w:rFonts w:ascii="Calibri" w:hAnsi="Calibri" w:cs="Calibri"/>
                <w:sz w:val="22"/>
                <w:szCs w:val="22"/>
              </w:rPr>
              <w:t>considerable strain</w:t>
            </w:r>
            <w:r w:rsidRPr="00613206">
              <w:rPr>
                <w:rFonts w:ascii="Calibri" w:hAnsi="Calibri" w:cs="Calibri"/>
                <w:sz w:val="22"/>
                <w:szCs w:val="22"/>
              </w:rPr>
              <w:t xml:space="preserve"> is being placed</w:t>
            </w:r>
            <w:r w:rsidRPr="00613206">
              <w:rPr>
                <w:rFonts w:ascii="Calibri" w:hAnsi="Calibri" w:cs="Calibri"/>
                <w:sz w:val="22"/>
                <w:szCs w:val="22"/>
              </w:rPr>
              <w:t xml:space="preserve"> on local authority services. As a result, many areas experience delays in assessment</w:t>
            </w:r>
            <w:r w:rsidRPr="00613206">
              <w:rPr>
                <w:rFonts w:ascii="Calibri" w:hAnsi="Calibri" w:cs="Calibri"/>
                <w:sz w:val="22"/>
                <w:szCs w:val="22"/>
              </w:rPr>
              <w:t xml:space="preserve">s, </w:t>
            </w:r>
            <w:r w:rsidRPr="00613206">
              <w:rPr>
                <w:rFonts w:ascii="Calibri" w:hAnsi="Calibri" w:cs="Calibri"/>
                <w:sz w:val="22"/>
                <w:szCs w:val="22"/>
              </w:rPr>
              <w:t xml:space="preserve">people who have </w:t>
            </w:r>
            <w:r w:rsidRPr="00613206">
              <w:rPr>
                <w:rFonts w:ascii="Calibri" w:hAnsi="Calibri" w:cs="Calibri"/>
                <w:sz w:val="22"/>
                <w:szCs w:val="22"/>
              </w:rPr>
              <w:t>been in hospital for too long</w:t>
            </w:r>
            <w:r w:rsidRPr="00613206">
              <w:rPr>
                <w:rFonts w:ascii="Calibri" w:hAnsi="Calibri" w:cs="Calibri"/>
                <w:sz w:val="22"/>
                <w:szCs w:val="22"/>
              </w:rPr>
              <w:t>,</w:t>
            </w:r>
            <w:r w:rsidRPr="00613206">
              <w:rPr>
                <w:rFonts w:ascii="Calibri" w:hAnsi="Calibri" w:cs="Calibri"/>
                <w:sz w:val="22"/>
                <w:szCs w:val="22"/>
              </w:rPr>
              <w:t xml:space="preserve"> long waiting times</w:t>
            </w:r>
            <w:r w:rsidRPr="00613206">
              <w:rPr>
                <w:rFonts w:ascii="Calibri" w:hAnsi="Calibri" w:cs="Calibri"/>
                <w:sz w:val="22"/>
                <w:szCs w:val="22"/>
              </w:rPr>
              <w:t xml:space="preserve"> and </w:t>
            </w:r>
            <w:r w:rsidRPr="00613206">
              <w:rPr>
                <w:rFonts w:ascii="Calibri" w:hAnsi="Calibri" w:cs="Calibri"/>
                <w:sz w:val="22"/>
                <w:szCs w:val="22"/>
              </w:rPr>
              <w:t>high caseloads</w:t>
            </w:r>
            <w:r w:rsidRPr="00613206">
              <w:rPr>
                <w:rFonts w:ascii="Calibri" w:hAnsi="Calibri" w:cs="Calibri"/>
                <w:sz w:val="22"/>
                <w:szCs w:val="22"/>
              </w:rPr>
              <w:t xml:space="preserve"> all of</w:t>
            </w:r>
            <w:r w:rsidRPr="00613206">
              <w:rPr>
                <w:rFonts w:ascii="Calibri" w:hAnsi="Calibri" w:cs="Calibri"/>
                <w:sz w:val="22"/>
                <w:szCs w:val="22"/>
              </w:rPr>
              <w:t xml:space="preserve"> which can increase the risk of gaps in provision during transition periods.</w:t>
            </w:r>
          </w:p>
          <w:p w:rsidR="00747491" w:rsidRPr="00613206" w:rsidP="00642B97">
            <w:pPr>
              <w:pStyle w:val="NormalWeb"/>
              <w:rPr>
                <w:rFonts w:ascii="Calibri" w:hAnsi="Calibri" w:cs="Calibri"/>
                <w:sz w:val="22"/>
                <w:szCs w:val="22"/>
              </w:rPr>
            </w:pPr>
            <w:r w:rsidRPr="00613206">
              <w:rPr>
                <w:rFonts w:ascii="Calibri" w:hAnsi="Calibri" w:cs="Calibri"/>
                <w:sz w:val="22"/>
                <w:szCs w:val="22"/>
              </w:rPr>
              <w:t>There is limited capacity within adult social care</w:t>
            </w:r>
            <w:r w:rsidRPr="00613206">
              <w:rPr>
                <w:rFonts w:ascii="Calibri" w:hAnsi="Calibri" w:cs="Calibri"/>
                <w:sz w:val="22"/>
                <w:szCs w:val="22"/>
              </w:rPr>
              <w:t>, limited regulatory oversight</w:t>
            </w:r>
            <w:r w:rsidRPr="00613206">
              <w:rPr>
                <w:rFonts w:ascii="Calibri" w:hAnsi="Calibri" w:cs="Calibri"/>
                <w:sz w:val="22"/>
                <w:szCs w:val="22"/>
              </w:rPr>
              <w:t>, mental health services and specialist disability provision which can mean that young people going through children’s services may struggle to meet adult service eligibility thresholds, leading to reduced or interrupted support.</w:t>
            </w:r>
          </w:p>
          <w:p w:rsidR="00747491" w:rsidRPr="00613206" w:rsidP="00642B97">
            <w:pPr>
              <w:pStyle w:val="NormalWeb"/>
              <w:rPr>
                <w:rFonts w:ascii="Calibri" w:hAnsi="Calibri" w:cs="Calibri"/>
                <w:sz w:val="22"/>
                <w:szCs w:val="22"/>
              </w:rPr>
            </w:pPr>
            <w:r w:rsidRPr="00613206">
              <w:rPr>
                <w:rFonts w:ascii="Calibri" w:hAnsi="Calibri" w:cs="Calibri"/>
                <w:sz w:val="22"/>
                <w:szCs w:val="22"/>
              </w:rPr>
              <w:t xml:space="preserve">To ensure no gaps in provision, local authorities require </w:t>
            </w:r>
            <w:r w:rsidRPr="00613206">
              <w:rPr>
                <w:rFonts w:ascii="Calibri" w:hAnsi="Calibri" w:cs="Calibri"/>
                <w:sz w:val="22"/>
                <w:szCs w:val="22"/>
              </w:rPr>
              <w:t xml:space="preserve">more flexibility on what meets the threshold for funding and earlier intervention </w:t>
            </w:r>
            <w:r w:rsidRPr="00613206">
              <w:rPr>
                <w:rFonts w:ascii="Calibri" w:hAnsi="Calibri" w:cs="Calibri"/>
                <w:sz w:val="22"/>
                <w:szCs w:val="22"/>
              </w:rPr>
              <w:t>as well as</w:t>
            </w:r>
            <w:r w:rsidRPr="00613206">
              <w:rPr>
                <w:rFonts w:ascii="Calibri" w:hAnsi="Calibri" w:cs="Calibri"/>
                <w:sz w:val="22"/>
                <w:szCs w:val="22"/>
              </w:rPr>
              <w:t xml:space="preserve"> escalat</w:t>
            </w:r>
            <w:r w:rsidRPr="00613206">
              <w:rPr>
                <w:rFonts w:ascii="Calibri" w:hAnsi="Calibri" w:cs="Calibri"/>
                <w:sz w:val="22"/>
                <w:szCs w:val="22"/>
              </w:rPr>
              <w:t>ing the pathway</w:t>
            </w:r>
            <w:r w:rsidRPr="00613206">
              <w:rPr>
                <w:rFonts w:ascii="Calibri" w:hAnsi="Calibri" w:cs="Calibri"/>
                <w:sz w:val="22"/>
                <w:szCs w:val="22"/>
              </w:rPr>
              <w:t xml:space="preserve"> to adult</w:t>
            </w:r>
            <w:r w:rsidRPr="00613206">
              <w:rPr>
                <w:rFonts w:ascii="Calibri" w:hAnsi="Calibri" w:cs="Calibri"/>
                <w:sz w:val="22"/>
                <w:szCs w:val="22"/>
              </w:rPr>
              <w:t xml:space="preserve"> provision</w:t>
            </w:r>
            <w:r w:rsidRPr="00613206">
              <w:rPr>
                <w:rFonts w:ascii="Calibri" w:hAnsi="Calibri" w:cs="Calibri"/>
                <w:sz w:val="22"/>
                <w:szCs w:val="22"/>
              </w:rPr>
              <w:t xml:space="preserve"> earlier and ICB to minimise</w:t>
            </w:r>
            <w:r w:rsidRPr="00613206">
              <w:rPr>
                <w:rFonts w:ascii="Calibri" w:hAnsi="Calibri" w:cs="Calibri"/>
                <w:sz w:val="22"/>
                <w:szCs w:val="22"/>
              </w:rPr>
              <w:t xml:space="preserve"> the</w:t>
            </w:r>
            <w:r w:rsidRPr="00613206">
              <w:rPr>
                <w:rFonts w:ascii="Calibri" w:hAnsi="Calibri" w:cs="Calibri"/>
                <w:sz w:val="22"/>
                <w:szCs w:val="22"/>
              </w:rPr>
              <w:t xml:space="preserve"> risks of harm to care leavers. </w:t>
            </w:r>
          </w:p>
          <w:p w:rsidR="00747491" w:rsidRPr="00613206" w:rsidP="00642B97">
            <w:pPr>
              <w:pStyle w:val="NormalWeb"/>
              <w:rPr>
                <w:rFonts w:ascii="Calibri" w:hAnsi="Calibri" w:cs="Calibri"/>
                <w:sz w:val="22"/>
                <w:szCs w:val="22"/>
              </w:rPr>
            </w:pPr>
            <w:r w:rsidRPr="00613206">
              <w:rPr>
                <w:rFonts w:ascii="Calibri" w:hAnsi="Calibri" w:cs="Calibri"/>
                <w:sz w:val="22"/>
                <w:szCs w:val="22"/>
              </w:rPr>
              <w:t xml:space="preserve">The lack of flexibility which includes rigid regulation creates an issue. Local Authorities want to support providers but providers are </w:t>
            </w:r>
            <w:r w:rsidRPr="00613206">
              <w:rPr>
                <w:rFonts w:ascii="Calibri" w:hAnsi="Calibri" w:cs="Calibri"/>
                <w:sz w:val="22"/>
                <w:szCs w:val="22"/>
              </w:rPr>
              <w:t>severely restricted</w:t>
            </w:r>
            <w:r w:rsidRPr="00613206">
              <w:rPr>
                <w:rFonts w:ascii="Calibri" w:hAnsi="Calibri" w:cs="Calibri"/>
                <w:sz w:val="22"/>
                <w:szCs w:val="22"/>
              </w:rPr>
              <w:t xml:space="preserve"> by a</w:t>
            </w:r>
            <w:r w:rsidRPr="00613206">
              <w:rPr>
                <w:rFonts w:ascii="Calibri" w:hAnsi="Calibri" w:cs="Calibri"/>
                <w:sz w:val="22"/>
                <w:szCs w:val="22"/>
              </w:rPr>
              <w:t xml:space="preserve"> one regulation fits all</w:t>
            </w:r>
            <w:r w:rsidRPr="00613206">
              <w:rPr>
                <w:rFonts w:ascii="Calibri" w:hAnsi="Calibri" w:cs="Calibri"/>
                <w:sz w:val="22"/>
                <w:szCs w:val="22"/>
              </w:rPr>
              <w:t xml:space="preserve"> environment</w:t>
            </w:r>
            <w:r w:rsidRPr="00613206">
              <w:rPr>
                <w:rFonts w:ascii="Calibri" w:hAnsi="Calibri" w:cs="Calibri"/>
                <w:sz w:val="22"/>
                <w:szCs w:val="22"/>
              </w:rPr>
              <w:t xml:space="preserve"> that is </w:t>
            </w:r>
            <w:r w:rsidRPr="00613206">
              <w:rPr>
                <w:rFonts w:ascii="Calibri" w:hAnsi="Calibri" w:cs="Calibri"/>
                <w:sz w:val="22"/>
                <w:szCs w:val="22"/>
              </w:rPr>
              <w:t xml:space="preserve">definitely </w:t>
            </w:r>
            <w:r w:rsidRPr="00613206">
              <w:rPr>
                <w:rFonts w:ascii="Calibri" w:hAnsi="Calibri" w:cs="Calibri"/>
                <w:sz w:val="22"/>
                <w:szCs w:val="22"/>
              </w:rPr>
              <w:t xml:space="preserve">not person centred. </w:t>
            </w:r>
          </w:p>
          <w:p w:rsidR="00747491" w:rsidRPr="00613206">
            <w:pPr>
              <w:rPr>
                <w:rFonts w:ascii="Calibri" w:hAnsi="Calibri" w:cs="Calibri"/>
                <w:sz w:val="22"/>
                <w:szCs w:val="22"/>
              </w:rPr>
            </w:pPr>
          </w:p>
          <w:p w:rsidR="00747491" w:rsidRPr="00613206">
            <w:pPr>
              <w:rPr>
                <w:rFonts w:ascii="Calibri" w:hAnsi="Calibri" w:cs="Calibri"/>
                <w:sz w:val="22"/>
                <w:szCs w:val="22"/>
              </w:rPr>
            </w:pPr>
          </w:p>
        </w:tc>
      </w:tr>
      <w:tr w:rsidTr="5EF72ECC">
        <w:tblPrEx>
          <w:tblW w:w="10490" w:type="dxa"/>
          <w:tblInd w:w="-714" w:type="dxa"/>
          <w:tblLook w:val="04A0"/>
        </w:tblPrEx>
        <w:tc>
          <w:tcPr>
            <w:tcW w:w="1985" w:type="dxa"/>
            <w:vMerge w:val="restart"/>
          </w:tcPr>
          <w:p w:rsidR="00747491" w:rsidRPr="00613206">
            <w:pPr>
              <w:rPr>
                <w:rFonts w:ascii="Calibri" w:hAnsi="Calibri" w:cs="Calibri"/>
                <w:b/>
                <w:sz w:val="22"/>
                <w:szCs w:val="22"/>
              </w:rPr>
            </w:pPr>
            <w:r w:rsidRPr="00613206">
              <w:rPr>
                <w:rFonts w:ascii="Calibri" w:hAnsi="Calibri" w:cs="Calibri"/>
                <w:b/>
                <w:sz w:val="22"/>
                <w:szCs w:val="22"/>
              </w:rPr>
              <w:t>Effectiveness and implementation</w:t>
            </w:r>
          </w:p>
        </w:tc>
        <w:tc>
          <w:tcPr>
            <w:tcW w:w="8505" w:type="dxa"/>
          </w:tcPr>
          <w:p w:rsidR="00747491" w:rsidRPr="00613206">
            <w:pPr>
              <w:rPr>
                <w:rFonts w:ascii="Calibri" w:hAnsi="Calibri" w:cs="Calibri"/>
                <w:sz w:val="22"/>
                <w:szCs w:val="22"/>
              </w:rPr>
            </w:pPr>
            <w:r w:rsidRPr="00613206">
              <w:rPr>
                <w:rFonts w:ascii="Calibri" w:hAnsi="Calibri" w:cs="Calibri"/>
                <w:sz w:val="22"/>
                <w:szCs w:val="22"/>
              </w:rPr>
              <w:t>1. How do services identify those who will need to transition to adult services, and what proportion start transition planning in year 9? How is this monitored?</w:t>
            </w:r>
          </w:p>
        </w:tc>
      </w:tr>
      <w:tr w:rsidTr="5EF72ECC">
        <w:tblPrEx>
          <w:tblW w:w="10490" w:type="dxa"/>
          <w:tblInd w:w="-714" w:type="dxa"/>
          <w:tblLook w:val="04A0"/>
        </w:tblPrEx>
        <w:tc>
          <w:tcPr>
            <w:tcW w:w="1985" w:type="dxa"/>
            <w:vMerge/>
          </w:tcPr>
          <w:p w:rsidR="00747491" w:rsidRPr="00613206">
            <w:pPr>
              <w:rPr>
                <w:rFonts w:ascii="Calibri" w:hAnsi="Calibri" w:cs="Calibri"/>
                <w:b/>
                <w:sz w:val="22"/>
                <w:szCs w:val="22"/>
              </w:rPr>
            </w:pPr>
          </w:p>
        </w:tc>
        <w:tc>
          <w:tcPr>
            <w:tcW w:w="8505" w:type="dxa"/>
          </w:tcPr>
          <w:p w:rsidR="00747491" w:rsidRPr="00613206" w:rsidP="00D6688F">
            <w:pPr>
              <w:pStyle w:val="NormalWeb"/>
              <w:rPr>
                <w:rFonts w:ascii="Calibri" w:hAnsi="Calibri" w:cs="Calibri"/>
                <w:sz w:val="22"/>
                <w:szCs w:val="22"/>
              </w:rPr>
            </w:pPr>
            <w:r w:rsidRPr="00613206">
              <w:rPr>
                <w:rFonts w:ascii="Calibri" w:hAnsi="Calibri" w:cs="Calibri"/>
                <w:sz w:val="22"/>
                <w:szCs w:val="22"/>
              </w:rPr>
              <w:br/>
              <w:t xml:space="preserve">Local </w:t>
            </w:r>
            <w:r w:rsidRPr="00613206">
              <w:rPr>
                <w:rFonts w:ascii="Calibri" w:hAnsi="Calibri" w:cs="Calibri"/>
                <w:sz w:val="22"/>
                <w:szCs w:val="22"/>
              </w:rPr>
              <w:t>authorities</w:t>
            </w:r>
            <w:r w:rsidRPr="00613206">
              <w:rPr>
                <w:rFonts w:ascii="Calibri" w:hAnsi="Calibri" w:cs="Calibri"/>
                <w:sz w:val="22"/>
                <w:szCs w:val="22"/>
              </w:rPr>
              <w:t xml:space="preserve"> are typically</w:t>
            </w:r>
            <w:r w:rsidRPr="00613206">
              <w:rPr>
                <w:rFonts w:ascii="Calibri" w:hAnsi="Calibri" w:cs="Calibri"/>
                <w:sz w:val="22"/>
                <w:szCs w:val="22"/>
              </w:rPr>
              <w:t xml:space="preserve"> the </w:t>
            </w:r>
            <w:r w:rsidRPr="00613206">
              <w:rPr>
                <w:rFonts w:ascii="Calibri" w:hAnsi="Calibri" w:cs="Calibri"/>
                <w:sz w:val="22"/>
                <w:szCs w:val="22"/>
              </w:rPr>
              <w:t>bodies</w:t>
            </w:r>
            <w:r w:rsidRPr="00613206">
              <w:rPr>
                <w:rFonts w:ascii="Calibri" w:hAnsi="Calibri" w:cs="Calibri"/>
                <w:sz w:val="22"/>
                <w:szCs w:val="22"/>
              </w:rPr>
              <w:t xml:space="preserve"> responsible</w:t>
            </w:r>
            <w:r w:rsidRPr="00613206">
              <w:rPr>
                <w:rFonts w:ascii="Calibri" w:hAnsi="Calibri" w:cs="Calibri"/>
                <w:sz w:val="22"/>
                <w:szCs w:val="22"/>
              </w:rPr>
              <w:t xml:space="preserve"> for</w:t>
            </w:r>
            <w:r w:rsidRPr="00613206">
              <w:rPr>
                <w:rFonts w:ascii="Calibri" w:hAnsi="Calibri" w:cs="Calibri"/>
                <w:sz w:val="22"/>
                <w:szCs w:val="22"/>
              </w:rPr>
              <w:t xml:space="preserve"> identifying young people who will need to transition to adult services</w:t>
            </w:r>
            <w:r w:rsidRPr="00613206">
              <w:rPr>
                <w:rFonts w:ascii="Calibri" w:hAnsi="Calibri" w:cs="Calibri"/>
                <w:sz w:val="22"/>
                <w:szCs w:val="22"/>
              </w:rPr>
              <w:t>. However</w:t>
            </w:r>
            <w:r w:rsidRPr="00613206">
              <w:rPr>
                <w:rFonts w:ascii="Calibri" w:hAnsi="Calibri" w:cs="Calibri"/>
                <w:sz w:val="22"/>
                <w:szCs w:val="22"/>
              </w:rPr>
              <w:t>,</w:t>
            </w:r>
            <w:r w:rsidRPr="00613206">
              <w:rPr>
                <w:rFonts w:ascii="Calibri" w:hAnsi="Calibri" w:cs="Calibri"/>
                <w:sz w:val="22"/>
                <w:szCs w:val="22"/>
              </w:rPr>
              <w:t xml:space="preserve"> providers, externals advocates, personal advisors </w:t>
            </w:r>
            <w:r w:rsidRPr="00613206">
              <w:rPr>
                <w:rFonts w:ascii="Calibri" w:hAnsi="Calibri" w:cs="Calibri"/>
                <w:sz w:val="22"/>
                <w:szCs w:val="22"/>
              </w:rPr>
              <w:t>and</w:t>
            </w:r>
            <w:r w:rsidRPr="00613206">
              <w:rPr>
                <w:rFonts w:ascii="Calibri" w:hAnsi="Calibri" w:cs="Calibri"/>
                <w:sz w:val="22"/>
                <w:szCs w:val="22"/>
              </w:rPr>
              <w:t xml:space="preserve"> adults can also be involved</w:t>
            </w:r>
            <w:r w:rsidRPr="00613206">
              <w:rPr>
                <w:rFonts w:ascii="Calibri" w:hAnsi="Calibri" w:cs="Calibri"/>
                <w:sz w:val="22"/>
                <w:szCs w:val="22"/>
              </w:rPr>
              <w:t>,</w:t>
            </w:r>
            <w:r w:rsidRPr="00613206">
              <w:rPr>
                <w:rFonts w:ascii="Calibri" w:hAnsi="Calibri" w:cs="Calibri"/>
                <w:sz w:val="22"/>
                <w:szCs w:val="22"/>
              </w:rPr>
              <w:t xml:space="preserve"> especially when needs are</w:t>
            </w:r>
            <w:r w:rsidRPr="00613206">
              <w:rPr>
                <w:rFonts w:ascii="Calibri" w:hAnsi="Calibri" w:cs="Calibri"/>
                <w:sz w:val="22"/>
                <w:szCs w:val="22"/>
              </w:rPr>
              <w:t xml:space="preserve"> </w:t>
            </w:r>
            <w:r w:rsidRPr="00613206">
              <w:rPr>
                <w:rFonts w:ascii="Calibri" w:hAnsi="Calibri" w:cs="Calibri"/>
                <w:sz w:val="22"/>
                <w:szCs w:val="22"/>
              </w:rPr>
              <w:t xml:space="preserve">high and complex </w:t>
            </w:r>
            <w:r w:rsidRPr="00613206">
              <w:rPr>
                <w:rFonts w:ascii="Calibri" w:hAnsi="Calibri" w:cs="Calibri"/>
                <w:sz w:val="22"/>
                <w:szCs w:val="22"/>
              </w:rPr>
              <w:t>enough to</w:t>
            </w:r>
            <w:r w:rsidRPr="00613206">
              <w:rPr>
                <w:rFonts w:ascii="Calibri" w:hAnsi="Calibri" w:cs="Calibri"/>
                <w:sz w:val="22"/>
                <w:szCs w:val="22"/>
              </w:rPr>
              <w:t xml:space="preserve"> meet the requirements of personal care and treatment in a different regulatory pathway</w:t>
            </w:r>
            <w:r w:rsidRPr="00613206">
              <w:rPr>
                <w:rFonts w:ascii="Calibri" w:hAnsi="Calibri" w:cs="Calibri"/>
                <w:sz w:val="22"/>
                <w:szCs w:val="22"/>
              </w:rPr>
              <w:t xml:space="preserve"> to those most</w:t>
            </w:r>
            <w:r w:rsidRPr="00613206">
              <w:rPr>
                <w:rFonts w:ascii="Calibri" w:hAnsi="Calibri" w:cs="Calibri"/>
                <w:sz w:val="22"/>
                <w:szCs w:val="22"/>
              </w:rPr>
              <w:t xml:space="preserve"> common</w:t>
            </w:r>
            <w:r w:rsidRPr="00613206">
              <w:rPr>
                <w:rFonts w:ascii="Calibri" w:hAnsi="Calibri" w:cs="Calibri"/>
                <w:sz w:val="22"/>
                <w:szCs w:val="22"/>
              </w:rPr>
              <w:t>ly</w:t>
            </w:r>
            <w:r w:rsidRPr="00613206">
              <w:rPr>
                <w:rFonts w:ascii="Calibri" w:hAnsi="Calibri" w:cs="Calibri"/>
                <w:sz w:val="22"/>
                <w:szCs w:val="22"/>
              </w:rPr>
              <w:t xml:space="preserve"> </w:t>
            </w:r>
            <w:r w:rsidRPr="00613206">
              <w:rPr>
                <w:rFonts w:ascii="Calibri" w:hAnsi="Calibri" w:cs="Calibri"/>
                <w:sz w:val="22"/>
                <w:szCs w:val="22"/>
              </w:rPr>
              <w:t>utilised</w:t>
            </w:r>
            <w:r w:rsidRPr="00613206">
              <w:rPr>
                <w:rFonts w:ascii="Calibri" w:hAnsi="Calibri" w:cs="Calibri"/>
                <w:sz w:val="22"/>
                <w:szCs w:val="22"/>
              </w:rPr>
              <w:t xml:space="preserve">. </w:t>
            </w:r>
            <w:r w:rsidRPr="00613206">
              <w:rPr>
                <w:rFonts w:ascii="Calibri" w:hAnsi="Calibri" w:cs="Calibri"/>
                <w:sz w:val="22"/>
                <w:szCs w:val="22"/>
              </w:rPr>
              <w:br/>
            </w:r>
            <w:r w:rsidRPr="00613206">
              <w:rPr>
                <w:rFonts w:ascii="Calibri" w:hAnsi="Calibri" w:cs="Calibri"/>
                <w:sz w:val="22"/>
                <w:szCs w:val="22"/>
              </w:rPr>
              <w:br/>
              <w:t>Young people who enter services after Year 9 should also be identified promptly through referral and assessment processes to ensure transition planning begins without delay</w:t>
            </w:r>
            <w:r w:rsidRPr="00613206">
              <w:rPr>
                <w:rFonts w:ascii="Calibri" w:hAnsi="Calibri" w:cs="Calibri"/>
                <w:sz w:val="22"/>
                <w:szCs w:val="22"/>
              </w:rPr>
              <w:t>.</w:t>
            </w:r>
          </w:p>
          <w:p w:rsidR="00747491" w:rsidRPr="00613206" w:rsidP="00D6688F">
            <w:pPr>
              <w:pStyle w:val="NormalWeb"/>
              <w:rPr>
                <w:rFonts w:ascii="Calibri" w:hAnsi="Calibri" w:cs="Calibri"/>
                <w:sz w:val="22"/>
                <w:szCs w:val="22"/>
              </w:rPr>
            </w:pPr>
            <w:r w:rsidRPr="00613206">
              <w:rPr>
                <w:rFonts w:ascii="Calibri" w:hAnsi="Calibri" w:cs="Calibri"/>
                <w:sz w:val="22"/>
                <w:szCs w:val="22"/>
              </w:rPr>
              <w:t xml:space="preserve">Guidance recommends that transition planning should begin from Year 9 onwards to allow sufficient time for preparation and coordination between children’s and adult services. However, in practice, the proportion of young people who start transition planning in Year 9 varies significantly across local areas and services. Workforce pressures, inconsistent </w:t>
            </w:r>
            <w:r w:rsidRPr="00613206">
              <w:rPr>
                <w:rFonts w:ascii="Calibri" w:hAnsi="Calibri" w:cs="Calibri"/>
                <w:sz w:val="22"/>
                <w:szCs w:val="22"/>
              </w:rPr>
              <w:t>pathways, limited adult service capacity, and variations in local commissioning can all affect how early planning begins and how effectively it is implemented.</w:t>
            </w:r>
          </w:p>
          <w:p w:rsidR="00747491" w:rsidRPr="00613206" w:rsidP="00D6688F">
            <w:pPr>
              <w:pStyle w:val="NormalWeb"/>
              <w:rPr>
                <w:rFonts w:ascii="Calibri" w:hAnsi="Calibri" w:cs="Calibri"/>
                <w:sz w:val="22"/>
                <w:szCs w:val="22"/>
              </w:rPr>
            </w:pPr>
            <w:r w:rsidRPr="00613206">
              <w:rPr>
                <w:rFonts w:ascii="Calibri" w:hAnsi="Calibri" w:cs="Calibri"/>
                <w:sz w:val="22"/>
                <w:szCs w:val="22"/>
              </w:rPr>
              <w:t xml:space="preserve">However, the most challenging </w:t>
            </w:r>
            <w:r w:rsidRPr="00613206">
              <w:rPr>
                <w:rFonts w:ascii="Calibri" w:hAnsi="Calibri" w:cs="Calibri"/>
                <w:sz w:val="22"/>
                <w:szCs w:val="22"/>
              </w:rPr>
              <w:t>issue</w:t>
            </w:r>
            <w:r w:rsidRPr="00613206">
              <w:rPr>
                <w:rFonts w:ascii="Calibri" w:hAnsi="Calibri" w:cs="Calibri"/>
                <w:sz w:val="22"/>
                <w:szCs w:val="22"/>
              </w:rPr>
              <w:t xml:space="preserve"> is </w:t>
            </w:r>
            <w:r w:rsidRPr="00613206">
              <w:rPr>
                <w:rFonts w:ascii="Calibri" w:hAnsi="Calibri" w:cs="Calibri"/>
                <w:sz w:val="22"/>
                <w:szCs w:val="22"/>
              </w:rPr>
              <w:t>reflected in</w:t>
            </w:r>
            <w:r w:rsidRPr="00613206">
              <w:rPr>
                <w:rFonts w:ascii="Calibri" w:hAnsi="Calibri" w:cs="Calibri"/>
                <w:sz w:val="22"/>
                <w:szCs w:val="22"/>
              </w:rPr>
              <w:t xml:space="preserve"> recent data</w:t>
            </w:r>
            <w:r w:rsidRPr="00613206">
              <w:rPr>
                <w:rFonts w:ascii="Calibri" w:hAnsi="Calibri" w:cs="Calibri"/>
                <w:sz w:val="22"/>
                <w:szCs w:val="22"/>
              </w:rPr>
              <w:t xml:space="preserve"> suggesting that</w:t>
            </w:r>
            <w:r w:rsidRPr="00613206">
              <w:rPr>
                <w:rFonts w:ascii="Calibri" w:hAnsi="Calibri" w:cs="Calibri"/>
                <w:sz w:val="22"/>
                <w:szCs w:val="22"/>
              </w:rPr>
              <w:t xml:space="preserve"> more people</w:t>
            </w:r>
            <w:r w:rsidRPr="00613206">
              <w:rPr>
                <w:rFonts w:ascii="Calibri" w:hAnsi="Calibri" w:cs="Calibri"/>
                <w:sz w:val="22"/>
                <w:szCs w:val="22"/>
              </w:rPr>
              <w:t xml:space="preserve"> than ever before</w:t>
            </w:r>
            <w:r w:rsidRPr="00613206">
              <w:rPr>
                <w:rFonts w:ascii="Calibri" w:hAnsi="Calibri" w:cs="Calibri"/>
                <w:sz w:val="22"/>
                <w:szCs w:val="22"/>
              </w:rPr>
              <w:t xml:space="preserve"> are entering care for the first time at this age </w:t>
            </w:r>
            <w:r w:rsidRPr="00613206">
              <w:rPr>
                <w:rFonts w:ascii="Calibri" w:hAnsi="Calibri" w:cs="Calibri"/>
                <w:sz w:val="22"/>
                <w:szCs w:val="22"/>
              </w:rPr>
              <w:t>as well as</w:t>
            </w:r>
            <w:r w:rsidRPr="00613206">
              <w:rPr>
                <w:rFonts w:ascii="Calibri" w:hAnsi="Calibri" w:cs="Calibri"/>
                <w:sz w:val="22"/>
                <w:szCs w:val="22"/>
              </w:rPr>
              <w:t xml:space="preserve"> a year or two older so the </w:t>
            </w:r>
            <w:r w:rsidRPr="00613206">
              <w:rPr>
                <w:rFonts w:ascii="Calibri" w:hAnsi="Calibri" w:cs="Calibri"/>
                <w:sz w:val="22"/>
                <w:szCs w:val="22"/>
              </w:rPr>
              <w:t>ability to undertake</w:t>
            </w:r>
            <w:r w:rsidRPr="00613206">
              <w:rPr>
                <w:rFonts w:ascii="Calibri" w:hAnsi="Calibri" w:cs="Calibri"/>
                <w:sz w:val="22"/>
                <w:szCs w:val="22"/>
              </w:rPr>
              <w:t xml:space="preserve"> rapid intake assessments and clinical oversight should be made available </w:t>
            </w:r>
            <w:r w:rsidRPr="00613206">
              <w:rPr>
                <w:rFonts w:ascii="Calibri" w:hAnsi="Calibri" w:cs="Calibri"/>
                <w:sz w:val="22"/>
                <w:szCs w:val="22"/>
              </w:rPr>
              <w:t>to professional, qualified</w:t>
            </w:r>
            <w:r w:rsidRPr="00613206">
              <w:rPr>
                <w:rFonts w:ascii="Calibri" w:hAnsi="Calibri" w:cs="Calibri"/>
                <w:sz w:val="22"/>
                <w:szCs w:val="22"/>
              </w:rPr>
              <w:t xml:space="preserve"> providers</w:t>
            </w:r>
            <w:r w:rsidRPr="00613206">
              <w:rPr>
                <w:rFonts w:ascii="Calibri" w:hAnsi="Calibri" w:cs="Calibri"/>
                <w:sz w:val="22"/>
                <w:szCs w:val="22"/>
              </w:rPr>
              <w:t xml:space="preserve"> as well as the</w:t>
            </w:r>
            <w:r w:rsidRPr="00613206">
              <w:rPr>
                <w:rFonts w:ascii="Calibri" w:hAnsi="Calibri" w:cs="Calibri"/>
                <w:sz w:val="22"/>
                <w:szCs w:val="22"/>
              </w:rPr>
              <w:t xml:space="preserve"> local authority. </w:t>
            </w:r>
          </w:p>
          <w:p w:rsidR="00747491" w:rsidRPr="00613206" w:rsidP="00D6688F">
            <w:pPr>
              <w:pStyle w:val="NormalWeb"/>
              <w:rPr>
                <w:rFonts w:ascii="Calibri" w:hAnsi="Calibri" w:cs="Calibri"/>
                <w:sz w:val="22"/>
                <w:szCs w:val="22"/>
              </w:rPr>
            </w:pPr>
            <w:r w:rsidRPr="00613206">
              <w:rPr>
                <w:rFonts w:ascii="Calibri" w:hAnsi="Calibri" w:cs="Calibri"/>
                <w:sz w:val="22"/>
                <w:szCs w:val="22"/>
              </w:rPr>
              <w:t>Very much like a tier 4 but step-down provision this w</w:t>
            </w:r>
            <w:r w:rsidRPr="00613206">
              <w:rPr>
                <w:rFonts w:ascii="Calibri" w:hAnsi="Calibri" w:cs="Calibri"/>
                <w:sz w:val="22"/>
                <w:szCs w:val="22"/>
              </w:rPr>
              <w:t>ould</w:t>
            </w:r>
            <w:r w:rsidRPr="00613206">
              <w:rPr>
                <w:rFonts w:ascii="Calibri" w:hAnsi="Calibri" w:cs="Calibri"/>
                <w:sz w:val="22"/>
                <w:szCs w:val="22"/>
              </w:rPr>
              <w:t xml:space="preserve"> allow people to </w:t>
            </w:r>
            <w:r w:rsidRPr="00613206">
              <w:rPr>
                <w:rFonts w:ascii="Calibri" w:hAnsi="Calibri" w:cs="Calibri"/>
                <w:sz w:val="22"/>
                <w:szCs w:val="22"/>
              </w:rPr>
              <w:t>undertake</w:t>
            </w:r>
            <w:r w:rsidRPr="00613206">
              <w:rPr>
                <w:rFonts w:ascii="Calibri" w:hAnsi="Calibri" w:cs="Calibri"/>
                <w:sz w:val="22"/>
                <w:szCs w:val="22"/>
              </w:rPr>
              <w:t xml:space="preserve"> treatment </w:t>
            </w:r>
            <w:r w:rsidRPr="00613206">
              <w:rPr>
                <w:rFonts w:ascii="Calibri" w:hAnsi="Calibri" w:cs="Calibri"/>
                <w:sz w:val="22"/>
                <w:szCs w:val="22"/>
              </w:rPr>
              <w:t xml:space="preserve">in </w:t>
            </w:r>
            <w:r w:rsidRPr="00613206">
              <w:rPr>
                <w:rFonts w:ascii="Calibri" w:hAnsi="Calibri" w:cs="Calibri"/>
                <w:sz w:val="22"/>
                <w:szCs w:val="22"/>
              </w:rPr>
              <w:t xml:space="preserve">residential units regulated by CQC so that people can receive rapid treatment, diagnosis and help earlier. There are providers out there that are </w:t>
            </w:r>
            <w:r w:rsidRPr="00613206">
              <w:rPr>
                <w:rFonts w:ascii="Calibri" w:hAnsi="Calibri" w:cs="Calibri"/>
                <w:sz w:val="22"/>
                <w:szCs w:val="22"/>
              </w:rPr>
              <w:t xml:space="preserve">more than </w:t>
            </w:r>
            <w:r w:rsidRPr="00613206">
              <w:rPr>
                <w:rFonts w:ascii="Calibri" w:hAnsi="Calibri" w:cs="Calibri"/>
                <w:sz w:val="22"/>
                <w:szCs w:val="22"/>
              </w:rPr>
              <w:t>willing to</w:t>
            </w:r>
            <w:r w:rsidRPr="00613206">
              <w:rPr>
                <w:rFonts w:ascii="Calibri" w:hAnsi="Calibri" w:cs="Calibri"/>
                <w:sz w:val="22"/>
                <w:szCs w:val="22"/>
              </w:rPr>
              <w:t xml:space="preserve"> offer this service via</w:t>
            </w:r>
            <w:r w:rsidRPr="00613206">
              <w:rPr>
                <w:rFonts w:ascii="Calibri" w:hAnsi="Calibri" w:cs="Calibri"/>
                <w:sz w:val="22"/>
                <w:szCs w:val="22"/>
              </w:rPr>
              <w:t xml:space="preserve"> a step-down provision but cannot </w:t>
            </w:r>
            <w:r w:rsidRPr="00613206">
              <w:rPr>
                <w:rFonts w:ascii="Calibri" w:hAnsi="Calibri" w:cs="Calibri"/>
                <w:sz w:val="22"/>
                <w:szCs w:val="22"/>
              </w:rPr>
              <w:t xml:space="preserve">do so because of </w:t>
            </w:r>
            <w:r w:rsidRPr="00613206">
              <w:rPr>
                <w:rFonts w:ascii="Calibri" w:hAnsi="Calibri" w:cs="Calibri"/>
                <w:sz w:val="22"/>
                <w:szCs w:val="22"/>
              </w:rPr>
              <w:t>outdated regulation.</w:t>
            </w:r>
          </w:p>
          <w:p w:rsidR="00747491" w:rsidRPr="00613206" w:rsidP="00D6688F">
            <w:pPr>
              <w:pStyle w:val="NormalWeb"/>
              <w:rPr>
                <w:rFonts w:ascii="Calibri" w:hAnsi="Calibri" w:cs="Calibri"/>
                <w:sz w:val="22"/>
                <w:szCs w:val="22"/>
              </w:rPr>
            </w:pPr>
            <w:r w:rsidRPr="00613206">
              <w:rPr>
                <w:rFonts w:ascii="Calibri" w:hAnsi="Calibri" w:cs="Calibri"/>
                <w:sz w:val="22"/>
                <w:szCs w:val="22"/>
              </w:rPr>
              <w:t>Recent data also suggests</w:t>
            </w:r>
            <w:r w:rsidRPr="00613206">
              <w:rPr>
                <w:rFonts w:ascii="Calibri" w:hAnsi="Calibri" w:cs="Calibri"/>
                <w:sz w:val="22"/>
                <w:szCs w:val="22"/>
              </w:rPr>
              <w:t xml:space="preserve"> that the number of</w:t>
            </w:r>
            <w:r w:rsidRPr="00613206">
              <w:rPr>
                <w:rFonts w:ascii="Calibri" w:hAnsi="Calibri" w:cs="Calibri"/>
                <w:sz w:val="22"/>
                <w:szCs w:val="22"/>
              </w:rPr>
              <w:t xml:space="preserve"> assessments, </w:t>
            </w:r>
            <w:r w:rsidRPr="00613206">
              <w:rPr>
                <w:rFonts w:ascii="Calibri" w:hAnsi="Calibri" w:cs="Calibri"/>
                <w:sz w:val="22"/>
                <w:szCs w:val="22"/>
              </w:rPr>
              <w:t>t</w:t>
            </w:r>
            <w:r w:rsidRPr="00613206">
              <w:rPr>
                <w:rFonts w:ascii="Calibri" w:hAnsi="Calibri" w:cs="Calibri"/>
                <w:sz w:val="22"/>
                <w:szCs w:val="22"/>
              </w:rPr>
              <w:t>reatment</w:t>
            </w:r>
            <w:r w:rsidRPr="00613206">
              <w:rPr>
                <w:rFonts w:ascii="Calibri" w:hAnsi="Calibri" w:cs="Calibri"/>
                <w:sz w:val="22"/>
                <w:szCs w:val="22"/>
              </w:rPr>
              <w:t>s and</w:t>
            </w:r>
            <w:r w:rsidRPr="00613206">
              <w:rPr>
                <w:rFonts w:ascii="Calibri" w:hAnsi="Calibri" w:cs="Calibri"/>
                <w:sz w:val="22"/>
                <w:szCs w:val="22"/>
              </w:rPr>
              <w:t xml:space="preserve"> tier 4 beds</w:t>
            </w:r>
            <w:r w:rsidRPr="00613206">
              <w:rPr>
                <w:rFonts w:ascii="Calibri" w:hAnsi="Calibri" w:cs="Calibri"/>
                <w:sz w:val="22"/>
                <w:szCs w:val="22"/>
              </w:rPr>
              <w:t xml:space="preserve"> are also</w:t>
            </w:r>
            <w:r w:rsidRPr="00613206">
              <w:rPr>
                <w:rFonts w:ascii="Calibri" w:hAnsi="Calibri" w:cs="Calibri"/>
                <w:sz w:val="22"/>
                <w:szCs w:val="22"/>
              </w:rPr>
              <w:t xml:space="preserve"> dropping so clinical oversight is lacking for </w:t>
            </w:r>
            <w:r w:rsidRPr="00613206">
              <w:rPr>
                <w:rFonts w:ascii="Calibri" w:hAnsi="Calibri" w:cs="Calibri"/>
                <w:sz w:val="22"/>
                <w:szCs w:val="22"/>
              </w:rPr>
              <w:t xml:space="preserve">the very </w:t>
            </w:r>
            <w:r w:rsidRPr="00613206">
              <w:rPr>
                <w:rFonts w:ascii="Calibri" w:hAnsi="Calibri" w:cs="Calibri"/>
                <w:sz w:val="22"/>
                <w:szCs w:val="22"/>
              </w:rPr>
              <w:t xml:space="preserve">people who need it. </w:t>
            </w:r>
          </w:p>
          <w:p w:rsidR="00747491" w:rsidRPr="00613206">
            <w:pPr>
              <w:rPr>
                <w:rFonts w:ascii="Calibri" w:hAnsi="Calibri" w:cs="Calibri"/>
                <w:sz w:val="22"/>
                <w:szCs w:val="22"/>
              </w:rPr>
            </w:pPr>
          </w:p>
          <w:p w:rsidR="00747491" w:rsidRPr="00613206">
            <w:pPr>
              <w:rPr>
                <w:rFonts w:ascii="Calibri" w:hAnsi="Calibri" w:cs="Calibri"/>
                <w:sz w:val="22"/>
                <w:szCs w:val="22"/>
              </w:rPr>
            </w:pPr>
          </w:p>
        </w:tc>
      </w:tr>
      <w:tr w:rsidTr="5EF72ECC">
        <w:tblPrEx>
          <w:tblW w:w="10490" w:type="dxa"/>
          <w:tblInd w:w="-714" w:type="dxa"/>
          <w:tblLook w:val="04A0"/>
        </w:tblPrEx>
        <w:tc>
          <w:tcPr>
            <w:tcW w:w="1985" w:type="dxa"/>
            <w:vMerge/>
          </w:tcPr>
          <w:p w:rsidR="00747491" w:rsidRPr="00613206">
            <w:pPr>
              <w:rPr>
                <w:rFonts w:ascii="Calibri" w:hAnsi="Calibri" w:cs="Calibri"/>
                <w:b/>
                <w:bCs/>
                <w:sz w:val="22"/>
                <w:szCs w:val="22"/>
              </w:rPr>
            </w:pPr>
          </w:p>
        </w:tc>
        <w:tc>
          <w:tcPr>
            <w:tcW w:w="8505" w:type="dxa"/>
          </w:tcPr>
          <w:p w:rsidR="00747491" w:rsidRPr="00613206">
            <w:pPr>
              <w:rPr>
                <w:rFonts w:ascii="Calibri" w:hAnsi="Calibri" w:cs="Calibri"/>
                <w:sz w:val="22"/>
                <w:szCs w:val="22"/>
              </w:rPr>
            </w:pPr>
            <w:r w:rsidRPr="00613206">
              <w:rPr>
                <w:rFonts w:ascii="Calibri" w:hAnsi="Calibri" w:cs="Calibri"/>
                <w:sz w:val="22"/>
                <w:szCs w:val="22"/>
              </w:rPr>
              <w:t>2. To what extent are transfers from child to adult services managed without gaps in provision? How is this monitored?</w:t>
            </w:r>
          </w:p>
        </w:tc>
      </w:tr>
      <w:tr w:rsidTr="5EF72ECC">
        <w:tblPrEx>
          <w:tblW w:w="10490" w:type="dxa"/>
          <w:tblInd w:w="-714" w:type="dxa"/>
          <w:tblLook w:val="04A0"/>
        </w:tblPrEx>
        <w:tc>
          <w:tcPr>
            <w:tcW w:w="1985" w:type="dxa"/>
            <w:vMerge/>
          </w:tcPr>
          <w:p w:rsidR="00747491" w:rsidRPr="00613206">
            <w:pPr>
              <w:rPr>
                <w:rFonts w:ascii="Calibri" w:hAnsi="Calibri" w:cs="Calibri"/>
                <w:b/>
                <w:bCs/>
                <w:sz w:val="22"/>
                <w:szCs w:val="22"/>
              </w:rPr>
            </w:pPr>
          </w:p>
        </w:tc>
        <w:tc>
          <w:tcPr>
            <w:tcW w:w="8505" w:type="dxa"/>
          </w:tcPr>
          <w:p w:rsidR="00747491" w:rsidRPr="00613206" w:rsidP="00D6688F">
            <w:pPr>
              <w:pStyle w:val="NormalWeb"/>
              <w:rPr>
                <w:rFonts w:ascii="Calibri" w:hAnsi="Calibri" w:cs="Calibri"/>
                <w:sz w:val="22"/>
                <w:szCs w:val="22"/>
              </w:rPr>
            </w:pPr>
          </w:p>
          <w:p w:rsidR="00747491" w:rsidRPr="00613206" w:rsidP="00D6688F">
            <w:pPr>
              <w:pStyle w:val="NormalWeb"/>
              <w:rPr>
                <w:rFonts w:ascii="Calibri" w:hAnsi="Calibri" w:cs="Calibri"/>
                <w:sz w:val="22"/>
                <w:szCs w:val="22"/>
              </w:rPr>
            </w:pPr>
            <w:r w:rsidRPr="00613206">
              <w:rPr>
                <w:rFonts w:ascii="Calibri" w:hAnsi="Calibri" w:cs="Calibri"/>
                <w:sz w:val="22"/>
                <w:szCs w:val="22"/>
              </w:rPr>
              <w:t>The extent to which transfers from children to adult serv</w:t>
            </w:r>
            <w:r w:rsidRPr="00613206">
              <w:rPr>
                <w:rFonts w:ascii="Calibri" w:hAnsi="Calibri" w:cs="Calibri"/>
                <w:sz w:val="22"/>
                <w:szCs w:val="22"/>
              </w:rPr>
              <w:t>i</w:t>
            </w:r>
            <w:r w:rsidRPr="00613206">
              <w:rPr>
                <w:rFonts w:ascii="Calibri" w:hAnsi="Calibri" w:cs="Calibri"/>
                <w:sz w:val="22"/>
                <w:szCs w:val="22"/>
              </w:rPr>
              <w:t xml:space="preserve">ces are managed without gaps in provision varies significantly across local areas and service types. In some areas, effective multi-agency working, early transition planning, and dedicated transition coordinators help ensure continuity of care and support. </w:t>
            </w:r>
            <w:r w:rsidRPr="00613206">
              <w:rPr>
                <w:rFonts w:ascii="Calibri" w:hAnsi="Calibri" w:cs="Calibri"/>
                <w:sz w:val="22"/>
                <w:szCs w:val="22"/>
              </w:rPr>
              <w:br/>
            </w:r>
            <w:r w:rsidRPr="00613206">
              <w:rPr>
                <w:rFonts w:ascii="Calibri" w:hAnsi="Calibri" w:cs="Calibri"/>
                <w:sz w:val="22"/>
                <w:szCs w:val="22"/>
              </w:rPr>
              <w:br/>
              <w:t>However, many young people experience delays, reduced support, or difficulties accessing adult services due to differences in eligibility criteria, workforce shortages, long waiting lists, and limited adult service capacity. These challenges can be par</w:t>
            </w:r>
            <w:r w:rsidRPr="00613206">
              <w:rPr>
                <w:rFonts w:ascii="Calibri" w:hAnsi="Calibri" w:cs="Calibri"/>
                <w:sz w:val="22"/>
                <w:szCs w:val="22"/>
              </w:rPr>
              <w:t xml:space="preserve">ticularly significant for young people with mental health needs, neurodevelopmental conditions, or complex disabilities. </w:t>
            </w:r>
            <w:r w:rsidRPr="00613206">
              <w:rPr>
                <w:rFonts w:ascii="Calibri" w:hAnsi="Calibri" w:cs="Calibri"/>
                <w:sz w:val="22"/>
                <w:szCs w:val="22"/>
              </w:rPr>
              <w:t xml:space="preserve">Additionally, </w:t>
            </w:r>
            <w:r w:rsidRPr="00613206">
              <w:rPr>
                <w:rFonts w:ascii="Calibri" w:hAnsi="Calibri" w:cs="Calibri"/>
                <w:sz w:val="22"/>
                <w:szCs w:val="22"/>
              </w:rPr>
              <w:t>challenges can arise</w:t>
            </w:r>
            <w:r w:rsidRPr="00613206">
              <w:rPr>
                <w:rFonts w:ascii="Calibri" w:hAnsi="Calibri" w:cs="Calibri"/>
                <w:sz w:val="22"/>
                <w:szCs w:val="22"/>
              </w:rPr>
              <w:t xml:space="preserve"> when people need to</w:t>
            </w:r>
            <w:r w:rsidRPr="00613206">
              <w:rPr>
                <w:rFonts w:ascii="Calibri" w:hAnsi="Calibri" w:cs="Calibri"/>
                <w:sz w:val="22"/>
                <w:szCs w:val="22"/>
              </w:rPr>
              <w:t xml:space="preserve"> be placed out of borough </w:t>
            </w:r>
            <w:r w:rsidRPr="00613206">
              <w:rPr>
                <w:rFonts w:ascii="Calibri" w:hAnsi="Calibri" w:cs="Calibri"/>
                <w:sz w:val="22"/>
                <w:szCs w:val="22"/>
              </w:rPr>
              <w:t>when it is deemed un</w:t>
            </w:r>
            <w:r w:rsidRPr="00613206">
              <w:rPr>
                <w:rFonts w:ascii="Calibri" w:hAnsi="Calibri" w:cs="Calibri"/>
                <w:sz w:val="22"/>
                <w:szCs w:val="22"/>
              </w:rPr>
              <w:t xml:space="preserve">safe </w:t>
            </w:r>
            <w:r w:rsidRPr="00613206">
              <w:rPr>
                <w:rFonts w:ascii="Calibri" w:hAnsi="Calibri" w:cs="Calibri"/>
                <w:sz w:val="22"/>
                <w:szCs w:val="22"/>
              </w:rPr>
              <w:t xml:space="preserve">for the person to remain </w:t>
            </w:r>
            <w:r w:rsidRPr="00613206">
              <w:rPr>
                <w:rFonts w:ascii="Calibri" w:hAnsi="Calibri" w:cs="Calibri"/>
                <w:sz w:val="22"/>
                <w:szCs w:val="22"/>
              </w:rPr>
              <w:t>in a previous locality</w:t>
            </w:r>
            <w:r w:rsidRPr="00613206">
              <w:rPr>
                <w:rFonts w:ascii="Calibri" w:hAnsi="Calibri" w:cs="Calibri"/>
                <w:sz w:val="22"/>
                <w:szCs w:val="22"/>
              </w:rPr>
              <w:t>. To</w:t>
            </w:r>
            <w:r w:rsidRPr="00613206">
              <w:rPr>
                <w:rFonts w:ascii="Calibri" w:hAnsi="Calibri" w:cs="Calibri"/>
                <w:sz w:val="22"/>
                <w:szCs w:val="22"/>
              </w:rPr>
              <w:t>o</w:t>
            </w:r>
            <w:r w:rsidRPr="00613206">
              <w:rPr>
                <w:rFonts w:ascii="Calibri" w:hAnsi="Calibri" w:cs="Calibri"/>
                <w:sz w:val="22"/>
                <w:szCs w:val="22"/>
              </w:rPr>
              <w:t xml:space="preserve"> many people are forced to</w:t>
            </w:r>
            <w:r w:rsidRPr="00613206">
              <w:rPr>
                <w:rFonts w:ascii="Calibri" w:hAnsi="Calibri" w:cs="Calibri"/>
                <w:sz w:val="22"/>
                <w:szCs w:val="22"/>
              </w:rPr>
              <w:t xml:space="preserve"> return to unsafe locations as things stand. </w:t>
            </w:r>
            <w:r w:rsidRPr="00613206">
              <w:rPr>
                <w:rFonts w:ascii="Calibri" w:hAnsi="Calibri" w:cs="Calibri"/>
                <w:sz w:val="22"/>
                <w:szCs w:val="22"/>
              </w:rPr>
              <w:t xml:space="preserve"> </w:t>
            </w:r>
            <w:r w:rsidRPr="00613206">
              <w:rPr>
                <w:rFonts w:ascii="Calibri" w:hAnsi="Calibri" w:cs="Calibri"/>
                <w:sz w:val="22"/>
                <w:szCs w:val="22"/>
              </w:rPr>
              <w:t>W</w:t>
            </w:r>
            <w:r w:rsidRPr="00613206">
              <w:rPr>
                <w:rFonts w:ascii="Calibri" w:hAnsi="Calibri" w:cs="Calibri"/>
                <w:sz w:val="22"/>
                <w:szCs w:val="22"/>
              </w:rPr>
              <w:t xml:space="preserve">ith the new housing policy this should </w:t>
            </w:r>
            <w:r w:rsidRPr="00613206">
              <w:rPr>
                <w:rFonts w:ascii="Calibri" w:hAnsi="Calibri" w:cs="Calibri"/>
                <w:sz w:val="22"/>
                <w:szCs w:val="22"/>
              </w:rPr>
              <w:t xml:space="preserve">help to </w:t>
            </w:r>
            <w:r w:rsidRPr="00613206">
              <w:rPr>
                <w:rFonts w:ascii="Calibri" w:hAnsi="Calibri" w:cs="Calibri"/>
                <w:sz w:val="22"/>
                <w:szCs w:val="22"/>
              </w:rPr>
              <w:t>stop this</w:t>
            </w:r>
            <w:r w:rsidRPr="00613206">
              <w:rPr>
                <w:rFonts w:ascii="Calibri" w:hAnsi="Calibri" w:cs="Calibri"/>
                <w:sz w:val="22"/>
                <w:szCs w:val="22"/>
              </w:rPr>
              <w:t xml:space="preserve"> but the reality is that</w:t>
            </w:r>
            <w:r w:rsidRPr="00613206">
              <w:rPr>
                <w:rFonts w:ascii="Calibri" w:hAnsi="Calibri" w:cs="Calibri"/>
                <w:sz w:val="22"/>
                <w:szCs w:val="22"/>
              </w:rPr>
              <w:t xml:space="preserve"> to</w:t>
            </w:r>
            <w:r w:rsidRPr="00613206">
              <w:rPr>
                <w:rFonts w:ascii="Calibri" w:hAnsi="Calibri" w:cs="Calibri"/>
                <w:sz w:val="22"/>
                <w:szCs w:val="22"/>
              </w:rPr>
              <w:t>o</w:t>
            </w:r>
            <w:r w:rsidRPr="00613206">
              <w:rPr>
                <w:rFonts w:ascii="Calibri" w:hAnsi="Calibri" w:cs="Calibri"/>
                <w:sz w:val="22"/>
                <w:szCs w:val="22"/>
              </w:rPr>
              <w:t xml:space="preserve"> many people are </w:t>
            </w:r>
            <w:r w:rsidRPr="00613206">
              <w:rPr>
                <w:rFonts w:ascii="Calibri" w:hAnsi="Calibri" w:cs="Calibri"/>
                <w:sz w:val="22"/>
                <w:szCs w:val="22"/>
              </w:rPr>
              <w:t xml:space="preserve">committing </w:t>
            </w:r>
            <w:r w:rsidRPr="00613206">
              <w:rPr>
                <w:rFonts w:ascii="Calibri" w:hAnsi="Calibri" w:cs="Calibri"/>
                <w:sz w:val="22"/>
                <w:szCs w:val="22"/>
              </w:rPr>
              <w:t>self-harm</w:t>
            </w:r>
            <w:r w:rsidRPr="00613206">
              <w:rPr>
                <w:rFonts w:ascii="Calibri" w:hAnsi="Calibri" w:cs="Calibri"/>
                <w:sz w:val="22"/>
                <w:szCs w:val="22"/>
              </w:rPr>
              <w:t xml:space="preserve"> due to understandable concern</w:t>
            </w:r>
            <w:r w:rsidRPr="00613206">
              <w:rPr>
                <w:rFonts w:ascii="Calibri" w:hAnsi="Calibri" w:cs="Calibri"/>
                <w:sz w:val="22"/>
                <w:szCs w:val="22"/>
              </w:rPr>
              <w:t xml:space="preserve"> about </w:t>
            </w:r>
            <w:r w:rsidRPr="00613206">
              <w:rPr>
                <w:rFonts w:ascii="Calibri" w:hAnsi="Calibri" w:cs="Calibri"/>
                <w:sz w:val="22"/>
                <w:szCs w:val="22"/>
              </w:rPr>
              <w:t xml:space="preserve">being returned to a location close to </w:t>
            </w:r>
            <w:r w:rsidRPr="00613206">
              <w:rPr>
                <w:rFonts w:ascii="Calibri" w:hAnsi="Calibri" w:cs="Calibri"/>
                <w:sz w:val="22"/>
                <w:szCs w:val="22"/>
              </w:rPr>
              <w:t xml:space="preserve">abuse received. </w:t>
            </w:r>
          </w:p>
          <w:p w:rsidR="00747491" w:rsidRPr="00613206" w:rsidP="00D6688F">
            <w:pPr>
              <w:pStyle w:val="NormalWeb"/>
              <w:rPr>
                <w:rFonts w:ascii="Calibri" w:hAnsi="Calibri" w:cs="Calibri"/>
                <w:sz w:val="22"/>
                <w:szCs w:val="22"/>
              </w:rPr>
            </w:pPr>
            <w:r w:rsidRPr="00613206">
              <w:rPr>
                <w:rFonts w:ascii="Calibri" w:hAnsi="Calibri" w:cs="Calibri"/>
                <w:sz w:val="22"/>
                <w:szCs w:val="22"/>
              </w:rPr>
              <w:t>Gaps in provision often occur when adult services are not involved early enough in planning, when communication between agencies is inconsistent, or when there is insufficient funding to maintain support during the transition period. There are far t</w:t>
            </w:r>
            <w:r w:rsidRPr="00613206">
              <w:rPr>
                <w:rFonts w:ascii="Calibri" w:hAnsi="Calibri" w:cs="Calibri"/>
                <w:sz w:val="22"/>
                <w:szCs w:val="22"/>
              </w:rPr>
              <w:t>o</w:t>
            </w:r>
            <w:r w:rsidRPr="00613206">
              <w:rPr>
                <w:rFonts w:ascii="Calibri" w:hAnsi="Calibri" w:cs="Calibri"/>
                <w:sz w:val="22"/>
                <w:szCs w:val="22"/>
              </w:rPr>
              <w:t xml:space="preserve">o many people needing treatment </w:t>
            </w:r>
            <w:r w:rsidRPr="00613206">
              <w:rPr>
                <w:rFonts w:ascii="Calibri" w:hAnsi="Calibri" w:cs="Calibri"/>
                <w:sz w:val="22"/>
                <w:szCs w:val="22"/>
              </w:rPr>
              <w:t>and</w:t>
            </w:r>
            <w:r w:rsidRPr="00613206">
              <w:rPr>
                <w:rFonts w:ascii="Calibri" w:hAnsi="Calibri" w:cs="Calibri"/>
                <w:sz w:val="22"/>
                <w:szCs w:val="22"/>
              </w:rPr>
              <w:t xml:space="preserve"> not enough placements available because </w:t>
            </w:r>
            <w:r w:rsidRPr="00613206">
              <w:rPr>
                <w:rFonts w:ascii="Calibri" w:hAnsi="Calibri" w:cs="Calibri"/>
                <w:sz w:val="22"/>
                <w:szCs w:val="22"/>
              </w:rPr>
              <w:t xml:space="preserve">of </w:t>
            </w:r>
            <w:r w:rsidRPr="00613206">
              <w:rPr>
                <w:rFonts w:ascii="Calibri" w:hAnsi="Calibri" w:cs="Calibri"/>
                <w:sz w:val="22"/>
                <w:szCs w:val="22"/>
              </w:rPr>
              <w:t xml:space="preserve">the age ranges of these people. </w:t>
            </w:r>
            <w:r w:rsidRPr="00613206">
              <w:rPr>
                <w:rFonts w:ascii="Calibri" w:hAnsi="Calibri" w:cs="Calibri"/>
                <w:sz w:val="22"/>
                <w:szCs w:val="22"/>
              </w:rPr>
              <w:br/>
            </w:r>
            <w:r w:rsidRPr="00613206">
              <w:rPr>
                <w:rFonts w:ascii="Calibri" w:hAnsi="Calibri" w:cs="Calibri"/>
                <w:sz w:val="22"/>
                <w:szCs w:val="22"/>
              </w:rPr>
              <w:br/>
              <w:t>Young people and families can also struggle to navigate changes between children’s and adult systems, particularly where services operate separately or thresholds for support differ substantially between age groups.</w:t>
            </w:r>
          </w:p>
          <w:p w:rsidR="00747491" w:rsidRPr="00613206" w:rsidP="00D6688F">
            <w:pPr>
              <w:pStyle w:val="NormalWeb"/>
              <w:rPr>
                <w:rFonts w:ascii="Calibri" w:hAnsi="Calibri" w:cs="Calibri"/>
                <w:sz w:val="22"/>
                <w:szCs w:val="22"/>
              </w:rPr>
            </w:pPr>
            <w:r w:rsidRPr="00613206">
              <w:rPr>
                <w:rFonts w:ascii="Calibri" w:hAnsi="Calibri" w:cs="Calibri"/>
                <w:sz w:val="22"/>
                <w:szCs w:val="22"/>
              </w:rPr>
              <w:t>To</w:t>
            </w:r>
            <w:r w:rsidRPr="00613206">
              <w:rPr>
                <w:rFonts w:ascii="Calibri" w:hAnsi="Calibri" w:cs="Calibri"/>
                <w:sz w:val="22"/>
                <w:szCs w:val="22"/>
              </w:rPr>
              <w:t>o</w:t>
            </w:r>
            <w:r w:rsidRPr="00613206">
              <w:rPr>
                <w:rFonts w:ascii="Calibri" w:hAnsi="Calibri" w:cs="Calibri"/>
                <w:sz w:val="22"/>
                <w:szCs w:val="22"/>
              </w:rPr>
              <w:t xml:space="preserve"> many people are</w:t>
            </w:r>
            <w:r w:rsidRPr="00613206">
              <w:rPr>
                <w:rFonts w:ascii="Calibri" w:hAnsi="Calibri" w:cs="Calibri"/>
                <w:sz w:val="22"/>
                <w:szCs w:val="22"/>
              </w:rPr>
              <w:t xml:space="preserve"> experiencing </w:t>
            </w:r>
            <w:r w:rsidRPr="00613206">
              <w:rPr>
                <w:rFonts w:ascii="Calibri" w:hAnsi="Calibri" w:cs="Calibri"/>
                <w:sz w:val="22"/>
                <w:szCs w:val="22"/>
              </w:rPr>
              <w:t>placement</w:t>
            </w:r>
            <w:r w:rsidRPr="00613206">
              <w:rPr>
                <w:rFonts w:ascii="Calibri" w:hAnsi="Calibri" w:cs="Calibri"/>
                <w:sz w:val="22"/>
                <w:szCs w:val="22"/>
              </w:rPr>
              <w:t xml:space="preserve"> breakdowns</w:t>
            </w:r>
            <w:r w:rsidRPr="00613206">
              <w:rPr>
                <w:rFonts w:ascii="Calibri" w:hAnsi="Calibri" w:cs="Calibri"/>
                <w:sz w:val="22"/>
                <w:szCs w:val="22"/>
              </w:rPr>
              <w:t xml:space="preserve"> after </w:t>
            </w:r>
            <w:r w:rsidRPr="00613206">
              <w:rPr>
                <w:rFonts w:ascii="Calibri" w:hAnsi="Calibri" w:cs="Calibri"/>
                <w:sz w:val="22"/>
                <w:szCs w:val="22"/>
              </w:rPr>
              <w:t xml:space="preserve">the age </w:t>
            </w:r>
            <w:r w:rsidRPr="00613206">
              <w:rPr>
                <w:rFonts w:ascii="Calibri" w:hAnsi="Calibri" w:cs="Calibri"/>
                <w:sz w:val="22"/>
                <w:szCs w:val="22"/>
              </w:rPr>
              <w:t>18 due to the sheer complexit</w:t>
            </w:r>
            <w:r w:rsidRPr="00613206">
              <w:rPr>
                <w:rFonts w:ascii="Calibri" w:hAnsi="Calibri" w:cs="Calibri"/>
                <w:sz w:val="22"/>
                <w:szCs w:val="22"/>
              </w:rPr>
              <w:t>y</w:t>
            </w:r>
            <w:r w:rsidRPr="00613206">
              <w:rPr>
                <w:rFonts w:ascii="Calibri" w:hAnsi="Calibri" w:cs="Calibri"/>
                <w:sz w:val="22"/>
                <w:szCs w:val="22"/>
              </w:rPr>
              <w:t xml:space="preserve"> and complication of </w:t>
            </w:r>
            <w:r w:rsidRPr="00613206">
              <w:rPr>
                <w:rFonts w:ascii="Calibri" w:hAnsi="Calibri" w:cs="Calibri"/>
                <w:sz w:val="22"/>
                <w:szCs w:val="22"/>
              </w:rPr>
              <w:t xml:space="preserve">the </w:t>
            </w:r>
            <w:r w:rsidRPr="00613206">
              <w:rPr>
                <w:rFonts w:ascii="Calibri" w:hAnsi="Calibri" w:cs="Calibri"/>
                <w:sz w:val="22"/>
                <w:szCs w:val="22"/>
              </w:rPr>
              <w:t>regulation</w:t>
            </w:r>
            <w:r w:rsidRPr="00613206">
              <w:rPr>
                <w:rFonts w:ascii="Calibri" w:hAnsi="Calibri" w:cs="Calibri"/>
                <w:sz w:val="22"/>
                <w:szCs w:val="22"/>
              </w:rPr>
              <w:t>s</w:t>
            </w:r>
            <w:r w:rsidRPr="00613206">
              <w:rPr>
                <w:rFonts w:ascii="Calibri" w:hAnsi="Calibri" w:cs="Calibri"/>
                <w:sz w:val="22"/>
                <w:szCs w:val="22"/>
              </w:rPr>
              <w:t xml:space="preserve"> which then affects</w:t>
            </w:r>
            <w:r w:rsidRPr="00613206">
              <w:rPr>
                <w:rFonts w:ascii="Calibri" w:hAnsi="Calibri" w:cs="Calibri"/>
                <w:sz w:val="22"/>
                <w:szCs w:val="22"/>
              </w:rPr>
              <w:t xml:space="preserve"> a</w:t>
            </w:r>
            <w:r w:rsidRPr="00613206">
              <w:rPr>
                <w:rFonts w:ascii="Calibri" w:hAnsi="Calibri" w:cs="Calibri"/>
                <w:sz w:val="22"/>
                <w:szCs w:val="22"/>
              </w:rPr>
              <w:t xml:space="preserve"> local authorit</w:t>
            </w:r>
            <w:r w:rsidRPr="00613206">
              <w:rPr>
                <w:rFonts w:ascii="Calibri" w:hAnsi="Calibri" w:cs="Calibri"/>
                <w:sz w:val="22"/>
                <w:szCs w:val="22"/>
              </w:rPr>
              <w:t>y’s</w:t>
            </w:r>
            <w:r w:rsidRPr="00613206">
              <w:rPr>
                <w:rFonts w:ascii="Calibri" w:hAnsi="Calibri" w:cs="Calibri"/>
                <w:sz w:val="22"/>
                <w:szCs w:val="22"/>
              </w:rPr>
              <w:t xml:space="preserve"> ability to navigate</w:t>
            </w:r>
            <w:r w:rsidRPr="00613206">
              <w:rPr>
                <w:rFonts w:ascii="Calibri" w:hAnsi="Calibri" w:cs="Calibri"/>
                <w:sz w:val="22"/>
                <w:szCs w:val="22"/>
              </w:rPr>
              <w:t xml:space="preserve"> the </w:t>
            </w:r>
            <w:r w:rsidRPr="00613206">
              <w:rPr>
                <w:rFonts w:ascii="Calibri" w:hAnsi="Calibri" w:cs="Calibri"/>
                <w:sz w:val="22"/>
                <w:szCs w:val="22"/>
              </w:rPr>
              <w:t>pathway</w:t>
            </w:r>
            <w:r w:rsidRPr="00613206">
              <w:rPr>
                <w:rFonts w:ascii="Calibri" w:hAnsi="Calibri" w:cs="Calibri"/>
                <w:sz w:val="22"/>
                <w:szCs w:val="22"/>
              </w:rPr>
              <w:t>.</w:t>
            </w:r>
            <w:r w:rsidRPr="00613206">
              <w:rPr>
                <w:rFonts w:ascii="Calibri" w:hAnsi="Calibri" w:cs="Calibri"/>
                <w:sz w:val="22"/>
                <w:szCs w:val="22"/>
              </w:rPr>
              <w:t xml:space="preserve">  The evidence is very clear: e</w:t>
            </w:r>
            <w:r w:rsidRPr="00613206">
              <w:rPr>
                <w:rFonts w:ascii="Calibri" w:hAnsi="Calibri" w:cs="Calibri"/>
                <w:sz w:val="22"/>
                <w:szCs w:val="22"/>
              </w:rPr>
              <w:t>asy transition equals better success rate</w:t>
            </w:r>
            <w:r w:rsidRPr="00613206">
              <w:rPr>
                <w:rFonts w:ascii="Calibri" w:hAnsi="Calibri" w:cs="Calibri"/>
                <w:sz w:val="22"/>
                <w:szCs w:val="22"/>
              </w:rPr>
              <w:t>s and better outcomes</w:t>
            </w:r>
            <w:r w:rsidRPr="00613206">
              <w:rPr>
                <w:rFonts w:ascii="Calibri" w:hAnsi="Calibri" w:cs="Calibri"/>
                <w:sz w:val="22"/>
                <w:szCs w:val="22"/>
              </w:rPr>
              <w:t xml:space="preserve">. </w:t>
            </w:r>
          </w:p>
          <w:p w:rsidR="00747491" w:rsidRPr="00613206">
            <w:pPr>
              <w:rPr>
                <w:rFonts w:ascii="Calibri" w:hAnsi="Calibri" w:cs="Calibri"/>
                <w:sz w:val="22"/>
                <w:szCs w:val="22"/>
              </w:rPr>
            </w:pPr>
          </w:p>
          <w:p w:rsidR="00747491" w:rsidRPr="00613206">
            <w:pPr>
              <w:rPr>
                <w:rFonts w:ascii="Calibri" w:hAnsi="Calibri" w:cs="Calibri"/>
                <w:sz w:val="22"/>
                <w:szCs w:val="22"/>
              </w:rPr>
            </w:pPr>
          </w:p>
        </w:tc>
      </w:tr>
      <w:tr w:rsidTr="5EF72ECC">
        <w:tblPrEx>
          <w:tblW w:w="10490" w:type="dxa"/>
          <w:tblInd w:w="-714" w:type="dxa"/>
          <w:tblLook w:val="04A0"/>
        </w:tblPrEx>
        <w:tc>
          <w:tcPr>
            <w:tcW w:w="1985" w:type="dxa"/>
            <w:vMerge w:val="restart"/>
          </w:tcPr>
          <w:p w:rsidR="00747491" w:rsidRPr="00613206">
            <w:pPr>
              <w:rPr>
                <w:rFonts w:ascii="Calibri" w:hAnsi="Calibri" w:cs="Calibri"/>
                <w:b/>
                <w:sz w:val="22"/>
                <w:szCs w:val="22"/>
              </w:rPr>
            </w:pPr>
            <w:r w:rsidRPr="00613206">
              <w:rPr>
                <w:rFonts w:ascii="Calibri" w:hAnsi="Calibri" w:cs="Calibri"/>
                <w:b/>
                <w:sz w:val="22"/>
                <w:szCs w:val="22"/>
              </w:rPr>
              <w:t>Impact and outcomes</w:t>
            </w:r>
          </w:p>
        </w:tc>
        <w:tc>
          <w:tcPr>
            <w:tcW w:w="8505" w:type="dxa"/>
          </w:tcPr>
          <w:p w:rsidR="00747491" w:rsidRPr="00613206">
            <w:pPr>
              <w:rPr>
                <w:rFonts w:ascii="Calibri" w:hAnsi="Calibri" w:cs="Calibri"/>
                <w:sz w:val="22"/>
                <w:szCs w:val="22"/>
              </w:rPr>
            </w:pPr>
            <w:r w:rsidRPr="00613206">
              <w:rPr>
                <w:rFonts w:ascii="Calibri" w:hAnsi="Calibri" w:cs="Calibri"/>
                <w:sz w:val="22"/>
                <w:szCs w:val="22"/>
              </w:rPr>
              <w:t xml:space="preserve">1. How is the transition support strengths-based, focusing on what is positive and possible for the young person </w:t>
            </w:r>
            <w:r>
              <w:fldChar w:fldCharType="begin"/>
            </w:r>
            <w:r>
              <w:instrText xml:space="preserve"> HYPERLINK "https://www.nice.org.uk/guidance/ng43/chapter/Recommendations" \l "support-before-transfer" \t "_blank" </w:instrText>
            </w:r>
            <w:r>
              <w:fldChar w:fldCharType="separate"/>
            </w:r>
            <w:r w:rsidRPr="00613206">
              <w:rPr>
                <w:rStyle w:val="Hyperlink"/>
                <w:rFonts w:ascii="Calibri" w:hAnsi="Calibri" w:cs="Calibri"/>
                <w:color w:val="auto"/>
                <w:sz w:val="22"/>
                <w:szCs w:val="22"/>
                <w:lang w:val="en-US"/>
              </w:rPr>
              <w:t>NICE NG43 (1.1.3, 2016)</w:t>
            </w:r>
            <w:r>
              <w:fldChar w:fldCharType="end"/>
            </w:r>
            <w:r w:rsidRPr="00613206">
              <w:rPr>
                <w:rFonts w:ascii="Calibri" w:hAnsi="Calibri" w:cs="Calibri"/>
                <w:sz w:val="22"/>
                <w:szCs w:val="22"/>
              </w:rPr>
              <w:t>?</w:t>
            </w:r>
          </w:p>
        </w:tc>
      </w:tr>
      <w:tr w:rsidTr="5EF72ECC">
        <w:tblPrEx>
          <w:tblW w:w="10490" w:type="dxa"/>
          <w:tblInd w:w="-714" w:type="dxa"/>
          <w:tblLook w:val="04A0"/>
        </w:tblPrEx>
        <w:tc>
          <w:tcPr>
            <w:tcW w:w="1985" w:type="dxa"/>
            <w:vMerge/>
          </w:tcPr>
          <w:p w:rsidR="00747491" w:rsidRPr="00613206">
            <w:pPr>
              <w:rPr>
                <w:rFonts w:ascii="Calibri" w:hAnsi="Calibri" w:cs="Calibri"/>
                <w:b/>
                <w:sz w:val="22"/>
                <w:szCs w:val="22"/>
              </w:rPr>
            </w:pPr>
          </w:p>
        </w:tc>
        <w:tc>
          <w:tcPr>
            <w:tcW w:w="8505" w:type="dxa"/>
          </w:tcPr>
          <w:p w:rsidR="00747491" w:rsidRPr="00613206">
            <w:pPr>
              <w:rPr>
                <w:rFonts w:ascii="Calibri" w:hAnsi="Calibri" w:cs="Calibri"/>
                <w:sz w:val="22"/>
                <w:szCs w:val="22"/>
              </w:rPr>
            </w:pPr>
          </w:p>
          <w:p w:rsidR="00747491" w:rsidRPr="00613206" w:rsidP="005051E0">
            <w:pPr>
              <w:pStyle w:val="NormalWeb"/>
              <w:rPr>
                <w:rFonts w:ascii="Calibri" w:hAnsi="Calibri" w:cs="Calibri"/>
                <w:sz w:val="22"/>
                <w:szCs w:val="22"/>
              </w:rPr>
            </w:pPr>
            <w:r w:rsidRPr="00613206">
              <w:rPr>
                <w:rFonts w:ascii="Calibri" w:hAnsi="Calibri" w:cs="Calibri"/>
                <w:sz w:val="22"/>
                <w:szCs w:val="22"/>
              </w:rPr>
              <w:t>Effective transition planning should actively involve the young person in decision-making, ensuring their goals, preferences, and ambitions for adulthood shape the support they receive. This includes discussions around education, employment, independent living, relationships, community participation, and wellbeing.</w:t>
            </w:r>
          </w:p>
          <w:p w:rsidR="00747491" w:rsidRPr="00613206" w:rsidP="005051E0">
            <w:pPr>
              <w:pStyle w:val="NormalWeb"/>
              <w:rPr>
                <w:rFonts w:ascii="Calibri" w:hAnsi="Calibri" w:cs="Calibri"/>
                <w:sz w:val="22"/>
                <w:szCs w:val="22"/>
              </w:rPr>
            </w:pPr>
            <w:r w:rsidRPr="00613206">
              <w:rPr>
                <w:rFonts w:ascii="Calibri" w:hAnsi="Calibri" w:cs="Calibri"/>
                <w:sz w:val="22"/>
                <w:szCs w:val="22"/>
              </w:rPr>
              <w:t xml:space="preserve">Young </w:t>
            </w:r>
            <w:r w:rsidRPr="00613206">
              <w:rPr>
                <w:rFonts w:ascii="Calibri" w:hAnsi="Calibri" w:cs="Calibri"/>
                <w:sz w:val="22"/>
                <w:szCs w:val="22"/>
              </w:rPr>
              <w:t>p</w:t>
            </w:r>
            <w:r w:rsidRPr="00613206">
              <w:rPr>
                <w:rFonts w:ascii="Calibri" w:hAnsi="Calibri" w:cs="Calibri"/>
                <w:sz w:val="22"/>
                <w:szCs w:val="22"/>
              </w:rPr>
              <w:t>eople’s support network</w:t>
            </w:r>
            <w:r w:rsidRPr="00613206">
              <w:rPr>
                <w:rFonts w:ascii="Calibri" w:hAnsi="Calibri" w:cs="Calibri"/>
                <w:sz w:val="22"/>
                <w:szCs w:val="22"/>
              </w:rPr>
              <w:t>s</w:t>
            </w:r>
            <w:r w:rsidRPr="00613206">
              <w:rPr>
                <w:rFonts w:ascii="Calibri" w:hAnsi="Calibri" w:cs="Calibri"/>
                <w:sz w:val="22"/>
                <w:szCs w:val="22"/>
              </w:rPr>
              <w:t xml:space="preserve"> can </w:t>
            </w:r>
            <w:r w:rsidRPr="00613206">
              <w:rPr>
                <w:rFonts w:ascii="Calibri" w:hAnsi="Calibri" w:cs="Calibri"/>
                <w:sz w:val="22"/>
                <w:szCs w:val="22"/>
              </w:rPr>
              <w:t>help</w:t>
            </w:r>
            <w:r w:rsidRPr="00613206">
              <w:rPr>
                <w:rFonts w:ascii="Calibri" w:hAnsi="Calibri" w:cs="Calibri"/>
                <w:sz w:val="22"/>
                <w:szCs w:val="22"/>
              </w:rPr>
              <w:t xml:space="preserve"> this approach by using person-centred planning methods, accessible communication, and advocacy where required, enabling young people to express what matters most to them. Transition support should build confidence, independence, and self-management skills, while recognising the importance of family, peer networks, and community resources in helping young people achieve positive outcomes. However, </w:t>
            </w:r>
            <w:r w:rsidRPr="00613206">
              <w:rPr>
                <w:rFonts w:ascii="Calibri" w:hAnsi="Calibri" w:cs="Calibri"/>
                <w:sz w:val="22"/>
                <w:szCs w:val="22"/>
              </w:rPr>
              <w:t xml:space="preserve">issues occur </w:t>
            </w:r>
            <w:r w:rsidRPr="00613206">
              <w:rPr>
                <w:rFonts w:ascii="Calibri" w:hAnsi="Calibri" w:cs="Calibri"/>
                <w:sz w:val="22"/>
                <w:szCs w:val="22"/>
              </w:rPr>
              <w:t xml:space="preserve">on </w:t>
            </w:r>
            <w:r w:rsidRPr="00613206">
              <w:rPr>
                <w:rFonts w:ascii="Calibri" w:hAnsi="Calibri" w:cs="Calibri"/>
                <w:sz w:val="22"/>
                <w:szCs w:val="22"/>
              </w:rPr>
              <w:t>w</w:t>
            </w:r>
            <w:r w:rsidRPr="00613206">
              <w:rPr>
                <w:rFonts w:ascii="Calibri" w:hAnsi="Calibri" w:cs="Calibri"/>
                <w:sz w:val="22"/>
                <w:szCs w:val="22"/>
              </w:rPr>
              <w:t>hen</w:t>
            </w:r>
            <w:r w:rsidRPr="00613206">
              <w:rPr>
                <w:rFonts w:ascii="Calibri" w:hAnsi="Calibri" w:cs="Calibri"/>
                <w:sz w:val="22"/>
                <w:szCs w:val="22"/>
              </w:rPr>
              <w:t xml:space="preserve"> th</w:t>
            </w:r>
            <w:r w:rsidRPr="00613206">
              <w:rPr>
                <w:rFonts w:ascii="Calibri" w:hAnsi="Calibri" w:cs="Calibri"/>
                <w:sz w:val="22"/>
                <w:szCs w:val="22"/>
              </w:rPr>
              <w:t>ose entering care at the age of 16 or 17 have</w:t>
            </w:r>
            <w:r w:rsidRPr="00613206">
              <w:rPr>
                <w:rFonts w:ascii="Calibri" w:hAnsi="Calibri" w:cs="Calibri"/>
                <w:sz w:val="22"/>
                <w:szCs w:val="22"/>
              </w:rPr>
              <w:t xml:space="preserve"> need</w:t>
            </w:r>
            <w:r w:rsidRPr="00613206">
              <w:rPr>
                <w:rFonts w:ascii="Calibri" w:hAnsi="Calibri" w:cs="Calibri"/>
                <w:sz w:val="22"/>
                <w:szCs w:val="22"/>
              </w:rPr>
              <w:t>s</w:t>
            </w:r>
            <w:r w:rsidRPr="00613206">
              <w:rPr>
                <w:rFonts w:ascii="Calibri" w:hAnsi="Calibri" w:cs="Calibri"/>
                <w:sz w:val="22"/>
                <w:szCs w:val="22"/>
              </w:rPr>
              <w:t xml:space="preserve"> th</w:t>
            </w:r>
            <w:r w:rsidRPr="00613206">
              <w:rPr>
                <w:rFonts w:ascii="Calibri" w:hAnsi="Calibri" w:cs="Calibri"/>
                <w:sz w:val="22"/>
                <w:szCs w:val="22"/>
              </w:rPr>
              <w:t>at are particularly</w:t>
            </w:r>
            <w:r w:rsidRPr="00613206">
              <w:rPr>
                <w:rFonts w:ascii="Calibri" w:hAnsi="Calibri" w:cs="Calibri"/>
                <w:sz w:val="22"/>
                <w:szCs w:val="22"/>
              </w:rPr>
              <w:t xml:space="preserve"> high. </w:t>
            </w:r>
          </w:p>
          <w:p w:rsidR="00747491" w:rsidRPr="00613206" w:rsidP="005051E0">
            <w:pPr>
              <w:pStyle w:val="NormalWeb"/>
              <w:rPr>
                <w:rFonts w:ascii="Calibri" w:hAnsi="Calibri" w:cs="Calibri"/>
                <w:sz w:val="22"/>
                <w:szCs w:val="22"/>
              </w:rPr>
            </w:pPr>
            <w:r w:rsidRPr="00613206">
              <w:rPr>
                <w:rFonts w:ascii="Calibri" w:hAnsi="Calibri" w:cs="Calibri"/>
                <w:sz w:val="22"/>
                <w:szCs w:val="22"/>
              </w:rPr>
              <w:t>A strengths-based model also requires professionals to work collaboratively across health, education, and social care services to identify opportunities rather than barriers. This includes supporting access to further education, employment schemes, social activities, and community-based services that promote inclusion and independence. Regular reviews and ongoing conversations help ensure support remains focused on the young person’s evolving strengths, aspirations, and future potential</w:t>
            </w:r>
            <w:r w:rsidRPr="00613206">
              <w:rPr>
                <w:rFonts w:ascii="Calibri" w:hAnsi="Calibri" w:cs="Calibri"/>
                <w:sz w:val="22"/>
                <w:szCs w:val="22"/>
              </w:rPr>
              <w:t xml:space="preserve">. </w:t>
            </w:r>
            <w:r w:rsidRPr="00613206">
              <w:rPr>
                <w:rFonts w:ascii="Calibri" w:hAnsi="Calibri" w:cs="Calibri"/>
                <w:sz w:val="22"/>
                <w:szCs w:val="22"/>
              </w:rPr>
              <w:t>The issue is that this does not happen enough. This guidance is</w:t>
            </w:r>
            <w:r w:rsidRPr="00613206">
              <w:rPr>
                <w:rFonts w:ascii="Calibri" w:hAnsi="Calibri" w:cs="Calibri"/>
                <w:sz w:val="22"/>
                <w:szCs w:val="22"/>
              </w:rPr>
              <w:t xml:space="preserve"> really</w:t>
            </w:r>
            <w:r w:rsidRPr="00613206">
              <w:rPr>
                <w:rFonts w:ascii="Calibri" w:hAnsi="Calibri" w:cs="Calibri"/>
                <w:sz w:val="22"/>
                <w:szCs w:val="22"/>
              </w:rPr>
              <w:t xml:space="preserve"> needed to be used </w:t>
            </w:r>
            <w:r w:rsidRPr="00613206">
              <w:rPr>
                <w:rFonts w:ascii="Calibri" w:hAnsi="Calibri" w:cs="Calibri"/>
                <w:sz w:val="22"/>
                <w:szCs w:val="22"/>
              </w:rPr>
              <w:t>across</w:t>
            </w:r>
            <w:r w:rsidRPr="00613206">
              <w:rPr>
                <w:rFonts w:ascii="Calibri" w:hAnsi="Calibri" w:cs="Calibri"/>
                <w:sz w:val="22"/>
                <w:szCs w:val="22"/>
              </w:rPr>
              <w:t xml:space="preserve"> regulated activity </w:t>
            </w:r>
            <w:r w:rsidRPr="00613206">
              <w:rPr>
                <w:rFonts w:ascii="Calibri" w:hAnsi="Calibri" w:cs="Calibri"/>
                <w:sz w:val="22"/>
                <w:szCs w:val="22"/>
              </w:rPr>
              <w:t>by</w:t>
            </w:r>
            <w:r w:rsidRPr="00613206">
              <w:rPr>
                <w:rFonts w:ascii="Calibri" w:hAnsi="Calibri" w:cs="Calibri"/>
                <w:sz w:val="22"/>
                <w:szCs w:val="22"/>
              </w:rPr>
              <w:t xml:space="preserve"> providers who spa</w:t>
            </w:r>
            <w:r w:rsidRPr="00613206">
              <w:rPr>
                <w:rFonts w:ascii="Calibri" w:hAnsi="Calibri" w:cs="Calibri"/>
                <w:sz w:val="22"/>
                <w:szCs w:val="22"/>
              </w:rPr>
              <w:t>n</w:t>
            </w:r>
            <w:r w:rsidRPr="00613206">
              <w:rPr>
                <w:rFonts w:ascii="Calibri" w:hAnsi="Calibri" w:cs="Calibri"/>
                <w:sz w:val="22"/>
                <w:szCs w:val="22"/>
              </w:rPr>
              <w:t xml:space="preserve"> the boundaries</w:t>
            </w:r>
            <w:r w:rsidRPr="00613206">
              <w:rPr>
                <w:rFonts w:ascii="Calibri" w:hAnsi="Calibri" w:cs="Calibri"/>
                <w:sz w:val="22"/>
                <w:szCs w:val="22"/>
              </w:rPr>
              <w:t xml:space="preserve"> in order</w:t>
            </w:r>
            <w:r w:rsidRPr="00613206">
              <w:rPr>
                <w:rFonts w:ascii="Calibri" w:hAnsi="Calibri" w:cs="Calibri"/>
                <w:sz w:val="22"/>
                <w:szCs w:val="22"/>
              </w:rPr>
              <w:t xml:space="preserve"> to make </w:t>
            </w:r>
            <w:r w:rsidRPr="00613206">
              <w:rPr>
                <w:rFonts w:ascii="Calibri" w:hAnsi="Calibri" w:cs="Calibri"/>
                <w:sz w:val="22"/>
                <w:szCs w:val="22"/>
              </w:rPr>
              <w:t>it</w:t>
            </w:r>
            <w:r w:rsidRPr="00613206">
              <w:rPr>
                <w:rFonts w:ascii="Calibri" w:hAnsi="Calibri" w:cs="Calibri"/>
                <w:sz w:val="22"/>
                <w:szCs w:val="22"/>
              </w:rPr>
              <w:t xml:space="preserve"> effective. </w:t>
            </w:r>
          </w:p>
          <w:p w:rsidR="00747491" w:rsidRPr="00613206">
            <w:pPr>
              <w:rPr>
                <w:rFonts w:ascii="Calibri" w:hAnsi="Calibri" w:cs="Calibri"/>
                <w:sz w:val="22"/>
                <w:szCs w:val="22"/>
              </w:rPr>
            </w:pPr>
            <w:r w:rsidRPr="00613206">
              <w:rPr>
                <w:rFonts w:ascii="Calibri" w:hAnsi="Calibri" w:cs="Calibri"/>
                <w:sz w:val="22"/>
                <w:szCs w:val="22"/>
              </w:rPr>
              <w:t>Current transitional pathways</w:t>
            </w:r>
            <w:r w:rsidRPr="00613206">
              <w:rPr>
                <w:rFonts w:ascii="Calibri" w:hAnsi="Calibri" w:cs="Calibri"/>
                <w:sz w:val="22"/>
                <w:szCs w:val="22"/>
              </w:rPr>
              <w:t xml:space="preserve"> </w:t>
            </w:r>
            <w:r w:rsidRPr="00613206">
              <w:rPr>
                <w:rFonts w:ascii="Calibri" w:hAnsi="Calibri" w:cs="Calibri"/>
                <w:sz w:val="22"/>
                <w:szCs w:val="22"/>
              </w:rPr>
              <w:t>are subject to strict,</w:t>
            </w:r>
            <w:r w:rsidRPr="00613206">
              <w:rPr>
                <w:rFonts w:ascii="Calibri" w:hAnsi="Calibri" w:cs="Calibri"/>
                <w:sz w:val="22"/>
                <w:szCs w:val="22"/>
              </w:rPr>
              <w:t xml:space="preserve"> one</w:t>
            </w:r>
            <w:r w:rsidRPr="00613206">
              <w:rPr>
                <w:rFonts w:ascii="Calibri" w:hAnsi="Calibri" w:cs="Calibri"/>
                <w:sz w:val="22"/>
                <w:szCs w:val="22"/>
              </w:rPr>
              <w:t xml:space="preserve"> size</w:t>
            </w:r>
            <w:r w:rsidRPr="00613206">
              <w:rPr>
                <w:rFonts w:ascii="Calibri" w:hAnsi="Calibri" w:cs="Calibri"/>
                <w:sz w:val="22"/>
                <w:szCs w:val="22"/>
              </w:rPr>
              <w:t xml:space="preserve"> fits all requirements when the whole care industry should be focussed on individualised care</w:t>
            </w:r>
            <w:r w:rsidRPr="00613206">
              <w:rPr>
                <w:rFonts w:ascii="Calibri" w:hAnsi="Calibri" w:cs="Calibri"/>
                <w:sz w:val="22"/>
                <w:szCs w:val="22"/>
              </w:rPr>
              <w:t xml:space="preserve"> and</w:t>
            </w:r>
            <w:r w:rsidRPr="00613206">
              <w:rPr>
                <w:rFonts w:ascii="Calibri" w:hAnsi="Calibri" w:cs="Calibri"/>
                <w:sz w:val="22"/>
                <w:szCs w:val="22"/>
              </w:rPr>
              <w:t xml:space="preserve"> person</w:t>
            </w:r>
            <w:r w:rsidRPr="00613206">
              <w:rPr>
                <w:rFonts w:ascii="Calibri" w:hAnsi="Calibri" w:cs="Calibri"/>
                <w:sz w:val="22"/>
                <w:szCs w:val="22"/>
              </w:rPr>
              <w:t>-</w:t>
            </w:r>
            <w:r w:rsidRPr="00613206">
              <w:rPr>
                <w:rFonts w:ascii="Calibri" w:hAnsi="Calibri" w:cs="Calibri"/>
                <w:sz w:val="22"/>
                <w:szCs w:val="22"/>
              </w:rPr>
              <w:t>centred decisions</w:t>
            </w:r>
            <w:r w:rsidRPr="00613206">
              <w:rPr>
                <w:rFonts w:ascii="Calibri" w:hAnsi="Calibri" w:cs="Calibri"/>
                <w:sz w:val="22"/>
                <w:szCs w:val="22"/>
              </w:rPr>
              <w:t>.  To</w:t>
            </w:r>
            <w:r w:rsidRPr="00613206">
              <w:rPr>
                <w:rFonts w:ascii="Calibri" w:hAnsi="Calibri" w:cs="Calibri"/>
                <w:sz w:val="22"/>
                <w:szCs w:val="22"/>
              </w:rPr>
              <w:t xml:space="preserve">o many </w:t>
            </w:r>
            <w:r w:rsidRPr="00613206">
              <w:rPr>
                <w:rFonts w:ascii="Calibri" w:hAnsi="Calibri" w:cs="Calibri"/>
                <w:sz w:val="22"/>
                <w:szCs w:val="22"/>
              </w:rPr>
              <w:t xml:space="preserve">people </w:t>
            </w:r>
            <w:r w:rsidRPr="00613206">
              <w:rPr>
                <w:rFonts w:ascii="Calibri" w:hAnsi="Calibri" w:cs="Calibri"/>
                <w:sz w:val="22"/>
                <w:szCs w:val="22"/>
              </w:rPr>
              <w:t>are</w:t>
            </w:r>
            <w:r w:rsidRPr="00613206">
              <w:rPr>
                <w:rFonts w:ascii="Calibri" w:hAnsi="Calibri" w:cs="Calibri"/>
                <w:sz w:val="22"/>
                <w:szCs w:val="22"/>
              </w:rPr>
              <w:t xml:space="preserve"> being</w:t>
            </w:r>
            <w:r w:rsidRPr="00613206">
              <w:rPr>
                <w:rFonts w:ascii="Calibri" w:hAnsi="Calibri" w:cs="Calibri"/>
                <w:sz w:val="22"/>
                <w:szCs w:val="22"/>
              </w:rPr>
              <w:t xml:space="preserve"> failed without successful transition</w:t>
            </w:r>
            <w:r w:rsidRPr="00613206">
              <w:rPr>
                <w:rFonts w:ascii="Calibri" w:hAnsi="Calibri" w:cs="Calibri"/>
                <w:sz w:val="22"/>
                <w:szCs w:val="22"/>
              </w:rPr>
              <w:t xml:space="preserve"> directly because of this</w:t>
            </w:r>
            <w:r w:rsidRPr="00613206">
              <w:rPr>
                <w:rFonts w:ascii="Calibri" w:hAnsi="Calibri" w:cs="Calibri"/>
                <w:sz w:val="22"/>
                <w:szCs w:val="22"/>
              </w:rPr>
              <w:t xml:space="preserve">. </w:t>
            </w:r>
          </w:p>
          <w:p w:rsidR="00747491" w:rsidRPr="00613206">
            <w:pPr>
              <w:rPr>
                <w:rFonts w:ascii="Calibri" w:hAnsi="Calibri" w:cs="Calibri"/>
                <w:sz w:val="22"/>
                <w:szCs w:val="22"/>
              </w:rPr>
            </w:pPr>
          </w:p>
          <w:p w:rsidR="00747491" w:rsidRPr="00613206">
            <w:pPr>
              <w:rPr>
                <w:rFonts w:ascii="Calibri" w:hAnsi="Calibri" w:cs="Calibri"/>
                <w:sz w:val="22"/>
                <w:szCs w:val="22"/>
              </w:rPr>
            </w:pPr>
          </w:p>
        </w:tc>
      </w:tr>
      <w:tr w:rsidTr="5EF72ECC">
        <w:tblPrEx>
          <w:tblW w:w="10490" w:type="dxa"/>
          <w:tblInd w:w="-714" w:type="dxa"/>
          <w:tblLook w:val="04A0"/>
        </w:tblPrEx>
        <w:tc>
          <w:tcPr>
            <w:tcW w:w="1985" w:type="dxa"/>
            <w:vMerge/>
          </w:tcPr>
          <w:p w:rsidR="00747491" w:rsidRPr="00613206">
            <w:pPr>
              <w:rPr>
                <w:rFonts w:ascii="Calibri" w:hAnsi="Calibri" w:cs="Calibri"/>
                <w:b/>
                <w:bCs/>
                <w:sz w:val="22"/>
                <w:szCs w:val="22"/>
              </w:rPr>
            </w:pPr>
          </w:p>
        </w:tc>
        <w:tc>
          <w:tcPr>
            <w:tcW w:w="8505" w:type="dxa"/>
          </w:tcPr>
          <w:p w:rsidR="00747491" w:rsidRPr="00613206">
            <w:pPr>
              <w:rPr>
                <w:rFonts w:ascii="Calibri" w:hAnsi="Calibri" w:cs="Calibri"/>
                <w:sz w:val="22"/>
                <w:szCs w:val="22"/>
              </w:rPr>
            </w:pPr>
            <w:r w:rsidRPr="00613206">
              <w:rPr>
                <w:rFonts w:ascii="Calibri" w:hAnsi="Calibri" w:cs="Calibri"/>
                <w:sz w:val="22"/>
                <w:szCs w:val="22"/>
              </w:rPr>
              <w:t xml:space="preserve">2. How is the recommendation that the point of transfer to adult services should be based on individual need, rather than rigid age criteria, managed in practice </w:t>
            </w:r>
            <w:r>
              <w:fldChar w:fldCharType="begin"/>
            </w:r>
            <w:r>
              <w:instrText xml:space="preserve"> HYPERLINK "https://www.nice.org.uk/guidance/ng43/chapter/Recommendations" \l "transition-planning" \t "_blank" </w:instrText>
            </w:r>
            <w:r>
              <w:fldChar w:fldCharType="separate"/>
            </w:r>
            <w:r w:rsidRPr="00613206">
              <w:rPr>
                <w:rStyle w:val="Hyperlink"/>
                <w:rFonts w:ascii="Calibri" w:hAnsi="Calibri" w:cs="Calibri"/>
                <w:color w:val="auto"/>
                <w:sz w:val="22"/>
                <w:szCs w:val="22"/>
                <w:lang w:val="en-US"/>
              </w:rPr>
              <w:t>NICE NG43 (1.2.3, 2016)</w:t>
            </w:r>
            <w:r>
              <w:fldChar w:fldCharType="end"/>
            </w:r>
            <w:r w:rsidRPr="00613206">
              <w:rPr>
                <w:rFonts w:ascii="Calibri" w:hAnsi="Calibri" w:cs="Calibri"/>
                <w:sz w:val="22"/>
                <w:szCs w:val="22"/>
              </w:rPr>
              <w:t>?</w:t>
            </w:r>
          </w:p>
        </w:tc>
      </w:tr>
      <w:tr w:rsidTr="5EF72ECC">
        <w:tblPrEx>
          <w:tblW w:w="10490" w:type="dxa"/>
          <w:tblInd w:w="-714" w:type="dxa"/>
          <w:tblLook w:val="04A0"/>
        </w:tblPrEx>
        <w:tc>
          <w:tcPr>
            <w:tcW w:w="1985" w:type="dxa"/>
            <w:vMerge/>
          </w:tcPr>
          <w:p w:rsidR="00747491" w:rsidRPr="00613206">
            <w:pPr>
              <w:rPr>
                <w:rFonts w:ascii="Calibri" w:hAnsi="Calibri" w:cs="Calibri"/>
                <w:b/>
                <w:bCs/>
                <w:sz w:val="22"/>
                <w:szCs w:val="22"/>
              </w:rPr>
            </w:pPr>
          </w:p>
        </w:tc>
        <w:tc>
          <w:tcPr>
            <w:tcW w:w="8505" w:type="dxa"/>
          </w:tcPr>
          <w:p w:rsidR="00747491" w:rsidRPr="00613206">
            <w:pPr>
              <w:rPr>
                <w:rFonts w:ascii="Calibri" w:hAnsi="Calibri" w:cs="Calibri"/>
                <w:sz w:val="22"/>
                <w:szCs w:val="22"/>
              </w:rPr>
            </w:pPr>
          </w:p>
          <w:p w:rsidR="00747491" w:rsidRPr="00613206" w:rsidP="005051E0">
            <w:pPr>
              <w:pStyle w:val="NormalWeb"/>
              <w:rPr>
                <w:rFonts w:ascii="Calibri" w:hAnsi="Calibri" w:cs="Calibri"/>
                <w:sz w:val="22"/>
                <w:szCs w:val="22"/>
              </w:rPr>
            </w:pPr>
            <w:r w:rsidRPr="00613206">
              <w:rPr>
                <w:rFonts w:ascii="Calibri" w:hAnsi="Calibri" w:cs="Calibri"/>
                <w:sz w:val="22"/>
                <w:szCs w:val="22"/>
              </w:rPr>
              <w:t xml:space="preserve">In practice, the recommendation within NICE NG43 (1.2.3, 2016) </w:t>
            </w:r>
            <w:r w:rsidRPr="00613206">
              <w:rPr>
                <w:rFonts w:ascii="Calibri" w:hAnsi="Calibri" w:cs="Calibri"/>
                <w:sz w:val="22"/>
                <w:szCs w:val="22"/>
              </w:rPr>
              <w:t xml:space="preserve">is </w:t>
            </w:r>
            <w:r w:rsidRPr="00613206">
              <w:rPr>
                <w:rFonts w:ascii="Calibri" w:hAnsi="Calibri" w:cs="Calibri"/>
                <w:sz w:val="22"/>
                <w:szCs w:val="22"/>
              </w:rPr>
              <w:t>that transfer</w:t>
            </w:r>
            <w:r w:rsidRPr="00613206">
              <w:rPr>
                <w:rFonts w:ascii="Calibri" w:hAnsi="Calibri" w:cs="Calibri"/>
                <w:sz w:val="22"/>
                <w:szCs w:val="22"/>
              </w:rPr>
              <w:t>s</w:t>
            </w:r>
            <w:r w:rsidRPr="00613206">
              <w:rPr>
                <w:rFonts w:ascii="Calibri" w:hAnsi="Calibri" w:cs="Calibri"/>
                <w:sz w:val="22"/>
                <w:szCs w:val="22"/>
              </w:rPr>
              <w:t xml:space="preserve"> to adult services should be based on individual need rather than rigid age criteria </w:t>
            </w:r>
            <w:r w:rsidRPr="00613206">
              <w:rPr>
                <w:rFonts w:ascii="Calibri" w:hAnsi="Calibri" w:cs="Calibri"/>
                <w:sz w:val="22"/>
                <w:szCs w:val="22"/>
              </w:rPr>
              <w:t>and that they should be</w:t>
            </w:r>
            <w:r w:rsidRPr="00613206">
              <w:rPr>
                <w:rFonts w:ascii="Calibri" w:hAnsi="Calibri" w:cs="Calibri"/>
                <w:sz w:val="22"/>
                <w:szCs w:val="22"/>
              </w:rPr>
              <w:t xml:space="preserve"> managed through flexible and person-centred transition planning. </w:t>
            </w:r>
            <w:r w:rsidRPr="00613206">
              <w:rPr>
                <w:rFonts w:ascii="Calibri" w:hAnsi="Calibri" w:cs="Calibri"/>
                <w:sz w:val="22"/>
                <w:szCs w:val="22"/>
              </w:rPr>
              <w:t>The current regulatory sticking points are that the escalation process is to</w:t>
            </w:r>
            <w:r w:rsidRPr="00613206">
              <w:rPr>
                <w:rFonts w:ascii="Calibri" w:hAnsi="Calibri" w:cs="Calibri"/>
                <w:sz w:val="22"/>
                <w:szCs w:val="22"/>
              </w:rPr>
              <w:t>o</w:t>
            </w:r>
            <w:r w:rsidRPr="00613206">
              <w:rPr>
                <w:rFonts w:ascii="Calibri" w:hAnsi="Calibri" w:cs="Calibri"/>
                <w:sz w:val="22"/>
                <w:szCs w:val="22"/>
              </w:rPr>
              <w:t xml:space="preserve"> slow and providers </w:t>
            </w:r>
            <w:r w:rsidRPr="00613206">
              <w:rPr>
                <w:rFonts w:ascii="Calibri" w:hAnsi="Calibri" w:cs="Calibri"/>
                <w:sz w:val="22"/>
                <w:szCs w:val="22"/>
              </w:rPr>
              <w:t xml:space="preserve">end up having </w:t>
            </w:r>
            <w:r w:rsidRPr="00613206">
              <w:rPr>
                <w:rFonts w:ascii="Calibri" w:hAnsi="Calibri" w:cs="Calibri"/>
                <w:sz w:val="22"/>
                <w:szCs w:val="22"/>
              </w:rPr>
              <w:t>to prompt the adults team</w:t>
            </w:r>
            <w:r w:rsidRPr="00613206">
              <w:rPr>
                <w:rFonts w:ascii="Calibri" w:hAnsi="Calibri" w:cs="Calibri"/>
                <w:sz w:val="22"/>
                <w:szCs w:val="22"/>
              </w:rPr>
              <w:t xml:space="preserve"> themselves</w:t>
            </w:r>
            <w:r w:rsidRPr="00613206">
              <w:rPr>
                <w:rFonts w:ascii="Calibri" w:hAnsi="Calibri" w:cs="Calibri"/>
                <w:sz w:val="22"/>
                <w:szCs w:val="22"/>
              </w:rPr>
              <w:t xml:space="preserve">; </w:t>
            </w:r>
            <w:r w:rsidRPr="00613206">
              <w:rPr>
                <w:rFonts w:ascii="Calibri" w:hAnsi="Calibri" w:cs="Calibri"/>
                <w:sz w:val="22"/>
                <w:szCs w:val="22"/>
              </w:rPr>
              <w:t>without the</w:t>
            </w:r>
            <w:r w:rsidRPr="00613206">
              <w:rPr>
                <w:rFonts w:ascii="Calibri" w:hAnsi="Calibri" w:cs="Calibri"/>
                <w:sz w:val="22"/>
                <w:szCs w:val="22"/>
              </w:rPr>
              <w:t>m</w:t>
            </w:r>
            <w:r w:rsidRPr="00613206">
              <w:rPr>
                <w:rFonts w:ascii="Calibri" w:hAnsi="Calibri" w:cs="Calibri"/>
                <w:sz w:val="22"/>
                <w:szCs w:val="22"/>
              </w:rPr>
              <w:t xml:space="preserve"> doing this, </w:t>
            </w:r>
            <w:r w:rsidRPr="00613206">
              <w:rPr>
                <w:rFonts w:ascii="Calibri" w:hAnsi="Calibri" w:cs="Calibri"/>
                <w:sz w:val="22"/>
                <w:szCs w:val="22"/>
              </w:rPr>
              <w:t xml:space="preserve">many </w:t>
            </w:r>
            <w:r w:rsidRPr="00613206">
              <w:rPr>
                <w:rFonts w:ascii="Calibri" w:hAnsi="Calibri" w:cs="Calibri"/>
                <w:sz w:val="22"/>
                <w:szCs w:val="22"/>
              </w:rPr>
              <w:t xml:space="preserve">young people </w:t>
            </w:r>
            <w:r w:rsidRPr="00613206">
              <w:rPr>
                <w:rFonts w:ascii="Calibri" w:hAnsi="Calibri" w:cs="Calibri"/>
                <w:sz w:val="22"/>
                <w:szCs w:val="22"/>
              </w:rPr>
              <w:t xml:space="preserve">would </w:t>
            </w:r>
            <w:r w:rsidRPr="00613206">
              <w:rPr>
                <w:rFonts w:ascii="Calibri" w:hAnsi="Calibri" w:cs="Calibri"/>
                <w:sz w:val="22"/>
                <w:szCs w:val="22"/>
              </w:rPr>
              <w:t>find themselves at</w:t>
            </w:r>
            <w:r w:rsidRPr="00613206">
              <w:rPr>
                <w:rFonts w:ascii="Calibri" w:hAnsi="Calibri" w:cs="Calibri"/>
                <w:sz w:val="22"/>
                <w:szCs w:val="22"/>
              </w:rPr>
              <w:t xml:space="preserve"> </w:t>
            </w:r>
            <w:r w:rsidRPr="00613206">
              <w:rPr>
                <w:rFonts w:ascii="Calibri" w:hAnsi="Calibri" w:cs="Calibri"/>
                <w:sz w:val="22"/>
                <w:szCs w:val="22"/>
              </w:rPr>
              <w:t xml:space="preserve">a genuine </w:t>
            </w:r>
            <w:r w:rsidRPr="00613206">
              <w:rPr>
                <w:rFonts w:ascii="Calibri" w:hAnsi="Calibri" w:cs="Calibri"/>
                <w:sz w:val="22"/>
                <w:szCs w:val="22"/>
              </w:rPr>
              <w:t>risk of homeless</w:t>
            </w:r>
            <w:r w:rsidRPr="00613206">
              <w:rPr>
                <w:rFonts w:ascii="Calibri" w:hAnsi="Calibri" w:cs="Calibri"/>
                <w:sz w:val="22"/>
                <w:szCs w:val="22"/>
              </w:rPr>
              <w:t>ness</w:t>
            </w:r>
            <w:r w:rsidRPr="00613206">
              <w:rPr>
                <w:rFonts w:ascii="Calibri" w:hAnsi="Calibri" w:cs="Calibri"/>
                <w:sz w:val="22"/>
                <w:szCs w:val="22"/>
              </w:rPr>
              <w:t xml:space="preserve">. </w:t>
            </w:r>
            <w:r w:rsidRPr="00613206">
              <w:rPr>
                <w:rFonts w:ascii="Calibri" w:hAnsi="Calibri" w:cs="Calibri"/>
                <w:sz w:val="22"/>
                <w:szCs w:val="22"/>
              </w:rPr>
              <w:br/>
            </w:r>
            <w:r w:rsidRPr="00613206">
              <w:rPr>
                <w:rFonts w:ascii="Calibri" w:hAnsi="Calibri" w:cs="Calibri"/>
                <w:sz w:val="22"/>
                <w:szCs w:val="22"/>
              </w:rPr>
              <w:br/>
            </w:r>
            <w:r w:rsidRPr="00613206">
              <w:rPr>
                <w:rFonts w:ascii="Calibri" w:hAnsi="Calibri" w:cs="Calibri"/>
                <w:sz w:val="22"/>
                <w:szCs w:val="22"/>
              </w:rPr>
              <w:t xml:space="preserve">The full MDT </w:t>
            </w:r>
            <w:r w:rsidRPr="00613206">
              <w:rPr>
                <w:rFonts w:ascii="Calibri" w:hAnsi="Calibri" w:cs="Calibri"/>
                <w:sz w:val="22"/>
                <w:szCs w:val="22"/>
              </w:rPr>
              <w:t>are encouraged to assess each young person’s developmental stage, emotiona</w:t>
            </w:r>
            <w:r w:rsidRPr="00613206">
              <w:rPr>
                <w:rFonts w:ascii="Calibri" w:hAnsi="Calibri" w:cs="Calibri"/>
                <w:sz w:val="22"/>
                <w:szCs w:val="22"/>
              </w:rPr>
              <w:t xml:space="preserve">l readiness, clinical needs, and social circumstances when determining the most appropriate timing for transfer. This can allow some young people to remain under children’s services for longer where continued support is necessary to achieve a safe and effective transition, but </w:t>
            </w:r>
            <w:r w:rsidRPr="00613206">
              <w:rPr>
                <w:rFonts w:ascii="Calibri" w:hAnsi="Calibri" w:cs="Calibri"/>
                <w:sz w:val="22"/>
                <w:szCs w:val="22"/>
              </w:rPr>
              <w:t xml:space="preserve">again, </w:t>
            </w:r>
            <w:r w:rsidRPr="00613206">
              <w:rPr>
                <w:rFonts w:ascii="Calibri" w:hAnsi="Calibri" w:cs="Calibri"/>
                <w:sz w:val="22"/>
                <w:szCs w:val="22"/>
              </w:rPr>
              <w:t xml:space="preserve">this does not happen enough. </w:t>
            </w:r>
          </w:p>
          <w:p w:rsidR="00747491" w:rsidRPr="00613206" w:rsidP="005051E0">
            <w:pPr>
              <w:pStyle w:val="NormalWeb"/>
              <w:rPr>
                <w:rFonts w:ascii="Calibri" w:hAnsi="Calibri" w:cs="Calibri"/>
                <w:sz w:val="22"/>
                <w:szCs w:val="22"/>
              </w:rPr>
            </w:pPr>
            <w:r w:rsidRPr="00613206">
              <w:rPr>
                <w:rFonts w:ascii="Calibri" w:hAnsi="Calibri" w:cs="Calibri"/>
                <w:sz w:val="22"/>
                <w:szCs w:val="22"/>
              </w:rPr>
              <w:t>In some areas, phased or gradual transitions are implemented, enabling overlap between children’s and adult services to reduce disruption and support continuity of care. Transition coordinators or key workers may also help tailor the process to the young person’s individual circumstances and preferences.</w:t>
            </w:r>
          </w:p>
          <w:p w:rsidR="00747491" w:rsidRPr="00613206" w:rsidP="005051E0">
            <w:pPr>
              <w:pStyle w:val="NormalWeb"/>
              <w:rPr>
                <w:rFonts w:ascii="Calibri" w:hAnsi="Calibri" w:cs="Calibri"/>
                <w:sz w:val="22"/>
                <w:szCs w:val="22"/>
              </w:rPr>
            </w:pPr>
            <w:r w:rsidRPr="00613206">
              <w:rPr>
                <w:rFonts w:ascii="Calibri" w:hAnsi="Calibri" w:cs="Calibri"/>
                <w:sz w:val="22"/>
                <w:szCs w:val="22"/>
              </w:rPr>
              <w:t xml:space="preserve">However, due to the regulations </w:t>
            </w:r>
            <w:r w:rsidRPr="00613206">
              <w:rPr>
                <w:rFonts w:ascii="Calibri" w:hAnsi="Calibri" w:cs="Calibri"/>
                <w:sz w:val="22"/>
                <w:szCs w:val="22"/>
              </w:rPr>
              <w:t xml:space="preserve">being </w:t>
            </w:r>
            <w:r w:rsidRPr="00613206">
              <w:rPr>
                <w:rFonts w:ascii="Calibri" w:hAnsi="Calibri" w:cs="Calibri"/>
                <w:sz w:val="22"/>
                <w:szCs w:val="22"/>
              </w:rPr>
              <w:t xml:space="preserve">outdated and in need of </w:t>
            </w:r>
            <w:r w:rsidRPr="00613206">
              <w:rPr>
                <w:rFonts w:ascii="Calibri" w:hAnsi="Calibri" w:cs="Calibri"/>
                <w:sz w:val="22"/>
                <w:szCs w:val="22"/>
              </w:rPr>
              <w:t>revision,</w:t>
            </w:r>
            <w:r w:rsidRPr="00613206">
              <w:rPr>
                <w:rFonts w:ascii="Calibri" w:hAnsi="Calibri" w:cs="Calibri"/>
                <w:sz w:val="22"/>
                <w:szCs w:val="22"/>
              </w:rPr>
              <w:t xml:space="preserve"> there </w:t>
            </w:r>
            <w:r w:rsidRPr="00613206">
              <w:rPr>
                <w:rFonts w:ascii="Calibri" w:hAnsi="Calibri" w:cs="Calibri"/>
                <w:sz w:val="22"/>
                <w:szCs w:val="22"/>
              </w:rPr>
              <w:t>are few</w:t>
            </w:r>
            <w:r w:rsidRPr="00613206">
              <w:rPr>
                <w:rFonts w:ascii="Calibri" w:hAnsi="Calibri" w:cs="Calibri"/>
                <w:sz w:val="22"/>
                <w:szCs w:val="22"/>
              </w:rPr>
              <w:t xml:space="preserve"> available</w:t>
            </w:r>
            <w:r w:rsidRPr="00613206">
              <w:rPr>
                <w:rFonts w:ascii="Calibri" w:hAnsi="Calibri" w:cs="Calibri"/>
                <w:sz w:val="22"/>
                <w:szCs w:val="22"/>
              </w:rPr>
              <w:t xml:space="preserve"> services</w:t>
            </w:r>
            <w:r w:rsidRPr="00613206">
              <w:rPr>
                <w:rFonts w:ascii="Calibri" w:hAnsi="Calibri" w:cs="Calibri"/>
                <w:sz w:val="22"/>
                <w:szCs w:val="22"/>
              </w:rPr>
              <w:t xml:space="preserve"> that allow long term transitional work. </w:t>
            </w:r>
            <w:r w:rsidRPr="00613206">
              <w:rPr>
                <w:rFonts w:ascii="Calibri" w:hAnsi="Calibri" w:cs="Calibri"/>
                <w:sz w:val="22"/>
                <w:szCs w:val="22"/>
              </w:rPr>
              <w:t xml:space="preserve"> </w:t>
            </w:r>
            <w:r w:rsidRPr="00613206">
              <w:rPr>
                <w:rFonts w:ascii="Calibri" w:hAnsi="Calibri" w:cs="Calibri"/>
                <w:sz w:val="22"/>
                <w:szCs w:val="22"/>
              </w:rPr>
              <w:t xml:space="preserve">We </w:t>
            </w:r>
            <w:r w:rsidRPr="00613206">
              <w:rPr>
                <w:rFonts w:ascii="Calibri" w:hAnsi="Calibri" w:cs="Calibri"/>
                <w:sz w:val="22"/>
                <w:szCs w:val="22"/>
              </w:rPr>
              <w:t xml:space="preserve">are </w:t>
            </w:r>
            <w:r w:rsidRPr="00613206">
              <w:rPr>
                <w:rFonts w:ascii="Calibri" w:hAnsi="Calibri" w:cs="Calibri"/>
                <w:sz w:val="22"/>
                <w:szCs w:val="22"/>
              </w:rPr>
              <w:t>among</w:t>
            </w:r>
            <w:r w:rsidRPr="00613206">
              <w:rPr>
                <w:rFonts w:ascii="Calibri" w:hAnsi="Calibri" w:cs="Calibri"/>
                <w:sz w:val="22"/>
                <w:szCs w:val="22"/>
              </w:rPr>
              <w:t xml:space="preserve"> </w:t>
            </w:r>
            <w:r w:rsidRPr="00613206">
              <w:rPr>
                <w:rFonts w:ascii="Calibri" w:hAnsi="Calibri" w:cs="Calibri"/>
                <w:sz w:val="22"/>
                <w:szCs w:val="22"/>
              </w:rPr>
              <w:t xml:space="preserve">a few providers who have done </w:t>
            </w:r>
            <w:r w:rsidRPr="00613206">
              <w:rPr>
                <w:rFonts w:ascii="Calibri" w:hAnsi="Calibri" w:cs="Calibri"/>
                <w:sz w:val="22"/>
                <w:szCs w:val="22"/>
              </w:rPr>
              <w:t>this</w:t>
            </w:r>
            <w:r w:rsidRPr="00613206">
              <w:rPr>
                <w:rFonts w:ascii="Calibri" w:hAnsi="Calibri" w:cs="Calibri"/>
                <w:sz w:val="22"/>
                <w:szCs w:val="22"/>
              </w:rPr>
              <w:t xml:space="preserve"> successfully </w:t>
            </w:r>
            <w:r w:rsidRPr="00613206">
              <w:rPr>
                <w:rFonts w:ascii="Calibri" w:hAnsi="Calibri" w:cs="Calibri"/>
                <w:sz w:val="22"/>
                <w:szCs w:val="22"/>
              </w:rPr>
              <w:t xml:space="preserve">and with very positive outcomes </w:t>
            </w:r>
            <w:r w:rsidRPr="00613206">
              <w:rPr>
                <w:rFonts w:ascii="Calibri" w:hAnsi="Calibri" w:cs="Calibri"/>
                <w:sz w:val="22"/>
                <w:szCs w:val="22"/>
              </w:rPr>
              <w:t>but</w:t>
            </w:r>
            <w:r w:rsidRPr="00613206">
              <w:rPr>
                <w:rFonts w:ascii="Calibri" w:hAnsi="Calibri" w:cs="Calibri"/>
                <w:sz w:val="22"/>
                <w:szCs w:val="22"/>
              </w:rPr>
              <w:t xml:space="preserve"> </w:t>
            </w:r>
            <w:r w:rsidRPr="00613206">
              <w:rPr>
                <w:rFonts w:ascii="Calibri" w:hAnsi="Calibri" w:cs="Calibri"/>
                <w:sz w:val="22"/>
                <w:szCs w:val="22"/>
              </w:rPr>
              <w:t>overly</w:t>
            </w:r>
            <w:r w:rsidRPr="00613206">
              <w:rPr>
                <w:rFonts w:ascii="Calibri" w:hAnsi="Calibri" w:cs="Calibri"/>
                <w:sz w:val="22"/>
                <w:szCs w:val="22"/>
              </w:rPr>
              <w:t xml:space="preserve"> heavy</w:t>
            </w:r>
            <w:r w:rsidRPr="00613206">
              <w:rPr>
                <w:rFonts w:ascii="Calibri" w:hAnsi="Calibri" w:cs="Calibri"/>
                <w:sz w:val="22"/>
                <w:szCs w:val="22"/>
              </w:rPr>
              <w:t xml:space="preserve"> scruti</w:t>
            </w:r>
            <w:r w:rsidRPr="00613206">
              <w:rPr>
                <w:rFonts w:ascii="Calibri" w:hAnsi="Calibri" w:cs="Calibri"/>
                <w:sz w:val="22"/>
                <w:szCs w:val="22"/>
              </w:rPr>
              <w:t xml:space="preserve">ny and </w:t>
            </w:r>
            <w:r w:rsidRPr="00613206">
              <w:rPr>
                <w:rFonts w:ascii="Calibri" w:hAnsi="Calibri" w:cs="Calibri"/>
                <w:sz w:val="22"/>
                <w:szCs w:val="22"/>
              </w:rPr>
              <w:t xml:space="preserve">the </w:t>
            </w:r>
            <w:r w:rsidRPr="00613206">
              <w:rPr>
                <w:rFonts w:ascii="Calibri" w:hAnsi="Calibri" w:cs="Calibri"/>
                <w:sz w:val="22"/>
                <w:szCs w:val="22"/>
              </w:rPr>
              <w:t>constant</w:t>
            </w:r>
            <w:r w:rsidRPr="00613206">
              <w:rPr>
                <w:rFonts w:ascii="Calibri" w:hAnsi="Calibri" w:cs="Calibri"/>
                <w:sz w:val="22"/>
                <w:szCs w:val="22"/>
              </w:rPr>
              <w:t xml:space="preserve"> frustration of our model by the regulators has </w:t>
            </w:r>
            <w:r w:rsidRPr="00613206">
              <w:rPr>
                <w:rFonts w:ascii="Calibri" w:hAnsi="Calibri" w:cs="Calibri"/>
                <w:sz w:val="22"/>
                <w:szCs w:val="22"/>
              </w:rPr>
              <w:t>proved extremely challenging.</w:t>
            </w:r>
          </w:p>
          <w:p w:rsidR="00747491" w:rsidRPr="00613206" w:rsidP="005051E0">
            <w:pPr>
              <w:pStyle w:val="NormalWeb"/>
              <w:rPr>
                <w:rFonts w:ascii="Calibri" w:hAnsi="Calibri" w:cs="Calibri"/>
                <w:sz w:val="22"/>
                <w:szCs w:val="22"/>
              </w:rPr>
            </w:pPr>
          </w:p>
          <w:p w:rsidR="00747491" w:rsidRPr="00613206">
            <w:pPr>
              <w:rPr>
                <w:rFonts w:ascii="Calibri" w:hAnsi="Calibri" w:cs="Calibri"/>
                <w:sz w:val="22"/>
                <w:szCs w:val="22"/>
              </w:rPr>
            </w:pPr>
          </w:p>
          <w:p w:rsidR="00747491" w:rsidRPr="00613206">
            <w:pPr>
              <w:rPr>
                <w:rFonts w:ascii="Calibri" w:hAnsi="Calibri" w:cs="Calibri"/>
                <w:sz w:val="22"/>
                <w:szCs w:val="22"/>
              </w:rPr>
            </w:pPr>
          </w:p>
        </w:tc>
      </w:tr>
      <w:tr w:rsidTr="5EF72ECC">
        <w:tblPrEx>
          <w:tblW w:w="10490" w:type="dxa"/>
          <w:tblInd w:w="-714" w:type="dxa"/>
          <w:tblLook w:val="04A0"/>
        </w:tblPrEx>
        <w:tc>
          <w:tcPr>
            <w:tcW w:w="1985" w:type="dxa"/>
            <w:vMerge w:val="restart"/>
          </w:tcPr>
          <w:p w:rsidR="00747491" w:rsidRPr="00613206" w:rsidP="00A54A5C">
            <w:pPr>
              <w:rPr>
                <w:rFonts w:ascii="Calibri" w:hAnsi="Calibri" w:cs="Calibri"/>
                <w:b/>
                <w:sz w:val="22"/>
                <w:szCs w:val="22"/>
              </w:rPr>
            </w:pPr>
            <w:r w:rsidRPr="00613206">
              <w:rPr>
                <w:rFonts w:ascii="Calibri" w:hAnsi="Calibri" w:cs="Calibri"/>
                <w:b/>
                <w:sz w:val="22"/>
                <w:szCs w:val="22"/>
              </w:rPr>
              <w:t>Appropriateness</w:t>
            </w:r>
          </w:p>
        </w:tc>
        <w:tc>
          <w:tcPr>
            <w:tcW w:w="8505" w:type="dxa"/>
          </w:tcPr>
          <w:p w:rsidR="00747491" w:rsidRPr="00613206" w:rsidP="00A54A5C">
            <w:pPr>
              <w:rPr>
                <w:rFonts w:ascii="Calibri" w:hAnsi="Calibri" w:cs="Calibri"/>
                <w:sz w:val="22"/>
                <w:szCs w:val="22"/>
              </w:rPr>
            </w:pPr>
            <w:r w:rsidRPr="00613206">
              <w:rPr>
                <w:rFonts w:ascii="Calibri" w:hAnsi="Calibri" w:cs="Calibri"/>
                <w:sz w:val="22"/>
                <w:szCs w:val="22"/>
              </w:rPr>
              <w:t xml:space="preserve">1. To what extent are service providers able to meet these statements of intent? </w:t>
            </w:r>
          </w:p>
        </w:tc>
      </w:tr>
      <w:tr w:rsidTr="5EF72ECC">
        <w:tblPrEx>
          <w:tblW w:w="10490" w:type="dxa"/>
          <w:tblInd w:w="-714" w:type="dxa"/>
          <w:tblLook w:val="04A0"/>
        </w:tblPrEx>
        <w:tc>
          <w:tcPr>
            <w:tcW w:w="1985" w:type="dxa"/>
            <w:vMerge/>
          </w:tcPr>
          <w:p w:rsidR="00747491" w:rsidRPr="00613206" w:rsidP="00A54A5C">
            <w:pPr>
              <w:rPr>
                <w:rFonts w:ascii="Calibri" w:hAnsi="Calibri" w:cs="Calibri"/>
                <w:b/>
                <w:sz w:val="22"/>
                <w:szCs w:val="22"/>
              </w:rPr>
            </w:pPr>
          </w:p>
        </w:tc>
        <w:tc>
          <w:tcPr>
            <w:tcW w:w="8505" w:type="dxa"/>
          </w:tcPr>
          <w:p w:rsidR="00747491" w:rsidRPr="00613206" w:rsidP="00A54A5C">
            <w:pPr>
              <w:rPr>
                <w:rFonts w:ascii="Calibri" w:hAnsi="Calibri" w:cs="Calibri"/>
                <w:sz w:val="22"/>
                <w:szCs w:val="22"/>
              </w:rPr>
            </w:pPr>
          </w:p>
          <w:p w:rsidR="00747491" w:rsidRPr="00613206" w:rsidP="00A54A5C">
            <w:pPr>
              <w:rPr>
                <w:rFonts w:ascii="Calibri" w:hAnsi="Calibri" w:cs="Calibri"/>
                <w:sz w:val="22"/>
                <w:szCs w:val="22"/>
              </w:rPr>
            </w:pPr>
          </w:p>
          <w:p w:rsidR="00747491" w:rsidRPr="00613206" w:rsidP="00A54A5C">
            <w:pPr>
              <w:rPr>
                <w:rFonts w:ascii="Calibri" w:hAnsi="Calibri" w:cs="Calibri"/>
                <w:sz w:val="22"/>
                <w:szCs w:val="22"/>
              </w:rPr>
            </w:pPr>
            <w:r w:rsidRPr="00613206">
              <w:rPr>
                <w:rFonts w:ascii="Calibri" w:hAnsi="Calibri" w:cs="Calibri"/>
                <w:sz w:val="22"/>
                <w:szCs w:val="22"/>
              </w:rPr>
              <w:t xml:space="preserve">Service providers are often committed to meeting the statements of intent within NICE NG43; however, rigid regulations, fixed age thresholds, and differing eligibility criteria between children’s and adult services can make this difficult to achieve consistently in practice. These structural constraints can limit flexibility around individual need and readiness for transition, despite professional judgement indicating that continued support may be required. As a result, some young people experience delays, </w:t>
            </w:r>
            <w:r w:rsidRPr="00613206">
              <w:rPr>
                <w:rFonts w:ascii="Calibri" w:hAnsi="Calibri" w:cs="Calibri"/>
                <w:sz w:val="22"/>
                <w:szCs w:val="22"/>
              </w:rPr>
              <w:t>discontinuity of care, or reduced support during transition periods, placing them at significant risk of poorer health, social, and emotional outcomes.</w:t>
            </w:r>
          </w:p>
          <w:p w:rsidR="00747491" w:rsidRPr="00613206" w:rsidP="00A54A5C">
            <w:pPr>
              <w:rPr>
                <w:rFonts w:ascii="Calibri" w:hAnsi="Calibri" w:cs="Calibri"/>
                <w:sz w:val="22"/>
                <w:szCs w:val="22"/>
              </w:rPr>
            </w:pPr>
          </w:p>
          <w:p w:rsidR="00747491" w:rsidRPr="00613206" w:rsidP="00A54A5C">
            <w:pPr>
              <w:rPr>
                <w:rFonts w:ascii="Calibri" w:hAnsi="Calibri" w:cs="Calibri"/>
                <w:sz w:val="22"/>
                <w:szCs w:val="22"/>
              </w:rPr>
            </w:pPr>
            <w:r w:rsidRPr="00613206">
              <w:rPr>
                <w:rFonts w:ascii="Calibri" w:hAnsi="Calibri" w:cs="Calibri"/>
                <w:sz w:val="22"/>
                <w:szCs w:val="22"/>
              </w:rPr>
              <w:t>This is w</w:t>
            </w:r>
            <w:r w:rsidRPr="00613206">
              <w:rPr>
                <w:rFonts w:ascii="Calibri" w:hAnsi="Calibri" w:cs="Calibri"/>
                <w:sz w:val="22"/>
                <w:szCs w:val="22"/>
              </w:rPr>
              <w:t>hy so many</w:t>
            </w:r>
            <w:r w:rsidRPr="00613206">
              <w:rPr>
                <w:rFonts w:ascii="Calibri" w:hAnsi="Calibri" w:cs="Calibri"/>
                <w:sz w:val="22"/>
                <w:szCs w:val="22"/>
              </w:rPr>
              <w:t xml:space="preserve"> parliamentarians have concerns </w:t>
            </w:r>
            <w:r w:rsidRPr="00613206">
              <w:rPr>
                <w:rFonts w:ascii="Calibri" w:hAnsi="Calibri" w:cs="Calibri"/>
                <w:sz w:val="22"/>
                <w:szCs w:val="22"/>
              </w:rPr>
              <w:t>and why so many</w:t>
            </w:r>
            <w:r w:rsidRPr="00613206">
              <w:rPr>
                <w:rFonts w:ascii="Calibri" w:hAnsi="Calibri" w:cs="Calibri"/>
                <w:sz w:val="22"/>
                <w:szCs w:val="22"/>
              </w:rPr>
              <w:t xml:space="preserve"> issues with care leavers</w:t>
            </w:r>
            <w:r w:rsidRPr="00613206">
              <w:rPr>
                <w:rFonts w:ascii="Calibri" w:hAnsi="Calibri" w:cs="Calibri"/>
                <w:sz w:val="22"/>
                <w:szCs w:val="22"/>
              </w:rPr>
              <w:t xml:space="preserve"> remain</w:t>
            </w:r>
            <w:r w:rsidRPr="00613206">
              <w:rPr>
                <w:rFonts w:ascii="Calibri" w:hAnsi="Calibri" w:cs="Calibri"/>
                <w:sz w:val="22"/>
                <w:szCs w:val="22"/>
              </w:rPr>
              <w:t xml:space="preserve"> today. </w:t>
            </w:r>
          </w:p>
          <w:p w:rsidR="00747491" w:rsidRPr="00613206" w:rsidP="00A54A5C">
            <w:pPr>
              <w:rPr>
                <w:rFonts w:ascii="Calibri" w:hAnsi="Calibri" w:cs="Calibri"/>
                <w:sz w:val="22"/>
                <w:szCs w:val="22"/>
              </w:rPr>
            </w:pPr>
          </w:p>
        </w:tc>
      </w:tr>
      <w:tr w:rsidTr="5EF72ECC">
        <w:tblPrEx>
          <w:tblW w:w="10490" w:type="dxa"/>
          <w:tblInd w:w="-714" w:type="dxa"/>
          <w:tblLook w:val="04A0"/>
        </w:tblPrEx>
        <w:tc>
          <w:tcPr>
            <w:tcW w:w="1985" w:type="dxa"/>
            <w:vMerge/>
          </w:tcPr>
          <w:p w:rsidR="00747491" w:rsidRPr="00613206" w:rsidP="00A54A5C">
            <w:pPr>
              <w:rPr>
                <w:rFonts w:ascii="Calibri" w:hAnsi="Calibri" w:cs="Calibri"/>
                <w:b/>
                <w:sz w:val="22"/>
                <w:szCs w:val="22"/>
              </w:rPr>
            </w:pPr>
          </w:p>
        </w:tc>
        <w:tc>
          <w:tcPr>
            <w:tcW w:w="8505" w:type="dxa"/>
          </w:tcPr>
          <w:p w:rsidR="00747491" w:rsidRPr="00613206" w:rsidP="00A54A5C">
            <w:pPr>
              <w:rPr>
                <w:rFonts w:ascii="Calibri" w:hAnsi="Calibri" w:cs="Calibri"/>
                <w:sz w:val="22"/>
                <w:szCs w:val="22"/>
              </w:rPr>
            </w:pPr>
            <w:r w:rsidRPr="00613206">
              <w:rPr>
                <w:rFonts w:ascii="Calibri" w:hAnsi="Calibri" w:cs="Calibri"/>
                <w:sz w:val="22"/>
                <w:szCs w:val="22"/>
              </w:rPr>
              <w:t xml:space="preserve">2. How appropriate are the current expectations on the timeliness and pace of the transition at both the individual and service level? </w:t>
            </w:r>
          </w:p>
        </w:tc>
      </w:tr>
      <w:tr w:rsidTr="0089718B">
        <w:tblPrEx>
          <w:tblW w:w="10490" w:type="dxa"/>
          <w:tblInd w:w="-714" w:type="dxa"/>
          <w:tblLook w:val="04A0"/>
        </w:tblPrEx>
        <w:trPr>
          <w:trHeight w:val="300"/>
        </w:trPr>
        <w:tc>
          <w:tcPr>
            <w:tcW w:w="1985" w:type="dxa"/>
            <w:vMerge/>
          </w:tcPr>
          <w:p w:rsidR="00747491" w:rsidRPr="00613206" w:rsidP="00A54A5C">
            <w:pPr>
              <w:rPr>
                <w:rFonts w:ascii="Calibri" w:hAnsi="Calibri" w:cs="Calibri"/>
                <w:b/>
                <w:sz w:val="22"/>
                <w:szCs w:val="22"/>
              </w:rPr>
            </w:pPr>
          </w:p>
        </w:tc>
        <w:tc>
          <w:tcPr>
            <w:tcW w:w="8505" w:type="dxa"/>
          </w:tcPr>
          <w:p w:rsidR="00747491" w:rsidRPr="00613206" w:rsidP="00A54A5C">
            <w:pPr>
              <w:rPr>
                <w:rFonts w:ascii="Calibri" w:hAnsi="Calibri" w:cs="Calibri"/>
                <w:sz w:val="22"/>
                <w:szCs w:val="22"/>
              </w:rPr>
            </w:pPr>
          </w:p>
          <w:p w:rsidR="00747491" w:rsidRPr="00613206" w:rsidP="00ED6D8B">
            <w:pPr>
              <w:pStyle w:val="NormalWeb"/>
              <w:rPr>
                <w:rFonts w:ascii="Calibri" w:hAnsi="Calibri" w:cs="Calibri"/>
                <w:sz w:val="22"/>
                <w:szCs w:val="22"/>
              </w:rPr>
            </w:pPr>
            <w:r w:rsidRPr="00613206">
              <w:rPr>
                <w:rFonts w:ascii="Calibri" w:hAnsi="Calibri" w:cs="Calibri"/>
                <w:sz w:val="22"/>
                <w:szCs w:val="22"/>
              </w:rPr>
              <w:t>Current expectations regarding the timeliness and pace of transition are often unrealistic and difficult for services to achieve consistently due to ongoing workforce pressures, high demand, and limited capacity across health and social care systems. Although guidance promotes early planning from Year 9 and gradual, person-centred transitions, the reality in many areas is that services are overstretched and unable to provide the level of preparation, coordination, and continuity required. This can result in</w:t>
            </w:r>
            <w:r w:rsidRPr="00613206">
              <w:rPr>
                <w:rFonts w:ascii="Calibri" w:hAnsi="Calibri" w:cs="Calibri"/>
                <w:sz w:val="22"/>
                <w:szCs w:val="22"/>
              </w:rPr>
              <w:t xml:space="preserve"> transition planning being delayed, rushed, or managed reactively rather than proactively.</w:t>
            </w:r>
          </w:p>
          <w:p w:rsidR="00747491" w:rsidRPr="00613206" w:rsidP="00ED6D8B">
            <w:pPr>
              <w:pStyle w:val="NormalWeb"/>
              <w:rPr>
                <w:rFonts w:ascii="Calibri" w:hAnsi="Calibri" w:cs="Calibri"/>
                <w:sz w:val="22"/>
                <w:szCs w:val="22"/>
              </w:rPr>
            </w:pPr>
            <w:r w:rsidRPr="00613206">
              <w:rPr>
                <w:rFonts w:ascii="Calibri" w:hAnsi="Calibri" w:cs="Calibri"/>
                <w:sz w:val="22"/>
                <w:szCs w:val="22"/>
              </w:rPr>
              <w:t>At an individual level, the pace of transition is frequently driven by fixed service deadlines and age thresholds rather than the young person’s emotional readiness, developmental needs, or clinical circumstances. Many young people and families report feeling unprepared for the move to adult services, particularly where there is limited overlap between children’s and adult provision or where adult services have long waiting lists and stricter eligibility criteria. This can create anxiety, disengagement from</w:t>
            </w:r>
            <w:r w:rsidRPr="00613206">
              <w:rPr>
                <w:rFonts w:ascii="Calibri" w:hAnsi="Calibri" w:cs="Calibri"/>
                <w:sz w:val="22"/>
                <w:szCs w:val="22"/>
              </w:rPr>
              <w:t xml:space="preserve"> services, and interruptions in care during a highly vulnerable period.</w:t>
            </w:r>
          </w:p>
          <w:p w:rsidR="00747491" w:rsidRPr="00613206" w:rsidP="00ED6D8B">
            <w:pPr>
              <w:pStyle w:val="NormalWeb"/>
              <w:rPr>
                <w:rFonts w:ascii="Calibri" w:hAnsi="Calibri" w:cs="Calibri"/>
                <w:sz w:val="22"/>
                <w:szCs w:val="22"/>
              </w:rPr>
            </w:pPr>
            <w:r w:rsidRPr="00613206">
              <w:rPr>
                <w:rFonts w:ascii="Calibri" w:hAnsi="Calibri" w:cs="Calibri"/>
                <w:sz w:val="22"/>
                <w:szCs w:val="22"/>
              </w:rPr>
              <w:t>At a service level, expectations around timely transitions are further undermined by fragmented systems, inconsistent local pathways, and insufficient resources to support effective multi-agency working. While policy and guidance set out positive ambitions, the current pressures facing services mean these expectations are often not achievable in practice. As a result, many transitions fall short of being truly coordinated, flexible, or person-centred, increasing the risk of poorer long-term outcomes for you</w:t>
            </w:r>
            <w:r w:rsidRPr="00613206">
              <w:rPr>
                <w:rFonts w:ascii="Calibri" w:hAnsi="Calibri" w:cs="Calibri"/>
                <w:sz w:val="22"/>
                <w:szCs w:val="22"/>
              </w:rPr>
              <w:t>ng people.</w:t>
            </w:r>
          </w:p>
          <w:p w:rsidR="00747491" w:rsidRPr="00613206" w:rsidP="00A54A5C">
            <w:pPr>
              <w:rPr>
                <w:rFonts w:ascii="Calibri" w:hAnsi="Calibri" w:cs="Calibri"/>
                <w:sz w:val="22"/>
                <w:szCs w:val="22"/>
              </w:rPr>
            </w:pPr>
          </w:p>
          <w:p w:rsidR="00747491" w:rsidRPr="00613206" w:rsidP="00A54A5C">
            <w:pPr>
              <w:rPr>
                <w:rFonts w:ascii="Calibri" w:hAnsi="Calibri" w:cs="Calibri"/>
                <w:sz w:val="22"/>
                <w:szCs w:val="22"/>
              </w:rPr>
            </w:pPr>
          </w:p>
        </w:tc>
      </w:tr>
      <w:tr w:rsidTr="0089718B">
        <w:tblPrEx>
          <w:tblW w:w="10490" w:type="dxa"/>
          <w:tblInd w:w="-714" w:type="dxa"/>
          <w:tblLook w:val="04A0"/>
        </w:tblPrEx>
        <w:trPr>
          <w:trHeight w:val="300"/>
        </w:trPr>
        <w:tc>
          <w:tcPr>
            <w:tcW w:w="1985" w:type="dxa"/>
            <w:vMerge w:val="restart"/>
          </w:tcPr>
          <w:p w:rsidR="00747491" w:rsidRPr="00613206" w:rsidP="00A54A5C">
            <w:pPr>
              <w:rPr>
                <w:rFonts w:ascii="Calibri" w:hAnsi="Calibri" w:cs="Calibri"/>
                <w:b/>
                <w:sz w:val="22"/>
                <w:szCs w:val="22"/>
              </w:rPr>
            </w:pPr>
            <w:r w:rsidRPr="00613206">
              <w:rPr>
                <w:rFonts w:ascii="Calibri" w:hAnsi="Calibri" w:cs="Calibri"/>
                <w:b/>
                <w:sz w:val="22"/>
                <w:szCs w:val="22"/>
              </w:rPr>
              <w:t>Equality and diversity</w:t>
            </w:r>
          </w:p>
        </w:tc>
        <w:tc>
          <w:tcPr>
            <w:tcW w:w="8505" w:type="dxa"/>
          </w:tcPr>
          <w:p w:rsidR="00747491" w:rsidRPr="00613206" w:rsidP="00A54A5C">
            <w:pPr>
              <w:rPr>
                <w:rFonts w:ascii="Calibri" w:hAnsi="Calibri" w:cs="Calibri"/>
                <w:sz w:val="22"/>
                <w:szCs w:val="22"/>
              </w:rPr>
            </w:pPr>
            <w:r w:rsidRPr="00613206">
              <w:rPr>
                <w:rFonts w:ascii="Calibri" w:hAnsi="Calibri" w:eastAsiaTheme="minorEastAsia" w:cs="Calibri"/>
                <w:sz w:val="22"/>
                <w:szCs w:val="22"/>
              </w:rPr>
              <w:t>1. How is the progress of underserved or vulnerable service-user groups, including those with protected characteristics, monitored in the delivery of services under this guidance?</w:t>
            </w:r>
          </w:p>
        </w:tc>
      </w:tr>
      <w:tr w:rsidTr="0089718B">
        <w:tblPrEx>
          <w:tblW w:w="10490" w:type="dxa"/>
          <w:tblInd w:w="-714" w:type="dxa"/>
          <w:tblLook w:val="04A0"/>
        </w:tblPrEx>
        <w:trPr>
          <w:trHeight w:val="300"/>
        </w:trPr>
        <w:tc>
          <w:tcPr>
            <w:tcW w:w="1985" w:type="dxa"/>
            <w:vMerge/>
          </w:tcPr>
          <w:p w:rsidR="00747491" w:rsidRPr="00613206" w:rsidP="00A54A5C">
            <w:pPr>
              <w:rPr>
                <w:rFonts w:ascii="Calibri" w:hAnsi="Calibri" w:cs="Calibri"/>
                <w:sz w:val="22"/>
                <w:szCs w:val="22"/>
              </w:rPr>
            </w:pPr>
          </w:p>
        </w:tc>
        <w:tc>
          <w:tcPr>
            <w:tcW w:w="8505" w:type="dxa"/>
          </w:tcPr>
          <w:p w:rsidR="00747491" w:rsidRPr="00613206" w:rsidP="00A54A5C">
            <w:pPr>
              <w:rPr>
                <w:rFonts w:ascii="Calibri" w:hAnsi="Calibri" w:cs="Calibri"/>
                <w:sz w:val="22"/>
                <w:szCs w:val="22"/>
              </w:rPr>
            </w:pPr>
          </w:p>
          <w:p w:rsidR="00747491" w:rsidRPr="00613206" w:rsidP="00ED6D8B">
            <w:pPr>
              <w:pStyle w:val="NormalWeb"/>
              <w:rPr>
                <w:rFonts w:ascii="Calibri" w:hAnsi="Calibri" w:cs="Calibri"/>
                <w:sz w:val="22"/>
                <w:szCs w:val="22"/>
              </w:rPr>
            </w:pPr>
            <w:r w:rsidRPr="00613206">
              <w:rPr>
                <w:rFonts w:ascii="Calibri" w:hAnsi="Calibri" w:cs="Calibri"/>
                <w:sz w:val="22"/>
                <w:szCs w:val="22"/>
              </w:rPr>
              <w:t>The monitoring of progress for underserved or vulnerable service-user groups, including those with protected characteristics, remains inconsistent and, in many areas, insufficient. Although equality and inclusion are recognised within policy and guidance, there is significant variation in how effectively services collect data, track outcomes, and respond to the experiences of young people who are at greater risk of exclusion during transition. This includes young people with learning disabilities, neurodeve</w:t>
            </w:r>
            <w:r w:rsidRPr="00613206">
              <w:rPr>
                <w:rFonts w:ascii="Calibri" w:hAnsi="Calibri" w:cs="Calibri"/>
                <w:sz w:val="22"/>
                <w:szCs w:val="22"/>
              </w:rPr>
              <w:t>lopmental conditions, mental health needs, complex physical disabilities, those from minority ethnic communities, care-experienced young people, and those living in deprivation.</w:t>
            </w:r>
          </w:p>
          <w:p w:rsidR="00747491" w:rsidRPr="00613206" w:rsidP="00ED6D8B">
            <w:pPr>
              <w:pStyle w:val="NormalWeb"/>
              <w:rPr>
                <w:rFonts w:ascii="Calibri" w:hAnsi="Calibri" w:cs="Calibri"/>
                <w:sz w:val="22"/>
                <w:szCs w:val="22"/>
              </w:rPr>
            </w:pPr>
            <w:r w:rsidRPr="00613206">
              <w:rPr>
                <w:rFonts w:ascii="Calibri" w:hAnsi="Calibri" w:cs="Calibri"/>
                <w:sz w:val="22"/>
                <w:szCs w:val="22"/>
              </w:rPr>
              <w:t>There is growing concern that many of these young people become the “forgotten” group within transition systems. Monitoring processes are often focused on service activity rather than meaningful outcomes, and there is limited national consistency in how disparities are identified or addressed. As a result, vulnerable young people can experience delays, reduced support, disengagement from services, and poorer long-term outcomes without sufficient oversight or accountability. This is particularly unsettling g</w:t>
            </w:r>
            <w:r w:rsidRPr="00613206">
              <w:rPr>
                <w:rFonts w:ascii="Calibri" w:hAnsi="Calibri" w:cs="Calibri"/>
                <w:sz w:val="22"/>
                <w:szCs w:val="22"/>
              </w:rPr>
              <w:t>iven that transition periods are already associated with heightened vulnerability and increased risk.</w:t>
            </w:r>
          </w:p>
          <w:p w:rsidR="00747491" w:rsidRPr="00613206" w:rsidP="00ED6D8B">
            <w:pPr>
              <w:pStyle w:val="NormalWeb"/>
              <w:rPr>
                <w:rFonts w:ascii="Calibri" w:hAnsi="Calibri" w:cs="Calibri"/>
                <w:sz w:val="22"/>
                <w:szCs w:val="22"/>
              </w:rPr>
            </w:pPr>
            <w:r w:rsidRPr="00613206">
              <w:rPr>
                <w:rFonts w:ascii="Calibri" w:hAnsi="Calibri" w:cs="Calibri"/>
                <w:sz w:val="22"/>
                <w:szCs w:val="22"/>
              </w:rPr>
              <w:t>Many families and professionals also perceive a significant imbalance between the availability of structured pathways for older adults compared with young people transitioning into adult services. In practice, there are often clearer systems, greater visibility, and more established provision within elderly care pathways, whereas young people moving from children’s to adult services can face fragmented support, unclear accountability, and fewer appropriate service options. Strengthening data collection, out</w:t>
            </w:r>
            <w:r w:rsidRPr="00613206">
              <w:rPr>
                <w:rFonts w:ascii="Calibri" w:hAnsi="Calibri" w:cs="Calibri"/>
                <w:sz w:val="22"/>
                <w:szCs w:val="22"/>
              </w:rPr>
              <w:t>come monitoring, and targeted support for underserved groups is essential to ensure that vulnerable young people do not continue to be overlooked within the system.</w:t>
            </w:r>
          </w:p>
          <w:p w:rsidR="00747491" w:rsidRPr="00613206" w:rsidP="00A54A5C">
            <w:pPr>
              <w:rPr>
                <w:rFonts w:ascii="Calibri" w:hAnsi="Calibri" w:cs="Calibri"/>
                <w:sz w:val="22"/>
                <w:szCs w:val="22"/>
              </w:rPr>
            </w:pPr>
          </w:p>
        </w:tc>
      </w:tr>
    </w:tbl>
    <w:p w:rsidR="00747491" w:rsidRPr="00613206">
      <w:pPr>
        <w:rPr>
          <w:rFonts w:ascii="Calibri" w:hAnsi="Calibri" w:cs="Calibri"/>
          <w:sz w:val="22"/>
          <w:szCs w:val="22"/>
        </w:rPr>
      </w:pPr>
    </w:p>
    <w:p w:rsidR="00747491" w:rsidRPr="00613206">
      <w:pPr>
        <w:rPr>
          <w:rFonts w:ascii="Calibri" w:hAnsi="Calibri" w:cs="Calibri"/>
          <w:sz w:val="22"/>
          <w:szCs w:val="22"/>
        </w:rPr>
      </w:pPr>
    </w:p>
    <w:tbl>
      <w:tblPr>
        <w:tblStyle w:val="TableGrid"/>
        <w:tblW w:w="10490" w:type="dxa"/>
        <w:tblInd w:w="-714" w:type="dxa"/>
        <w:tblLook w:val="04A0"/>
      </w:tblPr>
      <w:tblGrid>
        <w:gridCol w:w="1985"/>
        <w:gridCol w:w="8505"/>
      </w:tblGrid>
      <w:tr w:rsidTr="6DBA89E6">
        <w:tblPrEx>
          <w:tblW w:w="10490" w:type="dxa"/>
          <w:tblInd w:w="-714" w:type="dxa"/>
          <w:tblLook w:val="04A0"/>
        </w:tblPrEx>
        <w:tc>
          <w:tcPr>
            <w:tcW w:w="10490" w:type="dxa"/>
            <w:gridSpan w:val="2"/>
          </w:tcPr>
          <w:p w:rsidR="00747491" w:rsidRPr="00613206" w:rsidP="0012331A">
            <w:pPr>
              <w:rPr>
                <w:rFonts w:ascii="Calibri" w:hAnsi="Calibri" w:cs="Calibri"/>
                <w:b/>
                <w:bCs/>
                <w:sz w:val="22"/>
                <w:szCs w:val="22"/>
              </w:rPr>
            </w:pPr>
            <w:r w:rsidRPr="00613206">
              <w:rPr>
                <w:rFonts w:ascii="Calibri" w:hAnsi="Calibri" w:cs="Calibri"/>
                <w:b/>
                <w:bCs/>
                <w:sz w:val="22"/>
                <w:szCs w:val="22"/>
              </w:rPr>
              <w:t xml:space="preserve">FOCUS AREA 2 </w:t>
            </w:r>
          </w:p>
          <w:p w:rsidR="00747491" w:rsidRPr="00613206" w:rsidP="0012331A">
            <w:pPr>
              <w:rPr>
                <w:rFonts w:ascii="Calibri" w:hAnsi="Calibri" w:cs="Calibri"/>
                <w:b/>
                <w:bCs/>
                <w:sz w:val="22"/>
                <w:szCs w:val="22"/>
              </w:rPr>
            </w:pPr>
            <w:r w:rsidRPr="00613206">
              <w:rPr>
                <w:rFonts w:ascii="Calibri" w:hAnsi="Calibri" w:cs="Calibri"/>
                <w:b/>
                <w:bCs/>
                <w:sz w:val="22"/>
                <w:szCs w:val="22"/>
              </w:rPr>
              <w:t>EFFECTIVENESS OF THE TRANSITION PROCESS AND CROSS-SERVICE COORDINATION</w:t>
            </w:r>
          </w:p>
        </w:tc>
      </w:tr>
      <w:tr w:rsidTr="6DBA89E6">
        <w:tblPrEx>
          <w:tblW w:w="10490" w:type="dxa"/>
          <w:tblInd w:w="-714" w:type="dxa"/>
          <w:tblLook w:val="04A0"/>
        </w:tblPrEx>
        <w:tc>
          <w:tcPr>
            <w:tcW w:w="10490" w:type="dxa"/>
            <w:gridSpan w:val="2"/>
          </w:tcPr>
          <w:p w:rsidR="00747491" w:rsidRPr="00613206" w:rsidP="00F42754">
            <w:pPr>
              <w:spacing w:after="120" w:line="259" w:lineRule="auto"/>
              <w:rPr>
                <w:rFonts w:ascii="Calibri" w:hAnsi="Calibri" w:cs="Calibri"/>
                <w:sz w:val="22"/>
                <w:szCs w:val="22"/>
              </w:rPr>
            </w:pPr>
            <w:r w:rsidRPr="00613206">
              <w:rPr>
                <w:rFonts w:ascii="Calibri" w:hAnsi="Calibri" w:cs="Calibri"/>
                <w:b/>
                <w:bCs/>
                <w:sz w:val="22"/>
                <w:szCs w:val="22"/>
              </w:rPr>
              <w:t>Statement of intent 1</w:t>
            </w:r>
            <w:r w:rsidRPr="00613206">
              <w:rPr>
                <w:rFonts w:ascii="Calibri" w:hAnsi="Calibri" w:cs="Calibri"/>
                <w:sz w:val="22"/>
                <w:szCs w:val="22"/>
              </w:rPr>
              <w:t>: Jointly plan services for all young people making a transition from children's to adults' services. For young people with education, health and care plans, local authorities and health commissioners must jointly commission services, as per the </w:t>
            </w:r>
            <w:r>
              <w:fldChar w:fldCharType="begin"/>
            </w:r>
            <w:r>
              <w:instrText xml:space="preserve"> HYPERLINK "http://www.legislation.gov.uk/ukpga/2014/6/contents/enacted" </w:instrText>
            </w:r>
            <w:r>
              <w:fldChar w:fldCharType="separate"/>
            </w:r>
            <w:r w:rsidRPr="00613206">
              <w:rPr>
                <w:rStyle w:val="Hyperlink"/>
                <w:rFonts w:ascii="Calibri" w:hAnsi="Calibri" w:cs="Calibri"/>
                <w:color w:val="auto"/>
                <w:sz w:val="22"/>
                <w:szCs w:val="22"/>
              </w:rPr>
              <w:t>Children and Families Act 2014</w:t>
            </w:r>
            <w:r>
              <w:fldChar w:fldCharType="end"/>
            </w:r>
            <w:r w:rsidRPr="00613206">
              <w:rPr>
                <w:rFonts w:ascii="Calibri" w:hAnsi="Calibri" w:cs="Calibri"/>
                <w:sz w:val="22"/>
                <w:szCs w:val="22"/>
              </w:rPr>
              <w:t>.</w:t>
            </w:r>
            <w:r w:rsidRPr="00613206">
              <w:rPr>
                <w:rFonts w:ascii="Calibri" w:hAnsi="Calibri" w:cs="Calibri"/>
                <w:b/>
                <w:bCs/>
                <w:sz w:val="22"/>
                <w:szCs w:val="22"/>
              </w:rPr>
              <w:t xml:space="preserve"> </w:t>
            </w:r>
            <w:r>
              <w:fldChar w:fldCharType="begin"/>
            </w:r>
            <w:r>
              <w:instrText xml:space="preserve"> HYPERLINK "https://www.nice.org.uk/guidance/ng43/chapter/Recommendations" \l "supporting-infrastructure" </w:instrText>
            </w:r>
            <w:r>
              <w:fldChar w:fldCharType="separate"/>
            </w:r>
            <w:r w:rsidRPr="00613206">
              <w:rPr>
                <w:rStyle w:val="Hyperlink"/>
                <w:rFonts w:ascii="Calibri" w:hAnsi="Calibri" w:cs="Calibri"/>
                <w:color w:val="auto"/>
                <w:sz w:val="22"/>
                <w:szCs w:val="22"/>
              </w:rPr>
              <w:t>NICE NG43 (1.5.9, 2016)</w:t>
            </w:r>
            <w:r>
              <w:fldChar w:fldCharType="end"/>
            </w:r>
          </w:p>
          <w:p w:rsidR="00747491" w:rsidRPr="00613206" w:rsidP="00F42754">
            <w:pPr>
              <w:spacing w:line="259" w:lineRule="auto"/>
              <w:rPr>
                <w:rFonts w:ascii="Calibri" w:hAnsi="Calibri" w:cs="Calibri"/>
                <w:b/>
                <w:sz w:val="22"/>
                <w:szCs w:val="22"/>
                <w:u w:val="single"/>
              </w:rPr>
            </w:pPr>
            <w:r w:rsidRPr="00613206">
              <w:rPr>
                <w:rFonts w:ascii="Calibri" w:hAnsi="Calibri" w:cs="Calibri"/>
                <w:b/>
                <w:bCs/>
                <w:sz w:val="22"/>
                <w:szCs w:val="22"/>
              </w:rPr>
              <w:t>Statement of intent 2:</w:t>
            </w:r>
            <w:r w:rsidRPr="00613206">
              <w:rPr>
                <w:rFonts w:ascii="Calibri" w:hAnsi="Calibri" w:cs="Calibri"/>
                <w:sz w:val="22"/>
                <w:szCs w:val="22"/>
              </w:rPr>
              <w:t xml:space="preserve"> Carry out a gap analysis to identify and respond to the needs of young people who have been receiving support from children's services, including child and adolescent mental health services, but who are not able to get support from adult services. The gap analysis should inform local planning and commissioning of services. When carrying out the gap analysis: take into account resources already available in primary care practices; include young people who don't meet eligibility criteria for support from adu</w:t>
            </w:r>
            <w:r w:rsidRPr="00613206">
              <w:rPr>
                <w:rFonts w:ascii="Calibri" w:hAnsi="Calibri" w:cs="Calibri"/>
                <w:sz w:val="22"/>
                <w:szCs w:val="22"/>
              </w:rPr>
              <w:t xml:space="preserve">lts' services and those for whom services are not available for another reason; pay particular attention to young people: with neurodevelopmental disorders, with cerebral palsy, with challenging behaviour, or who are being supported with palliative care. </w:t>
            </w:r>
            <w:r>
              <w:fldChar w:fldCharType="begin"/>
            </w:r>
            <w:r>
              <w:instrText xml:space="preserve"> HYPERLINK "https://www.nice.org.uk/guidance/ng43/chapter/Recommendations" \l "supporting-infrastructure" </w:instrText>
            </w:r>
            <w:r>
              <w:fldChar w:fldCharType="separate"/>
            </w:r>
            <w:r w:rsidRPr="00613206">
              <w:rPr>
                <w:rStyle w:val="Hyperlink"/>
                <w:rFonts w:ascii="Calibri" w:hAnsi="Calibri" w:cs="Calibri"/>
                <w:color w:val="auto"/>
                <w:sz w:val="22"/>
                <w:szCs w:val="22"/>
              </w:rPr>
              <w:t>NICE NG43 (1.5.7-8, 2016)</w:t>
            </w:r>
            <w:r>
              <w:fldChar w:fldCharType="end"/>
            </w:r>
          </w:p>
        </w:tc>
      </w:tr>
      <w:tr w:rsidTr="6DBA89E6">
        <w:tblPrEx>
          <w:tblW w:w="10490" w:type="dxa"/>
          <w:tblInd w:w="-714" w:type="dxa"/>
          <w:tblLook w:val="04A0"/>
        </w:tblPrEx>
        <w:tc>
          <w:tcPr>
            <w:tcW w:w="1985" w:type="dxa"/>
            <w:vMerge w:val="restart"/>
          </w:tcPr>
          <w:p w:rsidR="00747491" w:rsidRPr="00613206" w:rsidP="0012331A">
            <w:pPr>
              <w:rPr>
                <w:rFonts w:ascii="Calibri" w:hAnsi="Calibri" w:cs="Calibri"/>
                <w:b/>
                <w:sz w:val="22"/>
                <w:szCs w:val="22"/>
              </w:rPr>
            </w:pPr>
            <w:r w:rsidRPr="00613206">
              <w:rPr>
                <w:rFonts w:ascii="Calibri" w:hAnsi="Calibri" w:cs="Calibri"/>
                <w:b/>
                <w:sz w:val="22"/>
                <w:szCs w:val="22"/>
              </w:rPr>
              <w:t>Resourcing</w:t>
            </w:r>
          </w:p>
        </w:tc>
        <w:tc>
          <w:tcPr>
            <w:tcW w:w="8505" w:type="dxa"/>
          </w:tcPr>
          <w:p w:rsidR="00747491" w:rsidRPr="00613206" w:rsidP="0012331A">
            <w:pPr>
              <w:rPr>
                <w:rFonts w:ascii="Calibri" w:hAnsi="Calibri" w:cs="Calibri"/>
                <w:sz w:val="22"/>
                <w:szCs w:val="22"/>
              </w:rPr>
            </w:pPr>
            <w:r w:rsidRPr="00613206">
              <w:rPr>
                <w:rFonts w:ascii="Calibri" w:hAnsi="Calibri" w:cs="Calibri"/>
                <w:sz w:val="22"/>
                <w:szCs w:val="22"/>
              </w:rPr>
              <w:t xml:space="preserve">1. What resourcing is needed for health and social care services to effectively enable joint working and commissioning? </w:t>
            </w:r>
          </w:p>
        </w:tc>
      </w:tr>
      <w:tr w:rsidTr="6DBA89E6">
        <w:tblPrEx>
          <w:tblW w:w="10490" w:type="dxa"/>
          <w:tblInd w:w="-714" w:type="dxa"/>
          <w:tblLook w:val="04A0"/>
        </w:tblPrEx>
        <w:tc>
          <w:tcPr>
            <w:tcW w:w="1985" w:type="dxa"/>
            <w:vMerge/>
          </w:tcPr>
          <w:p w:rsidR="00747491" w:rsidRPr="00613206" w:rsidP="0012331A">
            <w:pPr>
              <w:rPr>
                <w:rFonts w:ascii="Calibri" w:hAnsi="Calibri" w:cs="Calibri"/>
                <w:b/>
                <w:sz w:val="22"/>
                <w:szCs w:val="22"/>
              </w:rPr>
            </w:pPr>
          </w:p>
        </w:tc>
        <w:tc>
          <w:tcPr>
            <w:tcW w:w="8505" w:type="dxa"/>
          </w:tcPr>
          <w:p w:rsidR="00747491" w:rsidRPr="00613206" w:rsidP="00ED6D8B">
            <w:pPr>
              <w:pStyle w:val="NormalWeb"/>
              <w:rPr>
                <w:rFonts w:ascii="Calibri" w:hAnsi="Calibri" w:cs="Calibri"/>
                <w:sz w:val="22"/>
                <w:szCs w:val="22"/>
              </w:rPr>
            </w:pPr>
          </w:p>
          <w:p w:rsidR="00747491" w:rsidRPr="00613206" w:rsidP="00ED6D8B">
            <w:pPr>
              <w:pStyle w:val="NormalWeb"/>
              <w:rPr>
                <w:rFonts w:ascii="Calibri" w:hAnsi="Calibri" w:cs="Calibri"/>
                <w:sz w:val="22"/>
                <w:szCs w:val="22"/>
              </w:rPr>
            </w:pPr>
            <w:r w:rsidRPr="00613206">
              <w:rPr>
                <w:rFonts w:ascii="Calibri" w:hAnsi="Calibri" w:cs="Calibri"/>
                <w:sz w:val="22"/>
                <w:szCs w:val="22"/>
              </w:rPr>
              <w:t>Health and social care services require significantly greater and more sustainable resourcing to effectively enable joint working and commissioning across children’s and adult services. Current arrangements are often fragmented, with separate funding streams, differing eligibility thresholds, and inconsistent accountability creating barriers to coordinated care. Earlier and more proactive funding reviews and assessments are essential to ensure that young people approaching adulthood are identified well in a</w:t>
            </w:r>
            <w:r w:rsidRPr="00613206">
              <w:rPr>
                <w:rFonts w:ascii="Calibri" w:hAnsi="Calibri" w:cs="Calibri"/>
                <w:sz w:val="22"/>
                <w:szCs w:val="22"/>
              </w:rPr>
              <w:t>dvance, allowing sufficient time to plan appropriate packages of care, accommodation, and ongoing support without delays or crisis-driven decisions.</w:t>
            </w:r>
          </w:p>
          <w:p w:rsidR="00747491" w:rsidRPr="00613206" w:rsidP="00ED6D8B">
            <w:pPr>
              <w:pStyle w:val="NormalWeb"/>
              <w:rPr>
                <w:rFonts w:ascii="Calibri" w:hAnsi="Calibri" w:cs="Calibri"/>
                <w:sz w:val="22"/>
                <w:szCs w:val="22"/>
              </w:rPr>
            </w:pPr>
            <w:r w:rsidRPr="00613206">
              <w:rPr>
                <w:rFonts w:ascii="Calibri" w:hAnsi="Calibri" w:cs="Calibri"/>
                <w:sz w:val="22"/>
                <w:szCs w:val="22"/>
              </w:rPr>
              <w:t>There is also a need for stronger regulatory oversight and accountability to support effective joint working in practice. Regulatory activity led by organisations such as the Care Quality Commission (CQC) should place greater focus on transition planning, continuity of care, and inter-agency collaboration, particularly for vulnerable young people with complex needs. This could help ensure services are not operating in isolation and that commissioners and providers are jointly responsible for preventing gaps</w:t>
            </w:r>
            <w:r w:rsidRPr="00613206">
              <w:rPr>
                <w:rFonts w:ascii="Calibri" w:hAnsi="Calibri" w:cs="Calibri"/>
                <w:sz w:val="22"/>
                <w:szCs w:val="22"/>
              </w:rPr>
              <w:t xml:space="preserve"> in provision during transition periods.</w:t>
            </w:r>
          </w:p>
          <w:p w:rsidR="00747491" w:rsidRPr="00613206" w:rsidP="00ED6D8B">
            <w:pPr>
              <w:pStyle w:val="NormalWeb"/>
              <w:rPr>
                <w:rFonts w:ascii="Calibri" w:hAnsi="Calibri" w:cs="Calibri"/>
                <w:sz w:val="22"/>
                <w:szCs w:val="22"/>
              </w:rPr>
            </w:pPr>
            <w:r w:rsidRPr="00613206">
              <w:rPr>
                <w:rFonts w:ascii="Calibri" w:hAnsi="Calibri" w:cs="Calibri"/>
                <w:sz w:val="22"/>
                <w:szCs w:val="22"/>
              </w:rPr>
              <w:t>Additional investment is particularly needed for young people in highly vulnerable situations, including those stepping down from hospital placements or residential settings close to adulthood. These young people often face significant risks when suitable adult placements or community support are not identified early enough. Greater collaboration between health, social care, housing, education, and regulators is needed to develop safe, appropriate, and age-relevant provision that supports continuity of care</w:t>
            </w:r>
            <w:r w:rsidRPr="00613206">
              <w:rPr>
                <w:rFonts w:ascii="Calibri" w:hAnsi="Calibri" w:cs="Calibri"/>
                <w:sz w:val="22"/>
                <w:szCs w:val="22"/>
              </w:rPr>
              <w:t xml:space="preserve"> and prevents unnecessary hospital admissions, placement breakdowns, or inappropriate adult placements.</w:t>
            </w:r>
          </w:p>
          <w:p w:rsidR="00747491" w:rsidRPr="00613206" w:rsidP="0012331A">
            <w:pPr>
              <w:rPr>
                <w:rFonts w:ascii="Calibri" w:hAnsi="Calibri" w:cs="Calibri"/>
                <w:sz w:val="22"/>
                <w:szCs w:val="22"/>
              </w:rPr>
            </w:pPr>
          </w:p>
          <w:p w:rsidR="00747491" w:rsidRPr="00613206" w:rsidP="0012331A">
            <w:pPr>
              <w:rPr>
                <w:rFonts w:ascii="Calibri" w:hAnsi="Calibri" w:cs="Calibri"/>
                <w:sz w:val="22"/>
                <w:szCs w:val="22"/>
              </w:rPr>
            </w:pPr>
          </w:p>
        </w:tc>
      </w:tr>
      <w:tr w:rsidTr="6DBA89E6">
        <w:tblPrEx>
          <w:tblW w:w="10490" w:type="dxa"/>
          <w:tblInd w:w="-714" w:type="dxa"/>
          <w:tblLook w:val="04A0"/>
        </w:tblPrEx>
        <w:tc>
          <w:tcPr>
            <w:tcW w:w="1985" w:type="dxa"/>
            <w:vMerge/>
          </w:tcPr>
          <w:p w:rsidR="00747491" w:rsidRPr="00613206" w:rsidP="0012331A">
            <w:pPr>
              <w:rPr>
                <w:rFonts w:ascii="Calibri" w:hAnsi="Calibri" w:cs="Calibri"/>
                <w:b/>
                <w:sz w:val="22"/>
                <w:szCs w:val="22"/>
              </w:rPr>
            </w:pPr>
          </w:p>
        </w:tc>
        <w:tc>
          <w:tcPr>
            <w:tcW w:w="8505" w:type="dxa"/>
          </w:tcPr>
          <w:p w:rsidR="00747491" w:rsidRPr="00613206" w:rsidP="0012331A">
            <w:pPr>
              <w:rPr>
                <w:rFonts w:ascii="Calibri" w:hAnsi="Calibri" w:cs="Calibri"/>
                <w:sz w:val="22"/>
                <w:szCs w:val="22"/>
              </w:rPr>
            </w:pPr>
            <w:r w:rsidRPr="00613206">
              <w:rPr>
                <w:rFonts w:ascii="Calibri" w:hAnsi="Calibri" w:cs="Calibri"/>
                <w:sz w:val="22"/>
                <w:szCs w:val="22"/>
              </w:rPr>
              <w:t>2. Are gap analyses taking place across services, when do these take place, how are they acted on and how is this monitored?</w:t>
            </w:r>
          </w:p>
        </w:tc>
      </w:tr>
      <w:tr w:rsidTr="6DBA89E6">
        <w:tblPrEx>
          <w:tblW w:w="10490" w:type="dxa"/>
          <w:tblInd w:w="-714" w:type="dxa"/>
          <w:tblLook w:val="04A0"/>
        </w:tblPrEx>
        <w:tc>
          <w:tcPr>
            <w:tcW w:w="1985" w:type="dxa"/>
            <w:vMerge/>
          </w:tcPr>
          <w:p w:rsidR="00747491" w:rsidRPr="00613206" w:rsidP="0012331A">
            <w:pPr>
              <w:rPr>
                <w:rFonts w:ascii="Calibri" w:hAnsi="Calibri" w:cs="Calibri"/>
                <w:b/>
                <w:sz w:val="22"/>
                <w:szCs w:val="22"/>
              </w:rPr>
            </w:pPr>
          </w:p>
        </w:tc>
        <w:tc>
          <w:tcPr>
            <w:tcW w:w="8505" w:type="dxa"/>
          </w:tcPr>
          <w:p w:rsidR="00747491" w:rsidRPr="00613206" w:rsidP="0012331A">
            <w:pPr>
              <w:rPr>
                <w:rFonts w:ascii="Calibri" w:hAnsi="Calibri" w:cs="Calibri"/>
                <w:sz w:val="22"/>
                <w:szCs w:val="22"/>
              </w:rPr>
            </w:pPr>
          </w:p>
          <w:p w:rsidR="00747491" w:rsidRPr="00613206" w:rsidP="00ED6D8B">
            <w:pPr>
              <w:pStyle w:val="NormalWeb"/>
              <w:rPr>
                <w:rFonts w:ascii="Calibri" w:hAnsi="Calibri" w:cs="Calibri"/>
                <w:sz w:val="22"/>
                <w:szCs w:val="22"/>
              </w:rPr>
            </w:pPr>
            <w:r w:rsidRPr="00613206">
              <w:rPr>
                <w:rFonts w:ascii="Calibri" w:hAnsi="Calibri" w:cs="Calibri"/>
                <w:sz w:val="22"/>
                <w:szCs w:val="22"/>
              </w:rPr>
              <w:t>While some gap analysis activity does take place across health, social care, and commissioning services, it is widely felt that this is not being undertaken consistently or robustly enough to respond to the growing level of need. In many areas, reviews are carried out through commissioning cycles, sufficiency strategies, placement reviews, and service performance monitoring; however, the effectiveness of these processes is often undermined by limited data sharing, fragmented systems, and insufficient long-t</w:t>
            </w:r>
            <w:r w:rsidRPr="00613206">
              <w:rPr>
                <w:rFonts w:ascii="Calibri" w:hAnsi="Calibri" w:cs="Calibri"/>
                <w:sz w:val="22"/>
                <w:szCs w:val="22"/>
              </w:rPr>
              <w:t xml:space="preserve">erm </w:t>
            </w:r>
            <w:r w:rsidRPr="00613206">
              <w:rPr>
                <w:rFonts w:ascii="Calibri" w:hAnsi="Calibri" w:cs="Calibri"/>
                <w:sz w:val="22"/>
                <w:szCs w:val="22"/>
              </w:rPr>
              <w:t>planning. As a result, identified gaps do not always lead to timely service development or increased provision.</w:t>
            </w:r>
          </w:p>
          <w:p w:rsidR="00747491" w:rsidRPr="00613206" w:rsidP="00ED6D8B">
            <w:pPr>
              <w:pStyle w:val="NormalWeb"/>
              <w:rPr>
                <w:rFonts w:ascii="Calibri" w:hAnsi="Calibri" w:cs="Calibri"/>
                <w:sz w:val="22"/>
                <w:szCs w:val="22"/>
              </w:rPr>
            </w:pPr>
            <w:r w:rsidRPr="00613206">
              <w:rPr>
                <w:rFonts w:ascii="Calibri" w:hAnsi="Calibri" w:cs="Calibri"/>
                <w:sz w:val="22"/>
                <w:szCs w:val="22"/>
              </w:rPr>
              <w:t>There is clear evidence of significant gaps within the system, particularly regarding the shortage of appropriate placements and support for young people with complex needs approaching adulthood. Local authorities themselves have repeatedly raised concerns publicly and through the media about the lack of suitable placements, rising costs, and increasing pressures on services. This has become especially concerning with the growing number of young people entering care at ages 16 and 17, many of whom require h</w:t>
            </w:r>
            <w:r w:rsidRPr="00613206">
              <w:rPr>
                <w:rFonts w:ascii="Calibri" w:hAnsi="Calibri" w:cs="Calibri"/>
                <w:sz w:val="22"/>
                <w:szCs w:val="22"/>
              </w:rPr>
              <w:t>ighly specialised support, transition planning, and stable accommodation within a very limited timeframe before adulthood.</w:t>
            </w:r>
          </w:p>
          <w:p w:rsidR="00747491" w:rsidRPr="00613206" w:rsidP="00ED6D8B">
            <w:pPr>
              <w:pStyle w:val="NormalWeb"/>
              <w:rPr>
                <w:rFonts w:ascii="Calibri" w:hAnsi="Calibri" w:cs="Calibri"/>
                <w:sz w:val="22"/>
                <w:szCs w:val="22"/>
              </w:rPr>
            </w:pPr>
            <w:r w:rsidRPr="00613206">
              <w:rPr>
                <w:rFonts w:ascii="Calibri" w:hAnsi="Calibri" w:cs="Calibri"/>
                <w:sz w:val="22"/>
                <w:szCs w:val="22"/>
              </w:rPr>
              <w:t>In practice, many professionals and families continue to experience the same shortages year after year, suggesting that existing gap analysis processes are not resulting in adequate investment or service expansion at the pace required to meet demand.</w:t>
            </w:r>
          </w:p>
          <w:p w:rsidR="00747491" w:rsidRPr="00613206" w:rsidP="0012331A">
            <w:pPr>
              <w:rPr>
                <w:rFonts w:ascii="Calibri" w:hAnsi="Calibri" w:cs="Calibri"/>
                <w:sz w:val="22"/>
                <w:szCs w:val="22"/>
              </w:rPr>
            </w:pPr>
          </w:p>
        </w:tc>
      </w:tr>
      <w:tr w:rsidTr="6DBA89E6">
        <w:tblPrEx>
          <w:tblW w:w="10490" w:type="dxa"/>
          <w:tblInd w:w="-714" w:type="dxa"/>
          <w:tblLook w:val="04A0"/>
        </w:tblPrEx>
        <w:tc>
          <w:tcPr>
            <w:tcW w:w="1985" w:type="dxa"/>
            <w:vMerge w:val="restart"/>
          </w:tcPr>
          <w:p w:rsidR="00747491" w:rsidRPr="00613206" w:rsidP="0012331A">
            <w:pPr>
              <w:rPr>
                <w:rFonts w:ascii="Calibri" w:hAnsi="Calibri" w:cs="Calibri"/>
                <w:b/>
                <w:sz w:val="22"/>
                <w:szCs w:val="22"/>
              </w:rPr>
            </w:pPr>
            <w:r w:rsidRPr="00613206">
              <w:rPr>
                <w:rFonts w:ascii="Calibri" w:hAnsi="Calibri" w:cs="Calibri"/>
                <w:b/>
                <w:sz w:val="22"/>
                <w:szCs w:val="22"/>
              </w:rPr>
              <w:t>Effectiveness and implementation</w:t>
            </w:r>
          </w:p>
        </w:tc>
        <w:tc>
          <w:tcPr>
            <w:tcW w:w="8505" w:type="dxa"/>
          </w:tcPr>
          <w:p w:rsidR="00747491" w:rsidRPr="00613206" w:rsidP="0012331A">
            <w:pPr>
              <w:rPr>
                <w:rFonts w:ascii="Calibri" w:hAnsi="Calibri" w:cs="Calibri"/>
                <w:sz w:val="22"/>
                <w:szCs w:val="22"/>
              </w:rPr>
            </w:pPr>
            <w:r w:rsidRPr="00613206">
              <w:rPr>
                <w:rFonts w:ascii="Calibri" w:hAnsi="Calibri" w:cs="Calibri"/>
                <w:sz w:val="22"/>
                <w:szCs w:val="22"/>
              </w:rPr>
              <w:t>1. How effective is joint commissioning and coordinated delivery of the care received by children and young people at the point of transition?</w:t>
            </w:r>
          </w:p>
        </w:tc>
      </w:tr>
      <w:tr w:rsidTr="6DBA89E6">
        <w:tblPrEx>
          <w:tblW w:w="10490" w:type="dxa"/>
          <w:tblInd w:w="-714" w:type="dxa"/>
          <w:tblLook w:val="04A0"/>
        </w:tblPrEx>
        <w:tc>
          <w:tcPr>
            <w:tcW w:w="1985" w:type="dxa"/>
            <w:vMerge/>
          </w:tcPr>
          <w:p w:rsidR="00747491" w:rsidRPr="00613206" w:rsidP="004B7638">
            <w:pPr>
              <w:rPr>
                <w:rFonts w:ascii="Calibri" w:hAnsi="Calibri" w:cs="Calibri"/>
                <w:b/>
                <w:sz w:val="22"/>
                <w:szCs w:val="22"/>
              </w:rPr>
            </w:pPr>
          </w:p>
        </w:tc>
        <w:tc>
          <w:tcPr>
            <w:tcW w:w="8505" w:type="dxa"/>
          </w:tcPr>
          <w:p w:rsidR="00747491" w:rsidRPr="00613206" w:rsidP="004B7638">
            <w:pPr>
              <w:rPr>
                <w:rFonts w:ascii="Calibri" w:hAnsi="Calibri" w:cs="Calibri"/>
                <w:sz w:val="22"/>
                <w:szCs w:val="22"/>
              </w:rPr>
            </w:pPr>
            <w:r w:rsidRPr="00613206">
              <w:rPr>
                <w:rFonts w:ascii="Calibri" w:hAnsi="Calibri" w:cs="Calibri"/>
                <w:sz w:val="22"/>
                <w:szCs w:val="22"/>
              </w:rPr>
              <w:br/>
            </w:r>
            <w:r w:rsidRPr="00613206">
              <w:rPr>
                <w:rFonts w:ascii="Calibri" w:hAnsi="Calibri" w:cs="Calibri"/>
                <w:sz w:val="22"/>
                <w:szCs w:val="22"/>
              </w:rPr>
              <w:t xml:space="preserve">Joint commissioning is currently not effective enough to consistently meet the needs of children and young people. Despite guidance promoting integrated working between health, social care, education, and adult services, provision remains fragmented, with separate funding arrangements, inconsistent eligibility criteria, and poor communication between agencies frequently resulting in delays, gaps in support, and uncoordinated care. </w:t>
            </w:r>
            <w:r w:rsidRPr="00613206">
              <w:rPr>
                <w:rFonts w:ascii="Calibri" w:hAnsi="Calibri" w:cs="Calibri"/>
                <w:sz w:val="22"/>
                <w:szCs w:val="22"/>
              </w:rPr>
              <w:br/>
            </w:r>
            <w:r w:rsidRPr="00613206">
              <w:rPr>
                <w:rFonts w:ascii="Calibri" w:hAnsi="Calibri" w:cs="Calibri"/>
                <w:sz w:val="22"/>
                <w:szCs w:val="22"/>
              </w:rPr>
              <w:br/>
              <w:t>In practice, many young people and families experience transitions that are</w:t>
            </w:r>
            <w:r w:rsidRPr="00613206">
              <w:rPr>
                <w:rFonts w:ascii="Calibri" w:hAnsi="Calibri" w:cs="Calibri"/>
                <w:sz w:val="22"/>
                <w:szCs w:val="22"/>
              </w:rPr>
              <w:t xml:space="preserve"> reactive rather than planned, particularly where there is limited adult service capacity or a shortage of appropriate placements and community provision. </w:t>
            </w:r>
          </w:p>
          <w:p w:rsidR="00747491" w:rsidRPr="00613206" w:rsidP="004B7638">
            <w:pPr>
              <w:rPr>
                <w:rFonts w:ascii="Calibri" w:hAnsi="Calibri" w:cs="Calibri"/>
                <w:sz w:val="22"/>
                <w:szCs w:val="22"/>
              </w:rPr>
            </w:pPr>
          </w:p>
          <w:p w:rsidR="00747491" w:rsidRPr="00613206" w:rsidP="004B7638">
            <w:pPr>
              <w:rPr>
                <w:rFonts w:ascii="Calibri" w:hAnsi="Calibri" w:cs="Calibri"/>
                <w:sz w:val="22"/>
                <w:szCs w:val="22"/>
              </w:rPr>
            </w:pPr>
            <w:r w:rsidRPr="00613206">
              <w:rPr>
                <w:rFonts w:ascii="Calibri" w:hAnsi="Calibri" w:cs="Calibri"/>
                <w:sz w:val="22"/>
                <w:szCs w:val="22"/>
              </w:rPr>
              <w:t xml:space="preserve">Children’s and </w:t>
            </w:r>
            <w:r w:rsidRPr="00613206">
              <w:rPr>
                <w:rFonts w:ascii="Calibri" w:hAnsi="Calibri" w:cs="Calibri"/>
                <w:sz w:val="22"/>
                <w:szCs w:val="22"/>
              </w:rPr>
              <w:t>a</w:t>
            </w:r>
            <w:r w:rsidRPr="00613206">
              <w:rPr>
                <w:rFonts w:ascii="Calibri" w:hAnsi="Calibri" w:cs="Calibri"/>
                <w:sz w:val="22"/>
                <w:szCs w:val="22"/>
              </w:rPr>
              <w:t>dults</w:t>
            </w:r>
            <w:r w:rsidRPr="00613206">
              <w:rPr>
                <w:rFonts w:ascii="Calibri" w:hAnsi="Calibri" w:cs="Calibri"/>
                <w:sz w:val="22"/>
                <w:szCs w:val="22"/>
              </w:rPr>
              <w:t xml:space="preserve"> regulators</w:t>
            </w:r>
            <w:r w:rsidRPr="00613206">
              <w:rPr>
                <w:rFonts w:ascii="Calibri" w:hAnsi="Calibri" w:cs="Calibri"/>
                <w:sz w:val="22"/>
                <w:szCs w:val="22"/>
              </w:rPr>
              <w:t xml:space="preserve"> do not work together enough and even when providers do push for this, regulatory framework</w:t>
            </w:r>
            <w:r w:rsidRPr="00613206">
              <w:rPr>
                <w:rFonts w:ascii="Calibri" w:hAnsi="Calibri" w:cs="Calibri"/>
                <w:sz w:val="22"/>
                <w:szCs w:val="22"/>
              </w:rPr>
              <w:t>s</w:t>
            </w:r>
            <w:r w:rsidRPr="00613206">
              <w:rPr>
                <w:rFonts w:ascii="Calibri" w:hAnsi="Calibri" w:cs="Calibri"/>
                <w:sz w:val="22"/>
                <w:szCs w:val="22"/>
              </w:rPr>
              <w:t xml:space="preserve"> strangle </w:t>
            </w:r>
            <w:r w:rsidRPr="00613206">
              <w:rPr>
                <w:rFonts w:ascii="Calibri" w:hAnsi="Calibri" w:cs="Calibri"/>
                <w:sz w:val="22"/>
                <w:szCs w:val="22"/>
              </w:rPr>
              <w:t xml:space="preserve">specialist providers </w:t>
            </w:r>
            <w:r w:rsidRPr="00613206">
              <w:rPr>
                <w:rFonts w:ascii="Calibri" w:hAnsi="Calibri" w:cs="Calibri"/>
                <w:sz w:val="22"/>
                <w:szCs w:val="22"/>
              </w:rPr>
              <w:t xml:space="preserve">due to their </w:t>
            </w:r>
            <w:r w:rsidRPr="00613206">
              <w:rPr>
                <w:rFonts w:ascii="Calibri" w:hAnsi="Calibri" w:cs="Calibri"/>
                <w:sz w:val="22"/>
                <w:szCs w:val="22"/>
              </w:rPr>
              <w:t xml:space="preserve">one </w:t>
            </w:r>
            <w:r w:rsidRPr="00613206">
              <w:rPr>
                <w:rFonts w:ascii="Calibri" w:hAnsi="Calibri" w:cs="Calibri"/>
                <w:sz w:val="22"/>
                <w:szCs w:val="22"/>
              </w:rPr>
              <w:t>size fits</w:t>
            </w:r>
            <w:r w:rsidRPr="00613206">
              <w:rPr>
                <w:rFonts w:ascii="Calibri" w:hAnsi="Calibri" w:cs="Calibri"/>
                <w:sz w:val="22"/>
                <w:szCs w:val="22"/>
              </w:rPr>
              <w:t xml:space="preserve"> all approach. </w:t>
            </w:r>
          </w:p>
          <w:p w:rsidR="00747491" w:rsidRPr="00613206" w:rsidP="004B7638">
            <w:pPr>
              <w:rPr>
                <w:rFonts w:ascii="Calibri" w:hAnsi="Calibri" w:cs="Calibri"/>
                <w:sz w:val="22"/>
                <w:szCs w:val="22"/>
              </w:rPr>
            </w:pPr>
          </w:p>
          <w:p w:rsidR="00747491" w:rsidRPr="00613206" w:rsidP="004B7638">
            <w:pPr>
              <w:rPr>
                <w:rFonts w:ascii="Calibri" w:hAnsi="Calibri" w:cs="Calibri"/>
                <w:sz w:val="22"/>
                <w:szCs w:val="22"/>
              </w:rPr>
            </w:pPr>
          </w:p>
          <w:p w:rsidR="00747491" w:rsidRPr="00613206" w:rsidP="004B7638">
            <w:pPr>
              <w:rPr>
                <w:rFonts w:ascii="Calibri" w:hAnsi="Calibri" w:cs="Calibri"/>
                <w:sz w:val="22"/>
                <w:szCs w:val="22"/>
              </w:rPr>
            </w:pPr>
          </w:p>
          <w:p w:rsidR="00747491" w:rsidRPr="00613206" w:rsidP="004B7638">
            <w:pPr>
              <w:rPr>
                <w:rFonts w:ascii="Calibri" w:hAnsi="Calibri" w:cs="Calibri"/>
                <w:sz w:val="22"/>
                <w:szCs w:val="22"/>
              </w:rPr>
            </w:pPr>
          </w:p>
        </w:tc>
      </w:tr>
      <w:tr w:rsidTr="6DBA89E6">
        <w:tblPrEx>
          <w:tblW w:w="10490" w:type="dxa"/>
          <w:tblInd w:w="-714" w:type="dxa"/>
          <w:tblLook w:val="04A0"/>
        </w:tblPrEx>
        <w:tc>
          <w:tcPr>
            <w:tcW w:w="1985" w:type="dxa"/>
            <w:vMerge/>
          </w:tcPr>
          <w:p w:rsidR="00747491" w:rsidRPr="00613206" w:rsidP="004B7638">
            <w:pPr>
              <w:rPr>
                <w:rFonts w:ascii="Calibri" w:hAnsi="Calibri" w:cs="Calibri"/>
                <w:b/>
                <w:sz w:val="22"/>
                <w:szCs w:val="22"/>
              </w:rPr>
            </w:pPr>
          </w:p>
        </w:tc>
        <w:tc>
          <w:tcPr>
            <w:tcW w:w="8505" w:type="dxa"/>
          </w:tcPr>
          <w:p w:rsidR="00747491" w:rsidRPr="00613206" w:rsidP="004B7638">
            <w:pPr>
              <w:rPr>
                <w:rFonts w:ascii="Calibri" w:hAnsi="Calibri" w:cs="Calibri"/>
                <w:sz w:val="22"/>
                <w:szCs w:val="22"/>
              </w:rPr>
            </w:pPr>
            <w:r w:rsidRPr="00613206">
              <w:rPr>
                <w:rFonts w:ascii="Calibri" w:hAnsi="Calibri" w:cs="Calibri"/>
                <w:sz w:val="22"/>
                <w:szCs w:val="22"/>
              </w:rPr>
              <w:t>2. Are there ways in which better and more effective joint working could improve the provision and quality of services? What does good practice look like in cross-service commissioning and delivery?</w:t>
            </w:r>
          </w:p>
        </w:tc>
      </w:tr>
      <w:tr w:rsidTr="6DBA89E6">
        <w:tblPrEx>
          <w:tblW w:w="10490" w:type="dxa"/>
          <w:tblInd w:w="-714" w:type="dxa"/>
          <w:tblLook w:val="04A0"/>
        </w:tblPrEx>
        <w:tc>
          <w:tcPr>
            <w:tcW w:w="1985" w:type="dxa"/>
            <w:vMerge/>
          </w:tcPr>
          <w:p w:rsidR="00747491" w:rsidRPr="00613206" w:rsidP="003564E5">
            <w:pPr>
              <w:rPr>
                <w:rFonts w:ascii="Calibri" w:hAnsi="Calibri" w:cs="Calibri"/>
                <w:b/>
                <w:sz w:val="22"/>
                <w:szCs w:val="22"/>
              </w:rPr>
            </w:pPr>
          </w:p>
        </w:tc>
        <w:tc>
          <w:tcPr>
            <w:tcW w:w="8505" w:type="dxa"/>
          </w:tcPr>
          <w:p w:rsidR="00747491" w:rsidRPr="00613206" w:rsidP="003564E5">
            <w:pPr>
              <w:pStyle w:val="NormalWeb"/>
              <w:rPr>
                <w:rFonts w:ascii="Calibri" w:hAnsi="Calibri" w:cs="Calibri"/>
                <w:sz w:val="22"/>
                <w:szCs w:val="22"/>
              </w:rPr>
            </w:pPr>
          </w:p>
          <w:p w:rsidR="00747491" w:rsidRPr="00613206" w:rsidP="003564E5">
            <w:pPr>
              <w:pStyle w:val="NormalWeb"/>
              <w:rPr>
                <w:rFonts w:ascii="Calibri" w:hAnsi="Calibri" w:cs="Calibri"/>
                <w:sz w:val="22"/>
                <w:szCs w:val="22"/>
              </w:rPr>
            </w:pPr>
            <w:r w:rsidRPr="00613206">
              <w:rPr>
                <w:rFonts w:ascii="Calibri" w:hAnsi="Calibri" w:cs="Calibri"/>
                <w:sz w:val="22"/>
                <w:szCs w:val="22"/>
              </w:rPr>
              <w:t xml:space="preserve">Yes, there are several ways in which stronger and more effective joint working could significantly improve the provision and quality of services for children and young people transitioning into adulthood. </w:t>
            </w:r>
            <w:r w:rsidRPr="00613206">
              <w:rPr>
                <w:rFonts w:ascii="Calibri" w:hAnsi="Calibri" w:cs="Calibri"/>
                <w:sz w:val="22"/>
                <w:szCs w:val="22"/>
              </w:rPr>
              <w:br/>
            </w:r>
            <w:r w:rsidRPr="00613206">
              <w:rPr>
                <w:rFonts w:ascii="Calibri" w:hAnsi="Calibri" w:cs="Calibri"/>
                <w:sz w:val="22"/>
                <w:szCs w:val="22"/>
              </w:rPr>
              <w:br/>
              <w:t xml:space="preserve">At present, services are often too fragmented, with delayed assessments, poor coordination, and insufficient flexibility between children’s and adult systems. Good practice would involve earlier collaboration between local authorities, Integrated Care Boards (ICBs), health </w:t>
            </w:r>
            <w:r w:rsidRPr="00613206">
              <w:rPr>
                <w:rFonts w:ascii="Calibri" w:hAnsi="Calibri" w:cs="Calibri"/>
                <w:sz w:val="22"/>
                <w:szCs w:val="22"/>
              </w:rPr>
              <w:t>providers, and regulators to ensure transition planning begins well before a young person reaches adulthood.</w:t>
            </w:r>
          </w:p>
          <w:p w:rsidR="00747491" w:rsidRPr="00613206" w:rsidP="003564E5">
            <w:pPr>
              <w:pStyle w:val="NormalWeb"/>
              <w:rPr>
                <w:rFonts w:ascii="Calibri" w:hAnsi="Calibri" w:cs="Calibri"/>
                <w:sz w:val="22"/>
                <w:szCs w:val="22"/>
              </w:rPr>
            </w:pPr>
            <w:r w:rsidRPr="00613206">
              <w:rPr>
                <w:rFonts w:ascii="Calibri" w:hAnsi="Calibri" w:cs="Calibri"/>
                <w:sz w:val="22"/>
                <w:szCs w:val="22"/>
              </w:rPr>
              <w:t>There should be greater regulatory flexibility and encouragement from the Care Quality Commission (CQC) and joint statutory guidance to support earlier identification of suitable placements during transition. Integrated Care Boards should become involved earlier in planning processes, alongside more frequent Continuing Healthcare (previously CCG) assessments and earlier implementation of Care and Support eligibility 2015.</w:t>
            </w:r>
          </w:p>
          <w:p w:rsidR="00747491" w:rsidRPr="00613206" w:rsidP="003564E5">
            <w:pPr>
              <w:pStyle w:val="NormalWeb"/>
              <w:rPr>
                <w:rFonts w:ascii="Calibri" w:hAnsi="Calibri" w:cs="Calibri"/>
                <w:sz w:val="22"/>
                <w:szCs w:val="22"/>
              </w:rPr>
            </w:pPr>
            <w:r w:rsidRPr="00613206">
              <w:rPr>
                <w:rFonts w:ascii="Calibri" w:hAnsi="Calibri" w:cs="Calibri"/>
                <w:sz w:val="22"/>
                <w:szCs w:val="22"/>
              </w:rPr>
              <w:t xml:space="preserve">Good practice in cross-service commissioning would also include stronger partnership working with treatment and residential providers who can contribute specialist assessments and transition planning information to local authorities, helping commissioners better understand future need and placement requirements. Importantly, children’s services should avoid pushing young people out of CQC-regulated homes at ages 16 or 17 purely because of age thresholds when those placements continue to meet their needs. A </w:t>
            </w:r>
            <w:r w:rsidRPr="00613206">
              <w:rPr>
                <w:rFonts w:ascii="Calibri" w:hAnsi="Calibri" w:cs="Calibri"/>
                <w:sz w:val="22"/>
                <w:szCs w:val="22"/>
              </w:rPr>
              <w:t>more flexible, needs-led approach would improve stability, reduce placement breakdowns, and support safer, more effective transitions into adulthood.</w:t>
            </w:r>
          </w:p>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p>
        </w:tc>
      </w:tr>
      <w:tr w:rsidTr="003564E5">
        <w:tblPrEx>
          <w:tblW w:w="10490" w:type="dxa"/>
          <w:tblInd w:w="-714" w:type="dxa"/>
          <w:tblLook w:val="04A0"/>
        </w:tblPrEx>
        <w:trPr>
          <w:trHeight w:val="686"/>
        </w:trPr>
        <w:tc>
          <w:tcPr>
            <w:tcW w:w="1985" w:type="dxa"/>
            <w:vMerge w:val="restart"/>
          </w:tcPr>
          <w:p w:rsidR="00747491" w:rsidRPr="00613206" w:rsidP="003564E5">
            <w:pPr>
              <w:rPr>
                <w:rFonts w:ascii="Calibri" w:hAnsi="Calibri" w:cs="Calibri"/>
                <w:b/>
                <w:sz w:val="22"/>
                <w:szCs w:val="22"/>
              </w:rPr>
            </w:pPr>
            <w:r w:rsidRPr="00613206">
              <w:rPr>
                <w:rFonts w:ascii="Calibri" w:hAnsi="Calibri" w:cs="Calibri"/>
                <w:b/>
                <w:sz w:val="22"/>
                <w:szCs w:val="22"/>
              </w:rPr>
              <w:t>Impact and outcomes</w:t>
            </w:r>
          </w:p>
        </w:tc>
        <w:tc>
          <w:tcPr>
            <w:tcW w:w="8505" w:type="dxa"/>
          </w:tcPr>
          <w:p w:rsidR="00747491" w:rsidRPr="00613206" w:rsidP="003564E5">
            <w:pPr>
              <w:rPr>
                <w:rFonts w:ascii="Calibri" w:hAnsi="Calibri" w:cs="Calibri"/>
                <w:sz w:val="22"/>
                <w:szCs w:val="22"/>
              </w:rPr>
            </w:pPr>
            <w:r w:rsidRPr="00613206">
              <w:rPr>
                <w:rFonts w:ascii="Calibri" w:hAnsi="Calibri" w:cs="Calibri"/>
                <w:sz w:val="22"/>
                <w:szCs w:val="22"/>
              </w:rPr>
              <w:t>1. Where health and social care organisations have not been able to fulfil these statements of intent, what has the impact been?</w:t>
            </w:r>
          </w:p>
        </w:tc>
      </w:tr>
      <w:tr w:rsidTr="6DBA89E6">
        <w:tblPrEx>
          <w:tblW w:w="10490" w:type="dxa"/>
          <w:tblInd w:w="-714" w:type="dxa"/>
          <w:tblLook w:val="04A0"/>
        </w:tblPrEx>
        <w:tc>
          <w:tcPr>
            <w:tcW w:w="1985" w:type="dxa"/>
            <w:vMerge/>
          </w:tcPr>
          <w:p w:rsidR="00747491" w:rsidRPr="00613206" w:rsidP="003564E5">
            <w:pPr>
              <w:rPr>
                <w:rFonts w:ascii="Calibri" w:hAnsi="Calibri" w:cs="Calibri"/>
                <w:b/>
                <w:sz w:val="22"/>
                <w:szCs w:val="22"/>
              </w:rPr>
            </w:pPr>
          </w:p>
        </w:tc>
        <w:tc>
          <w:tcPr>
            <w:tcW w:w="8505" w:type="dxa"/>
          </w:tcPr>
          <w:p w:rsidR="00747491" w:rsidRPr="00613206" w:rsidP="003564E5">
            <w:pPr>
              <w:rPr>
                <w:rFonts w:ascii="Calibri" w:hAnsi="Calibri" w:cs="Calibri"/>
                <w:sz w:val="22"/>
                <w:szCs w:val="22"/>
              </w:rPr>
            </w:pPr>
          </w:p>
          <w:p w:rsidR="00747491" w:rsidRPr="00613206" w:rsidP="003564E5">
            <w:pPr>
              <w:pStyle w:val="NormalWeb"/>
              <w:rPr>
                <w:rFonts w:ascii="Calibri" w:hAnsi="Calibri" w:cs="Calibri"/>
                <w:sz w:val="22"/>
                <w:szCs w:val="22"/>
              </w:rPr>
            </w:pPr>
            <w:r w:rsidRPr="00613206">
              <w:rPr>
                <w:rFonts w:ascii="Calibri" w:hAnsi="Calibri" w:cs="Calibri"/>
                <w:sz w:val="22"/>
                <w:szCs w:val="22"/>
              </w:rPr>
              <w:t>Where health and social care organisations have not been able to fulfil these statements of intent, the impact on young people has often been severe and long lasting. Failures in transition planning, gaps in provision, and unsuitable placements can leave vulnerable young people without the stability and support they need at a critical stage in their lives. Many young people leaving care experience poor outcomes due to inconsistent support and a lack of coordinated planning between children’s and adult servi</w:t>
            </w:r>
            <w:r w:rsidRPr="00613206">
              <w:rPr>
                <w:rFonts w:ascii="Calibri" w:hAnsi="Calibri" w:cs="Calibri"/>
                <w:sz w:val="22"/>
                <w:szCs w:val="22"/>
              </w:rPr>
              <w:t>ces.</w:t>
            </w:r>
          </w:p>
          <w:p w:rsidR="00747491" w:rsidRPr="00613206" w:rsidP="003564E5">
            <w:pPr>
              <w:pStyle w:val="NormalWeb"/>
              <w:rPr>
                <w:rFonts w:ascii="Calibri" w:hAnsi="Calibri" w:cs="Calibri"/>
                <w:sz w:val="22"/>
                <w:szCs w:val="22"/>
              </w:rPr>
            </w:pPr>
            <w:r w:rsidRPr="00613206">
              <w:rPr>
                <w:rFonts w:ascii="Calibri" w:hAnsi="Calibri" w:cs="Calibri"/>
                <w:sz w:val="22"/>
                <w:szCs w:val="22"/>
              </w:rPr>
              <w:t>The consequences can include homelessness, placement breakdowns, mental health deterioration, involvement with the criminal justice system, and young people being placed in inappropriate or unsuitable settings that do not meet their needs. In some cases, care leavers have experienced significant harm, exploitation, or even fatal outcomes where adequate support and safeguarding arrangements were not maintained during transition into adulthood.</w:t>
            </w:r>
          </w:p>
          <w:p w:rsidR="00747491" w:rsidRPr="00613206" w:rsidP="003564E5">
            <w:pPr>
              <w:pStyle w:val="NormalWeb"/>
              <w:rPr>
                <w:rFonts w:ascii="Calibri" w:hAnsi="Calibri" w:cs="Calibri"/>
                <w:sz w:val="22"/>
                <w:szCs w:val="22"/>
              </w:rPr>
            </w:pPr>
            <w:r w:rsidRPr="00613206">
              <w:rPr>
                <w:rFonts w:ascii="Calibri" w:hAnsi="Calibri" w:cs="Calibri"/>
                <w:sz w:val="22"/>
                <w:szCs w:val="22"/>
              </w:rPr>
              <w:t>These failures highlight the serious risks associated with poorly coordinated transitions and reinforce the need for earlier intervention, stronger joint working, improved placement sufficiency, and more flexible, person-centred approaches to care planning and service delivery</w:t>
            </w:r>
          </w:p>
          <w:p w:rsidR="00747491" w:rsidRPr="00613206" w:rsidP="003564E5">
            <w:pPr>
              <w:rPr>
                <w:rFonts w:ascii="Calibri" w:hAnsi="Calibri" w:cs="Calibri"/>
                <w:sz w:val="22"/>
                <w:szCs w:val="22"/>
              </w:rPr>
            </w:pPr>
          </w:p>
        </w:tc>
      </w:tr>
      <w:tr w:rsidTr="0089718B">
        <w:tblPrEx>
          <w:tblW w:w="10490" w:type="dxa"/>
          <w:tblInd w:w="-714" w:type="dxa"/>
          <w:tblLook w:val="04A0"/>
        </w:tblPrEx>
        <w:trPr>
          <w:trHeight w:val="405"/>
        </w:trPr>
        <w:tc>
          <w:tcPr>
            <w:tcW w:w="1985" w:type="dxa"/>
            <w:vMerge/>
          </w:tcPr>
          <w:p w:rsidR="00747491" w:rsidRPr="00613206" w:rsidP="003564E5">
            <w:pPr>
              <w:rPr>
                <w:rFonts w:ascii="Calibri" w:hAnsi="Calibri" w:cs="Calibri"/>
                <w:b/>
                <w:sz w:val="22"/>
                <w:szCs w:val="22"/>
              </w:rPr>
            </w:pPr>
          </w:p>
        </w:tc>
        <w:tc>
          <w:tcPr>
            <w:tcW w:w="8505" w:type="dxa"/>
          </w:tcPr>
          <w:p w:rsidR="00747491" w:rsidRPr="00613206" w:rsidP="003564E5">
            <w:pPr>
              <w:rPr>
                <w:rFonts w:ascii="Calibri" w:hAnsi="Calibri" w:cs="Calibri"/>
                <w:sz w:val="22"/>
                <w:szCs w:val="22"/>
              </w:rPr>
            </w:pPr>
            <w:r w:rsidRPr="00613206">
              <w:rPr>
                <w:rFonts w:ascii="Calibri" w:hAnsi="Calibri" w:cs="Calibri"/>
                <w:sz w:val="22"/>
                <w:szCs w:val="22"/>
              </w:rPr>
              <w:t>2. What is the impact of joint working on an individual’s experience of the transition between child and adult services?</w:t>
            </w:r>
          </w:p>
        </w:tc>
      </w:tr>
      <w:tr w:rsidTr="6DBA89E6">
        <w:tblPrEx>
          <w:tblW w:w="10490" w:type="dxa"/>
          <w:tblInd w:w="-714" w:type="dxa"/>
          <w:tblLook w:val="04A0"/>
        </w:tblPrEx>
        <w:tc>
          <w:tcPr>
            <w:tcW w:w="1985" w:type="dxa"/>
            <w:vMerge/>
          </w:tcPr>
          <w:p w:rsidR="00747491" w:rsidRPr="00613206" w:rsidP="003564E5">
            <w:pPr>
              <w:rPr>
                <w:rFonts w:ascii="Calibri" w:hAnsi="Calibri" w:cs="Calibri"/>
                <w:b/>
                <w:sz w:val="22"/>
                <w:szCs w:val="22"/>
              </w:rPr>
            </w:pPr>
          </w:p>
        </w:tc>
        <w:tc>
          <w:tcPr>
            <w:tcW w:w="8505" w:type="dxa"/>
          </w:tcPr>
          <w:p w:rsidR="00747491" w:rsidRPr="00613206" w:rsidP="003564E5">
            <w:pPr>
              <w:rPr>
                <w:rFonts w:ascii="Calibri" w:hAnsi="Calibri" w:cs="Calibri"/>
                <w:sz w:val="22"/>
                <w:szCs w:val="22"/>
              </w:rPr>
            </w:pPr>
          </w:p>
          <w:p w:rsidR="00747491" w:rsidRPr="00613206" w:rsidP="003564E5">
            <w:pPr>
              <w:pStyle w:val="NormalWeb"/>
              <w:rPr>
                <w:rFonts w:ascii="Calibri" w:hAnsi="Calibri" w:cs="Calibri"/>
                <w:sz w:val="22"/>
                <w:szCs w:val="22"/>
              </w:rPr>
            </w:pPr>
            <w:r w:rsidRPr="00613206">
              <w:rPr>
                <w:rFonts w:ascii="Calibri" w:hAnsi="Calibri" w:cs="Calibri"/>
                <w:sz w:val="22"/>
                <w:szCs w:val="22"/>
              </w:rPr>
              <w:t xml:space="preserve">Currently, as the joint working is poor the individual’s experience of transition between children’s and adult services can be extremely damaging. Many young people and families </w:t>
            </w:r>
            <w:r w:rsidRPr="00613206">
              <w:rPr>
                <w:rFonts w:ascii="Calibri" w:hAnsi="Calibri" w:cs="Calibri"/>
                <w:sz w:val="22"/>
                <w:szCs w:val="22"/>
              </w:rPr>
              <w:t>experience the transition process as fragmented, stressful, and overwhelming due to poor communication between agencies, delayed planning, inconsistent assessments, and a lack of coordination between children’s and adult services. Instead of feeling supported through an important life stage, many young people feel abandoned by systems that suddenly change once they approach adulthood.</w:t>
            </w:r>
          </w:p>
          <w:p w:rsidR="00747491" w:rsidRPr="00613206" w:rsidP="003564E5">
            <w:pPr>
              <w:pStyle w:val="NormalWeb"/>
              <w:rPr>
                <w:rFonts w:ascii="Calibri" w:hAnsi="Calibri" w:cs="Calibri"/>
                <w:sz w:val="22"/>
                <w:szCs w:val="22"/>
              </w:rPr>
            </w:pPr>
            <w:r w:rsidRPr="00613206">
              <w:rPr>
                <w:rFonts w:ascii="Calibri" w:hAnsi="Calibri" w:cs="Calibri"/>
                <w:sz w:val="22"/>
                <w:szCs w:val="22"/>
              </w:rPr>
              <w:t>Where joint working is ineffective, young people can experience sudden reductions in support, repeated assessments, long waiting times, inappropriate placements, or complete gaps in provision. Families are often left trying to coordinate services themselves, despite already managing highly complex care needs. This can lead to increased anxiety, disengagement from services, deterioration in mental health, placement instability, safeguarding risks, and a loss of trust in professionals and the wider care syste</w:t>
            </w:r>
            <w:r w:rsidRPr="00613206">
              <w:rPr>
                <w:rFonts w:ascii="Calibri" w:hAnsi="Calibri" w:cs="Calibri"/>
                <w:sz w:val="22"/>
                <w:szCs w:val="22"/>
              </w:rPr>
              <w:t>m.</w:t>
            </w:r>
          </w:p>
          <w:p w:rsidR="00747491" w:rsidRPr="00613206" w:rsidP="003564E5">
            <w:pPr>
              <w:pStyle w:val="NormalWeb"/>
              <w:rPr>
                <w:rFonts w:ascii="Calibri" w:hAnsi="Calibri" w:cs="Calibri"/>
                <w:sz w:val="22"/>
                <w:szCs w:val="22"/>
              </w:rPr>
            </w:pPr>
            <w:r w:rsidRPr="00613206">
              <w:rPr>
                <w:rFonts w:ascii="Calibri" w:hAnsi="Calibri" w:cs="Calibri"/>
                <w:sz w:val="22"/>
                <w:szCs w:val="22"/>
              </w:rPr>
              <w:t>For many vulnerable young people, particularly those leaving care or with complex disabilities, neurodevelopmental conditions, or mental health needs, poor transitions can have lifelong consequences. The lack of joined-up working can contribute to homelessness, crisis admissions, involvement with the criminal justice system, social isolation, and poorer long-term outcomes. This demonstrates that transition is not simply an administrative process, but a critical safeguarding and wellbeing issue that requires</w:t>
            </w:r>
            <w:r w:rsidRPr="00613206">
              <w:rPr>
                <w:rFonts w:ascii="Calibri" w:hAnsi="Calibri" w:cs="Calibri"/>
                <w:sz w:val="22"/>
                <w:szCs w:val="22"/>
              </w:rPr>
              <w:t xml:space="preserve"> far stronger coordination and accountability across services.</w:t>
            </w:r>
          </w:p>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p>
        </w:tc>
      </w:tr>
      <w:tr w:rsidTr="6DBA89E6">
        <w:tblPrEx>
          <w:tblW w:w="10490" w:type="dxa"/>
          <w:tblInd w:w="-714" w:type="dxa"/>
          <w:tblLook w:val="04A0"/>
        </w:tblPrEx>
        <w:trPr>
          <w:trHeight w:val="300"/>
        </w:trPr>
        <w:tc>
          <w:tcPr>
            <w:tcW w:w="1985" w:type="dxa"/>
            <w:vMerge/>
          </w:tcPr>
          <w:p w:rsidR="00747491" w:rsidRPr="00613206" w:rsidP="003564E5">
            <w:pPr>
              <w:rPr>
                <w:rFonts w:ascii="Calibri" w:hAnsi="Calibri" w:cs="Calibri"/>
                <w:b/>
                <w:bCs/>
                <w:sz w:val="22"/>
                <w:szCs w:val="22"/>
              </w:rPr>
            </w:pPr>
          </w:p>
        </w:tc>
        <w:tc>
          <w:tcPr>
            <w:tcW w:w="8505" w:type="dxa"/>
          </w:tcPr>
          <w:p w:rsidR="00747491" w:rsidRPr="00613206" w:rsidP="003564E5">
            <w:pPr>
              <w:rPr>
                <w:rFonts w:ascii="Calibri" w:hAnsi="Calibri" w:cs="Calibri"/>
                <w:sz w:val="22"/>
                <w:szCs w:val="22"/>
              </w:rPr>
            </w:pPr>
            <w:r w:rsidRPr="00613206">
              <w:rPr>
                <w:rFonts w:ascii="Calibri" w:hAnsi="Calibri" w:cs="Calibri"/>
                <w:sz w:val="22"/>
                <w:szCs w:val="22"/>
              </w:rPr>
              <w:t xml:space="preserve">3. Is there available data demonstrating the proportion of young people who are transitioned to primary care management, for example where there is no specific adult service, or they do not meet the requirements for adult services? </w:t>
            </w:r>
          </w:p>
        </w:tc>
      </w:tr>
      <w:tr w:rsidTr="6DBA89E6">
        <w:tblPrEx>
          <w:tblW w:w="10490" w:type="dxa"/>
          <w:tblInd w:w="-714" w:type="dxa"/>
          <w:tblLook w:val="04A0"/>
        </w:tblPrEx>
        <w:trPr>
          <w:trHeight w:val="300"/>
        </w:trPr>
        <w:tc>
          <w:tcPr>
            <w:tcW w:w="1985" w:type="dxa"/>
            <w:vMerge/>
          </w:tcPr>
          <w:p w:rsidR="00747491" w:rsidRPr="00613206" w:rsidP="003564E5">
            <w:pPr>
              <w:rPr>
                <w:rFonts w:ascii="Calibri" w:hAnsi="Calibri" w:cs="Calibri"/>
                <w:b/>
                <w:bCs/>
                <w:sz w:val="22"/>
                <w:szCs w:val="22"/>
              </w:rPr>
            </w:pPr>
          </w:p>
        </w:tc>
        <w:tc>
          <w:tcPr>
            <w:tcW w:w="8505" w:type="dxa"/>
          </w:tcPr>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r w:rsidRPr="00613206">
              <w:rPr>
                <w:rFonts w:ascii="Calibri" w:hAnsi="Calibri" w:cs="Calibri"/>
                <w:sz w:val="22"/>
                <w:szCs w:val="22"/>
              </w:rPr>
              <w:t xml:space="preserve">There appears to be limited nationally standardised data demonstrating the proportion of young people who are transitioned to primary care management because there is no equivalent adult service available or because they do not meet adult service eligibility thresholds. This lack of consistent data is itself a significant concern, as it makes it difficult to fully understand the scale of unmet need and the long-term outcomes for vulnerable young people following transition from children’s services; </w:t>
            </w:r>
            <w:r w:rsidRPr="00613206">
              <w:rPr>
                <w:rFonts w:ascii="Calibri" w:hAnsi="Calibri" w:cs="Calibri"/>
                <w:sz w:val="22"/>
                <w:szCs w:val="22"/>
              </w:rPr>
              <w:t>i</w:t>
            </w:r>
            <w:r w:rsidRPr="00613206">
              <w:rPr>
                <w:rFonts w:ascii="Calibri" w:hAnsi="Calibri" w:cs="Calibri"/>
                <w:sz w:val="22"/>
                <w:szCs w:val="22"/>
              </w:rPr>
              <w:t>t feels as if the</w:t>
            </w:r>
            <w:r w:rsidRPr="00613206">
              <w:rPr>
                <w:rFonts w:ascii="Calibri" w:hAnsi="Calibri" w:cs="Calibri"/>
                <w:sz w:val="22"/>
                <w:szCs w:val="22"/>
              </w:rPr>
              <w:t xml:space="preserve"> relevant bodies</w:t>
            </w:r>
            <w:r w:rsidRPr="00613206">
              <w:rPr>
                <w:rFonts w:ascii="Calibri" w:hAnsi="Calibri" w:cs="Calibri"/>
                <w:sz w:val="22"/>
                <w:szCs w:val="22"/>
              </w:rPr>
              <w:t xml:space="preserve"> do not want to address the issue. </w:t>
            </w:r>
          </w:p>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p>
        </w:tc>
      </w:tr>
      <w:tr w:rsidTr="6DBA89E6">
        <w:tblPrEx>
          <w:tblW w:w="10490" w:type="dxa"/>
          <w:tblInd w:w="-714" w:type="dxa"/>
          <w:tblLook w:val="04A0"/>
        </w:tblPrEx>
        <w:tc>
          <w:tcPr>
            <w:tcW w:w="1985" w:type="dxa"/>
            <w:vMerge w:val="restart"/>
          </w:tcPr>
          <w:p w:rsidR="00747491" w:rsidRPr="00613206" w:rsidP="003564E5">
            <w:pPr>
              <w:rPr>
                <w:rFonts w:ascii="Calibri" w:hAnsi="Calibri" w:cs="Calibri"/>
                <w:b/>
                <w:sz w:val="22"/>
                <w:szCs w:val="22"/>
              </w:rPr>
            </w:pPr>
            <w:r w:rsidRPr="00613206">
              <w:rPr>
                <w:rFonts w:ascii="Calibri" w:hAnsi="Calibri" w:cs="Calibri"/>
                <w:b/>
                <w:sz w:val="22"/>
                <w:szCs w:val="22"/>
              </w:rPr>
              <w:t>Appropriateness</w:t>
            </w:r>
          </w:p>
        </w:tc>
        <w:tc>
          <w:tcPr>
            <w:tcW w:w="8505" w:type="dxa"/>
          </w:tcPr>
          <w:p w:rsidR="00747491" w:rsidRPr="00613206" w:rsidP="003564E5">
            <w:pPr>
              <w:rPr>
                <w:rFonts w:ascii="Calibri" w:hAnsi="Calibri" w:cs="Calibri"/>
                <w:sz w:val="22"/>
                <w:szCs w:val="22"/>
              </w:rPr>
            </w:pPr>
            <w:r w:rsidRPr="00613206">
              <w:rPr>
                <w:rFonts w:ascii="Calibri" w:hAnsi="Calibri" w:cs="Calibri"/>
                <w:sz w:val="22"/>
                <w:szCs w:val="22"/>
              </w:rPr>
              <w:t>1. Are current guidelines and guidance in this area appropriate for children and young people, and for the health and social care professionals involved?</w:t>
            </w:r>
          </w:p>
        </w:tc>
      </w:tr>
      <w:tr w:rsidTr="6DBA89E6">
        <w:tblPrEx>
          <w:tblW w:w="10490" w:type="dxa"/>
          <w:tblInd w:w="-714" w:type="dxa"/>
          <w:tblLook w:val="04A0"/>
        </w:tblPrEx>
        <w:tc>
          <w:tcPr>
            <w:tcW w:w="1985" w:type="dxa"/>
            <w:vMerge/>
          </w:tcPr>
          <w:p w:rsidR="00747491" w:rsidRPr="00613206" w:rsidP="003564E5">
            <w:pPr>
              <w:rPr>
                <w:rFonts w:ascii="Calibri" w:hAnsi="Calibri" w:cs="Calibri"/>
                <w:b/>
                <w:sz w:val="22"/>
                <w:szCs w:val="22"/>
              </w:rPr>
            </w:pPr>
          </w:p>
        </w:tc>
        <w:tc>
          <w:tcPr>
            <w:tcW w:w="8505" w:type="dxa"/>
          </w:tcPr>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r w:rsidRPr="00613206">
              <w:rPr>
                <w:rFonts w:ascii="Calibri" w:hAnsi="Calibri" w:cs="Calibri"/>
                <w:sz w:val="22"/>
                <w:szCs w:val="22"/>
              </w:rPr>
              <w:t>Not now</w:t>
            </w:r>
            <w:r w:rsidRPr="00613206">
              <w:rPr>
                <w:rFonts w:ascii="Calibri" w:hAnsi="Calibri" w:cs="Calibri"/>
                <w:sz w:val="22"/>
                <w:szCs w:val="22"/>
              </w:rPr>
              <w:t>;</w:t>
            </w:r>
            <w:r w:rsidRPr="00613206">
              <w:rPr>
                <w:rFonts w:ascii="Calibri" w:hAnsi="Calibri" w:cs="Calibri"/>
                <w:sz w:val="22"/>
                <w:szCs w:val="22"/>
              </w:rPr>
              <w:t xml:space="preserve"> before yes but not now. </w:t>
            </w:r>
          </w:p>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p>
          <w:p w:rsidR="00747491" w:rsidRPr="00613206" w:rsidP="003564E5">
            <w:pPr>
              <w:rPr>
                <w:rFonts w:ascii="Calibri" w:hAnsi="Calibri" w:cs="Calibri"/>
                <w:sz w:val="22"/>
                <w:szCs w:val="22"/>
              </w:rPr>
            </w:pPr>
          </w:p>
        </w:tc>
      </w:tr>
      <w:tr w:rsidTr="6DBA89E6">
        <w:tblPrEx>
          <w:tblW w:w="10490" w:type="dxa"/>
          <w:tblInd w:w="-714" w:type="dxa"/>
          <w:tblLook w:val="04A0"/>
        </w:tblPrEx>
        <w:tc>
          <w:tcPr>
            <w:tcW w:w="1985" w:type="dxa"/>
            <w:vMerge w:val="restart"/>
          </w:tcPr>
          <w:p w:rsidR="00747491" w:rsidRPr="00613206" w:rsidP="003564E5">
            <w:pPr>
              <w:rPr>
                <w:rFonts w:ascii="Calibri" w:hAnsi="Calibri" w:cs="Calibri"/>
                <w:b/>
                <w:sz w:val="22"/>
                <w:szCs w:val="22"/>
              </w:rPr>
            </w:pPr>
            <w:r w:rsidRPr="00613206">
              <w:rPr>
                <w:rFonts w:ascii="Calibri" w:hAnsi="Calibri" w:cs="Calibri"/>
                <w:b/>
                <w:sz w:val="22"/>
                <w:szCs w:val="22"/>
              </w:rPr>
              <w:t>Equality and diversity</w:t>
            </w:r>
          </w:p>
        </w:tc>
        <w:tc>
          <w:tcPr>
            <w:tcW w:w="8505" w:type="dxa"/>
          </w:tcPr>
          <w:p w:rsidR="00747491" w:rsidRPr="00613206" w:rsidP="003564E5">
            <w:pPr>
              <w:rPr>
                <w:rFonts w:ascii="Calibri" w:hAnsi="Calibri" w:eastAsiaTheme="minorEastAsia" w:cs="Calibri"/>
                <w:sz w:val="22"/>
                <w:szCs w:val="22"/>
              </w:rPr>
            </w:pPr>
            <w:r w:rsidRPr="00613206">
              <w:rPr>
                <w:rFonts w:ascii="Calibri" w:hAnsi="Calibri" w:eastAsiaTheme="minorEastAsia" w:cs="Calibri"/>
                <w:sz w:val="22"/>
                <w:szCs w:val="22"/>
              </w:rPr>
              <w:t>1. How are underserved or vulnerable service-user groups, including those with additional needs, considered in the delivery of services under this guidance?</w:t>
            </w:r>
          </w:p>
        </w:tc>
      </w:tr>
      <w:tr w:rsidTr="6DBA89E6">
        <w:tblPrEx>
          <w:tblW w:w="10490" w:type="dxa"/>
          <w:tblInd w:w="-714" w:type="dxa"/>
          <w:tblLook w:val="04A0"/>
        </w:tblPrEx>
        <w:tc>
          <w:tcPr>
            <w:tcW w:w="1985" w:type="dxa"/>
            <w:vMerge/>
          </w:tcPr>
          <w:p w:rsidR="00747491" w:rsidRPr="00613206" w:rsidP="003564E5">
            <w:pPr>
              <w:rPr>
                <w:rFonts w:ascii="Calibri" w:hAnsi="Calibri" w:cs="Calibri"/>
                <w:sz w:val="22"/>
                <w:szCs w:val="22"/>
              </w:rPr>
            </w:pPr>
          </w:p>
        </w:tc>
        <w:tc>
          <w:tcPr>
            <w:tcW w:w="8505" w:type="dxa"/>
          </w:tcPr>
          <w:p w:rsidR="00747491" w:rsidRPr="00613206" w:rsidP="003564E5">
            <w:pPr>
              <w:rPr>
                <w:rFonts w:ascii="Calibri" w:hAnsi="Calibri" w:cs="Calibri"/>
                <w:sz w:val="22"/>
                <w:szCs w:val="22"/>
              </w:rPr>
            </w:pPr>
          </w:p>
          <w:p w:rsidR="00747491" w:rsidRPr="00613206" w:rsidP="003564E5">
            <w:pPr>
              <w:pStyle w:val="NormalWeb"/>
              <w:rPr>
                <w:rFonts w:ascii="Calibri" w:hAnsi="Calibri" w:cs="Calibri"/>
                <w:sz w:val="22"/>
                <w:szCs w:val="22"/>
              </w:rPr>
            </w:pPr>
            <w:r w:rsidRPr="00613206">
              <w:rPr>
                <w:rFonts w:ascii="Calibri" w:hAnsi="Calibri" w:cs="Calibri"/>
                <w:sz w:val="22"/>
                <w:szCs w:val="22"/>
              </w:rPr>
              <w:t xml:space="preserve">Underserved and vulnerable service-user groups, including those with additional needs, are recognised within the guidance as requiring person-centred, coordinated, and flexible support throughout transition into adult services. This includes young people with learning </w:t>
            </w:r>
            <w:r w:rsidRPr="00613206">
              <w:rPr>
                <w:rFonts w:ascii="Calibri" w:hAnsi="Calibri" w:cs="Calibri"/>
                <w:sz w:val="22"/>
                <w:szCs w:val="22"/>
              </w:rPr>
              <w:t>disabilities, autism, mental health needs, physical disabilities, complex health conditions, care experience, communication difficulties, and those from disadvantaged or minority backgrounds. The guidance promotes early planning, involvement of families and advocates, accessible communication, and multi-agency working to help ensure support is tailored to individual circumstances and needs.</w:t>
            </w:r>
          </w:p>
          <w:p w:rsidR="00747491" w:rsidRPr="00613206" w:rsidP="003564E5">
            <w:pPr>
              <w:pStyle w:val="NormalWeb"/>
              <w:rPr>
                <w:rFonts w:ascii="Calibri" w:hAnsi="Calibri" w:cs="Calibri"/>
                <w:sz w:val="22"/>
                <w:szCs w:val="22"/>
              </w:rPr>
            </w:pPr>
            <w:r w:rsidRPr="00613206">
              <w:rPr>
                <w:rFonts w:ascii="Calibri" w:hAnsi="Calibri" w:cs="Calibri"/>
                <w:sz w:val="22"/>
                <w:szCs w:val="22"/>
              </w:rPr>
              <w:t>However, in practice, these groups are often the most affected by gaps in provision, inconsistent service availability, and differing eligibility thresholds between children’s and adult services. Many vulnerable young people face delays in assessment, reduced support once they approach adulthood, or difficulties accessing suitable placements and adult provision. Those with complex or overlapping needs can struggle particularly where services operate in silos or where there is limited specialist adult provis</w:t>
            </w:r>
            <w:r w:rsidRPr="00613206">
              <w:rPr>
                <w:rFonts w:ascii="Calibri" w:hAnsi="Calibri" w:cs="Calibri"/>
                <w:sz w:val="22"/>
                <w:szCs w:val="22"/>
              </w:rPr>
              <w:t>ion available locally.</w:t>
            </w:r>
          </w:p>
          <w:p w:rsidR="00747491" w:rsidRPr="00613206" w:rsidP="003564E5">
            <w:pPr>
              <w:pStyle w:val="NormalWeb"/>
              <w:rPr>
                <w:rFonts w:ascii="Calibri" w:hAnsi="Calibri" w:cs="Calibri"/>
                <w:sz w:val="22"/>
                <w:szCs w:val="22"/>
              </w:rPr>
            </w:pPr>
            <w:r w:rsidRPr="00613206">
              <w:rPr>
                <w:rFonts w:ascii="Calibri" w:hAnsi="Calibri" w:cs="Calibri"/>
                <w:sz w:val="22"/>
                <w:szCs w:val="22"/>
              </w:rPr>
              <w:t>There remains significant concern that underserved groups continue to be overlooked within transition systems despite the intentions of the guidance. Monitoring and accountability arrangements are inconsistent, and outcomes for vulnerable young people are not always effectively tracked. As a result, many young people with additional needs remain at increased risk of poor mental health, homelessness, inappropriate placements, social isolation, safeguarding concerns, and involvement with crisis services if tr</w:t>
            </w:r>
            <w:r w:rsidRPr="00613206">
              <w:rPr>
                <w:rFonts w:ascii="Calibri" w:hAnsi="Calibri" w:cs="Calibri"/>
                <w:sz w:val="22"/>
                <w:szCs w:val="22"/>
              </w:rPr>
              <w:t>ansitions are not properly coordinated and supported.</w:t>
            </w:r>
          </w:p>
          <w:p w:rsidR="00747491" w:rsidRPr="00613206" w:rsidP="003564E5">
            <w:pPr>
              <w:rPr>
                <w:rFonts w:ascii="Calibri" w:hAnsi="Calibri" w:cs="Calibri"/>
                <w:sz w:val="22"/>
                <w:szCs w:val="22"/>
              </w:rPr>
            </w:pPr>
          </w:p>
        </w:tc>
      </w:tr>
    </w:tbl>
    <w:p w:rsidR="00747491" w:rsidRPr="00613206">
      <w:pPr>
        <w:rPr>
          <w:rFonts w:ascii="Calibri" w:hAnsi="Calibri" w:cs="Calibri"/>
          <w:sz w:val="22"/>
          <w:szCs w:val="22"/>
        </w:rPr>
      </w:pPr>
    </w:p>
    <w:p w:rsidR="00747491" w:rsidRPr="00613206">
      <w:pPr>
        <w:rPr>
          <w:rFonts w:ascii="Calibri" w:hAnsi="Calibri" w:cs="Calibri"/>
          <w:sz w:val="22"/>
          <w:szCs w:val="22"/>
        </w:rPr>
      </w:pPr>
    </w:p>
    <w:tbl>
      <w:tblPr>
        <w:tblStyle w:val="TableGrid"/>
        <w:tblW w:w="10490" w:type="dxa"/>
        <w:tblInd w:w="-714" w:type="dxa"/>
        <w:tblLook w:val="04A0"/>
      </w:tblPr>
      <w:tblGrid>
        <w:gridCol w:w="1985"/>
        <w:gridCol w:w="8505"/>
      </w:tblGrid>
      <w:tr w:rsidTr="005624CB">
        <w:tblPrEx>
          <w:tblW w:w="10490" w:type="dxa"/>
          <w:tblInd w:w="-714" w:type="dxa"/>
          <w:tblLook w:val="04A0"/>
        </w:tblPrEx>
        <w:tc>
          <w:tcPr>
            <w:tcW w:w="10490" w:type="dxa"/>
            <w:gridSpan w:val="2"/>
          </w:tcPr>
          <w:p w:rsidR="00747491" w:rsidRPr="00613206">
            <w:pPr>
              <w:rPr>
                <w:rFonts w:ascii="Calibri" w:hAnsi="Calibri" w:cs="Calibri"/>
                <w:b/>
                <w:bCs/>
                <w:sz w:val="22"/>
                <w:szCs w:val="22"/>
              </w:rPr>
            </w:pPr>
            <w:r w:rsidRPr="00613206">
              <w:rPr>
                <w:rFonts w:ascii="Calibri" w:hAnsi="Calibri" w:cs="Calibri"/>
                <w:b/>
                <w:bCs/>
                <w:sz w:val="22"/>
                <w:szCs w:val="22"/>
              </w:rPr>
              <w:t>FOCUS AREA 3</w:t>
            </w:r>
          </w:p>
          <w:p w:rsidR="00747491" w:rsidRPr="00613206" w:rsidP="005624CB">
            <w:pPr>
              <w:rPr>
                <w:rFonts w:ascii="Calibri" w:hAnsi="Calibri" w:cs="Calibri"/>
                <w:b/>
                <w:bCs/>
                <w:sz w:val="22"/>
                <w:szCs w:val="22"/>
              </w:rPr>
            </w:pPr>
            <w:r w:rsidRPr="00613206">
              <w:rPr>
                <w:rFonts w:ascii="Calibri" w:hAnsi="Calibri" w:cs="Calibri"/>
                <w:b/>
                <w:bCs/>
                <w:sz w:val="22"/>
                <w:szCs w:val="22"/>
              </w:rPr>
              <w:t>MEANINGFUL INVOLVEMENT OF CHILDREN, YOUNG PEOPLE AND THEIR CARERS</w:t>
            </w:r>
          </w:p>
        </w:tc>
      </w:tr>
      <w:tr w:rsidTr="005624CB">
        <w:tblPrEx>
          <w:tblW w:w="10490" w:type="dxa"/>
          <w:tblInd w:w="-714" w:type="dxa"/>
          <w:tblLook w:val="04A0"/>
        </w:tblPrEx>
        <w:tc>
          <w:tcPr>
            <w:tcW w:w="10490" w:type="dxa"/>
            <w:gridSpan w:val="2"/>
          </w:tcPr>
          <w:p w:rsidR="00747491" w:rsidRPr="00613206" w:rsidP="00A748A8">
            <w:pPr>
              <w:spacing w:after="120" w:line="259" w:lineRule="auto"/>
              <w:rPr>
                <w:rFonts w:ascii="Calibri" w:hAnsi="Calibri" w:cs="Calibri"/>
                <w:sz w:val="22"/>
                <w:szCs w:val="22"/>
              </w:rPr>
            </w:pPr>
            <w:r w:rsidRPr="00613206">
              <w:rPr>
                <w:rFonts w:ascii="Calibri" w:hAnsi="Calibri" w:cs="Calibri"/>
                <w:b/>
                <w:bCs/>
                <w:sz w:val="22"/>
                <w:szCs w:val="22"/>
              </w:rPr>
              <w:t>Statement of intent 1</w:t>
            </w:r>
            <w:r w:rsidRPr="00613206">
              <w:rPr>
                <w:rFonts w:ascii="Calibri" w:hAnsi="Calibri" w:cs="Calibri"/>
                <w:sz w:val="22"/>
                <w:szCs w:val="22"/>
              </w:rPr>
              <w:t xml:space="preserve">: </w:t>
            </w:r>
            <w:r w:rsidRPr="00613206">
              <w:rPr>
                <w:rFonts w:ascii="Calibri" w:hAnsi="Calibri" w:cs="Calibri"/>
                <w:sz w:val="22"/>
                <w:szCs w:val="22"/>
                <w:lang w:val="en-US"/>
              </w:rPr>
              <w:t>Adults' services should take into account the individual needs and wishes of the young person when involving parents or carers in assessment, planning and support. For young people with an education, health and care plan or a care and support plan this must happen, as set out in the </w:t>
            </w:r>
            <w:r>
              <w:fldChar w:fldCharType="begin"/>
            </w:r>
            <w:r>
              <w:instrText xml:space="preserve"> HYPERLINK "http://www.legislation.gov.uk/ukpga/2014/6/contents/enacted" </w:instrText>
            </w:r>
            <w:r>
              <w:fldChar w:fldCharType="separate"/>
            </w:r>
            <w:r w:rsidRPr="00613206">
              <w:rPr>
                <w:rStyle w:val="Hyperlink"/>
                <w:rFonts w:ascii="Calibri" w:hAnsi="Calibri" w:cs="Calibri"/>
                <w:color w:val="auto"/>
                <w:sz w:val="22"/>
                <w:szCs w:val="22"/>
                <w:lang w:val="en-US"/>
              </w:rPr>
              <w:t>Children and Families Act 2014</w:t>
            </w:r>
            <w:r>
              <w:fldChar w:fldCharType="end"/>
            </w:r>
            <w:r w:rsidRPr="00613206">
              <w:rPr>
                <w:rFonts w:ascii="Calibri" w:hAnsi="Calibri" w:cs="Calibri"/>
                <w:sz w:val="22"/>
                <w:szCs w:val="22"/>
                <w:lang w:val="en-US"/>
              </w:rPr>
              <w:t> and the </w:t>
            </w:r>
            <w:r>
              <w:fldChar w:fldCharType="begin"/>
            </w:r>
            <w:r>
              <w:instrText xml:space="preserve"> HYPERLINK "http://www.legislation.gov.uk/ukpga/2014/23/contents/enacted" </w:instrText>
            </w:r>
            <w:r>
              <w:fldChar w:fldCharType="separate"/>
            </w:r>
            <w:r w:rsidRPr="00613206">
              <w:rPr>
                <w:rStyle w:val="Hyperlink"/>
                <w:rFonts w:ascii="Calibri" w:hAnsi="Calibri" w:cs="Calibri"/>
                <w:color w:val="auto"/>
                <w:sz w:val="22"/>
                <w:szCs w:val="22"/>
                <w:lang w:val="en-US"/>
              </w:rPr>
              <w:t>Care Act 2014</w:t>
            </w:r>
            <w:r>
              <w:fldChar w:fldCharType="end"/>
            </w:r>
            <w:r w:rsidRPr="00613206">
              <w:rPr>
                <w:rFonts w:ascii="Calibri" w:hAnsi="Calibri" w:cs="Calibri"/>
                <w:sz w:val="22"/>
                <w:szCs w:val="22"/>
              </w:rPr>
              <w:t xml:space="preserve">. </w:t>
            </w:r>
            <w:r>
              <w:fldChar w:fldCharType="begin"/>
            </w:r>
            <w:r>
              <w:instrText xml:space="preserve"> HYPERLINK "https://www.nice.org.uk/guidance/ng43/chapter/Recommendations" \l "transition-planning" </w:instrText>
            </w:r>
            <w:r>
              <w:fldChar w:fldCharType="separate"/>
            </w:r>
            <w:r w:rsidRPr="00613206">
              <w:rPr>
                <w:rStyle w:val="Hyperlink"/>
                <w:rFonts w:ascii="Calibri" w:hAnsi="Calibri" w:cs="Calibri"/>
                <w:color w:val="auto"/>
                <w:sz w:val="22"/>
                <w:szCs w:val="22"/>
                <w:lang w:val="en-US"/>
              </w:rPr>
              <w:t>NICE NG43 (1.2.22, 2016)</w:t>
            </w:r>
            <w:r>
              <w:fldChar w:fldCharType="end"/>
            </w:r>
            <w:r w:rsidRPr="00613206">
              <w:rPr>
                <w:rFonts w:ascii="Calibri" w:hAnsi="Calibri" w:cs="Calibri"/>
                <w:sz w:val="22"/>
                <w:szCs w:val="22"/>
              </w:rPr>
              <w:t> </w:t>
            </w:r>
          </w:p>
          <w:p w:rsidR="00747491" w:rsidRPr="00613206" w:rsidP="00A748A8">
            <w:pPr>
              <w:spacing w:after="120" w:line="259" w:lineRule="auto"/>
              <w:rPr>
                <w:rFonts w:ascii="Calibri" w:hAnsi="Calibri" w:cs="Calibri"/>
                <w:sz w:val="22"/>
                <w:szCs w:val="22"/>
              </w:rPr>
            </w:pPr>
            <w:r w:rsidRPr="00613206">
              <w:rPr>
                <w:rFonts w:ascii="Calibri" w:hAnsi="Calibri" w:cs="Calibri"/>
                <w:b/>
                <w:bCs/>
                <w:sz w:val="22"/>
                <w:szCs w:val="22"/>
              </w:rPr>
              <w:t xml:space="preserve">Statement of intent 2: </w:t>
            </w:r>
            <w:r w:rsidRPr="00613206">
              <w:rPr>
                <w:rFonts w:ascii="Calibri" w:hAnsi="Calibri" w:cs="Calibri"/>
                <w:sz w:val="22"/>
                <w:szCs w:val="22"/>
                <w:lang w:val="en-US"/>
              </w:rPr>
              <w:t>Offer young people help to become involved in their transition planning. This may be through: peer support, coaching and mentoring, advocacy, the use of mobile technology. </w:t>
            </w:r>
            <w:r>
              <w:fldChar w:fldCharType="begin"/>
            </w:r>
            <w:r>
              <w:instrText xml:space="preserve"> HYPERLINK "https://www.nice.org.uk/guidance/ng43/chapter/Recommendations" \l "support-before-transfer" </w:instrText>
            </w:r>
            <w:r>
              <w:fldChar w:fldCharType="separate"/>
            </w:r>
            <w:r w:rsidRPr="00613206">
              <w:rPr>
                <w:rStyle w:val="Hyperlink"/>
                <w:rFonts w:ascii="Calibri" w:hAnsi="Calibri" w:cs="Calibri"/>
                <w:color w:val="auto"/>
                <w:sz w:val="22"/>
                <w:szCs w:val="22"/>
                <w:lang w:val="en-US"/>
              </w:rPr>
              <w:t>NICE NG43 (1.2.11, 2016)</w:t>
            </w:r>
            <w:r>
              <w:fldChar w:fldCharType="end"/>
            </w:r>
            <w:r w:rsidRPr="00613206">
              <w:rPr>
                <w:rFonts w:ascii="Calibri" w:hAnsi="Calibri" w:cs="Calibri"/>
                <w:sz w:val="22"/>
                <w:szCs w:val="22"/>
              </w:rPr>
              <w:t> </w:t>
            </w:r>
          </w:p>
          <w:p w:rsidR="00747491" w:rsidRPr="00613206" w:rsidP="00A748A8">
            <w:pPr>
              <w:spacing w:line="259" w:lineRule="auto"/>
              <w:rPr>
                <w:rFonts w:ascii="Calibri" w:hAnsi="Calibri" w:cs="Calibri"/>
                <w:sz w:val="22"/>
                <w:szCs w:val="22"/>
              </w:rPr>
            </w:pPr>
            <w:r w:rsidRPr="00613206">
              <w:rPr>
                <w:rFonts w:ascii="Calibri" w:hAnsi="Calibri" w:cs="Calibri"/>
                <w:b/>
                <w:bCs/>
                <w:sz w:val="22"/>
                <w:szCs w:val="22"/>
              </w:rPr>
              <w:t xml:space="preserve">Statement of intent 3: </w:t>
            </w:r>
            <w:r w:rsidRPr="00613206">
              <w:rPr>
                <w:rFonts w:ascii="Calibri" w:hAnsi="Calibri" w:cs="Calibri"/>
                <w:sz w:val="22"/>
                <w:szCs w:val="22"/>
                <w:lang w:val="en-US"/>
              </w:rPr>
              <w:t>Involve young people and their carers in service design, delivery and evaluation related to </w:t>
            </w:r>
            <w:r>
              <w:fldChar w:fldCharType="begin"/>
            </w:r>
            <w:r>
              <w:instrText xml:space="preserve"> HYPERLINK "https://www.nice.org.uk/guidance/ng43/chapter/recommendations" \l "transition" </w:instrText>
            </w:r>
            <w:r>
              <w:fldChar w:fldCharType="separate"/>
            </w:r>
            <w:r w:rsidRPr="00613206">
              <w:rPr>
                <w:rStyle w:val="Hyperlink"/>
                <w:rFonts w:ascii="Calibri" w:hAnsi="Calibri" w:cs="Calibri"/>
                <w:color w:val="auto"/>
                <w:sz w:val="22"/>
                <w:szCs w:val="22"/>
                <w:lang w:val="en-US"/>
              </w:rPr>
              <w:t>transition</w:t>
            </w:r>
            <w:r>
              <w:fldChar w:fldCharType="end"/>
            </w:r>
            <w:r w:rsidRPr="00613206">
              <w:rPr>
                <w:rFonts w:ascii="Calibri" w:hAnsi="Calibri" w:cs="Calibri"/>
                <w:sz w:val="22"/>
                <w:szCs w:val="22"/>
                <w:lang w:val="en-US"/>
              </w:rPr>
              <w:t> by: coproducing transition policies and strategies with them; planning, coproducing and piloting materials and tools; asking them if the services helped them achieve agreed outcomes; feeding back to them about the effect their involvement has had. </w:t>
            </w:r>
            <w:r>
              <w:fldChar w:fldCharType="begin"/>
            </w:r>
            <w:r>
              <w:instrText xml:space="preserve"> HYPERLINK "https://www.nice.org.uk/guidance/ng43/chapter/Recommendations" \l "overarching-principles" </w:instrText>
            </w:r>
            <w:r>
              <w:fldChar w:fldCharType="separate"/>
            </w:r>
            <w:r w:rsidRPr="00613206">
              <w:rPr>
                <w:rStyle w:val="Hyperlink"/>
                <w:rFonts w:ascii="Calibri" w:hAnsi="Calibri" w:cs="Calibri"/>
                <w:color w:val="auto"/>
                <w:sz w:val="22"/>
                <w:szCs w:val="22"/>
                <w:lang w:val="en-US"/>
              </w:rPr>
              <w:t>NICE NG43 (1.1.1, 2016)</w:t>
            </w:r>
            <w:r>
              <w:fldChar w:fldCharType="end"/>
            </w:r>
            <w:r w:rsidRPr="00613206">
              <w:rPr>
                <w:rFonts w:ascii="Calibri" w:hAnsi="Calibri" w:cs="Calibri"/>
                <w:sz w:val="22"/>
                <w:szCs w:val="22"/>
              </w:rPr>
              <w:t> </w:t>
            </w: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Resourcing</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How are services resourced to take into account the needs, wishes and aspirations of the young person, including during the planning process and after transition?</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In practice, many young people report that they are hardly ever fully assessed in a holistic way that considers their emotional wellbeing, independence, relationships, education, employment ambitions, or social outcomes beyond immediate care needs. </w:t>
            </w:r>
            <w:r w:rsidRPr="00613206">
              <w:rPr>
                <w:rFonts w:ascii="Calibri" w:hAnsi="Calibri" w:cs="Calibri"/>
                <w:sz w:val="22"/>
                <w:szCs w:val="22"/>
              </w:rPr>
              <w:br/>
            </w:r>
            <w:r w:rsidRPr="00613206">
              <w:rPr>
                <w:rFonts w:ascii="Calibri" w:hAnsi="Calibri" w:cs="Calibri"/>
                <w:sz w:val="22"/>
                <w:szCs w:val="22"/>
              </w:rPr>
              <w:br/>
              <w:t>Transition processes can become administrative exercises driven by deadlines and resource limitations rather than genuine co-production with the young person and their family. This is particularly concerning for vulnerable young people with complex needs, communication difficulties, or neurodevelopmental conditions, who may require additional time and specialist support to express their views effectively.</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What resourcing is required to enable co-production of transition strategies/policies and provide feedback on the outcomes of the co-produced initiatives?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Resources are needed for advocacy services, ongoing support for vulnerable young people who may otherwise struggle to have their voices heard. Services also require sufficient staffing and protected time to build relationships, gather feedback, analyse outcomes, and demonstrate how co-produced recommendations have influenced practice. Without proper investment and accountability, co-production risks becoming tokenistic rather than leading to genuine improvements in transition experiences and outcomes for yo</w:t>
            </w:r>
            <w:r w:rsidRPr="00613206">
              <w:rPr>
                <w:rFonts w:ascii="Calibri" w:hAnsi="Calibri" w:cs="Calibri"/>
                <w:sz w:val="22"/>
                <w:szCs w:val="22"/>
              </w:rPr>
              <w:t>ung people.</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Effectiveness and implementation</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How are young people, and their carers, involved in their transition planning and what methods are effective in supporting involvement?</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3564E5">
            <w:pPr>
              <w:pStyle w:val="NormalWeb"/>
              <w:rPr>
                <w:rFonts w:ascii="Calibri" w:hAnsi="Calibri" w:cs="Calibri"/>
                <w:sz w:val="22"/>
                <w:szCs w:val="22"/>
              </w:rPr>
            </w:pPr>
          </w:p>
          <w:p w:rsidR="00747491" w:rsidRPr="00613206" w:rsidP="003564E5">
            <w:pPr>
              <w:pStyle w:val="NormalWeb"/>
              <w:rPr>
                <w:rFonts w:ascii="Calibri" w:hAnsi="Calibri" w:cs="Calibri"/>
                <w:sz w:val="22"/>
                <w:szCs w:val="22"/>
              </w:rPr>
            </w:pPr>
            <w:r w:rsidRPr="00613206">
              <w:rPr>
                <w:rFonts w:ascii="Calibri" w:hAnsi="Calibri" w:cs="Calibri"/>
                <w:sz w:val="22"/>
                <w:szCs w:val="22"/>
              </w:rPr>
              <w:t xml:space="preserve">Young people and their carers should be actively involved in transition planning through person-centred meetings, regular reviews, advocacy support, accessible communication, and ongoing discussions about their goals, wishes, and future aspirations. Effective methods include building trusted relationships with professionals, involving families early in planning, using strengths-based approaches, and ensuring young people are given time and support to </w:t>
            </w:r>
            <w:r w:rsidRPr="00613206">
              <w:rPr>
                <w:rFonts w:ascii="Calibri" w:hAnsi="Calibri" w:cs="Calibri"/>
                <w:sz w:val="22"/>
                <w:szCs w:val="22"/>
              </w:rPr>
              <w:t>2</w:t>
            </w:r>
            <w:r w:rsidRPr="00613206">
              <w:rPr>
                <w:rFonts w:ascii="Calibri" w:hAnsi="Calibri" w:cs="Calibri"/>
                <w:sz w:val="22"/>
                <w:szCs w:val="22"/>
              </w:rPr>
              <w:t>express their views in ways that suit their communication needs. In our homes, we make a strong effort to listen to young people, involve them in decisions about their future, and ensure their voices are heard throughout the transition process.</w:t>
            </w:r>
          </w:p>
          <w:p w:rsidR="00747491" w:rsidRPr="00613206" w:rsidP="003564E5">
            <w:pPr>
              <w:pStyle w:val="NormalWeb"/>
              <w:rPr>
                <w:rFonts w:ascii="Calibri" w:hAnsi="Calibri" w:cs="Calibri"/>
                <w:sz w:val="22"/>
                <w:szCs w:val="22"/>
              </w:rPr>
            </w:pPr>
            <w:r w:rsidRPr="00613206">
              <w:rPr>
                <w:rFonts w:ascii="Calibri" w:hAnsi="Calibri" w:cs="Calibri"/>
                <w:sz w:val="22"/>
                <w:szCs w:val="22"/>
              </w:rPr>
              <w:t>However, at a wider national level, there remains significant concern that young people are still too often ignored or insufficiently involved in decisions that directly affect their lives. Transition planning can become driven by service pressures, placement availability, funding limitations, and eligibility criteria rather than the wishes and readiness of the young person themselves.</w:t>
            </w:r>
          </w:p>
          <w:p w:rsidR="00747491" w:rsidRPr="00613206" w:rsidP="003564E5">
            <w:pPr>
              <w:pStyle w:val="NormalWeb"/>
              <w:rPr>
                <w:rFonts w:ascii="Calibri" w:hAnsi="Calibri" w:cs="Calibri"/>
                <w:sz w:val="22"/>
                <w:szCs w:val="22"/>
              </w:rPr>
            </w:pPr>
            <w:r w:rsidRPr="00613206">
              <w:rPr>
                <w:rFonts w:ascii="Calibri" w:hAnsi="Calibri" w:cs="Calibri"/>
                <w:sz w:val="22"/>
                <w:szCs w:val="22"/>
              </w:rPr>
              <w:t>This highlights the need for greater investment in advocacy, workforce capacity, and genuinely co-produced approaches to care planning. Young people and carers should not simply be informed about decisions after they have been made; they should be treated as equal partners in shaping transition support and future outcomes.</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2. What does effective inclusion of young people in the planning and delivery of their transition look like? </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M</w:t>
            </w:r>
            <w:r w:rsidRPr="00613206">
              <w:rPr>
                <w:rFonts w:ascii="Calibri" w:hAnsi="Calibri" w:cs="Calibri"/>
                <w:sz w:val="22"/>
                <w:szCs w:val="22"/>
              </w:rPr>
              <w:t>eaningful participation from an early stage, with young people being listened to, respected, and supported</w:t>
            </w:r>
            <w:r w:rsidRPr="00613206">
              <w:rPr>
                <w:rFonts w:ascii="Calibri" w:hAnsi="Calibri" w:cs="Calibri"/>
                <w:sz w:val="22"/>
                <w:szCs w:val="22"/>
              </w:rPr>
              <w:t xml:space="preserve"> while being encouraged</w:t>
            </w:r>
            <w:r w:rsidRPr="00613206">
              <w:rPr>
                <w:rFonts w:ascii="Calibri" w:hAnsi="Calibri" w:cs="Calibri"/>
                <w:sz w:val="22"/>
                <w:szCs w:val="22"/>
              </w:rPr>
              <w:t xml:space="preserve"> to express their goals around education, independence, health, relationships, employment, and future living arrangements</w:t>
            </w:r>
            <w:r w:rsidRPr="00613206">
              <w:rPr>
                <w:rFonts w:ascii="Calibri" w:hAnsi="Calibri" w:cs="Calibri"/>
                <w:sz w:val="22"/>
                <w:szCs w:val="22"/>
              </w:rPr>
              <w:t xml:space="preserve"> via key work sessions, meetings, visits to providers, deciding locations and treatment so that they can make proper</w:t>
            </w:r>
            <w:r w:rsidRPr="00613206">
              <w:rPr>
                <w:rFonts w:ascii="Calibri" w:hAnsi="Calibri" w:cs="Calibri"/>
                <w:sz w:val="22"/>
                <w:szCs w:val="22"/>
              </w:rPr>
              <w:t>ly informed</w:t>
            </w:r>
            <w:r w:rsidRPr="00613206">
              <w:rPr>
                <w:rFonts w:ascii="Calibri" w:hAnsi="Calibri" w:cs="Calibri"/>
                <w:sz w:val="22"/>
                <w:szCs w:val="22"/>
              </w:rPr>
              <w:t xml:space="preserve"> decisions. </w:t>
            </w:r>
            <w:r w:rsidRPr="00613206">
              <w:rPr>
                <w:rFonts w:ascii="Calibri" w:hAnsi="Calibri" w:cs="Calibri"/>
                <w:sz w:val="22"/>
                <w:szCs w:val="22"/>
              </w:rPr>
              <w:br/>
            </w:r>
            <w:r w:rsidRPr="00613206">
              <w:rPr>
                <w:rFonts w:ascii="Calibri" w:hAnsi="Calibri" w:cs="Calibri"/>
                <w:sz w:val="22"/>
                <w:szCs w:val="22"/>
              </w:rPr>
              <w:br/>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Impact and outcomes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What are the impacts of co-producing transition policies and strategies with children and young people?</w:t>
            </w:r>
          </w:p>
        </w:tc>
      </w:tr>
      <w:tr w:rsidTr="006C72F8">
        <w:tblPrEx>
          <w:tblW w:w="10490" w:type="dxa"/>
          <w:tblInd w:w="-714" w:type="dxa"/>
          <w:tblLook w:val="04A0"/>
        </w:tblPrEx>
        <w:trPr>
          <w:trHeight w:val="201"/>
        </w:trPr>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Many existing policies no longer appear fully aligned with the increasing number of vulnerable young people entering care, requiring specialist support, or struggling to access appropriate adult provision, highlighting the need for more responsive and up-to-date co-produced approaches across the sector.</w:t>
            </w:r>
          </w:p>
          <w:p w:rsidR="00747491" w:rsidRPr="00613206" w:rsidP="005624CB">
            <w:pPr>
              <w:rPr>
                <w:rFonts w:ascii="Calibri" w:hAnsi="Calibri" w:cs="Calibri"/>
                <w:sz w:val="22"/>
                <w:szCs w:val="22"/>
              </w:rPr>
            </w:pPr>
          </w:p>
        </w:tc>
      </w:tr>
      <w:tr w:rsidTr="000E4D8A">
        <w:tblPrEx>
          <w:tblW w:w="10490" w:type="dxa"/>
          <w:tblInd w:w="-714" w:type="dxa"/>
          <w:tblLook w:val="04A0"/>
        </w:tblPrEx>
        <w:trPr>
          <w:trHeight w:val="444"/>
        </w:trPr>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2. What does a good transition service look like, and how is an effective transition defined, measured and monitored at both individual and service levels? </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A good transition service is one that is early, person-centred, flexible, and fully coordinated across health, social care, education, and adult services. </w:t>
            </w:r>
            <w:r w:rsidRPr="00613206">
              <w:rPr>
                <w:rFonts w:ascii="Calibri" w:hAnsi="Calibri" w:cs="Calibri"/>
                <w:sz w:val="22"/>
                <w:szCs w:val="22"/>
              </w:rPr>
              <w:br/>
            </w:r>
            <w:r w:rsidRPr="00613206">
              <w:rPr>
                <w:rFonts w:ascii="Calibri" w:hAnsi="Calibri" w:cs="Calibri"/>
                <w:sz w:val="22"/>
                <w:szCs w:val="22"/>
              </w:rPr>
              <w:br/>
              <w:t xml:space="preserve">Effective transition support should begin well before adulthood, focus on the young person’s individual needs, wishes, strengths, and aspirations, and provide continuity of care without gaps in provision. </w:t>
            </w:r>
            <w:r w:rsidRPr="00613206">
              <w:rPr>
                <w:rFonts w:ascii="Calibri" w:hAnsi="Calibri" w:cs="Calibri"/>
                <w:sz w:val="22"/>
                <w:szCs w:val="22"/>
              </w:rPr>
              <w:t xml:space="preserve">  </w:t>
            </w:r>
            <w:r w:rsidRPr="00613206">
              <w:rPr>
                <w:rFonts w:ascii="Calibri" w:hAnsi="Calibri" w:cs="Calibri"/>
                <w:sz w:val="22"/>
                <w:szCs w:val="22"/>
              </w:rPr>
              <w:t>As above</w:t>
            </w:r>
            <w:r w:rsidRPr="00613206">
              <w:rPr>
                <w:rFonts w:ascii="Calibri" w:hAnsi="Calibri" w:cs="Calibri"/>
                <w:sz w:val="22"/>
                <w:szCs w:val="22"/>
              </w:rPr>
              <w:t>, it should be</w:t>
            </w:r>
            <w:r w:rsidRPr="00613206">
              <w:rPr>
                <w:rFonts w:ascii="Calibri" w:hAnsi="Calibri" w:cs="Calibri"/>
                <w:sz w:val="22"/>
                <w:szCs w:val="22"/>
              </w:rPr>
              <w:t xml:space="preserve"> looking at services, relationships, needs, funding </w:t>
            </w:r>
            <w:r w:rsidRPr="00613206">
              <w:rPr>
                <w:rFonts w:ascii="Calibri" w:hAnsi="Calibri" w:cs="Calibri"/>
                <w:sz w:val="22"/>
                <w:szCs w:val="22"/>
              </w:rPr>
              <w:t>and so on.</w:t>
            </w:r>
          </w:p>
          <w:p w:rsidR="00747491" w:rsidRPr="00613206" w:rsidP="005624CB">
            <w:pPr>
              <w:rPr>
                <w:rFonts w:ascii="Calibri" w:hAnsi="Calibri" w:cs="Calibri"/>
                <w:sz w:val="22"/>
                <w:szCs w:val="22"/>
              </w:rPr>
            </w:pPr>
            <w:r w:rsidRPr="00613206">
              <w:rPr>
                <w:rFonts w:ascii="Calibri" w:hAnsi="Calibri" w:cs="Calibri"/>
                <w:sz w:val="22"/>
                <w:szCs w:val="22"/>
              </w:rPr>
              <w:br/>
            </w:r>
            <w:r w:rsidRPr="00613206">
              <w:rPr>
                <w:rFonts w:ascii="Calibri" w:hAnsi="Calibri" w:cs="Calibri"/>
                <w:sz w:val="22"/>
                <w:szCs w:val="22"/>
              </w:rPr>
              <w:br/>
            </w:r>
            <w:r w:rsidRPr="00613206">
              <w:rPr>
                <w:rFonts w:ascii="Calibri" w:hAnsi="Calibri" w:cs="Calibri"/>
                <w:sz w:val="22"/>
                <w:szCs w:val="22"/>
              </w:rPr>
              <w:br/>
            </w: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Appropriateness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Are the current guidelines for the involvement of individuals and their carers in the transition to adult services appropriate for the needs of young people and services?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No, they are n</w:t>
            </w:r>
            <w:r w:rsidRPr="00613206">
              <w:rPr>
                <w:rFonts w:ascii="Calibri" w:hAnsi="Calibri" w:cs="Calibri"/>
                <w:sz w:val="22"/>
                <w:szCs w:val="22"/>
              </w:rPr>
              <w:t xml:space="preserve">ot appropriate at all,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There are far too </w:t>
            </w:r>
            <w:r w:rsidRPr="00613206">
              <w:rPr>
                <w:rFonts w:ascii="Calibri" w:hAnsi="Calibri" w:cs="Calibri"/>
                <w:sz w:val="22"/>
                <w:szCs w:val="22"/>
              </w:rPr>
              <w:t>many</w:t>
            </w:r>
            <w:r w:rsidRPr="00613206">
              <w:rPr>
                <w:rFonts w:ascii="Calibri" w:hAnsi="Calibri" w:cs="Calibri"/>
                <w:sz w:val="22"/>
                <w:szCs w:val="22"/>
              </w:rPr>
              <w:t xml:space="preserve"> cases sitting on local authorities’ desks. </w:t>
            </w:r>
          </w:p>
          <w:p w:rsidR="00747491" w:rsidRPr="00613206" w:rsidP="005624CB">
            <w:pPr>
              <w:rPr>
                <w:rFonts w:ascii="Calibri" w:hAnsi="Calibri" w:cs="Calibri"/>
                <w:sz w:val="22"/>
                <w:szCs w:val="22"/>
              </w:rPr>
            </w:pPr>
            <w:r w:rsidRPr="00613206">
              <w:rPr>
                <w:rFonts w:ascii="Calibri" w:hAnsi="Calibri" w:cs="Calibri"/>
                <w:sz w:val="22"/>
                <w:szCs w:val="22"/>
              </w:rPr>
              <w:t>2</w:t>
            </w:r>
          </w:p>
        </w:tc>
      </w:tr>
      <w:tr w:rsidTr="006C72F8">
        <w:tblPrEx>
          <w:tblW w:w="10490" w:type="dxa"/>
          <w:tblInd w:w="-714" w:type="dxa"/>
          <w:tblLook w:val="04A0"/>
        </w:tblPrEx>
        <w:tc>
          <w:tcPr>
            <w:tcW w:w="1985" w:type="dxa"/>
            <w:vMerge w:val="restart"/>
            <w:tcBorders>
              <w:left w:val="single" w:sz="4" w:space="0" w:color="auto"/>
            </w:tcBorders>
          </w:tcPr>
          <w:p w:rsidR="00747491" w:rsidRPr="00613206" w:rsidP="005624CB">
            <w:pPr>
              <w:rPr>
                <w:rFonts w:ascii="Calibri" w:hAnsi="Calibri" w:cs="Calibri"/>
                <w:b/>
                <w:sz w:val="22"/>
                <w:szCs w:val="22"/>
              </w:rPr>
            </w:pPr>
            <w:r w:rsidRPr="00613206">
              <w:rPr>
                <w:rFonts w:ascii="Calibri" w:hAnsi="Calibri" w:cs="Calibri"/>
                <w:b/>
                <w:sz w:val="22"/>
                <w:szCs w:val="22"/>
              </w:rPr>
              <w:t>Equality and diversity</w:t>
            </w:r>
          </w:p>
        </w:tc>
        <w:tc>
          <w:tcPr>
            <w:tcW w:w="8505" w:type="dxa"/>
          </w:tcPr>
          <w:p w:rsidR="00747491" w:rsidRPr="00613206" w:rsidP="005624CB">
            <w:pPr>
              <w:rPr>
                <w:rFonts w:ascii="Calibri" w:hAnsi="Calibri" w:cs="Calibri"/>
                <w:sz w:val="22"/>
                <w:szCs w:val="22"/>
              </w:rPr>
            </w:pPr>
            <w:r w:rsidRPr="00613206">
              <w:rPr>
                <w:rFonts w:ascii="Calibri" w:hAnsi="Calibri" w:eastAsiaTheme="minorEastAsia" w:cs="Calibri"/>
                <w:sz w:val="22"/>
                <w:szCs w:val="22"/>
              </w:rPr>
              <w:t xml:space="preserve">1. How are underserved or vulnerable patient groups, including those with special educational needs and disabilities involved in their own transition planning? </w:t>
            </w:r>
            <w:r>
              <w:fldChar w:fldCharType="begin"/>
            </w:r>
            <w:r>
              <w:instrText xml:space="preserve"> HYPERLINK "https://assets.publishing.service.gov.uk/media/5a7dcb85ed915d2ac884d995/SEND_Code_of_Practice_January_2015.pdf" </w:instrText>
            </w:r>
            <w:r>
              <w:fldChar w:fldCharType="separate"/>
            </w:r>
            <w:r w:rsidRPr="00613206">
              <w:rPr>
                <w:rStyle w:val="Hyperlink"/>
                <w:rFonts w:ascii="Calibri" w:hAnsi="Calibri" w:eastAsiaTheme="minorEastAsia" w:cs="Calibri"/>
                <w:color w:val="auto"/>
                <w:sz w:val="22"/>
                <w:szCs w:val="22"/>
              </w:rPr>
              <w:t>SEND Code of Practice 0-25 years (8.54, 2015)</w:t>
            </w:r>
            <w:r>
              <w:fldChar w:fldCharType="end"/>
            </w:r>
          </w:p>
        </w:tc>
      </w:tr>
      <w:tr w:rsidTr="006C72F8">
        <w:tblPrEx>
          <w:tblW w:w="10490" w:type="dxa"/>
          <w:tblInd w:w="-714" w:type="dxa"/>
          <w:tblLook w:val="04A0"/>
        </w:tblPrEx>
        <w:tc>
          <w:tcPr>
            <w:tcW w:w="1985" w:type="dxa"/>
            <w:vMerge/>
          </w:tcPr>
          <w:p w:rsidR="00747491" w:rsidRPr="00613206" w:rsidP="005624CB">
            <w:pPr>
              <w:rPr>
                <w:rFonts w:ascii="Calibri" w:hAnsi="Calibri" w:cs="Calibri"/>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Very rarely</w:t>
            </w:r>
            <w:r w:rsidRPr="00613206">
              <w:rPr>
                <w:rFonts w:ascii="Calibri" w:hAnsi="Calibri" w:cs="Calibri"/>
                <w:sz w:val="22"/>
                <w:szCs w:val="22"/>
              </w:rPr>
              <w:t>.  They are</w:t>
            </w:r>
            <w:r w:rsidRPr="00613206">
              <w:rPr>
                <w:rFonts w:ascii="Calibri" w:hAnsi="Calibri" w:cs="Calibri"/>
                <w:sz w:val="22"/>
                <w:szCs w:val="22"/>
              </w:rPr>
              <w:t xml:space="preserve"> </w:t>
            </w:r>
            <w:r w:rsidRPr="00613206">
              <w:rPr>
                <w:rFonts w:ascii="Calibri" w:hAnsi="Calibri" w:cs="Calibri"/>
                <w:sz w:val="22"/>
                <w:szCs w:val="22"/>
              </w:rPr>
              <w:t>hardly ever</w:t>
            </w:r>
            <w:r w:rsidRPr="00613206">
              <w:rPr>
                <w:rFonts w:ascii="Calibri" w:hAnsi="Calibri" w:cs="Calibri"/>
                <w:sz w:val="22"/>
                <w:szCs w:val="22"/>
              </w:rPr>
              <w:t xml:space="preserve"> listened to </w:t>
            </w:r>
            <w:r w:rsidRPr="00613206">
              <w:rPr>
                <w:rFonts w:ascii="Calibri" w:hAnsi="Calibri" w:cs="Calibri"/>
                <w:sz w:val="22"/>
                <w:szCs w:val="22"/>
              </w:rPr>
              <w:t>but</w:t>
            </w:r>
            <w:r w:rsidRPr="00613206">
              <w:rPr>
                <w:rFonts w:ascii="Calibri" w:hAnsi="Calibri" w:cs="Calibri"/>
                <w:sz w:val="22"/>
                <w:szCs w:val="22"/>
              </w:rPr>
              <w:t xml:space="preserve"> when</w:t>
            </w:r>
            <w:r w:rsidRPr="00613206">
              <w:rPr>
                <w:rFonts w:ascii="Calibri" w:hAnsi="Calibri" w:cs="Calibri"/>
                <w:sz w:val="22"/>
                <w:szCs w:val="22"/>
              </w:rPr>
              <w:t xml:space="preserve"> they,</w:t>
            </w:r>
            <w:r w:rsidRPr="00613206">
              <w:rPr>
                <w:rFonts w:ascii="Calibri" w:hAnsi="Calibri" w:cs="Calibri"/>
                <w:sz w:val="22"/>
                <w:szCs w:val="22"/>
              </w:rPr>
              <w:t xml:space="preserve"> are it works </w:t>
            </w:r>
            <w:r w:rsidRPr="00613206">
              <w:rPr>
                <w:rFonts w:ascii="Calibri" w:hAnsi="Calibri" w:cs="Calibri"/>
                <w:sz w:val="22"/>
                <w:szCs w:val="22"/>
              </w:rPr>
              <w:t>(</w:t>
            </w:r>
            <w:r w:rsidRPr="00613206">
              <w:rPr>
                <w:rFonts w:ascii="Calibri" w:hAnsi="Calibri" w:cs="Calibri"/>
                <w:sz w:val="22"/>
                <w:szCs w:val="22"/>
              </w:rPr>
              <w:t>for example in homes</w:t>
            </w:r>
            <w:r w:rsidRPr="00613206">
              <w:rPr>
                <w:rFonts w:ascii="Calibri" w:hAnsi="Calibri" w:cs="Calibri"/>
                <w:sz w:val="22"/>
                <w:szCs w:val="22"/>
              </w:rPr>
              <w:t xml:space="preserve"> such as ours</w:t>
            </w:r>
            <w:r w:rsidRPr="00613206">
              <w:rPr>
                <w:rFonts w:ascii="Calibri" w:hAnsi="Calibri" w:cs="Calibri"/>
                <w:sz w:val="22"/>
                <w:szCs w:val="22"/>
              </w:rPr>
              <w:t xml:space="preserve"> that place long term</w:t>
            </w:r>
            <w:r w:rsidRPr="00613206">
              <w:rPr>
                <w:rFonts w:ascii="Calibri" w:hAnsi="Calibri" w:cs="Calibri"/>
                <w:sz w:val="22"/>
                <w:szCs w:val="22"/>
              </w:rPr>
              <w:t xml:space="preserve"> - though </w:t>
            </w:r>
            <w:r w:rsidRPr="00613206">
              <w:rPr>
                <w:rFonts w:ascii="Calibri" w:hAnsi="Calibri" w:cs="Calibri"/>
                <w:sz w:val="22"/>
                <w:szCs w:val="22"/>
              </w:rPr>
              <w:t>under significant pressure!</w:t>
            </w:r>
            <w:r w:rsidRPr="00613206">
              <w:rPr>
                <w:rFonts w:ascii="Calibri" w:hAnsi="Calibri" w:cs="Calibri"/>
                <w:sz w:val="22"/>
                <w:szCs w:val="22"/>
              </w:rPr>
              <w:t>)</w:t>
            </w:r>
            <w:r w:rsidRPr="00613206">
              <w:rPr>
                <w:rFonts w:ascii="Calibri" w:hAnsi="Calibri" w:cs="Calibri"/>
                <w:sz w:val="22"/>
                <w:szCs w:val="22"/>
              </w:rPr>
              <w:t>.</w:t>
            </w:r>
            <w:r w:rsidRPr="00613206">
              <w:rPr>
                <w:rFonts w:ascii="Calibri" w:hAnsi="Calibri" w:cs="Calibri"/>
                <w:sz w:val="22"/>
                <w:szCs w:val="22"/>
              </w:rPr>
              <w:t xml:space="preserve">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pPr>
              <w:rPr>
                <w:rFonts w:ascii="Calibri" w:hAnsi="Calibri" w:cs="Calibri"/>
                <w:sz w:val="22"/>
                <w:szCs w:val="22"/>
              </w:rPr>
            </w:pPr>
          </w:p>
        </w:tc>
        <w:tc>
          <w:tcPr>
            <w:tcW w:w="8505" w:type="dxa"/>
          </w:tcPr>
          <w:p w:rsidR="00747491" w:rsidRPr="00613206">
            <w:pPr>
              <w:rPr>
                <w:rFonts w:ascii="Calibri" w:hAnsi="Calibri" w:cs="Calibri"/>
                <w:sz w:val="22"/>
                <w:szCs w:val="22"/>
              </w:rPr>
            </w:pPr>
            <w:r w:rsidRPr="00613206">
              <w:rPr>
                <w:rFonts w:ascii="Calibri" w:hAnsi="Calibri" w:eastAsiaTheme="minorEastAsia" w:cs="Calibri"/>
                <w:sz w:val="22"/>
                <w:szCs w:val="22"/>
              </w:rPr>
              <w:t>2. To what extent are underserved or vulnerable service-user groups involved in co-production of transition policies and strategies?</w:t>
            </w:r>
          </w:p>
        </w:tc>
      </w:tr>
      <w:tr w:rsidTr="006C72F8">
        <w:tblPrEx>
          <w:tblW w:w="10490" w:type="dxa"/>
          <w:tblInd w:w="-714" w:type="dxa"/>
          <w:tblLook w:val="04A0"/>
        </w:tblPrEx>
        <w:tc>
          <w:tcPr>
            <w:tcW w:w="1985" w:type="dxa"/>
            <w:vMerge/>
          </w:tcPr>
          <w:p w:rsidR="00747491" w:rsidRPr="00613206">
            <w:pPr>
              <w:rPr>
                <w:rFonts w:ascii="Calibri" w:hAnsi="Calibri" w:cs="Calibri"/>
                <w:sz w:val="22"/>
                <w:szCs w:val="22"/>
              </w:rPr>
            </w:pPr>
          </w:p>
        </w:tc>
        <w:tc>
          <w:tcPr>
            <w:tcW w:w="8505" w:type="dxa"/>
          </w:tcPr>
          <w:p w:rsidR="00747491" w:rsidRPr="00613206">
            <w:pPr>
              <w:rPr>
                <w:rFonts w:ascii="Calibri" w:hAnsi="Calibri" w:cs="Calibri"/>
                <w:sz w:val="22"/>
                <w:szCs w:val="22"/>
              </w:rPr>
            </w:pPr>
          </w:p>
          <w:p w:rsidR="00747491" w:rsidRPr="00613206">
            <w:pPr>
              <w:rPr>
                <w:rFonts w:ascii="Calibri" w:hAnsi="Calibri" w:cs="Calibri"/>
                <w:sz w:val="22"/>
                <w:szCs w:val="22"/>
              </w:rPr>
            </w:pPr>
            <w:r w:rsidRPr="00613206">
              <w:rPr>
                <w:rFonts w:ascii="Calibri" w:hAnsi="Calibri" w:cs="Calibri"/>
                <w:sz w:val="22"/>
                <w:szCs w:val="22"/>
              </w:rPr>
              <w:t>Many young people with complex needs, care experience, disabilities, mental health conditions, or communication difficulties remain underrepresented in decision-making processes, meaning policies can fail to reflect the realities of current need. This has a massive effect on the quality and relevance of transition support, as services risk being designed around systems and resources rather than the lived experiences of the young people they are intended to support.</w:t>
            </w:r>
            <w:r w:rsidRPr="00613206">
              <w:rPr>
                <w:rFonts w:ascii="Calibri" w:hAnsi="Calibri" w:cs="Calibri"/>
                <w:sz w:val="22"/>
                <w:szCs w:val="22"/>
              </w:rPr>
              <w:br/>
            </w:r>
          </w:p>
          <w:p w:rsidR="00747491" w:rsidRPr="00613206">
            <w:pPr>
              <w:rPr>
                <w:rFonts w:ascii="Calibri" w:hAnsi="Calibri" w:cs="Calibri"/>
                <w:sz w:val="22"/>
                <w:szCs w:val="22"/>
              </w:rPr>
            </w:pPr>
            <w:r w:rsidRPr="00613206">
              <w:rPr>
                <w:rFonts w:ascii="Calibri" w:hAnsi="Calibri" w:cs="Calibri"/>
                <w:sz w:val="22"/>
                <w:szCs w:val="22"/>
              </w:rPr>
              <w:t xml:space="preserve">Often, they are not part of it because of wider regulatory and funding issues. We have raised this numerous times. </w:t>
            </w:r>
          </w:p>
          <w:p w:rsidR="00747491" w:rsidRPr="00613206">
            <w:pPr>
              <w:rPr>
                <w:rFonts w:ascii="Calibri" w:hAnsi="Calibri" w:cs="Calibri"/>
                <w:sz w:val="22"/>
                <w:szCs w:val="22"/>
              </w:rPr>
            </w:pPr>
          </w:p>
        </w:tc>
      </w:tr>
    </w:tbl>
    <w:p w:rsidR="00747491" w:rsidRPr="00613206">
      <w:pPr>
        <w:rPr>
          <w:rFonts w:ascii="Calibri" w:hAnsi="Calibri" w:cs="Calibri"/>
          <w:sz w:val="22"/>
          <w:szCs w:val="22"/>
        </w:rPr>
      </w:pPr>
    </w:p>
    <w:p w:rsidR="00747491" w:rsidRPr="00613206">
      <w:pPr>
        <w:rPr>
          <w:rFonts w:ascii="Calibri" w:hAnsi="Calibri" w:cs="Calibri"/>
          <w:sz w:val="22"/>
          <w:szCs w:val="22"/>
        </w:rPr>
      </w:pPr>
    </w:p>
    <w:tbl>
      <w:tblPr>
        <w:tblStyle w:val="TableGrid"/>
        <w:tblW w:w="10490" w:type="dxa"/>
        <w:tblInd w:w="-714" w:type="dxa"/>
        <w:tblLook w:val="04A0"/>
      </w:tblPr>
      <w:tblGrid>
        <w:gridCol w:w="1985"/>
        <w:gridCol w:w="8505"/>
      </w:tblGrid>
      <w:tr w:rsidTr="12032C4C">
        <w:tblPrEx>
          <w:tblW w:w="10490" w:type="dxa"/>
          <w:tblInd w:w="-714" w:type="dxa"/>
          <w:tblLook w:val="04A0"/>
        </w:tblPrEx>
        <w:tc>
          <w:tcPr>
            <w:tcW w:w="10490" w:type="dxa"/>
            <w:gridSpan w:val="2"/>
          </w:tcPr>
          <w:p w:rsidR="00747491" w:rsidRPr="00613206">
            <w:pPr>
              <w:rPr>
                <w:rFonts w:ascii="Calibri" w:hAnsi="Calibri" w:cs="Calibri"/>
                <w:b/>
                <w:bCs/>
                <w:sz w:val="22"/>
                <w:szCs w:val="22"/>
              </w:rPr>
            </w:pPr>
            <w:r w:rsidRPr="00613206">
              <w:rPr>
                <w:rFonts w:ascii="Calibri" w:hAnsi="Calibri" w:cs="Calibri"/>
                <w:b/>
                <w:bCs/>
                <w:sz w:val="22"/>
                <w:szCs w:val="22"/>
              </w:rPr>
              <w:t>FOCUS AREA 4</w:t>
            </w:r>
          </w:p>
          <w:p w:rsidR="00747491" w:rsidRPr="00613206" w:rsidP="005624CB">
            <w:pPr>
              <w:rPr>
                <w:rFonts w:ascii="Calibri" w:hAnsi="Calibri" w:cs="Calibri"/>
                <w:b/>
                <w:bCs/>
                <w:sz w:val="22"/>
                <w:szCs w:val="22"/>
              </w:rPr>
            </w:pPr>
            <w:r w:rsidRPr="00613206">
              <w:rPr>
                <w:rFonts w:ascii="Calibri" w:hAnsi="Calibri" w:cs="Calibri"/>
                <w:b/>
                <w:bCs/>
                <w:sz w:val="22"/>
                <w:szCs w:val="22"/>
              </w:rPr>
              <w:t>WORKFORCE AND TRAINING</w:t>
            </w:r>
          </w:p>
        </w:tc>
      </w:tr>
      <w:tr w:rsidTr="12032C4C">
        <w:tblPrEx>
          <w:tblW w:w="10490" w:type="dxa"/>
          <w:tblInd w:w="-714" w:type="dxa"/>
          <w:tblLook w:val="04A0"/>
        </w:tblPrEx>
        <w:tc>
          <w:tcPr>
            <w:tcW w:w="10490" w:type="dxa"/>
            <w:gridSpan w:val="2"/>
          </w:tcPr>
          <w:p w:rsidR="00747491" w:rsidRPr="00613206" w:rsidP="00F42754">
            <w:pPr>
              <w:spacing w:after="120"/>
              <w:rPr>
                <w:rFonts w:ascii="Calibri" w:hAnsi="Calibri" w:cs="Calibri"/>
                <w:sz w:val="22"/>
                <w:szCs w:val="22"/>
                <w:lang w:val="en-US"/>
              </w:rPr>
            </w:pPr>
            <w:r w:rsidRPr="00613206">
              <w:rPr>
                <w:rFonts w:ascii="Calibri" w:hAnsi="Calibri" w:cs="Calibri"/>
                <w:b/>
                <w:bCs/>
                <w:sz w:val="22"/>
                <w:szCs w:val="22"/>
              </w:rPr>
              <w:t>Statement of intent 1</w:t>
            </w:r>
            <w:r w:rsidRPr="00613206">
              <w:rPr>
                <w:rFonts w:ascii="Calibri" w:hAnsi="Calibri" w:cs="Calibri"/>
                <w:sz w:val="22"/>
                <w:szCs w:val="22"/>
              </w:rPr>
              <w:t xml:space="preserve">: </w:t>
            </w:r>
            <w:r w:rsidRPr="00613206">
              <w:rPr>
                <w:rFonts w:ascii="Calibri" w:hAnsi="Calibri" w:cs="Calibri"/>
                <w:sz w:val="22"/>
                <w:szCs w:val="22"/>
                <w:lang w:val="en-US"/>
              </w:rPr>
              <w:t xml:space="preserve">Staff receive training in adolescent development, managing long-term conditions and transitional care, such as the </w:t>
            </w:r>
            <w:r>
              <w:fldChar w:fldCharType="begin"/>
            </w:r>
            <w:r>
              <w:instrText xml:space="preserve"> HYPERLINK "https://url.uk.m.mimecastprotect.com/s/WTvACjZpltjQVXqWTWf0SmqDdm?domain=e-lfh.org.uk/" </w:instrText>
            </w:r>
            <w:r>
              <w:fldChar w:fldCharType="separate"/>
            </w:r>
            <w:r w:rsidRPr="00613206">
              <w:rPr>
                <w:rStyle w:val="Hyperlink"/>
                <w:rFonts w:ascii="Calibri" w:hAnsi="Calibri" w:cs="Calibri"/>
                <w:color w:val="auto"/>
                <w:sz w:val="22"/>
                <w:szCs w:val="22"/>
                <w:lang w:val="en-US"/>
              </w:rPr>
              <w:t xml:space="preserve">Adolescent Health </w:t>
            </w:r>
            <w:r w:rsidRPr="00613206">
              <w:rPr>
                <w:rStyle w:val="Hyperlink"/>
                <w:rFonts w:ascii="Calibri" w:hAnsi="Calibri" w:cs="Calibri"/>
                <w:color w:val="auto"/>
                <w:sz w:val="22"/>
                <w:szCs w:val="22"/>
                <w:lang w:val="en-US"/>
              </w:rPr>
              <w:t>Programme</w:t>
            </w:r>
            <w:r w:rsidRPr="00613206">
              <w:rPr>
                <w:rStyle w:val="Hyperlink"/>
                <w:rFonts w:ascii="Calibri" w:hAnsi="Calibri" w:cs="Calibri"/>
                <w:color w:val="auto"/>
                <w:sz w:val="22"/>
                <w:szCs w:val="22"/>
                <w:lang w:val="en-US"/>
              </w:rPr>
              <w:t xml:space="preserve"> e-learning</w:t>
            </w:r>
            <w:r>
              <w:fldChar w:fldCharType="end"/>
            </w:r>
            <w:r w:rsidRPr="00613206">
              <w:rPr>
                <w:rFonts w:ascii="Calibri" w:hAnsi="Calibri" w:cs="Calibri"/>
                <w:sz w:val="22"/>
                <w:szCs w:val="22"/>
                <w:lang w:val="en-US"/>
              </w:rPr>
              <w:t xml:space="preserve">, as a context for understanding the impact of complex and long-term health needs.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613206">
              <w:rPr>
                <w:rStyle w:val="Hyperlink"/>
                <w:rFonts w:ascii="Calibri" w:hAnsi="Calibri" w:cs="Calibri"/>
                <w:color w:val="auto"/>
                <w:sz w:val="22"/>
                <w:szCs w:val="22"/>
                <w:lang w:val="en-US"/>
              </w:rPr>
              <w:t>OHID You’re Welcome</w:t>
            </w:r>
            <w:r>
              <w:fldChar w:fldCharType="end"/>
            </w:r>
            <w:r w:rsidRPr="00613206">
              <w:rPr>
                <w:rFonts w:ascii="Calibri" w:hAnsi="Calibri" w:cs="Calibri"/>
                <w:sz w:val="22"/>
                <w:szCs w:val="22"/>
                <w:lang w:val="en-US"/>
              </w:rPr>
              <w:t xml:space="preserve"> (4, 2023)</w:t>
            </w:r>
          </w:p>
          <w:p w:rsidR="00747491" w:rsidRPr="00613206" w:rsidP="00F42754">
            <w:pPr>
              <w:spacing w:after="120" w:line="259" w:lineRule="auto"/>
              <w:rPr>
                <w:rFonts w:ascii="Calibri" w:hAnsi="Calibri" w:cs="Calibri"/>
                <w:b/>
                <w:sz w:val="22"/>
                <w:szCs w:val="22"/>
                <w:lang w:val="en-US"/>
              </w:rPr>
            </w:pPr>
            <w:r w:rsidRPr="00613206">
              <w:rPr>
                <w:rFonts w:ascii="Calibri" w:hAnsi="Calibri" w:cs="Calibri"/>
                <w:b/>
                <w:bCs/>
                <w:sz w:val="22"/>
                <w:szCs w:val="22"/>
                <w:lang w:val="en-US"/>
              </w:rPr>
              <w:t>Statement of intent 2</w:t>
            </w:r>
            <w:r w:rsidRPr="00613206">
              <w:rPr>
                <w:rFonts w:ascii="Calibri" w:hAnsi="Calibri" w:cs="Calibri"/>
                <w:sz w:val="22"/>
                <w:szCs w:val="22"/>
                <w:lang w:val="en-US"/>
              </w:rPr>
              <w:t xml:space="preserve">: Young people who are moving from children's to adults' services have a named worker to coordinate care and support before, during and after transfer. </w:t>
            </w:r>
            <w:r>
              <w:fldChar w:fldCharType="begin"/>
            </w:r>
            <w:r>
              <w:instrText xml:space="preserve"> HYPERLINK "https://www.nice.org.uk/guidance/qs140/chapter/Quality-statement-4-Named-worker" </w:instrText>
            </w:r>
            <w:r>
              <w:fldChar w:fldCharType="separate"/>
            </w:r>
            <w:r w:rsidRPr="00613206">
              <w:rPr>
                <w:rStyle w:val="Hyperlink"/>
                <w:rFonts w:ascii="Calibri" w:hAnsi="Calibri" w:cs="Calibri"/>
                <w:color w:val="auto"/>
                <w:sz w:val="22"/>
                <w:szCs w:val="22"/>
                <w:lang w:val="en-US"/>
              </w:rPr>
              <w:t>NICE QS140 (4, 2016)</w:t>
            </w:r>
            <w:r>
              <w:fldChar w:fldCharType="end"/>
            </w:r>
          </w:p>
          <w:p w:rsidR="00747491" w:rsidRPr="00613206" w:rsidP="00F42754">
            <w:pPr>
              <w:spacing w:line="259" w:lineRule="auto"/>
              <w:rPr>
                <w:rFonts w:ascii="Calibri" w:hAnsi="Calibri" w:cs="Calibri"/>
                <w:b/>
                <w:sz w:val="22"/>
                <w:szCs w:val="22"/>
                <w:lang w:val="en-US"/>
              </w:rPr>
            </w:pPr>
            <w:r w:rsidRPr="00613206">
              <w:rPr>
                <w:rFonts w:ascii="Calibri" w:hAnsi="Calibri" w:cs="Calibri"/>
                <w:b/>
                <w:bCs/>
                <w:sz w:val="22"/>
                <w:szCs w:val="22"/>
                <w:lang w:val="en-US"/>
              </w:rPr>
              <w:t>Statement of intent 3:</w:t>
            </w:r>
            <w:r w:rsidRPr="00613206">
              <w:rPr>
                <w:rFonts w:ascii="Calibri" w:hAnsi="Calibri" w:cs="Calibri"/>
                <w:sz w:val="22"/>
                <w:szCs w:val="22"/>
                <w:lang w:val="en-US"/>
              </w:rPr>
              <w:t xml:space="preserve"> Each health and social care organisation, in both children's and adults' services supporting young people in transition, should nominate: 1 senior executive to be accountable for developing and publishing transition strategies and policies, 1 senior manager to be accountable for implementing transition strategies and policies. The senior executive should be responsible for championing transitions at a strategic level. The senior manager should be responsible for: liaising with the senior executive; champio</w:t>
            </w:r>
            <w:r w:rsidRPr="00613206">
              <w:rPr>
                <w:rFonts w:ascii="Calibri" w:hAnsi="Calibri" w:cs="Calibri"/>
                <w:sz w:val="22"/>
                <w:szCs w:val="22"/>
                <w:lang w:val="en-US"/>
              </w:rPr>
              <w:t xml:space="preserve">ning, implementing, monitoring and reviewing the effectiveness of transition strategies and policies. </w:t>
            </w:r>
            <w:r>
              <w:fldChar w:fldCharType="begin"/>
            </w:r>
            <w:r>
              <w:instrText xml:space="preserve"> HYPERLINK "https://www.nice.org.uk/guidance/ng43/chapter/Recommendations" \l "supporting-infrastructure" </w:instrText>
            </w:r>
            <w:r>
              <w:fldChar w:fldCharType="separate"/>
            </w:r>
            <w:r w:rsidRPr="00613206">
              <w:rPr>
                <w:rStyle w:val="Hyperlink"/>
                <w:rFonts w:ascii="Calibri" w:hAnsi="Calibri" w:cs="Calibri"/>
                <w:color w:val="auto"/>
                <w:sz w:val="22"/>
                <w:szCs w:val="22"/>
                <w:lang w:val="en-US"/>
              </w:rPr>
              <w:t>NICE NG43 (1.5.1-3, 2016)</w:t>
            </w:r>
            <w:r>
              <w:fldChar w:fldCharType="end"/>
            </w: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Resourcing</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1. Which healthcare professionals form the transition team for young people, and are their roles- including that of the lead healthcare professional- clearly defined? Do staff have sufficient time allocated for their specified roles? </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No, they do not have sufficient time as the left </w:t>
            </w:r>
            <w:r w:rsidRPr="00613206">
              <w:rPr>
                <w:rFonts w:ascii="Calibri" w:hAnsi="Calibri" w:cs="Calibri"/>
                <w:sz w:val="22"/>
                <w:szCs w:val="22"/>
              </w:rPr>
              <w:t>hand</w:t>
            </w:r>
            <w:r w:rsidRPr="00613206">
              <w:rPr>
                <w:rFonts w:ascii="Calibri" w:hAnsi="Calibri" w:cs="Calibri"/>
                <w:sz w:val="22"/>
                <w:szCs w:val="22"/>
              </w:rPr>
              <w:t xml:space="preserve"> doesn</w:t>
            </w:r>
            <w:r w:rsidRPr="00613206">
              <w:rPr>
                <w:rFonts w:ascii="Calibri" w:hAnsi="Calibri" w:cs="Calibri"/>
                <w:sz w:val="22"/>
                <w:szCs w:val="22"/>
              </w:rPr>
              <w:t>’</w:t>
            </w:r>
            <w:r w:rsidRPr="00613206">
              <w:rPr>
                <w:rFonts w:ascii="Calibri" w:hAnsi="Calibri" w:cs="Calibri"/>
                <w:sz w:val="22"/>
                <w:szCs w:val="22"/>
              </w:rPr>
              <w:t xml:space="preserve">t communicate with the right </w:t>
            </w:r>
            <w:r w:rsidRPr="00613206">
              <w:rPr>
                <w:rFonts w:ascii="Calibri" w:hAnsi="Calibri" w:cs="Calibri"/>
                <w:sz w:val="22"/>
                <w:szCs w:val="22"/>
              </w:rPr>
              <w:t>hand in many instances</w:t>
            </w:r>
            <w:r w:rsidRPr="00613206">
              <w:rPr>
                <w:rFonts w:ascii="Calibri" w:hAnsi="Calibri" w:cs="Calibri"/>
                <w:sz w:val="22"/>
                <w:szCs w:val="22"/>
              </w:rPr>
              <w:t xml:space="preserve">. For </w:t>
            </w:r>
            <w:r w:rsidRPr="00613206">
              <w:rPr>
                <w:rFonts w:ascii="Calibri" w:hAnsi="Calibri" w:cs="Calibri"/>
                <w:sz w:val="22"/>
                <w:szCs w:val="22"/>
              </w:rPr>
              <w:t>example,</w:t>
            </w:r>
            <w:r w:rsidRPr="00613206">
              <w:rPr>
                <w:rFonts w:ascii="Calibri" w:hAnsi="Calibri" w:cs="Calibri"/>
                <w:sz w:val="22"/>
                <w:szCs w:val="22"/>
              </w:rPr>
              <w:t xml:space="preserve"> emerging diagnos</w:t>
            </w:r>
            <w:r w:rsidRPr="00613206">
              <w:rPr>
                <w:rFonts w:ascii="Calibri" w:hAnsi="Calibri" w:cs="Calibri"/>
                <w:sz w:val="22"/>
                <w:szCs w:val="22"/>
              </w:rPr>
              <w:t>e</w:t>
            </w:r>
            <w:r w:rsidRPr="00613206">
              <w:rPr>
                <w:rFonts w:ascii="Calibri" w:hAnsi="Calibri" w:cs="Calibri"/>
                <w:sz w:val="22"/>
                <w:szCs w:val="22"/>
              </w:rPr>
              <w:t>s are less likely to receive funding</w:t>
            </w:r>
            <w:r w:rsidRPr="00613206">
              <w:rPr>
                <w:rFonts w:ascii="Calibri" w:hAnsi="Calibri" w:cs="Calibri"/>
                <w:sz w:val="22"/>
                <w:szCs w:val="22"/>
              </w:rPr>
              <w:t xml:space="preserve"> in spite of there being</w:t>
            </w:r>
            <w:r w:rsidRPr="00613206">
              <w:rPr>
                <w:rFonts w:ascii="Calibri" w:hAnsi="Calibri" w:cs="Calibri"/>
                <w:sz w:val="22"/>
                <w:szCs w:val="22"/>
              </w:rPr>
              <w:t xml:space="preserve"> a waiting list for </w:t>
            </w:r>
            <w:r w:rsidRPr="00613206">
              <w:rPr>
                <w:rFonts w:ascii="Calibri" w:hAnsi="Calibri" w:cs="Calibri"/>
                <w:sz w:val="22"/>
                <w:szCs w:val="22"/>
              </w:rPr>
              <w:t>CAMHS</w:t>
            </w:r>
            <w:r w:rsidRPr="00613206">
              <w:rPr>
                <w:rFonts w:ascii="Calibri" w:hAnsi="Calibri" w:cs="Calibri"/>
                <w:sz w:val="22"/>
                <w:szCs w:val="22"/>
              </w:rPr>
              <w:t xml:space="preserve">. </w:t>
            </w:r>
          </w:p>
          <w:p w:rsidR="00747491" w:rsidRPr="00613206" w:rsidP="005624CB">
            <w:pPr>
              <w:rPr>
                <w:rFonts w:ascii="Calibri" w:hAnsi="Calibri" w:cs="Calibri"/>
                <w:sz w:val="22"/>
                <w:szCs w:val="22"/>
              </w:rPr>
            </w:pPr>
            <w:r w:rsidRPr="00613206">
              <w:rPr>
                <w:rFonts w:ascii="Calibri" w:hAnsi="Calibri" w:cs="Calibri"/>
                <w:sz w:val="22"/>
                <w:szCs w:val="22"/>
              </w:rPr>
              <w:br/>
              <w:t xml:space="preserve">We </w:t>
            </w:r>
            <w:r w:rsidRPr="00613206">
              <w:rPr>
                <w:rFonts w:ascii="Calibri" w:hAnsi="Calibri" w:cs="Calibri"/>
                <w:sz w:val="22"/>
                <w:szCs w:val="22"/>
              </w:rPr>
              <w:t>undertake</w:t>
            </w:r>
            <w:r w:rsidRPr="00613206">
              <w:rPr>
                <w:rFonts w:ascii="Calibri" w:hAnsi="Calibri" w:cs="Calibri"/>
                <w:sz w:val="22"/>
                <w:szCs w:val="22"/>
              </w:rPr>
              <w:t xml:space="preserve"> this</w:t>
            </w:r>
            <w:r w:rsidRPr="00613206">
              <w:rPr>
                <w:rFonts w:ascii="Calibri" w:hAnsi="Calibri" w:cs="Calibri"/>
                <w:sz w:val="22"/>
                <w:szCs w:val="22"/>
              </w:rPr>
              <w:t xml:space="preserve"> work</w:t>
            </w:r>
            <w:r w:rsidRPr="00613206">
              <w:rPr>
                <w:rFonts w:ascii="Calibri" w:hAnsi="Calibri" w:cs="Calibri"/>
                <w:sz w:val="22"/>
                <w:szCs w:val="22"/>
              </w:rPr>
              <w:t xml:space="preserve"> as a provider</w:t>
            </w:r>
            <w:r w:rsidRPr="00613206">
              <w:rPr>
                <w:rFonts w:ascii="Calibri" w:hAnsi="Calibri" w:cs="Calibri"/>
                <w:sz w:val="22"/>
                <w:szCs w:val="22"/>
              </w:rPr>
              <w:t>:</w:t>
            </w:r>
            <w:r w:rsidRPr="00613206">
              <w:rPr>
                <w:rFonts w:ascii="Calibri" w:hAnsi="Calibri" w:cs="Calibri"/>
                <w:sz w:val="22"/>
                <w:szCs w:val="22"/>
              </w:rPr>
              <w:t xml:space="preserve"> we </w:t>
            </w:r>
            <w:r w:rsidRPr="00613206">
              <w:rPr>
                <w:rFonts w:ascii="Calibri" w:hAnsi="Calibri" w:cs="Calibri"/>
                <w:sz w:val="22"/>
                <w:szCs w:val="22"/>
              </w:rPr>
              <w:t>employ</w:t>
            </w:r>
            <w:r w:rsidRPr="00613206">
              <w:rPr>
                <w:rFonts w:ascii="Calibri" w:hAnsi="Calibri" w:cs="Calibri"/>
                <w:sz w:val="22"/>
                <w:szCs w:val="22"/>
              </w:rPr>
              <w:t xml:space="preserve"> manager</w:t>
            </w:r>
            <w:r w:rsidRPr="00613206">
              <w:rPr>
                <w:rFonts w:ascii="Calibri" w:hAnsi="Calibri" w:cs="Calibri"/>
                <w:sz w:val="22"/>
                <w:szCs w:val="22"/>
              </w:rPr>
              <w:t>s</w:t>
            </w:r>
            <w:r w:rsidRPr="00613206">
              <w:rPr>
                <w:rFonts w:ascii="Calibri" w:hAnsi="Calibri" w:cs="Calibri"/>
                <w:sz w:val="22"/>
                <w:szCs w:val="22"/>
              </w:rPr>
              <w:t>, clinical leads, head</w:t>
            </w:r>
            <w:r w:rsidRPr="00613206">
              <w:rPr>
                <w:rFonts w:ascii="Calibri" w:hAnsi="Calibri" w:cs="Calibri"/>
                <w:sz w:val="22"/>
                <w:szCs w:val="22"/>
              </w:rPr>
              <w:t>s</w:t>
            </w:r>
            <w:r w:rsidRPr="00613206">
              <w:rPr>
                <w:rFonts w:ascii="Calibri" w:hAnsi="Calibri" w:cs="Calibri"/>
                <w:sz w:val="22"/>
                <w:szCs w:val="22"/>
              </w:rPr>
              <w:t xml:space="preserve"> of transitions in placements and other professional </w:t>
            </w:r>
            <w:r w:rsidRPr="00613206">
              <w:rPr>
                <w:rFonts w:ascii="Calibri" w:hAnsi="Calibri" w:cs="Calibri"/>
                <w:sz w:val="22"/>
                <w:szCs w:val="22"/>
              </w:rPr>
              <w:t xml:space="preserve">staff </w:t>
            </w:r>
            <w:r w:rsidRPr="00613206">
              <w:rPr>
                <w:rFonts w:ascii="Calibri" w:hAnsi="Calibri" w:cs="Calibri"/>
                <w:sz w:val="22"/>
                <w:szCs w:val="22"/>
              </w:rPr>
              <w:t>with local authority experience.</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What is the role of health and social care organisation executives in overseeing the implementation and evaluation of the transfer to adult services?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The NHS ha</w:t>
            </w:r>
            <w:r w:rsidRPr="00613206">
              <w:rPr>
                <w:rFonts w:ascii="Calibri" w:hAnsi="Calibri" w:cs="Calibri"/>
                <w:sz w:val="22"/>
                <w:szCs w:val="22"/>
              </w:rPr>
              <w:t>s a</w:t>
            </w:r>
            <w:r w:rsidRPr="00613206">
              <w:rPr>
                <w:rFonts w:ascii="Calibri" w:hAnsi="Calibri" w:cs="Calibri"/>
                <w:sz w:val="22"/>
                <w:szCs w:val="22"/>
              </w:rPr>
              <w:t xml:space="preserve"> new 10-year plan</w:t>
            </w:r>
            <w:r w:rsidRPr="00613206">
              <w:rPr>
                <w:rFonts w:ascii="Calibri" w:hAnsi="Calibri" w:cs="Calibri"/>
                <w:sz w:val="22"/>
                <w:szCs w:val="22"/>
              </w:rPr>
              <w:t xml:space="preserve"> which</w:t>
            </w:r>
            <w:r w:rsidRPr="00613206">
              <w:rPr>
                <w:rFonts w:ascii="Calibri" w:hAnsi="Calibri" w:cs="Calibri"/>
                <w:sz w:val="22"/>
                <w:szCs w:val="22"/>
              </w:rPr>
              <w:t xml:space="preserve"> is</w:t>
            </w:r>
            <w:r w:rsidRPr="00613206">
              <w:rPr>
                <w:rFonts w:ascii="Calibri" w:hAnsi="Calibri" w:cs="Calibri"/>
                <w:sz w:val="22"/>
                <w:szCs w:val="22"/>
              </w:rPr>
              <w:t xml:space="preserve"> of</w:t>
            </w:r>
            <w:r w:rsidRPr="00613206">
              <w:rPr>
                <w:rFonts w:ascii="Calibri" w:hAnsi="Calibri" w:cs="Calibri"/>
                <w:sz w:val="22"/>
                <w:szCs w:val="22"/>
              </w:rPr>
              <w:t xml:space="preserve"> h</w:t>
            </w:r>
            <w:r w:rsidRPr="00613206">
              <w:rPr>
                <w:rFonts w:ascii="Calibri" w:hAnsi="Calibri" w:cs="Calibri"/>
                <w:sz w:val="22"/>
                <w:szCs w:val="22"/>
              </w:rPr>
              <w:t>6</w:t>
            </w:r>
            <w:r w:rsidRPr="00613206">
              <w:rPr>
                <w:rFonts w:ascii="Calibri" w:hAnsi="Calibri" w:cs="Calibri"/>
                <w:sz w:val="22"/>
                <w:szCs w:val="22"/>
              </w:rPr>
              <w:t xml:space="preserve">uge importance, but simple changes are needed which would </w:t>
            </w:r>
            <w:r w:rsidRPr="00613206">
              <w:rPr>
                <w:rFonts w:ascii="Calibri" w:hAnsi="Calibri" w:cs="Calibri"/>
                <w:sz w:val="22"/>
                <w:szCs w:val="22"/>
              </w:rPr>
              <w:t xml:space="preserve">greatly </w:t>
            </w:r>
            <w:r w:rsidRPr="00613206">
              <w:rPr>
                <w:rFonts w:ascii="Calibri" w:hAnsi="Calibri" w:cs="Calibri"/>
                <w:sz w:val="22"/>
                <w:szCs w:val="22"/>
              </w:rPr>
              <w:t>help matters</w:t>
            </w:r>
            <w:r w:rsidRPr="00613206">
              <w:rPr>
                <w:rFonts w:ascii="Calibri" w:hAnsi="Calibri" w:cs="Calibri"/>
                <w:sz w:val="22"/>
                <w:szCs w:val="22"/>
              </w:rPr>
              <w:t>.</w:t>
            </w:r>
          </w:p>
          <w:p w:rsidR="00747491" w:rsidRPr="00613206" w:rsidP="001733D4">
            <w:pPr>
              <w:rPr>
                <w:rFonts w:ascii="Calibri" w:hAnsi="Calibri" w:cs="Calibri"/>
                <w:sz w:val="22"/>
                <w:szCs w:val="22"/>
              </w:rPr>
            </w:pPr>
            <w:r w:rsidRPr="00613206">
              <w:rPr>
                <w:rFonts w:ascii="Calibri" w:hAnsi="Calibri" w:cs="Calibri"/>
                <w:sz w:val="22"/>
                <w:szCs w:val="22"/>
              </w:rPr>
              <w:br/>
            </w:r>
            <w:r w:rsidRPr="00613206">
              <w:rPr>
                <w:rFonts w:ascii="Calibri" w:hAnsi="Calibri" w:cs="Calibri"/>
                <w:sz w:val="22"/>
                <w:szCs w:val="22"/>
              </w:rPr>
              <w:t>Again, w</w:t>
            </w:r>
            <w:r w:rsidRPr="00613206">
              <w:rPr>
                <w:rFonts w:ascii="Calibri" w:hAnsi="Calibri" w:cs="Calibri"/>
                <w:sz w:val="22"/>
                <w:szCs w:val="22"/>
              </w:rPr>
              <w:t>e do this as a provider</w:t>
            </w:r>
            <w:r w:rsidRPr="00613206">
              <w:rPr>
                <w:rFonts w:ascii="Calibri" w:hAnsi="Calibri" w:cs="Calibri"/>
                <w:sz w:val="22"/>
                <w:szCs w:val="22"/>
              </w:rPr>
              <w:t>:</w:t>
            </w:r>
            <w:r w:rsidRPr="00613206">
              <w:rPr>
                <w:rFonts w:ascii="Calibri" w:hAnsi="Calibri" w:cs="Calibri"/>
                <w:sz w:val="22"/>
                <w:szCs w:val="22"/>
              </w:rPr>
              <w:t xml:space="preserve"> we make it our role</w:t>
            </w:r>
            <w:r w:rsidRPr="00613206">
              <w:rPr>
                <w:rFonts w:ascii="Calibri" w:hAnsi="Calibri" w:cs="Calibri"/>
                <w:sz w:val="22"/>
                <w:szCs w:val="22"/>
              </w:rPr>
              <w:t xml:space="preserve"> and duty</w:t>
            </w:r>
            <w:r w:rsidRPr="00613206">
              <w:rPr>
                <w:rFonts w:ascii="Calibri" w:hAnsi="Calibri" w:cs="Calibri"/>
                <w:sz w:val="22"/>
                <w:szCs w:val="22"/>
              </w:rPr>
              <w:t xml:space="preserve"> to push but local authorities </w:t>
            </w:r>
            <w:r w:rsidRPr="00613206">
              <w:rPr>
                <w:rFonts w:ascii="Calibri" w:hAnsi="Calibri" w:cs="Calibri"/>
                <w:sz w:val="22"/>
                <w:szCs w:val="22"/>
              </w:rPr>
              <w:t xml:space="preserve">simply </w:t>
            </w:r>
            <w:r w:rsidRPr="00613206">
              <w:rPr>
                <w:rFonts w:ascii="Calibri" w:hAnsi="Calibri" w:cs="Calibri"/>
                <w:sz w:val="22"/>
                <w:szCs w:val="22"/>
              </w:rPr>
              <w:t>do not have the resource</w:t>
            </w:r>
            <w:r w:rsidRPr="00613206">
              <w:rPr>
                <w:rFonts w:ascii="Calibri" w:hAnsi="Calibri" w:cs="Calibri"/>
                <w:sz w:val="22"/>
                <w:szCs w:val="22"/>
              </w:rPr>
              <w:t>s</w:t>
            </w:r>
            <w:r w:rsidRPr="00613206">
              <w:rPr>
                <w:rFonts w:ascii="Calibri" w:hAnsi="Calibri" w:cs="Calibri"/>
                <w:sz w:val="22"/>
                <w:szCs w:val="22"/>
              </w:rPr>
              <w:t xml:space="preserve">.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3. Is there any workforce data to demonstrate the required capacity to deliver an effective transition for young people at service level? To what extent is this currently being met?</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There is n</w:t>
            </w:r>
            <w:r w:rsidRPr="00613206">
              <w:rPr>
                <w:rFonts w:ascii="Calibri" w:hAnsi="Calibri" w:cs="Calibri"/>
                <w:sz w:val="22"/>
                <w:szCs w:val="22"/>
              </w:rPr>
              <w:t>ot much data to go by</w:t>
            </w:r>
            <w:r w:rsidRPr="00613206">
              <w:rPr>
                <w:rFonts w:ascii="Calibri" w:hAnsi="Calibri" w:cs="Calibri"/>
                <w:sz w:val="22"/>
                <w:szCs w:val="22"/>
              </w:rPr>
              <w:t>; it appears there is</w:t>
            </w:r>
            <w:r w:rsidRPr="00613206">
              <w:rPr>
                <w:rFonts w:ascii="Calibri" w:hAnsi="Calibri" w:cs="Calibri"/>
                <w:sz w:val="22"/>
                <w:szCs w:val="22"/>
              </w:rPr>
              <w:t xml:space="preserve"> more about unregistered provisions </w:t>
            </w:r>
            <w:r w:rsidRPr="00613206">
              <w:rPr>
                <w:rFonts w:ascii="Calibri" w:hAnsi="Calibri" w:cs="Calibri"/>
                <w:sz w:val="22"/>
                <w:szCs w:val="22"/>
              </w:rPr>
              <w:t>and less about</w:t>
            </w:r>
            <w:r w:rsidRPr="00613206">
              <w:rPr>
                <w:rFonts w:ascii="Calibri" w:hAnsi="Calibri" w:cs="Calibri"/>
                <w:sz w:val="22"/>
                <w:szCs w:val="22"/>
              </w:rPr>
              <w:t xml:space="preserve"> the people</w:t>
            </w:r>
            <w:r w:rsidRPr="00613206">
              <w:rPr>
                <w:rFonts w:ascii="Calibri" w:hAnsi="Calibri" w:cs="Calibri"/>
                <w:sz w:val="22"/>
                <w:szCs w:val="22"/>
              </w:rPr>
              <w:t xml:space="preserve"> themselves and their outcomes</w:t>
            </w:r>
            <w:r w:rsidRPr="00613206">
              <w:rPr>
                <w:rFonts w:ascii="Calibri" w:hAnsi="Calibri" w:cs="Calibri"/>
                <w:sz w:val="22"/>
                <w:szCs w:val="22"/>
              </w:rPr>
              <w:t>, especially when a one size fits all approach is</w:t>
            </w:r>
            <w:r w:rsidRPr="00613206">
              <w:rPr>
                <w:rFonts w:ascii="Calibri" w:hAnsi="Calibri" w:cs="Calibri"/>
                <w:sz w:val="22"/>
                <w:szCs w:val="22"/>
              </w:rPr>
              <w:t xml:space="preserve"> </w:t>
            </w:r>
            <w:r w:rsidRPr="00613206">
              <w:rPr>
                <w:rFonts w:ascii="Calibri" w:hAnsi="Calibri" w:cs="Calibri"/>
                <w:sz w:val="22"/>
                <w:szCs w:val="22"/>
              </w:rPr>
              <w:t>letting down young people with severe or specialists needs.</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A</w:t>
            </w:r>
            <w:r w:rsidRPr="00613206">
              <w:rPr>
                <w:rFonts w:ascii="Calibri" w:hAnsi="Calibri" w:cs="Calibri"/>
                <w:sz w:val="22"/>
                <w:szCs w:val="22"/>
              </w:rPr>
              <w:t>gain, l</w:t>
            </w:r>
            <w:r w:rsidRPr="00613206">
              <w:rPr>
                <w:rFonts w:ascii="Calibri" w:hAnsi="Calibri" w:cs="Calibri"/>
                <w:sz w:val="22"/>
                <w:szCs w:val="22"/>
              </w:rPr>
              <w:t>ocal authorities are focussed more on funding then needs unfortunately</w:t>
            </w:r>
            <w:r w:rsidRPr="00613206">
              <w:rPr>
                <w:rFonts w:ascii="Calibri" w:hAnsi="Calibri" w:cs="Calibri"/>
                <w:sz w:val="22"/>
                <w:szCs w:val="22"/>
              </w:rPr>
              <w:t>, in part</w:t>
            </w:r>
            <w:r w:rsidRPr="00613206">
              <w:rPr>
                <w:rFonts w:ascii="Calibri" w:hAnsi="Calibri" w:cs="Calibri"/>
                <w:sz w:val="22"/>
                <w:szCs w:val="22"/>
              </w:rPr>
              <w:t xml:space="preserve"> due to the national increase of people entering care at 16 and 17.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Effectiveness and implementation</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Are existing training and education in place for staff effective in improving experiences for young people at the point of transition/transfer between services?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Much of the national focus has centred on concerns around unregistered provision and regulatory compliance, while the wider issue of whether there are enough skilled professionals, placements, and coordinated services to meet growing levels of need is less clearly measured or addressed. In practice, many vulnerable young people appear to be </w:t>
            </w:r>
            <w:r w:rsidRPr="00613206">
              <w:rPr>
                <w:rFonts w:ascii="Calibri" w:hAnsi="Calibri" w:cs="Calibri"/>
                <w:sz w:val="22"/>
                <w:szCs w:val="22"/>
              </w:rPr>
              <w:t xml:space="preserve">forgotten within systems that apply </w:t>
            </w:r>
            <w:r w:rsidRPr="00613206">
              <w:rPr>
                <w:rFonts w:ascii="Calibri" w:hAnsi="Calibri" w:cs="Calibri"/>
                <w:sz w:val="22"/>
                <w:szCs w:val="22"/>
              </w:rPr>
              <w:t xml:space="preserve">a </w:t>
            </w:r>
            <w:r w:rsidRPr="00613206">
              <w:rPr>
                <w:rFonts w:ascii="Calibri" w:hAnsi="Calibri" w:cs="Calibri"/>
                <w:sz w:val="22"/>
                <w:szCs w:val="22"/>
              </w:rPr>
              <w:t>one</w:t>
            </w:r>
            <w:r w:rsidRPr="00613206">
              <w:rPr>
                <w:rFonts w:ascii="Calibri" w:hAnsi="Calibri" w:cs="Calibri"/>
                <w:sz w:val="22"/>
                <w:szCs w:val="22"/>
              </w:rPr>
              <w:t xml:space="preserve"> </w:t>
            </w:r>
            <w:r w:rsidRPr="00613206">
              <w:rPr>
                <w:rFonts w:ascii="Calibri" w:hAnsi="Calibri" w:cs="Calibri"/>
                <w:sz w:val="22"/>
                <w:szCs w:val="22"/>
              </w:rPr>
              <w:t>size</w:t>
            </w:r>
            <w:r w:rsidRPr="00613206">
              <w:rPr>
                <w:rFonts w:ascii="Calibri" w:hAnsi="Calibri" w:cs="Calibri"/>
                <w:sz w:val="22"/>
                <w:szCs w:val="22"/>
              </w:rPr>
              <w:t xml:space="preserve"> </w:t>
            </w:r>
            <w:r w:rsidRPr="00613206">
              <w:rPr>
                <w:rFonts w:ascii="Calibri" w:hAnsi="Calibri" w:cs="Calibri"/>
                <w:sz w:val="22"/>
                <w:szCs w:val="22"/>
              </w:rPr>
              <w:t>fits</w:t>
            </w:r>
            <w:r w:rsidRPr="00613206">
              <w:rPr>
                <w:rFonts w:ascii="Calibri" w:hAnsi="Calibri" w:cs="Calibri"/>
                <w:sz w:val="22"/>
                <w:szCs w:val="22"/>
              </w:rPr>
              <w:t xml:space="preserve"> </w:t>
            </w:r>
            <w:r w:rsidRPr="00613206">
              <w:rPr>
                <w:rFonts w:ascii="Calibri" w:hAnsi="Calibri" w:cs="Calibri"/>
                <w:sz w:val="22"/>
                <w:szCs w:val="22"/>
              </w:rPr>
              <w:t xml:space="preserve">all regulatory and commissioning approaches, despite the complexity and individuality of their needs.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How are staff trained to effectively support young people through the transition from child to adult health and social care? What is the standard training offer- is this available to all, and how is this different for staff regularly involved in transitions?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They do not appear to have that much training.   In our homes however, we have MDS meetings to escalate in line with the NG43.</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3. To what extent are executives of health and social care organisations exercising their duty to champion transitions at a strategic level?</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Not enough in my opinion but that is because there are other pressing issues</w:t>
            </w:r>
            <w:r w:rsidRPr="00613206">
              <w:rPr>
                <w:rFonts w:ascii="Calibri" w:hAnsi="Calibri" w:cs="Calibri"/>
                <w:sz w:val="22"/>
                <w:szCs w:val="22"/>
              </w:rPr>
              <w:t>,</w:t>
            </w:r>
            <w:r w:rsidRPr="00613206">
              <w:rPr>
                <w:rFonts w:ascii="Calibri" w:hAnsi="Calibri" w:cs="Calibri"/>
                <w:sz w:val="22"/>
                <w:szCs w:val="22"/>
              </w:rPr>
              <w:t xml:space="preserve"> hence the</w:t>
            </w:r>
            <w:r w:rsidRPr="00613206">
              <w:rPr>
                <w:rFonts w:ascii="Calibri" w:hAnsi="Calibri" w:cs="Calibri"/>
                <w:sz w:val="22"/>
                <w:szCs w:val="22"/>
              </w:rPr>
              <w:t xml:space="preserve"> number of</w:t>
            </w:r>
            <w:r w:rsidRPr="00613206">
              <w:rPr>
                <w:rFonts w:ascii="Calibri" w:hAnsi="Calibri" w:cs="Calibri"/>
                <w:sz w:val="22"/>
                <w:szCs w:val="22"/>
              </w:rPr>
              <w:t xml:space="preserve"> forgotten young people.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Impact and outcomes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What is the impact of training and education for staff on their experience, and young people’s experiences, of transitioning between child to adult services? How is this monitored?</w:t>
            </w:r>
          </w:p>
        </w:tc>
      </w:tr>
      <w:tr w:rsidTr="006C72F8">
        <w:tblPrEx>
          <w:tblW w:w="10490" w:type="dxa"/>
          <w:tblInd w:w="-714" w:type="dxa"/>
          <w:tblLook w:val="04A0"/>
        </w:tblPrEx>
        <w:trPr>
          <w:trHeight w:val="201"/>
        </w:trPr>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Monitoring is usually carried out through supervision, audits, service reviews, inspection processes, and workforce development programmes; however, monitoring is often inconsistent and there is limited national oversight regarding whether staff training is directly improving transition outcomes for young people.</w:t>
            </w:r>
            <w:r w:rsidRPr="00613206">
              <w:rPr>
                <w:rFonts w:ascii="Calibri" w:hAnsi="Calibri" w:cs="Calibri"/>
                <w:sz w:val="22"/>
                <w:szCs w:val="22"/>
              </w:rPr>
              <w:br/>
            </w:r>
            <w:r w:rsidRPr="00613206">
              <w:rPr>
                <w:rFonts w:ascii="Calibri" w:hAnsi="Calibri" w:cs="Calibri"/>
                <w:sz w:val="22"/>
                <w:szCs w:val="22"/>
              </w:rPr>
              <w:br/>
            </w:r>
            <w:r w:rsidRPr="00613206">
              <w:rPr>
                <w:rFonts w:ascii="Calibri" w:hAnsi="Calibri" w:cs="Calibri"/>
                <w:sz w:val="22"/>
                <w:szCs w:val="22"/>
              </w:rPr>
              <w:t>W</w:t>
            </w:r>
            <w:r w:rsidRPr="00613206">
              <w:rPr>
                <w:rFonts w:ascii="Calibri" w:hAnsi="Calibri" w:cs="Calibri"/>
                <w:sz w:val="22"/>
                <w:szCs w:val="22"/>
              </w:rPr>
              <w:t xml:space="preserve">e recognise this as a </w:t>
            </w:r>
            <w:r w:rsidRPr="00613206">
              <w:rPr>
                <w:rFonts w:ascii="Calibri" w:hAnsi="Calibri" w:cs="Calibri"/>
                <w:sz w:val="22"/>
                <w:szCs w:val="22"/>
              </w:rPr>
              <w:t>provider,</w:t>
            </w:r>
            <w:r w:rsidRPr="00613206">
              <w:rPr>
                <w:rFonts w:ascii="Calibri" w:hAnsi="Calibri" w:cs="Calibri"/>
                <w:sz w:val="22"/>
                <w:szCs w:val="22"/>
              </w:rPr>
              <w:t xml:space="preserve"> so this is one of our priorities.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Where staff are not equipped with the right skills, what is the impact on the service, and the young people it serves?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It’s more to do with </w:t>
            </w:r>
            <w:r w:rsidRPr="00613206">
              <w:rPr>
                <w:rFonts w:ascii="Calibri" w:hAnsi="Calibri" w:cs="Calibri"/>
                <w:sz w:val="22"/>
                <w:szCs w:val="22"/>
              </w:rPr>
              <w:t>a</w:t>
            </w:r>
            <w:r w:rsidRPr="00613206">
              <w:rPr>
                <w:rFonts w:ascii="Calibri" w:hAnsi="Calibri" w:cs="Calibri"/>
                <w:sz w:val="22"/>
                <w:szCs w:val="22"/>
              </w:rPr>
              <w:t xml:space="preserve"> lack of education in local authorities as they do not know what is going to happen to young people when transitioning.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3. What is the impact of having named staff members responsible for transitions – for example, a named worker for each individual, a clinical lead and a named executive and senior manager at the organisational level?</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We do this as a provider, but local authorities struggle </w:t>
            </w:r>
            <w:r w:rsidRPr="00613206">
              <w:rPr>
                <w:rFonts w:ascii="Calibri" w:hAnsi="Calibri" w:cs="Calibri"/>
                <w:sz w:val="22"/>
                <w:szCs w:val="22"/>
              </w:rPr>
              <w:t xml:space="preserve">due to </w:t>
            </w:r>
            <w:r w:rsidRPr="00613206">
              <w:rPr>
                <w:rFonts w:ascii="Calibri" w:hAnsi="Calibri" w:cs="Calibri"/>
                <w:sz w:val="22"/>
                <w:szCs w:val="22"/>
              </w:rPr>
              <w:t>constrained</w:t>
            </w:r>
            <w:r w:rsidRPr="00613206">
              <w:rPr>
                <w:rFonts w:ascii="Calibri" w:hAnsi="Calibri" w:cs="Calibri"/>
                <w:sz w:val="22"/>
                <w:szCs w:val="22"/>
              </w:rPr>
              <w:t xml:space="preserve"> budgets and</w:t>
            </w:r>
            <w:r w:rsidRPr="00613206">
              <w:rPr>
                <w:rFonts w:ascii="Calibri" w:hAnsi="Calibri" w:cs="Calibri"/>
                <w:sz w:val="22"/>
                <w:szCs w:val="22"/>
              </w:rPr>
              <w:t xml:space="preserve"> a</w:t>
            </w:r>
            <w:r w:rsidRPr="00613206">
              <w:rPr>
                <w:rFonts w:ascii="Calibri" w:hAnsi="Calibri" w:cs="Calibri"/>
                <w:sz w:val="22"/>
                <w:szCs w:val="22"/>
              </w:rPr>
              <w:t xml:space="preserve"> lack of MDT for each person.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Appropriateness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Is the level of training and education provided to staff appropriate for the needs of young people at the point of transition?</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Yes, </w:t>
            </w:r>
            <w:r w:rsidRPr="00613206">
              <w:rPr>
                <w:rFonts w:ascii="Calibri" w:hAnsi="Calibri" w:cs="Calibri"/>
                <w:sz w:val="22"/>
                <w:szCs w:val="22"/>
              </w:rPr>
              <w:t xml:space="preserve">as </w:t>
            </w:r>
            <w:r w:rsidRPr="00613206">
              <w:rPr>
                <w:rFonts w:ascii="Calibri" w:hAnsi="Calibri" w:cs="Calibri"/>
                <w:sz w:val="22"/>
                <w:szCs w:val="22"/>
              </w:rPr>
              <w:t xml:space="preserve">specialist </w:t>
            </w:r>
            <w:r w:rsidRPr="00613206">
              <w:rPr>
                <w:rFonts w:ascii="Calibri" w:hAnsi="Calibri" w:cs="Calibri"/>
                <w:sz w:val="22"/>
                <w:szCs w:val="22"/>
              </w:rPr>
              <w:t xml:space="preserve">providers we do this internally, but we do not see much </w:t>
            </w:r>
            <w:r w:rsidRPr="00613206">
              <w:rPr>
                <w:rFonts w:ascii="Calibri" w:hAnsi="Calibri" w:cs="Calibri"/>
                <w:sz w:val="22"/>
                <w:szCs w:val="22"/>
              </w:rPr>
              <w:t>evidence of this with</w:t>
            </w:r>
            <w:r w:rsidRPr="00613206">
              <w:rPr>
                <w:rFonts w:ascii="Calibri" w:hAnsi="Calibri" w:cs="Calibri"/>
                <w:sz w:val="22"/>
                <w:szCs w:val="22"/>
              </w:rPr>
              <w:t xml:space="preserve">in local authorities.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Is there any staff feedback on the utility and suitability of the training provided, or data on the uptake?</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No data, but we feedback as a provider</w:t>
            </w:r>
            <w:r w:rsidRPr="00613206">
              <w:rPr>
                <w:rFonts w:ascii="Calibri" w:hAnsi="Calibri" w:cs="Calibri"/>
                <w:sz w:val="22"/>
                <w:szCs w:val="22"/>
              </w:rPr>
              <w:t xml:space="preserve"> even though</w:t>
            </w:r>
            <w:r w:rsidRPr="00613206">
              <w:rPr>
                <w:rFonts w:ascii="Calibri" w:hAnsi="Calibri" w:cs="Calibri"/>
                <w:sz w:val="22"/>
                <w:szCs w:val="22"/>
              </w:rPr>
              <w:t xml:space="preserve"> local authorities do not focus on this.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F30EA8">
            <w:pPr>
              <w:rPr>
                <w:rFonts w:ascii="Calibri" w:hAnsi="Calibri" w:cs="Calibri"/>
                <w:b/>
                <w:sz w:val="22"/>
                <w:szCs w:val="22"/>
              </w:rPr>
            </w:pPr>
            <w:r w:rsidRPr="00613206">
              <w:rPr>
                <w:rFonts w:ascii="Calibri" w:hAnsi="Calibri" w:cs="Calibri"/>
                <w:b/>
                <w:sz w:val="22"/>
                <w:szCs w:val="22"/>
              </w:rPr>
              <w:t>Equality and diversity</w:t>
            </w:r>
          </w:p>
        </w:tc>
        <w:tc>
          <w:tcPr>
            <w:tcW w:w="8505" w:type="dxa"/>
          </w:tcPr>
          <w:p w:rsidR="00747491" w:rsidRPr="00613206" w:rsidP="00F30EA8">
            <w:pPr>
              <w:rPr>
                <w:rFonts w:ascii="Calibri" w:hAnsi="Calibri" w:cs="Calibri"/>
                <w:sz w:val="22"/>
                <w:szCs w:val="22"/>
              </w:rPr>
            </w:pPr>
            <w:r w:rsidRPr="00613206">
              <w:rPr>
                <w:rFonts w:ascii="Calibri" w:hAnsi="Calibri" w:eastAsiaTheme="minorEastAsia" w:cs="Calibri"/>
                <w:sz w:val="22"/>
                <w:szCs w:val="22"/>
              </w:rPr>
              <w:t>1. To what extent are staff trained to deliver person-centred care for young people with additional needs, and to support their carers?</w:t>
            </w:r>
          </w:p>
        </w:tc>
      </w:tr>
      <w:tr w:rsidTr="006C72F8">
        <w:tblPrEx>
          <w:tblW w:w="10490" w:type="dxa"/>
          <w:tblInd w:w="-714" w:type="dxa"/>
          <w:tblLook w:val="04A0"/>
        </w:tblPrEx>
        <w:tc>
          <w:tcPr>
            <w:tcW w:w="1985" w:type="dxa"/>
            <w:vMerge/>
          </w:tcPr>
          <w:p w:rsidR="00747491" w:rsidRPr="00613206" w:rsidP="00F30EA8">
            <w:pPr>
              <w:rPr>
                <w:rFonts w:ascii="Calibri" w:hAnsi="Calibri" w:cs="Calibri"/>
                <w:sz w:val="22"/>
                <w:szCs w:val="22"/>
              </w:rPr>
            </w:pPr>
          </w:p>
        </w:tc>
        <w:tc>
          <w:tcPr>
            <w:tcW w:w="8505" w:type="dxa"/>
          </w:tcPr>
          <w:p w:rsidR="00747491" w:rsidRPr="00613206" w:rsidP="00F30EA8">
            <w:pPr>
              <w:rPr>
                <w:rFonts w:ascii="Calibri" w:hAnsi="Calibri" w:cs="Calibri"/>
                <w:sz w:val="22"/>
                <w:szCs w:val="22"/>
              </w:rPr>
            </w:pPr>
          </w:p>
          <w:p w:rsidR="00747491" w:rsidRPr="00613206" w:rsidP="00F30EA8">
            <w:pPr>
              <w:rPr>
                <w:rFonts w:ascii="Calibri" w:hAnsi="Calibri" w:cs="Calibri"/>
                <w:sz w:val="22"/>
                <w:szCs w:val="22"/>
              </w:rPr>
            </w:pPr>
            <w:r w:rsidRPr="00613206">
              <w:rPr>
                <w:rFonts w:ascii="Calibri" w:hAnsi="Calibri" w:cs="Calibri"/>
                <w:sz w:val="22"/>
                <w:szCs w:val="22"/>
              </w:rPr>
              <w:t>In our company</w:t>
            </w:r>
            <w:r w:rsidRPr="00613206">
              <w:rPr>
                <w:rFonts w:ascii="Calibri" w:hAnsi="Calibri" w:cs="Calibri"/>
                <w:sz w:val="22"/>
                <w:szCs w:val="22"/>
              </w:rPr>
              <w:t>,</w:t>
            </w:r>
            <w:r w:rsidRPr="00613206">
              <w:rPr>
                <w:rFonts w:ascii="Calibri" w:hAnsi="Calibri" w:cs="Calibri"/>
                <w:sz w:val="22"/>
                <w:szCs w:val="22"/>
              </w:rPr>
              <w:t xml:space="preserve"> every year</w:t>
            </w:r>
            <w:r w:rsidRPr="00613206">
              <w:rPr>
                <w:rFonts w:ascii="Calibri" w:hAnsi="Calibri" w:cs="Calibri"/>
                <w:sz w:val="22"/>
                <w:szCs w:val="22"/>
              </w:rPr>
              <w:t>.  H</w:t>
            </w:r>
            <w:r w:rsidRPr="00613206">
              <w:rPr>
                <w:rFonts w:ascii="Calibri" w:hAnsi="Calibri" w:cs="Calibri"/>
                <w:sz w:val="22"/>
                <w:szCs w:val="22"/>
              </w:rPr>
              <w:t xml:space="preserve">owever in local authorities </w:t>
            </w:r>
            <w:r w:rsidRPr="00613206">
              <w:rPr>
                <w:rFonts w:ascii="Calibri" w:hAnsi="Calibri" w:cs="Calibri"/>
                <w:sz w:val="22"/>
                <w:szCs w:val="22"/>
              </w:rPr>
              <w:t>when it comes to</w:t>
            </w:r>
            <w:r w:rsidRPr="00613206">
              <w:rPr>
                <w:rFonts w:ascii="Calibri" w:hAnsi="Calibri" w:cs="Calibri"/>
                <w:sz w:val="22"/>
                <w:szCs w:val="22"/>
              </w:rPr>
              <w:t xml:space="preserve"> </w:t>
            </w:r>
            <w:r w:rsidRPr="00613206">
              <w:rPr>
                <w:rFonts w:ascii="Calibri" w:hAnsi="Calibri" w:cs="Calibri"/>
                <w:sz w:val="22"/>
                <w:szCs w:val="22"/>
              </w:rPr>
              <w:t>transition,</w:t>
            </w:r>
            <w:r w:rsidRPr="00613206">
              <w:rPr>
                <w:rFonts w:ascii="Calibri" w:hAnsi="Calibri" w:cs="Calibri"/>
                <w:sz w:val="22"/>
                <w:szCs w:val="22"/>
              </w:rPr>
              <w:t xml:space="preserve"> we do not see it enough.</w:t>
            </w:r>
          </w:p>
          <w:p w:rsidR="00747491" w:rsidRPr="00613206" w:rsidP="00F30EA8">
            <w:pPr>
              <w:rPr>
                <w:rFonts w:ascii="Calibri" w:hAnsi="Calibri" w:cs="Calibri"/>
                <w:sz w:val="22"/>
                <w:szCs w:val="22"/>
              </w:rPr>
            </w:pPr>
          </w:p>
        </w:tc>
      </w:tr>
    </w:tbl>
    <w:p w:rsidR="00747491" w:rsidRPr="00613206">
      <w:pPr>
        <w:rPr>
          <w:rFonts w:ascii="Calibri" w:hAnsi="Calibri" w:cs="Calibri"/>
          <w:sz w:val="22"/>
          <w:szCs w:val="22"/>
        </w:rPr>
      </w:pPr>
    </w:p>
    <w:p w:rsidR="00747491" w:rsidRPr="00613206">
      <w:pPr>
        <w:rPr>
          <w:rFonts w:ascii="Calibri" w:hAnsi="Calibri" w:cs="Calibri"/>
          <w:sz w:val="22"/>
          <w:szCs w:val="22"/>
        </w:rPr>
      </w:pPr>
    </w:p>
    <w:tbl>
      <w:tblPr>
        <w:tblStyle w:val="TableGrid"/>
        <w:tblW w:w="10490" w:type="dxa"/>
        <w:tblInd w:w="-714" w:type="dxa"/>
        <w:tblLook w:val="04A0"/>
      </w:tblPr>
      <w:tblGrid>
        <w:gridCol w:w="1985"/>
        <w:gridCol w:w="8505"/>
      </w:tblGrid>
      <w:tr w:rsidTr="1A6F1BD2">
        <w:tblPrEx>
          <w:tblW w:w="10490" w:type="dxa"/>
          <w:tblInd w:w="-714" w:type="dxa"/>
          <w:tblLook w:val="04A0"/>
        </w:tblPrEx>
        <w:tc>
          <w:tcPr>
            <w:tcW w:w="10490" w:type="dxa"/>
            <w:gridSpan w:val="2"/>
          </w:tcPr>
          <w:p w:rsidR="00747491" w:rsidRPr="00613206">
            <w:pPr>
              <w:rPr>
                <w:rFonts w:ascii="Calibri" w:hAnsi="Calibri" w:cs="Calibri"/>
                <w:b/>
                <w:bCs/>
                <w:sz w:val="22"/>
                <w:szCs w:val="22"/>
              </w:rPr>
            </w:pPr>
            <w:r w:rsidRPr="00613206">
              <w:rPr>
                <w:rFonts w:ascii="Calibri" w:hAnsi="Calibri" w:cs="Calibri"/>
                <w:b/>
                <w:bCs/>
                <w:sz w:val="22"/>
                <w:szCs w:val="22"/>
              </w:rPr>
              <w:t xml:space="preserve">FOCUS AREA 5 </w:t>
            </w:r>
          </w:p>
          <w:p w:rsidR="00747491" w:rsidRPr="00613206" w:rsidP="005624CB">
            <w:pPr>
              <w:rPr>
                <w:rFonts w:ascii="Calibri" w:hAnsi="Calibri" w:cs="Calibri"/>
                <w:b/>
                <w:bCs/>
                <w:sz w:val="22"/>
                <w:szCs w:val="22"/>
              </w:rPr>
            </w:pPr>
            <w:r w:rsidRPr="00613206">
              <w:rPr>
                <w:rFonts w:ascii="Calibri" w:hAnsi="Calibri" w:cs="Calibri"/>
                <w:b/>
                <w:bCs/>
                <w:sz w:val="22"/>
                <w:szCs w:val="22"/>
              </w:rPr>
              <w:t xml:space="preserve">ENABLING DEVELOPMENTALLY APPROPRIATE INDEPENDENCE </w:t>
            </w:r>
          </w:p>
        </w:tc>
      </w:tr>
      <w:tr w:rsidTr="1A6F1BD2">
        <w:tblPrEx>
          <w:tblW w:w="10490" w:type="dxa"/>
          <w:tblInd w:w="-714" w:type="dxa"/>
          <w:tblLook w:val="04A0"/>
        </w:tblPrEx>
        <w:trPr>
          <w:trHeight w:val="2550"/>
        </w:trPr>
        <w:tc>
          <w:tcPr>
            <w:tcW w:w="10490" w:type="dxa"/>
            <w:gridSpan w:val="2"/>
          </w:tcPr>
          <w:p w:rsidR="00747491" w:rsidRPr="00613206" w:rsidP="00113DCB">
            <w:pPr>
              <w:spacing w:after="120" w:line="259" w:lineRule="auto"/>
              <w:rPr>
                <w:rFonts w:ascii="Calibri" w:hAnsi="Calibri" w:cs="Calibri"/>
                <w:sz w:val="22"/>
                <w:szCs w:val="22"/>
              </w:rPr>
            </w:pPr>
            <w:r w:rsidRPr="00613206">
              <w:rPr>
                <w:rFonts w:ascii="Calibri" w:hAnsi="Calibri" w:cs="Calibri"/>
                <w:b/>
                <w:bCs/>
                <w:sz w:val="22"/>
                <w:szCs w:val="22"/>
              </w:rPr>
              <w:t>Statement of intent 1</w:t>
            </w:r>
            <w:r w:rsidRPr="00613206">
              <w:rPr>
                <w:rFonts w:ascii="Calibri" w:hAnsi="Calibri" w:cs="Calibri"/>
                <w:sz w:val="22"/>
                <w:szCs w:val="22"/>
              </w:rPr>
              <w:t xml:space="preserve">: </w:t>
            </w:r>
            <w:r w:rsidRPr="00613206">
              <w:rPr>
                <w:rFonts w:ascii="Calibri" w:hAnsi="Calibri" w:cs="Calibri"/>
                <w:sz w:val="22"/>
                <w:szCs w:val="22"/>
                <w:lang w:val="en-US"/>
              </w:rPr>
              <w:t>Service managers should ensure there are developmentally appropriate services for children, young people and adults to support transition, for example, age banded clinics. </w:t>
            </w:r>
            <w:r>
              <w:fldChar w:fldCharType="begin"/>
            </w:r>
            <w:r>
              <w:instrText xml:space="preserve"> HYPERLINK "https://www.nice.org.uk/guidance/ng43/chapter/Recommendations" \l "transition-planning" </w:instrText>
            </w:r>
            <w:r>
              <w:fldChar w:fldCharType="separate"/>
            </w:r>
            <w:r w:rsidRPr="00613206">
              <w:rPr>
                <w:rStyle w:val="Hyperlink"/>
                <w:rFonts w:ascii="Calibri" w:hAnsi="Calibri" w:cs="Calibri"/>
                <w:color w:val="auto"/>
                <w:sz w:val="22"/>
                <w:szCs w:val="22"/>
                <w:lang w:val="en-US"/>
              </w:rPr>
              <w:t>NICE NG43 (1.5.11, 2016)</w:t>
            </w:r>
            <w:r>
              <w:fldChar w:fldCharType="end"/>
            </w:r>
            <w:r w:rsidRPr="00613206">
              <w:rPr>
                <w:rFonts w:ascii="Calibri" w:hAnsi="Calibri" w:cs="Calibri"/>
                <w:sz w:val="22"/>
                <w:szCs w:val="22"/>
              </w:rPr>
              <w:t> </w:t>
            </w:r>
          </w:p>
          <w:p w:rsidR="00747491" w:rsidRPr="00613206" w:rsidP="00582273">
            <w:pPr>
              <w:spacing w:after="120" w:line="259" w:lineRule="auto"/>
              <w:rPr>
                <w:rFonts w:ascii="Calibri" w:hAnsi="Calibri" w:cs="Calibri"/>
                <w:sz w:val="22"/>
                <w:szCs w:val="22"/>
              </w:rPr>
            </w:pPr>
            <w:r w:rsidRPr="00613206">
              <w:rPr>
                <w:rFonts w:ascii="Calibri" w:hAnsi="Calibri" w:cs="Calibri"/>
                <w:b/>
                <w:bCs/>
                <w:sz w:val="22"/>
                <w:szCs w:val="22"/>
              </w:rPr>
              <w:t xml:space="preserve">Statement of intent 2: </w:t>
            </w:r>
            <w:r w:rsidRPr="00613206">
              <w:rPr>
                <w:rFonts w:ascii="Calibri" w:hAnsi="Calibri" w:cs="Calibri"/>
                <w:sz w:val="22"/>
                <w:szCs w:val="22"/>
                <w:lang w:val="en-US"/>
              </w:rPr>
              <w:t>Use person-centred approaches to ensure that transition support addresses all relevant outcomes, including those related to education and employment, community inclusion, health and wellbeing, including emotional health, independent living and housing options. </w:t>
            </w:r>
            <w:r>
              <w:fldChar w:fldCharType="begin"/>
            </w:r>
            <w:r>
              <w:instrText xml:space="preserve"> HYPERLINK "https://www.nice.org.uk/guidance/ng43/chapter/Recommendations" \l "transition-planning" </w:instrText>
            </w:r>
            <w:r>
              <w:fldChar w:fldCharType="separate"/>
            </w:r>
            <w:r w:rsidRPr="00613206">
              <w:rPr>
                <w:rStyle w:val="Hyperlink"/>
                <w:rFonts w:ascii="Calibri" w:hAnsi="Calibri" w:cs="Calibri"/>
                <w:color w:val="auto"/>
                <w:sz w:val="22"/>
                <w:szCs w:val="22"/>
                <w:lang w:val="en-US"/>
              </w:rPr>
              <w:t>NICE NG43 (1.1.4)</w:t>
            </w:r>
            <w:r>
              <w:fldChar w:fldCharType="end"/>
            </w:r>
            <w:r w:rsidRPr="00613206">
              <w:rPr>
                <w:rFonts w:ascii="Calibri" w:hAnsi="Calibri" w:cs="Calibri"/>
                <w:sz w:val="22"/>
                <w:szCs w:val="22"/>
              </w:rPr>
              <w:t> </w:t>
            </w:r>
          </w:p>
          <w:p w:rsidR="00747491" w:rsidRPr="00613206" w:rsidP="00113DCB">
            <w:pPr>
              <w:spacing w:line="259" w:lineRule="auto"/>
              <w:rPr>
                <w:rFonts w:ascii="Calibri" w:hAnsi="Calibri" w:cs="Calibri"/>
                <w:sz w:val="22"/>
                <w:szCs w:val="22"/>
              </w:rPr>
            </w:pPr>
            <w:r w:rsidRPr="00613206">
              <w:rPr>
                <w:rFonts w:ascii="Calibri" w:hAnsi="Calibri" w:cs="Calibri"/>
                <w:b/>
                <w:bCs/>
                <w:sz w:val="22"/>
                <w:szCs w:val="22"/>
              </w:rPr>
              <w:t>Statement of intent 3</w:t>
            </w:r>
            <w:r w:rsidRPr="00613206">
              <w:rPr>
                <w:rFonts w:ascii="Calibri" w:hAnsi="Calibri" w:cs="Calibri"/>
                <w:sz w:val="22"/>
                <w:szCs w:val="22"/>
              </w:rPr>
              <w:t xml:space="preserve">: Local authorities are required to maintain a Pathway Plan for every eligible care leaver, setting out how the young person’s health needs- including mental health- will be met. </w:t>
            </w:r>
            <w:r>
              <w:fldChar w:fldCharType="begin"/>
            </w:r>
            <w:r>
              <w:instrText xml:space="preserve"> HYPERLINK "https://www.legislation.gov.uk/ukpga/1989/41/contents" </w:instrText>
            </w:r>
            <w:r>
              <w:fldChar w:fldCharType="separate"/>
            </w:r>
            <w:r w:rsidRPr="00613206">
              <w:rPr>
                <w:rStyle w:val="Hyperlink"/>
                <w:rFonts w:ascii="Calibri" w:hAnsi="Calibri" w:cs="Calibri"/>
                <w:color w:val="auto"/>
                <w:sz w:val="22"/>
                <w:szCs w:val="22"/>
              </w:rPr>
              <w:t>Children Act 1989</w:t>
            </w:r>
            <w:r>
              <w:fldChar w:fldCharType="end"/>
            </w:r>
            <w:r w:rsidRPr="00613206">
              <w:rPr>
                <w:rFonts w:ascii="Calibri" w:hAnsi="Calibri" w:cs="Calibri"/>
                <w:sz w:val="22"/>
                <w:szCs w:val="22"/>
              </w:rPr>
              <w:t xml:space="preserve"> as amended by the </w:t>
            </w:r>
            <w:r>
              <w:fldChar w:fldCharType="begin"/>
            </w:r>
            <w:r>
              <w:instrText xml:space="preserve"> HYPERLINK "https://www.legislation.gov.uk/ukpga/2000/35/contents" </w:instrText>
            </w:r>
            <w:r>
              <w:fldChar w:fldCharType="separate"/>
            </w:r>
            <w:r w:rsidRPr="00613206">
              <w:rPr>
                <w:rStyle w:val="Hyperlink"/>
                <w:rFonts w:ascii="Calibri" w:hAnsi="Calibri" w:cs="Calibri"/>
                <w:color w:val="auto"/>
                <w:sz w:val="22"/>
                <w:szCs w:val="22"/>
              </w:rPr>
              <w:t>Children (Leaving Care) Act 2000</w:t>
            </w:r>
            <w:r>
              <w:fldChar w:fldCharType="end"/>
            </w:r>
            <w:r w:rsidRPr="00613206">
              <w:rPr>
                <w:rFonts w:ascii="Calibri" w:hAnsi="Calibri" w:cs="Calibri"/>
                <w:sz w:val="22"/>
                <w:szCs w:val="22"/>
              </w:rPr>
              <w:t>.</w:t>
            </w: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Resourcing</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Are services sufficiently resourced to offer developmentally appropriate provisions, such as age-banded services, and how is this monitored?</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Yes, but it is heavily</w:t>
            </w:r>
            <w:r w:rsidRPr="00613206">
              <w:rPr>
                <w:rFonts w:ascii="Calibri" w:hAnsi="Calibri" w:cs="Calibri"/>
                <w:sz w:val="22"/>
                <w:szCs w:val="22"/>
              </w:rPr>
              <w:t xml:space="preserve"> inflexible and does not adapt to specialist circumstances -</w:t>
            </w:r>
            <w:r w:rsidRPr="00613206">
              <w:rPr>
                <w:rFonts w:ascii="Calibri" w:hAnsi="Calibri" w:cs="Calibri"/>
                <w:sz w:val="22"/>
                <w:szCs w:val="22"/>
              </w:rPr>
              <w:t xml:space="preserve"> one regulation fits all.</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We offer adjustment but have been</w:t>
            </w:r>
            <w:r w:rsidRPr="00613206">
              <w:rPr>
                <w:rFonts w:ascii="Calibri" w:hAnsi="Calibri" w:cs="Calibri"/>
                <w:sz w:val="22"/>
                <w:szCs w:val="22"/>
              </w:rPr>
              <w:t xml:space="preserve"> hugely</w:t>
            </w:r>
            <w:r w:rsidRPr="00613206">
              <w:rPr>
                <w:rFonts w:ascii="Calibri" w:hAnsi="Calibri" w:cs="Calibri"/>
                <w:sz w:val="22"/>
                <w:szCs w:val="22"/>
              </w:rPr>
              <w:t xml:space="preserve"> scrutinised</w:t>
            </w:r>
            <w:r w:rsidRPr="00613206">
              <w:rPr>
                <w:rFonts w:ascii="Calibri" w:hAnsi="Calibri" w:cs="Calibri"/>
                <w:sz w:val="22"/>
                <w:szCs w:val="22"/>
              </w:rPr>
              <w:t xml:space="preserve"> as a result</w:t>
            </w:r>
            <w:r w:rsidRPr="00613206">
              <w:rPr>
                <w:rFonts w:ascii="Calibri" w:hAnsi="Calibri" w:cs="Calibri"/>
                <w:sz w:val="22"/>
                <w:szCs w:val="22"/>
              </w:rPr>
              <w:t xml:space="preserve">.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We push for earlier transition for the best interest</w:t>
            </w:r>
            <w:r w:rsidRPr="00613206">
              <w:rPr>
                <w:rFonts w:ascii="Calibri" w:hAnsi="Calibri" w:cs="Calibri"/>
                <w:sz w:val="22"/>
                <w:szCs w:val="22"/>
              </w:rPr>
              <w:t>s</w:t>
            </w:r>
            <w:r w:rsidRPr="00613206">
              <w:rPr>
                <w:rFonts w:ascii="Calibri" w:hAnsi="Calibri" w:cs="Calibri"/>
                <w:sz w:val="22"/>
                <w:szCs w:val="22"/>
              </w:rPr>
              <w:t xml:space="preserve"> of the person but local authorities are then downgraded by </w:t>
            </w:r>
            <w:r w:rsidRPr="00613206">
              <w:rPr>
                <w:rFonts w:ascii="Calibri" w:hAnsi="Calibri" w:cs="Calibri"/>
                <w:sz w:val="22"/>
                <w:szCs w:val="22"/>
              </w:rPr>
              <w:t xml:space="preserve">the </w:t>
            </w:r>
            <w:r w:rsidRPr="00613206">
              <w:rPr>
                <w:rFonts w:ascii="Calibri" w:hAnsi="Calibri" w:cs="Calibri"/>
                <w:sz w:val="22"/>
                <w:szCs w:val="22"/>
              </w:rPr>
              <w:t xml:space="preserve">children’s regulator.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2. Are services sufficiently resourced to assess need and provide support for the cross-sector outcomes listed in </w:t>
            </w:r>
            <w:r>
              <w:fldChar w:fldCharType="begin"/>
            </w:r>
            <w:r>
              <w:instrText xml:space="preserve"> HYPERLINK "https://www.nice.org.uk/guidance/ng43/chapter/Recommendations" \l "transition-planning" \t "_blank" </w:instrText>
            </w:r>
            <w:r>
              <w:fldChar w:fldCharType="separate"/>
            </w:r>
            <w:r w:rsidRPr="00613206">
              <w:rPr>
                <w:rStyle w:val="Hyperlink"/>
                <w:rFonts w:ascii="Calibri" w:hAnsi="Calibri" w:cs="Calibri"/>
                <w:color w:val="auto"/>
                <w:sz w:val="22"/>
                <w:szCs w:val="22"/>
                <w:lang w:val="en-US"/>
              </w:rPr>
              <w:t>NICE NG43 (1.1.4)</w:t>
            </w:r>
            <w:r>
              <w:fldChar w:fldCharType="end"/>
            </w:r>
            <w:r w:rsidRPr="00613206">
              <w:rPr>
                <w:rFonts w:ascii="Calibri" w:hAnsi="Calibri" w:cs="Calibri"/>
                <w:sz w:val="22"/>
                <w:szCs w:val="22"/>
              </w:rPr>
              <w:t>?</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Yes ours are</w:t>
            </w:r>
            <w:r w:rsidRPr="00613206">
              <w:rPr>
                <w:rFonts w:ascii="Calibri" w:hAnsi="Calibri" w:cs="Calibri"/>
                <w:sz w:val="22"/>
                <w:szCs w:val="22"/>
              </w:rPr>
              <w:t>,</w:t>
            </w:r>
            <w:r w:rsidRPr="00613206">
              <w:rPr>
                <w:rFonts w:ascii="Calibri" w:hAnsi="Calibri" w:cs="Calibri"/>
                <w:sz w:val="22"/>
                <w:szCs w:val="22"/>
              </w:rPr>
              <w:t xml:space="preserve"> but again please refer to point 1.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Effectiveness and implementation</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What methods of delivering person-centred transition support have been effective in improving outcomes across the areas listed in statement of intent 2? Are there any methods that have been ineffective and have been discontinued as a result?</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Stability, consistency, long term care and not a rushed approach.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Because of regulation</w:t>
            </w:r>
            <w:r w:rsidRPr="00613206">
              <w:rPr>
                <w:rFonts w:ascii="Calibri" w:hAnsi="Calibri" w:cs="Calibri"/>
                <w:sz w:val="22"/>
                <w:szCs w:val="22"/>
              </w:rPr>
              <w:t>,</w:t>
            </w:r>
            <w:r w:rsidRPr="00613206">
              <w:rPr>
                <w:rFonts w:ascii="Calibri" w:hAnsi="Calibri" w:cs="Calibri"/>
                <w:sz w:val="22"/>
                <w:szCs w:val="22"/>
              </w:rPr>
              <w:t xml:space="preserve"> this has </w:t>
            </w:r>
            <w:r w:rsidRPr="00613206">
              <w:rPr>
                <w:rFonts w:ascii="Calibri" w:hAnsi="Calibri" w:cs="Calibri"/>
                <w:sz w:val="22"/>
                <w:szCs w:val="22"/>
              </w:rPr>
              <w:t>stifled</w:t>
            </w:r>
            <w:r w:rsidRPr="00613206">
              <w:rPr>
                <w:rFonts w:ascii="Calibri" w:hAnsi="Calibri" w:cs="Calibri"/>
                <w:sz w:val="22"/>
                <w:szCs w:val="22"/>
              </w:rPr>
              <w:t xml:space="preserve"> the care we provide</w:t>
            </w:r>
            <w:r w:rsidRPr="00613206">
              <w:rPr>
                <w:rFonts w:ascii="Calibri" w:hAnsi="Calibri" w:cs="Calibri"/>
                <w:sz w:val="22"/>
                <w:szCs w:val="22"/>
              </w:rPr>
              <w:t xml:space="preserve"> to the point of </w:t>
            </w:r>
            <w:r w:rsidRPr="00613206">
              <w:rPr>
                <w:rFonts w:ascii="Calibri" w:hAnsi="Calibri" w:cs="Calibri"/>
                <w:sz w:val="22"/>
                <w:szCs w:val="22"/>
              </w:rPr>
              <w:t>closure</w:t>
            </w:r>
            <w:r w:rsidRPr="00613206">
              <w:rPr>
                <w:rFonts w:ascii="Calibri" w:hAnsi="Calibri" w:cs="Calibri"/>
                <w:sz w:val="22"/>
                <w:szCs w:val="22"/>
              </w:rPr>
              <w:t xml:space="preserve"> and we are currently going back </w:t>
            </w:r>
            <w:r w:rsidRPr="00613206">
              <w:rPr>
                <w:rFonts w:ascii="Calibri" w:hAnsi="Calibri" w:cs="Calibri"/>
                <w:sz w:val="22"/>
                <w:szCs w:val="22"/>
              </w:rPr>
              <w:t xml:space="preserve">and forth </w:t>
            </w:r>
            <w:r w:rsidRPr="00613206">
              <w:rPr>
                <w:rFonts w:ascii="Calibri" w:hAnsi="Calibri" w:cs="Calibri"/>
                <w:sz w:val="22"/>
                <w:szCs w:val="22"/>
              </w:rPr>
              <w:t>with the regulat</w:t>
            </w:r>
            <w:r w:rsidRPr="00613206">
              <w:rPr>
                <w:rFonts w:ascii="Calibri" w:hAnsi="Calibri" w:cs="Calibri"/>
                <w:sz w:val="22"/>
                <w:szCs w:val="22"/>
              </w:rPr>
              <w:t>ors</w:t>
            </w:r>
            <w:r w:rsidRPr="00613206">
              <w:rPr>
                <w:rFonts w:ascii="Calibri" w:hAnsi="Calibri" w:cs="Calibri"/>
                <w:sz w:val="22"/>
                <w:szCs w:val="22"/>
              </w:rPr>
              <w:t xml:space="preserve"> to discuss this.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What methods of service design and delivery have been effective in ensuring that transition provision is developmentally appropriate, including being responsive to young people’s developmental stage, maturity and readiness for independence? Are there any particular methods of service design which have been ineffective and discontinued?</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1733D4">
            <w:pPr>
              <w:pStyle w:val="NormalWeb"/>
              <w:rPr>
                <w:rFonts w:ascii="Calibri" w:hAnsi="Calibri" w:cs="Calibri"/>
                <w:sz w:val="22"/>
                <w:szCs w:val="22"/>
              </w:rPr>
            </w:pPr>
            <w:r w:rsidRPr="00613206">
              <w:rPr>
                <w:rFonts w:ascii="Calibri" w:hAnsi="Calibri" w:cs="Calibri"/>
                <w:sz w:val="22"/>
                <w:szCs w:val="22"/>
              </w:rPr>
              <w:t>Our services adopt flexible, person-centred approaches that respond to the young person’s individual maturity, emotional readiness, communication needs, and long-term aspirations rather than relying solely on chronological age.</w:t>
            </w:r>
            <w:r w:rsidRPr="00613206">
              <w:rPr>
                <w:rFonts w:ascii="Calibri" w:hAnsi="Calibri" w:cs="Calibri"/>
                <w:sz w:val="22"/>
                <w:szCs w:val="22"/>
              </w:rPr>
              <w:br/>
            </w:r>
            <w:r w:rsidRPr="00613206">
              <w:rPr>
                <w:rFonts w:ascii="Calibri" w:hAnsi="Calibri" w:cs="Calibri"/>
                <w:sz w:val="22"/>
                <w:szCs w:val="22"/>
              </w:rPr>
              <w:br/>
              <w:t xml:space="preserve">Within our services, we have found that consistent relationships, smaller therapeutic environments, gradual independence planning, and ongoing emotional support help young people build confidence and transition more safely into adulthood. </w:t>
            </w:r>
          </w:p>
          <w:p w:rsidR="00747491" w:rsidRPr="00613206" w:rsidP="001733D4">
            <w:pPr>
              <w:pStyle w:val="NormalWeb"/>
              <w:rPr>
                <w:rFonts w:ascii="Calibri" w:hAnsi="Calibri" w:cs="Calibri"/>
                <w:sz w:val="22"/>
                <w:szCs w:val="22"/>
              </w:rPr>
            </w:pPr>
            <w:r w:rsidRPr="00613206">
              <w:rPr>
                <w:rFonts w:ascii="Calibri" w:hAnsi="Calibri" w:cs="Calibri"/>
                <w:sz w:val="22"/>
                <w:szCs w:val="22"/>
              </w:rPr>
              <w:t>In contrast, some local authority approaches have been less effective where services operate under rigid regulatory and commissioning frameworks that apply a “one-size-fits-all” model to transition planning. The pressure created by fixed age thresholds and children’s service regulations can result in young people being moved prematurely from placements that continue to meet their needs, particularly at ages 16 and 17. This can undermine emotional stability, disrupt relationships, and increase the risk of pl</w:t>
            </w:r>
            <w:r w:rsidRPr="00613206">
              <w:rPr>
                <w:rFonts w:ascii="Calibri" w:hAnsi="Calibri" w:cs="Calibri"/>
                <w:sz w:val="22"/>
                <w:szCs w:val="22"/>
              </w:rPr>
              <w:t>acement breakdowns, disengagement, or crisis presentations. Many of these approaches have repeatedly shown poor outcomes for vulnerable young people.</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tc>
      </w:tr>
      <w:tr w:rsidTr="006C72F8">
        <w:tblPrEx>
          <w:tblW w:w="10490" w:type="dxa"/>
          <w:tblInd w:w="-714" w:type="dxa"/>
          <w:tblLook w:val="04A0"/>
        </w:tblPrEx>
        <w:trPr>
          <w:trHeight w:val="765"/>
        </w:trPr>
        <w:tc>
          <w:tcPr>
            <w:tcW w:w="1985" w:type="dxa"/>
            <w:vMerge/>
          </w:tcPr>
          <w:p w:rsidR="00747491" w:rsidRPr="00613206">
            <w:pPr>
              <w:rPr>
                <w:rFonts w:ascii="Calibri" w:hAnsi="Calibri" w:cs="Calibri"/>
                <w:sz w:val="22"/>
                <w:szCs w:val="22"/>
              </w:rPr>
            </w:pPr>
          </w:p>
        </w:tc>
        <w:tc>
          <w:tcPr>
            <w:tcW w:w="8505" w:type="dxa"/>
          </w:tcPr>
          <w:p w:rsidR="00747491" w:rsidRPr="00613206" w:rsidP="4160EC69">
            <w:pPr>
              <w:rPr>
                <w:rFonts w:ascii="Calibri" w:hAnsi="Calibri" w:cs="Calibri"/>
                <w:sz w:val="22"/>
                <w:szCs w:val="22"/>
              </w:rPr>
            </w:pPr>
            <w:r w:rsidRPr="00613206">
              <w:rPr>
                <w:rFonts w:ascii="Calibri" w:hAnsi="Calibri" w:cs="Calibri"/>
                <w:sz w:val="22"/>
                <w:szCs w:val="22"/>
              </w:rPr>
              <w:t xml:space="preserve">3. To what extent are local authorities fulfilling their duty to provide ‘Pathway Plans’ for children in care as they approach adulthood, in accordance with the </w:t>
            </w:r>
            <w:r>
              <w:fldChar w:fldCharType="begin"/>
            </w:r>
            <w:r>
              <w:instrText xml:space="preserve"> HYPERLINK "https://www.legislation.gov.uk/uksi/2010/2571/made" </w:instrText>
            </w:r>
            <w:r>
              <w:fldChar w:fldCharType="separate"/>
            </w:r>
            <w:r w:rsidRPr="00613206">
              <w:rPr>
                <w:rStyle w:val="Hyperlink"/>
                <w:rFonts w:ascii="Calibri" w:hAnsi="Calibri" w:cs="Calibri"/>
                <w:color w:val="auto"/>
                <w:sz w:val="22"/>
                <w:szCs w:val="22"/>
              </w:rPr>
              <w:t>Care Leavers (England) Regulations 2010</w:t>
            </w:r>
            <w:r>
              <w:fldChar w:fldCharType="end"/>
            </w:r>
            <w:r w:rsidRPr="00613206">
              <w:rPr>
                <w:rFonts w:ascii="Calibri" w:hAnsi="Calibri" w:cs="Calibri"/>
                <w:sz w:val="22"/>
                <w:szCs w:val="22"/>
              </w:rPr>
              <w:t>? How is this monitored?</w:t>
            </w:r>
          </w:p>
        </w:tc>
      </w:tr>
      <w:tr w:rsidTr="006C72F8">
        <w:tblPrEx>
          <w:tblW w:w="10490" w:type="dxa"/>
          <w:tblInd w:w="-714" w:type="dxa"/>
          <w:tblLook w:val="04A0"/>
        </w:tblPrEx>
        <w:trPr>
          <w:trHeight w:val="300"/>
        </w:trPr>
        <w:tc>
          <w:tcPr>
            <w:tcW w:w="1985" w:type="dxa"/>
            <w:vMerge/>
          </w:tcPr>
          <w:p w:rsidR="00747491" w:rsidRPr="00613206">
            <w:pPr>
              <w:rPr>
                <w:rFonts w:ascii="Calibri" w:hAnsi="Calibri" w:cs="Calibri"/>
                <w:sz w:val="22"/>
                <w:szCs w:val="22"/>
              </w:rPr>
            </w:pPr>
          </w:p>
        </w:tc>
        <w:tc>
          <w:tcPr>
            <w:tcW w:w="8505" w:type="dxa"/>
          </w:tcPr>
          <w:p w:rsidR="00747491" w:rsidRPr="00613206" w:rsidP="4160EC69">
            <w:pPr>
              <w:rPr>
                <w:rFonts w:ascii="Calibri" w:hAnsi="Calibri" w:cs="Calibri"/>
                <w:sz w:val="22"/>
                <w:szCs w:val="22"/>
              </w:rPr>
            </w:pPr>
          </w:p>
          <w:p w:rsidR="00747491" w:rsidRPr="00613206" w:rsidP="4160EC69">
            <w:pPr>
              <w:rPr>
                <w:rFonts w:ascii="Calibri" w:hAnsi="Calibri" w:cs="Calibri"/>
                <w:sz w:val="22"/>
                <w:szCs w:val="22"/>
              </w:rPr>
            </w:pPr>
          </w:p>
          <w:p w:rsidR="00747491" w:rsidRPr="00613206" w:rsidP="4160EC69">
            <w:pPr>
              <w:rPr>
                <w:rFonts w:ascii="Calibri" w:hAnsi="Calibri" w:cs="Calibri"/>
                <w:sz w:val="22"/>
                <w:szCs w:val="22"/>
              </w:rPr>
            </w:pPr>
            <w:r w:rsidRPr="00613206">
              <w:rPr>
                <w:rFonts w:ascii="Calibri" w:hAnsi="Calibri" w:cs="Calibri"/>
                <w:sz w:val="22"/>
                <w:szCs w:val="22"/>
              </w:rPr>
              <w:t xml:space="preserve">Local authorities are not consistently fulfilling their duties to provide effective and meaningful Pathway Plans for children in care approaching adulthood, despite the requirements set out within the Care Leavers Policies. In many cases, financial pressures, placement instability, and rigid regulatory frameworks mean plans can become delayed, generic, or overly focused on process compliance rather than the young person’s actual readiness and future needs. </w:t>
            </w:r>
            <w:r w:rsidRPr="00613206">
              <w:rPr>
                <w:rFonts w:ascii="Calibri" w:hAnsi="Calibri" w:cs="Calibri"/>
                <w:sz w:val="22"/>
                <w:szCs w:val="22"/>
              </w:rPr>
              <w:br/>
            </w:r>
            <w:r w:rsidRPr="00613206">
              <w:rPr>
                <w:rFonts w:ascii="Calibri" w:hAnsi="Calibri" w:cs="Calibri"/>
                <w:sz w:val="22"/>
                <w:szCs w:val="22"/>
              </w:rPr>
              <w:br/>
              <w:t>The continued poor outcomes experienced by many care leavers suggest that existing oversight and accountability arrangements are not sufficiently effective in ensuring high-quality transition planning in practice.</w:t>
            </w:r>
          </w:p>
          <w:p w:rsidR="00747491" w:rsidRPr="00613206" w:rsidP="4160EC69">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Impact and outcomes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What evidence is there that developmentally appropriate transition support improves safety and independence-related outcomes after entry to adult services?</w:t>
            </w:r>
          </w:p>
        </w:tc>
      </w:tr>
      <w:tr w:rsidTr="006C72F8">
        <w:tblPrEx>
          <w:tblW w:w="10490" w:type="dxa"/>
          <w:tblInd w:w="-714" w:type="dxa"/>
          <w:tblLook w:val="04A0"/>
        </w:tblPrEx>
        <w:trPr>
          <w:trHeight w:val="201"/>
        </w:trPr>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Front line e</w:t>
            </w:r>
            <w:r w:rsidRPr="00613206">
              <w:rPr>
                <w:rFonts w:ascii="Calibri" w:hAnsi="Calibri" w:cs="Calibri"/>
                <w:sz w:val="22"/>
                <w:szCs w:val="22"/>
              </w:rPr>
              <w:t>vidence through care placements that have transitioned young people effectively</w:t>
            </w:r>
            <w:r w:rsidRPr="00613206">
              <w:rPr>
                <w:rFonts w:ascii="Calibri" w:hAnsi="Calibri" w:cs="Calibri"/>
                <w:sz w:val="22"/>
                <w:szCs w:val="22"/>
              </w:rPr>
              <w:t>.</w:t>
            </w:r>
            <w:r w:rsidRPr="00613206">
              <w:rPr>
                <w:rFonts w:ascii="Calibri" w:hAnsi="Calibri" w:cs="Calibri"/>
                <w:sz w:val="22"/>
                <w:szCs w:val="22"/>
              </w:rPr>
              <w:t xml:space="preserve"> </w:t>
            </w:r>
            <w:r w:rsidRPr="00613206">
              <w:rPr>
                <w:rFonts w:ascii="Calibri" w:hAnsi="Calibri" w:cs="Calibri"/>
                <w:sz w:val="22"/>
                <w:szCs w:val="22"/>
              </w:rPr>
              <w:t>N</w:t>
            </w:r>
            <w:r w:rsidRPr="00613206">
              <w:rPr>
                <w:rFonts w:ascii="Calibri" w:hAnsi="Calibri" w:cs="Calibri"/>
                <w:sz w:val="22"/>
                <w:szCs w:val="22"/>
              </w:rPr>
              <w:t>ational</w:t>
            </w:r>
            <w:r w:rsidRPr="00613206">
              <w:rPr>
                <w:rFonts w:ascii="Calibri" w:hAnsi="Calibri" w:cs="Calibri"/>
                <w:sz w:val="22"/>
                <w:szCs w:val="22"/>
              </w:rPr>
              <w:t>ly there is</w:t>
            </w:r>
            <w:r w:rsidRPr="00613206">
              <w:rPr>
                <w:rFonts w:ascii="Calibri" w:hAnsi="Calibri" w:cs="Calibri"/>
                <w:sz w:val="22"/>
                <w:szCs w:val="22"/>
              </w:rPr>
              <w:t xml:space="preserve"> not enough</w:t>
            </w:r>
            <w:r w:rsidRPr="00613206">
              <w:rPr>
                <w:rFonts w:ascii="Calibri" w:hAnsi="Calibri" w:cs="Calibri"/>
                <w:sz w:val="22"/>
                <w:szCs w:val="22"/>
              </w:rPr>
              <w:t xml:space="preserve"> however</w:t>
            </w:r>
            <w:r w:rsidRPr="00613206">
              <w:rPr>
                <w:rFonts w:ascii="Calibri" w:hAnsi="Calibri" w:cs="Calibri"/>
                <w:sz w:val="22"/>
                <w:szCs w:val="22"/>
              </w:rPr>
              <w:t xml:space="preserve"> and the reason for this is that children’s and adults</w:t>
            </w:r>
            <w:r w:rsidRPr="00613206">
              <w:rPr>
                <w:rFonts w:ascii="Calibri" w:hAnsi="Calibri" w:cs="Calibri"/>
                <w:sz w:val="22"/>
                <w:szCs w:val="22"/>
              </w:rPr>
              <w:t xml:space="preserve"> local authority provisions</w:t>
            </w:r>
            <w:r w:rsidRPr="00613206">
              <w:rPr>
                <w:rFonts w:ascii="Calibri" w:hAnsi="Calibri" w:cs="Calibri"/>
                <w:sz w:val="22"/>
                <w:szCs w:val="22"/>
              </w:rPr>
              <w:t xml:space="preserve"> do not work together unfortunately.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We can provide evidence but nationally </w:t>
            </w:r>
            <w:r w:rsidRPr="00613206">
              <w:rPr>
                <w:rFonts w:ascii="Calibri" w:hAnsi="Calibri" w:cs="Calibri"/>
                <w:sz w:val="22"/>
                <w:szCs w:val="22"/>
              </w:rPr>
              <w:t xml:space="preserve">there is </w:t>
            </w:r>
            <w:r w:rsidRPr="00613206">
              <w:rPr>
                <w:rFonts w:ascii="Calibri" w:hAnsi="Calibri" w:cs="Calibri"/>
                <w:sz w:val="22"/>
                <w:szCs w:val="22"/>
              </w:rPr>
              <w:t xml:space="preserve">no </w:t>
            </w:r>
            <w:r w:rsidRPr="00613206">
              <w:rPr>
                <w:rFonts w:ascii="Calibri" w:hAnsi="Calibri" w:cs="Calibri"/>
                <w:sz w:val="22"/>
                <w:szCs w:val="22"/>
              </w:rPr>
              <w:t>data</w:t>
            </w:r>
            <w:r w:rsidRPr="00613206">
              <w:rPr>
                <w:rFonts w:ascii="Calibri" w:hAnsi="Calibri" w:cs="Calibri"/>
                <w:sz w:val="22"/>
                <w:szCs w:val="22"/>
              </w:rPr>
              <w:t xml:space="preserve"> to go by</w:t>
            </w:r>
            <w:r w:rsidRPr="00613206">
              <w:rPr>
                <w:rFonts w:ascii="Calibri" w:hAnsi="Calibri" w:cs="Calibri"/>
                <w:sz w:val="22"/>
                <w:szCs w:val="22"/>
              </w:rPr>
              <w:t>. Wi</w:t>
            </w:r>
            <w:r w:rsidRPr="00613206">
              <w:rPr>
                <w:rFonts w:ascii="Calibri" w:hAnsi="Calibri" w:cs="Calibri"/>
                <w:sz w:val="22"/>
                <w:szCs w:val="22"/>
              </w:rPr>
              <w:t>th 92 care leavers</w:t>
            </w:r>
            <w:r w:rsidRPr="00613206">
              <w:rPr>
                <w:rFonts w:ascii="Calibri" w:hAnsi="Calibri" w:cs="Calibri"/>
                <w:sz w:val="22"/>
                <w:szCs w:val="22"/>
              </w:rPr>
              <w:t xml:space="preserve"> taking their own lives over the last year,</w:t>
            </w:r>
            <w:r w:rsidRPr="00613206">
              <w:rPr>
                <w:rFonts w:ascii="Calibri" w:hAnsi="Calibri" w:cs="Calibri"/>
                <w:sz w:val="22"/>
                <w:szCs w:val="22"/>
              </w:rPr>
              <w:t xml:space="preserve"> there should be</w:t>
            </w:r>
            <w:r w:rsidRPr="00613206">
              <w:rPr>
                <w:rFonts w:ascii="Calibri" w:hAnsi="Calibri" w:cs="Calibri"/>
                <w:sz w:val="22"/>
                <w:szCs w:val="22"/>
              </w:rPr>
              <w:t xml:space="preserve"> much greater analysis of the situation</w:t>
            </w:r>
            <w:r w:rsidRPr="00613206">
              <w:rPr>
                <w:rFonts w:ascii="Calibri" w:hAnsi="Calibri" w:cs="Calibri"/>
                <w:sz w:val="22"/>
                <w:szCs w:val="22"/>
              </w:rPr>
              <w:t xml:space="preserve">.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2. Across education and employment, community inclusion, health and wellbeing, independent living and housing options, are there areas which require more or better guidance to enable effective transition? </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Yes, more clinical services available and regulated.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CQC have approached</w:t>
            </w:r>
            <w:r w:rsidRPr="00613206">
              <w:rPr>
                <w:rFonts w:ascii="Calibri" w:hAnsi="Calibri" w:cs="Calibri"/>
                <w:sz w:val="22"/>
                <w:szCs w:val="22"/>
              </w:rPr>
              <w:t xml:space="preserve"> the government</w:t>
            </w:r>
            <w:r w:rsidRPr="00613206">
              <w:rPr>
                <w:rFonts w:ascii="Calibri" w:hAnsi="Calibri" w:cs="Calibri"/>
                <w:sz w:val="22"/>
                <w:szCs w:val="22"/>
              </w:rPr>
              <w:t>, requesting more</w:t>
            </w:r>
            <w:r w:rsidRPr="00613206">
              <w:rPr>
                <w:rFonts w:ascii="Calibri" w:hAnsi="Calibri" w:cs="Calibri"/>
                <w:sz w:val="22"/>
                <w:szCs w:val="22"/>
              </w:rPr>
              <w:t xml:space="preserve"> support in regulation but</w:t>
            </w:r>
            <w:r w:rsidRPr="00613206">
              <w:rPr>
                <w:rFonts w:ascii="Calibri" w:hAnsi="Calibri" w:cs="Calibri"/>
                <w:sz w:val="22"/>
                <w:szCs w:val="22"/>
              </w:rPr>
              <w:t xml:space="preserve"> this has not been forthcoming.</w:t>
            </w:r>
            <w:r w:rsidRPr="00613206">
              <w:rPr>
                <w:rFonts w:ascii="Calibri" w:hAnsi="Calibri" w:cs="Calibri"/>
                <w:sz w:val="22"/>
                <w:szCs w:val="22"/>
              </w:rPr>
              <w:t xml:space="preserve">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3. What evidence is there that the use of ‘Pathway Plans’ improves care leavers' access to appropriate health and mental health support and contributes to better outcomes in adult life? </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Style w:val="CommentReference"/>
                <w:rFonts w:ascii="Calibri" w:hAnsi="Calibri" w:cs="Calibri"/>
                <w:sz w:val="22"/>
                <w:szCs w:val="22"/>
              </w:rPr>
            </w:pPr>
          </w:p>
          <w:p w:rsidR="00747491" w:rsidRPr="00613206" w:rsidP="005624CB">
            <w:pPr>
              <w:rPr>
                <w:rStyle w:val="CommentReference"/>
                <w:rFonts w:ascii="Calibri" w:hAnsi="Calibri" w:cs="Calibri"/>
                <w:sz w:val="22"/>
                <w:szCs w:val="22"/>
              </w:rPr>
            </w:pPr>
            <w:r w:rsidRPr="00613206">
              <w:rPr>
                <w:rStyle w:val="CommentReference"/>
                <w:rFonts w:ascii="Calibri" w:hAnsi="Calibri" w:cs="Calibri"/>
                <w:sz w:val="22"/>
                <w:szCs w:val="22"/>
              </w:rPr>
              <w:t>Unfortunately,</w:t>
            </w:r>
            <w:r w:rsidRPr="00613206">
              <w:rPr>
                <w:rStyle w:val="CommentReference"/>
                <w:rFonts w:ascii="Calibri" w:hAnsi="Calibri" w:cs="Calibri"/>
                <w:sz w:val="22"/>
                <w:szCs w:val="22"/>
              </w:rPr>
              <w:t xml:space="preserve"> there is</w:t>
            </w:r>
            <w:r w:rsidRPr="00613206">
              <w:rPr>
                <w:rStyle w:val="CommentReference"/>
                <w:rFonts w:ascii="Calibri" w:hAnsi="Calibri" w:cs="Calibri"/>
                <w:sz w:val="22"/>
                <w:szCs w:val="22"/>
              </w:rPr>
              <w:t xml:space="preserve"> very </w:t>
            </w:r>
            <w:r w:rsidRPr="00613206">
              <w:rPr>
                <w:rStyle w:val="CommentReference"/>
                <w:rFonts w:ascii="Calibri" w:hAnsi="Calibri" w:cs="Calibri"/>
                <w:sz w:val="22"/>
                <w:szCs w:val="22"/>
              </w:rPr>
              <w:t>little</w:t>
            </w:r>
            <w:r w:rsidRPr="00613206">
              <w:rPr>
                <w:rStyle w:val="CommentReference"/>
                <w:rFonts w:ascii="Calibri" w:hAnsi="Calibri" w:cs="Calibri"/>
                <w:sz w:val="22"/>
                <w:szCs w:val="22"/>
              </w:rPr>
              <w:t xml:space="preserve"> evidence a</w:t>
            </w:r>
            <w:r w:rsidRPr="00613206">
              <w:rPr>
                <w:rStyle w:val="CommentReference"/>
                <w:rFonts w:ascii="Calibri" w:hAnsi="Calibri" w:cs="Calibri"/>
                <w:sz w:val="22"/>
                <w:szCs w:val="22"/>
              </w:rPr>
              <w:t>nd this</w:t>
            </w:r>
            <w:r w:rsidRPr="00613206">
              <w:rPr>
                <w:rStyle w:val="CommentReference"/>
                <w:rFonts w:ascii="Calibri" w:hAnsi="Calibri" w:cs="Calibri"/>
                <w:sz w:val="22"/>
                <w:szCs w:val="22"/>
              </w:rPr>
              <w:t xml:space="preserve"> is a national issue</w:t>
            </w:r>
            <w:r w:rsidRPr="00613206">
              <w:rPr>
                <w:rStyle w:val="CommentReference"/>
                <w:rFonts w:ascii="Calibri" w:hAnsi="Calibri" w:cs="Calibri"/>
                <w:sz w:val="22"/>
                <w:szCs w:val="22"/>
              </w:rPr>
              <w:t>,</w:t>
            </w:r>
            <w:r w:rsidRPr="00613206">
              <w:rPr>
                <w:rStyle w:val="CommentReference"/>
                <w:rFonts w:ascii="Calibri" w:hAnsi="Calibri" w:cs="Calibri"/>
                <w:sz w:val="22"/>
                <w:szCs w:val="22"/>
              </w:rPr>
              <w:t xml:space="preserve"> </w:t>
            </w:r>
            <w:r w:rsidRPr="00613206">
              <w:rPr>
                <w:rStyle w:val="CommentReference"/>
                <w:rFonts w:ascii="Calibri" w:hAnsi="Calibri" w:cs="Calibri"/>
                <w:sz w:val="22"/>
                <w:szCs w:val="22"/>
              </w:rPr>
              <w:t>evidenced</w:t>
            </w:r>
            <w:r w:rsidRPr="00613206">
              <w:rPr>
                <w:rStyle w:val="CommentReference"/>
                <w:rFonts w:ascii="Calibri" w:hAnsi="Calibri" w:cs="Calibri"/>
                <w:sz w:val="22"/>
                <w:szCs w:val="22"/>
              </w:rPr>
              <w:t xml:space="preserve"> by</w:t>
            </w:r>
            <w:r w:rsidRPr="00613206">
              <w:rPr>
                <w:rStyle w:val="CommentReference"/>
                <w:rFonts w:ascii="Calibri" w:hAnsi="Calibri" w:cs="Calibri"/>
                <w:sz w:val="22"/>
                <w:szCs w:val="22"/>
              </w:rPr>
              <w:t xml:space="preserve"> the increase of homeless, criminality and imprisonment. </w:t>
            </w:r>
          </w:p>
          <w:p w:rsidR="00747491" w:rsidRPr="00613206" w:rsidP="005624CB">
            <w:pPr>
              <w:rPr>
                <w:rStyle w:val="CommentReference"/>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Style w:val="CommentReference"/>
                <w:rFonts w:ascii="Calibri" w:hAnsi="Calibri" w:cs="Calibri"/>
                <w:sz w:val="22"/>
                <w:szCs w:val="22"/>
              </w:rPr>
            </w:pPr>
            <w:r w:rsidRPr="00613206">
              <w:rPr>
                <w:rFonts w:ascii="Calibri" w:hAnsi="Calibri" w:cs="Calibri"/>
                <w:sz w:val="22"/>
                <w:szCs w:val="22"/>
              </w:rPr>
              <w:t>4. What are the consequences when transition support is absent or inconsistent?</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As number 3 plus</w:t>
            </w:r>
            <w:r w:rsidRPr="00613206">
              <w:rPr>
                <w:rFonts w:ascii="Calibri" w:hAnsi="Calibri" w:cs="Calibri"/>
                <w:sz w:val="22"/>
                <w:szCs w:val="22"/>
              </w:rPr>
              <w:t xml:space="preserve"> sadly, </w:t>
            </w:r>
            <w:r w:rsidRPr="00613206">
              <w:rPr>
                <w:rFonts w:ascii="Calibri" w:hAnsi="Calibri" w:cs="Calibri"/>
                <w:sz w:val="22"/>
                <w:szCs w:val="22"/>
              </w:rPr>
              <w:t>suicides</w:t>
            </w:r>
            <w:r w:rsidRPr="00613206">
              <w:rPr>
                <w:rFonts w:ascii="Calibri" w:hAnsi="Calibri" w:cs="Calibri"/>
                <w:sz w:val="22"/>
                <w:szCs w:val="22"/>
              </w:rPr>
              <w:t xml:space="preserve">.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Appropriateness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How far are current approaches to promoting independence tailored to developmental stage and individual circumstances, compared to standard age-based assumptions?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Not far enough unfortunately. </w:t>
            </w:r>
            <w:r w:rsidRPr="00613206">
              <w:rPr>
                <w:rFonts w:ascii="Calibri" w:hAnsi="Calibri" w:cs="Calibri"/>
                <w:sz w:val="22"/>
                <w:szCs w:val="22"/>
              </w:rPr>
              <w:t>Inflexible</w:t>
            </w:r>
            <w:r w:rsidRPr="00613206">
              <w:rPr>
                <w:rFonts w:ascii="Calibri" w:hAnsi="Calibri" w:cs="Calibri"/>
                <w:sz w:val="22"/>
                <w:szCs w:val="22"/>
              </w:rPr>
              <w:t xml:space="preserve"> regulations plus funding are the biggest issue.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tc>
      </w:tr>
      <w:tr w:rsidTr="006C72F8">
        <w:tblPrEx>
          <w:tblW w:w="10490" w:type="dxa"/>
          <w:tblInd w:w="-714" w:type="dxa"/>
          <w:tblLook w:val="04A0"/>
        </w:tblPrEx>
        <w:trPr>
          <w:trHeight w:val="300"/>
        </w:trPr>
        <w:tc>
          <w:tcPr>
            <w:tcW w:w="1985" w:type="dxa"/>
            <w:vMerge/>
          </w:tcPr>
          <w:p w:rsidR="00747491" w:rsidRPr="00613206" w:rsidP="7C547485">
            <w:pPr>
              <w:rPr>
                <w:rFonts w:ascii="Calibri" w:hAnsi="Calibri" w:cs="Calibri"/>
                <w:b/>
                <w:bCs/>
                <w:sz w:val="22"/>
                <w:szCs w:val="22"/>
              </w:rPr>
            </w:pPr>
          </w:p>
        </w:tc>
        <w:tc>
          <w:tcPr>
            <w:tcW w:w="8505" w:type="dxa"/>
          </w:tcPr>
          <w:p w:rsidR="00747491" w:rsidRPr="00613206" w:rsidP="7C547485">
            <w:pPr>
              <w:rPr>
                <w:rFonts w:ascii="Calibri" w:hAnsi="Calibri" w:cs="Calibri"/>
                <w:sz w:val="22"/>
                <w:szCs w:val="22"/>
              </w:rPr>
            </w:pPr>
            <w:r w:rsidRPr="00613206">
              <w:rPr>
                <w:rFonts w:ascii="Calibri" w:hAnsi="Calibri" w:cs="Calibri"/>
                <w:sz w:val="22"/>
                <w:szCs w:val="22"/>
              </w:rPr>
              <w:t>2. How is the model of independence appropriately adapted for young people who will continue to require substantial support in adult life?</w:t>
            </w:r>
          </w:p>
        </w:tc>
      </w:tr>
      <w:tr w:rsidTr="006C72F8">
        <w:tblPrEx>
          <w:tblW w:w="10490" w:type="dxa"/>
          <w:tblInd w:w="-714" w:type="dxa"/>
          <w:tblLook w:val="04A0"/>
        </w:tblPrEx>
        <w:trPr>
          <w:trHeight w:val="300"/>
        </w:trPr>
        <w:tc>
          <w:tcPr>
            <w:tcW w:w="1985" w:type="dxa"/>
            <w:vMerge/>
          </w:tcPr>
          <w:p w:rsidR="00747491" w:rsidRPr="00613206" w:rsidP="7C547485">
            <w:pPr>
              <w:rPr>
                <w:rFonts w:ascii="Calibri" w:hAnsi="Calibri" w:cs="Calibri"/>
                <w:b/>
                <w:bCs/>
                <w:sz w:val="22"/>
                <w:szCs w:val="22"/>
              </w:rPr>
            </w:pPr>
          </w:p>
        </w:tc>
        <w:tc>
          <w:tcPr>
            <w:tcW w:w="8505" w:type="dxa"/>
          </w:tcPr>
          <w:p w:rsidR="00747491" w:rsidRPr="00613206" w:rsidP="00DC266A">
            <w:pPr>
              <w:rPr>
                <w:rFonts w:ascii="Calibri" w:hAnsi="Calibri" w:cs="Calibri"/>
                <w:sz w:val="22"/>
                <w:szCs w:val="22"/>
              </w:rPr>
            </w:pPr>
          </w:p>
          <w:p w:rsidR="00747491" w:rsidRPr="00613206" w:rsidP="00DC266A">
            <w:pPr>
              <w:rPr>
                <w:rFonts w:ascii="Calibri" w:hAnsi="Calibri" w:cs="Calibri"/>
                <w:sz w:val="22"/>
                <w:szCs w:val="22"/>
              </w:rPr>
            </w:pPr>
            <w:r w:rsidRPr="00613206">
              <w:rPr>
                <w:rFonts w:ascii="Calibri" w:hAnsi="Calibri" w:cs="Calibri"/>
                <w:sz w:val="22"/>
                <w:szCs w:val="22"/>
              </w:rPr>
              <w:t>Too many young people need long</w:t>
            </w:r>
            <w:r w:rsidRPr="00613206">
              <w:rPr>
                <w:rFonts w:ascii="Calibri" w:hAnsi="Calibri" w:cs="Calibri"/>
                <w:sz w:val="22"/>
                <w:szCs w:val="22"/>
              </w:rPr>
              <w:t>er</w:t>
            </w:r>
            <w:r w:rsidRPr="00613206">
              <w:rPr>
                <w:rFonts w:ascii="Calibri" w:hAnsi="Calibri" w:cs="Calibri"/>
                <w:sz w:val="22"/>
                <w:szCs w:val="22"/>
              </w:rPr>
              <w:t xml:space="preserve"> term care and unfortunately this is not thought about enough. </w:t>
            </w:r>
          </w:p>
          <w:p w:rsidR="00747491" w:rsidRPr="00613206" w:rsidP="00DC266A">
            <w:pPr>
              <w:rPr>
                <w:rFonts w:ascii="Calibri" w:hAnsi="Calibri" w:cs="Calibri"/>
                <w:sz w:val="22"/>
                <w:szCs w:val="22"/>
              </w:rPr>
            </w:pPr>
          </w:p>
          <w:p w:rsidR="00747491" w:rsidRPr="00613206" w:rsidP="00DC266A">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Equality and diversity</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1. How far do services adapt support for independence to the differing needs and circumstances of distinct groups of young people? </w:t>
            </w:r>
          </w:p>
        </w:tc>
      </w:tr>
      <w:tr w:rsidTr="006C72F8">
        <w:tblPrEx>
          <w:tblW w:w="10490" w:type="dxa"/>
          <w:tblInd w:w="-714" w:type="dxa"/>
          <w:tblLook w:val="04A0"/>
        </w:tblPrEx>
        <w:tc>
          <w:tcPr>
            <w:tcW w:w="1985" w:type="dxa"/>
            <w:vMerge/>
          </w:tcPr>
          <w:p w:rsidR="00747491" w:rsidRPr="00613206" w:rsidP="005624CB">
            <w:pPr>
              <w:rPr>
                <w:rFonts w:ascii="Calibri" w:hAnsi="Calibri" w:cs="Calibri"/>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Services like </w:t>
            </w:r>
            <w:r w:rsidRPr="00613206">
              <w:rPr>
                <w:rFonts w:ascii="Calibri" w:hAnsi="Calibri" w:cs="Calibri"/>
                <w:sz w:val="22"/>
                <w:szCs w:val="22"/>
              </w:rPr>
              <w:t>ours</w:t>
            </w:r>
            <w:r w:rsidRPr="00613206">
              <w:rPr>
                <w:rFonts w:ascii="Calibri" w:hAnsi="Calibri" w:cs="Calibri"/>
                <w:sz w:val="22"/>
                <w:szCs w:val="22"/>
              </w:rPr>
              <w:t xml:space="preserve"> go </w:t>
            </w:r>
            <w:r w:rsidRPr="00613206">
              <w:rPr>
                <w:rFonts w:ascii="Calibri" w:hAnsi="Calibri" w:cs="Calibri"/>
                <w:sz w:val="22"/>
                <w:szCs w:val="22"/>
              </w:rPr>
              <w:t>above</w:t>
            </w:r>
            <w:r w:rsidRPr="00613206">
              <w:rPr>
                <w:rFonts w:ascii="Calibri" w:hAnsi="Calibri" w:cs="Calibri"/>
                <w:sz w:val="22"/>
                <w:szCs w:val="22"/>
              </w:rPr>
              <w:t xml:space="preserve"> and beyond.</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From renovation, space, lighting, ensuite</w:t>
            </w:r>
            <w:r w:rsidRPr="00613206">
              <w:rPr>
                <w:rFonts w:ascii="Calibri" w:hAnsi="Calibri" w:cs="Calibri"/>
                <w:sz w:val="22"/>
                <w:szCs w:val="22"/>
              </w:rPr>
              <w:t xml:space="preserve"> bathrooms</w:t>
            </w:r>
            <w:r w:rsidRPr="00613206">
              <w:rPr>
                <w:rFonts w:ascii="Calibri" w:hAnsi="Calibri" w:cs="Calibri"/>
                <w:sz w:val="22"/>
                <w:szCs w:val="22"/>
              </w:rPr>
              <w:t>, appropriate living room space, laundry rooms and warm and welcoming household environments</w:t>
            </w:r>
            <w:r w:rsidRPr="00613206">
              <w:rPr>
                <w:rFonts w:ascii="Calibri" w:hAnsi="Calibri" w:cs="Calibri"/>
                <w:sz w:val="22"/>
                <w:szCs w:val="22"/>
              </w:rPr>
              <w:t xml:space="preserve"> that </w:t>
            </w:r>
            <w:r w:rsidRPr="00613206">
              <w:rPr>
                <w:rFonts w:ascii="Calibri" w:hAnsi="Calibri" w:cs="Calibri"/>
                <w:sz w:val="22"/>
                <w:szCs w:val="22"/>
              </w:rPr>
              <w:t>are genuinely pleasant to be in rather than clinical and sterile</w:t>
            </w:r>
            <w:r w:rsidRPr="00613206">
              <w:rPr>
                <w:rFonts w:ascii="Calibri" w:hAnsi="Calibri" w:cs="Calibri"/>
                <w:sz w:val="22"/>
                <w:szCs w:val="22"/>
              </w:rPr>
              <w:t xml:space="preserve">.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What evidence is there that some groups are less likely to receive appropriate or sufficiently ambitious support for independence, and why?</w:t>
            </w:r>
          </w:p>
        </w:tc>
      </w:tr>
      <w:tr w:rsidTr="006C72F8">
        <w:tblPrEx>
          <w:tblW w:w="10490" w:type="dxa"/>
          <w:tblInd w:w="-714" w:type="dxa"/>
          <w:tblLook w:val="04A0"/>
        </w:tblPrEx>
        <w:tc>
          <w:tcPr>
            <w:tcW w:w="1985" w:type="dxa"/>
            <w:vMerge/>
          </w:tcPr>
          <w:p w:rsidR="00747491" w:rsidRPr="00613206" w:rsidP="005624CB">
            <w:pPr>
              <w:rPr>
                <w:rFonts w:ascii="Calibri" w:hAnsi="Calibri" w:cs="Calibri"/>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A lot of evidence especially people with emerging conditions or childhood trauma.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This is a national issue. </w:t>
            </w:r>
          </w:p>
          <w:p w:rsidR="00747491" w:rsidRPr="00613206" w:rsidP="005624CB">
            <w:pPr>
              <w:rPr>
                <w:rFonts w:ascii="Calibri" w:hAnsi="Calibri" w:cs="Calibri"/>
                <w:sz w:val="22"/>
                <w:szCs w:val="22"/>
              </w:rPr>
            </w:pPr>
          </w:p>
        </w:tc>
      </w:tr>
    </w:tbl>
    <w:p w:rsidR="00747491" w:rsidRPr="00613206">
      <w:pPr>
        <w:rPr>
          <w:rFonts w:ascii="Calibri" w:hAnsi="Calibri" w:cs="Calibri"/>
          <w:sz w:val="22"/>
          <w:szCs w:val="22"/>
        </w:rPr>
      </w:pPr>
    </w:p>
    <w:p w:rsidR="00747491" w:rsidRPr="00613206">
      <w:pPr>
        <w:rPr>
          <w:rFonts w:ascii="Calibri" w:hAnsi="Calibri" w:cs="Calibri"/>
          <w:sz w:val="22"/>
          <w:szCs w:val="22"/>
        </w:rPr>
      </w:pPr>
    </w:p>
    <w:tbl>
      <w:tblPr>
        <w:tblStyle w:val="TableGrid"/>
        <w:tblW w:w="10490" w:type="dxa"/>
        <w:tblInd w:w="-714" w:type="dxa"/>
        <w:tblLook w:val="04A0"/>
      </w:tblPr>
      <w:tblGrid>
        <w:gridCol w:w="1985"/>
        <w:gridCol w:w="8505"/>
      </w:tblGrid>
      <w:tr w:rsidTr="39258F6B">
        <w:tblPrEx>
          <w:tblW w:w="10490" w:type="dxa"/>
          <w:tblInd w:w="-714" w:type="dxa"/>
          <w:tblLook w:val="04A0"/>
        </w:tblPrEx>
        <w:tc>
          <w:tcPr>
            <w:tcW w:w="10490" w:type="dxa"/>
            <w:gridSpan w:val="2"/>
          </w:tcPr>
          <w:p w:rsidR="00747491" w:rsidRPr="00613206">
            <w:pPr>
              <w:rPr>
                <w:rFonts w:ascii="Calibri" w:hAnsi="Calibri" w:cs="Calibri"/>
                <w:b/>
                <w:bCs/>
                <w:sz w:val="22"/>
                <w:szCs w:val="22"/>
              </w:rPr>
            </w:pPr>
            <w:r w:rsidRPr="00613206">
              <w:rPr>
                <w:rFonts w:ascii="Calibri" w:hAnsi="Calibri" w:cs="Calibri"/>
                <w:b/>
                <w:bCs/>
                <w:sz w:val="22"/>
                <w:szCs w:val="22"/>
              </w:rPr>
              <w:t xml:space="preserve">FOCUS AREA 6 </w:t>
            </w:r>
          </w:p>
          <w:p w:rsidR="00747491" w:rsidRPr="00613206" w:rsidP="005624CB">
            <w:pPr>
              <w:rPr>
                <w:rFonts w:ascii="Calibri" w:hAnsi="Calibri" w:cs="Calibri"/>
                <w:b/>
                <w:bCs/>
                <w:sz w:val="22"/>
                <w:szCs w:val="22"/>
              </w:rPr>
            </w:pPr>
            <w:r w:rsidRPr="00613206">
              <w:rPr>
                <w:rFonts w:ascii="Calibri" w:hAnsi="Calibri" w:cs="Calibri"/>
                <w:b/>
                <w:bCs/>
                <w:sz w:val="22"/>
                <w:szCs w:val="22"/>
              </w:rPr>
              <w:t>PROMOTING EQUITY ACROSS THE TRANSITION</w:t>
            </w:r>
          </w:p>
        </w:tc>
      </w:tr>
      <w:tr w:rsidTr="39258F6B">
        <w:tblPrEx>
          <w:tblW w:w="10490" w:type="dxa"/>
          <w:tblInd w:w="-714" w:type="dxa"/>
          <w:tblLook w:val="04A0"/>
        </w:tblPrEx>
        <w:tc>
          <w:tcPr>
            <w:tcW w:w="10490" w:type="dxa"/>
            <w:gridSpan w:val="2"/>
          </w:tcPr>
          <w:p w:rsidR="00747491" w:rsidRPr="00613206" w:rsidP="00F10BB3">
            <w:pPr>
              <w:spacing w:after="120" w:line="259" w:lineRule="auto"/>
              <w:rPr>
                <w:rFonts w:ascii="Calibri" w:hAnsi="Calibri" w:cs="Calibri"/>
                <w:sz w:val="22"/>
                <w:szCs w:val="22"/>
              </w:rPr>
            </w:pPr>
            <w:r w:rsidRPr="00613206">
              <w:rPr>
                <w:rFonts w:ascii="Calibri" w:hAnsi="Calibri" w:cs="Calibri"/>
                <w:b/>
                <w:bCs/>
                <w:sz w:val="22"/>
                <w:szCs w:val="22"/>
              </w:rPr>
              <w:t>Statement of intent 1</w:t>
            </w:r>
            <w:r w:rsidRPr="00613206">
              <w:rPr>
                <w:rFonts w:ascii="Calibri" w:hAnsi="Calibri" w:cs="Calibri"/>
                <w:sz w:val="22"/>
                <w:szCs w:val="22"/>
              </w:rPr>
              <w:t xml:space="preserve">: </w:t>
            </w:r>
            <w:r w:rsidRPr="00613206">
              <w:rPr>
                <w:rFonts w:ascii="Calibri" w:hAnsi="Calibri" w:cs="Calibri"/>
                <w:sz w:val="22"/>
                <w:szCs w:val="22"/>
                <w:lang w:val="en-US"/>
              </w:rPr>
              <w:t xml:space="preserve">The service provides publicity material specifically on transition to adult services that is accessible for everyone such as in different languages or for young people with or without disabilities. This is youth-friendly, and uses age-appropriate language and images for the age and ability of the young person.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613206">
              <w:rPr>
                <w:rStyle w:val="Hyperlink"/>
                <w:rFonts w:ascii="Calibri" w:hAnsi="Calibri" w:cs="Calibri"/>
                <w:color w:val="auto"/>
                <w:sz w:val="22"/>
                <w:szCs w:val="22"/>
                <w:lang w:val="en-US"/>
              </w:rPr>
              <w:t>OHID You’re Welcome (8, 2023)</w:t>
            </w:r>
            <w:r>
              <w:fldChar w:fldCharType="end"/>
            </w:r>
          </w:p>
          <w:p w:rsidR="00747491" w:rsidRPr="00613206" w:rsidP="00F10BB3">
            <w:pPr>
              <w:rPr>
                <w:rFonts w:ascii="Calibri" w:hAnsi="Calibri" w:cs="Calibri"/>
                <w:sz w:val="22"/>
                <w:szCs w:val="22"/>
                <w:lang w:val="en-US"/>
              </w:rPr>
            </w:pPr>
            <w:r w:rsidRPr="00613206">
              <w:rPr>
                <w:rFonts w:ascii="Calibri" w:hAnsi="Calibri" w:cs="Calibri"/>
                <w:b/>
                <w:bCs/>
                <w:sz w:val="22"/>
                <w:szCs w:val="22"/>
              </w:rPr>
              <w:t>Statement of intent 2:</w:t>
            </w:r>
            <w:r w:rsidRPr="00613206">
              <w:rPr>
                <w:rFonts w:ascii="Calibri" w:hAnsi="Calibri" w:cs="Calibri"/>
                <w:sz w:val="22"/>
                <w:szCs w:val="22"/>
                <w:lang w:val="en-US"/>
              </w:rPr>
              <w:t xml:space="preserve"> Service managers should ensure a range of tools is available, and used, to help young people communicate effectively with practitioners. These may include, for example: ways to produce a written record of how a young person communicates, for example, communication passports or 1</w:t>
            </w:r>
            <w:r w:rsidRPr="00613206">
              <w:rPr>
                <w:rFonts w:ascii="Cambria Math" w:hAnsi="Cambria Math" w:cs="Cambria Math"/>
                <w:sz w:val="22"/>
                <w:szCs w:val="22"/>
                <w:lang w:val="en-US"/>
              </w:rPr>
              <w:t>‑</w:t>
            </w:r>
            <w:r w:rsidRPr="00613206">
              <w:rPr>
                <w:rFonts w:ascii="Calibri" w:hAnsi="Calibri" w:cs="Calibri"/>
                <w:sz w:val="22"/>
                <w:szCs w:val="22"/>
                <w:lang w:val="en-US"/>
              </w:rPr>
              <w:t xml:space="preserve">page profiles; ways to help the young person communicate, for example, communication boards and digital communication tools. </w:t>
            </w:r>
            <w:r>
              <w:fldChar w:fldCharType="begin"/>
            </w:r>
            <w:r>
              <w:instrText xml:space="preserve"> HYPERLINK "https://www.nice.org.uk/guidance/ng43/chapter/Recommendations" \l "support-before-transfer" </w:instrText>
            </w:r>
            <w:r>
              <w:fldChar w:fldCharType="separate"/>
            </w:r>
            <w:r w:rsidRPr="00613206">
              <w:rPr>
                <w:rStyle w:val="Hyperlink"/>
                <w:rFonts w:ascii="Calibri" w:hAnsi="Calibri" w:cs="Calibri"/>
                <w:color w:val="auto"/>
                <w:sz w:val="22"/>
                <w:szCs w:val="22"/>
                <w:lang w:val="en-US"/>
              </w:rPr>
              <w:t>NICE NG43 (1.2.12, 2016)</w:t>
            </w:r>
            <w:r>
              <w:fldChar w:fldCharType="end"/>
            </w:r>
            <w:r w:rsidRPr="00613206">
              <w:rPr>
                <w:rFonts w:ascii="Calibri" w:hAnsi="Calibri" w:cs="Calibri"/>
                <w:sz w:val="22"/>
                <w:szCs w:val="22"/>
                <w:lang w:val="en-US"/>
              </w:rPr>
              <w:t xml:space="preserve">  </w:t>
            </w: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Resourcing</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Do services have the capacity and funding to deliver on these statements of intent for young people with additional needs?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Providers </w:t>
            </w:r>
            <w:r w:rsidRPr="00613206">
              <w:rPr>
                <w:rFonts w:ascii="Calibri" w:hAnsi="Calibri" w:cs="Calibri"/>
                <w:sz w:val="22"/>
                <w:szCs w:val="22"/>
              </w:rPr>
              <w:t>would</w:t>
            </w:r>
            <w:r w:rsidRPr="00613206">
              <w:rPr>
                <w:rFonts w:ascii="Calibri" w:hAnsi="Calibri" w:cs="Calibri"/>
                <w:sz w:val="22"/>
                <w:szCs w:val="22"/>
              </w:rPr>
              <w:t xml:space="preserve"> support this if the regulations were less rigid.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Do all staff involved in transition services receive training that is culturally competent based on local population needs?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Yes.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Effectiveness and implementation</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How effective are services in addressing the specific needs of young people as individuals?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This is our duty but local authorities do not respect this enough due to funding and rigid regulation.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To what extent are services providing the right tools to ensure that all young people can communicate their needs?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Very much so, but as point 1.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3. To what extent is data recorded and monitored for effectiveness and quality of the transition for individuals from underserved patient groups, or with protected characteristics?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We have </w:t>
            </w:r>
            <w:r w:rsidRPr="00613206">
              <w:rPr>
                <w:rFonts w:ascii="Calibri" w:hAnsi="Calibri" w:cs="Calibri"/>
                <w:sz w:val="22"/>
                <w:szCs w:val="22"/>
              </w:rPr>
              <w:t xml:space="preserve">the </w:t>
            </w:r>
            <w:r w:rsidRPr="00613206">
              <w:rPr>
                <w:rFonts w:ascii="Calibri" w:hAnsi="Calibri" w:cs="Calibri"/>
                <w:sz w:val="22"/>
                <w:szCs w:val="22"/>
              </w:rPr>
              <w:t>systems but providers and local authorities can improve this for better transition.</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Impact and outcomes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What is the impact of the provision, or lack of provision, of person-centred care for individuals with additional needs?</w:t>
            </w:r>
          </w:p>
        </w:tc>
      </w:tr>
      <w:tr w:rsidTr="006C72F8">
        <w:tblPrEx>
          <w:tblW w:w="10490" w:type="dxa"/>
          <w:tblInd w:w="-714" w:type="dxa"/>
          <w:tblLook w:val="04A0"/>
        </w:tblPrEx>
        <w:trPr>
          <w:trHeight w:val="201"/>
        </w:trPr>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Early exit from placements which is another breakdown and then </w:t>
            </w:r>
            <w:r w:rsidRPr="00613206">
              <w:rPr>
                <w:rFonts w:ascii="Calibri" w:hAnsi="Calibri" w:cs="Calibri"/>
                <w:sz w:val="22"/>
                <w:szCs w:val="22"/>
              </w:rPr>
              <w:t xml:space="preserve">a </w:t>
            </w:r>
            <w:r w:rsidRPr="00613206">
              <w:rPr>
                <w:rFonts w:ascii="Calibri" w:hAnsi="Calibri" w:cs="Calibri"/>
                <w:sz w:val="22"/>
                <w:szCs w:val="22"/>
              </w:rPr>
              <w:t xml:space="preserve">lack of stability going into adulthood.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 xml:space="preserve">2. What is the impact of comprehensive data collection and usage for young people with additional needs and/or protected characteristics? </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Let’s put it this way, more information, and more assessments </w:t>
            </w:r>
            <w:r w:rsidRPr="00613206">
              <w:rPr>
                <w:rFonts w:ascii="Calibri" w:hAnsi="Calibri" w:cs="Calibri"/>
                <w:sz w:val="22"/>
                <w:szCs w:val="22"/>
              </w:rPr>
              <w:t xml:space="preserve">= </w:t>
            </w:r>
            <w:r w:rsidRPr="00613206">
              <w:rPr>
                <w:rFonts w:ascii="Calibri" w:hAnsi="Calibri" w:cs="Calibri"/>
                <w:sz w:val="22"/>
                <w:szCs w:val="22"/>
              </w:rPr>
              <w:t xml:space="preserve">more options of placements. </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5624CB">
            <w:pPr>
              <w:rPr>
                <w:rFonts w:ascii="Calibri" w:hAnsi="Calibri" w:cs="Calibri"/>
                <w:b/>
                <w:sz w:val="22"/>
                <w:szCs w:val="22"/>
              </w:rPr>
            </w:pPr>
            <w:r w:rsidRPr="00613206">
              <w:rPr>
                <w:rFonts w:ascii="Calibri" w:hAnsi="Calibri" w:cs="Calibri"/>
                <w:b/>
                <w:sz w:val="22"/>
                <w:szCs w:val="22"/>
              </w:rPr>
              <w:t>Appropriateness</w:t>
            </w: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1. How appropriately are health and social care services providing tailored care to individuals with additional needs?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Providers like us can do it but rigid regulation and funding because of the first issue. </w:t>
            </w: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r w:rsidRPr="00613206">
              <w:rPr>
                <w:rFonts w:ascii="Calibri" w:hAnsi="Calibri" w:cs="Calibri"/>
                <w:sz w:val="22"/>
                <w:szCs w:val="22"/>
              </w:rPr>
              <w:t>2. To what extent are services able to accommodate different communication needs for individuals with communication difficulties?</w:t>
            </w:r>
          </w:p>
        </w:tc>
      </w:tr>
      <w:tr w:rsidTr="006C72F8">
        <w:tblPrEx>
          <w:tblW w:w="10490" w:type="dxa"/>
          <w:tblInd w:w="-714" w:type="dxa"/>
          <w:tblLook w:val="04A0"/>
        </w:tblPrEx>
        <w:tc>
          <w:tcPr>
            <w:tcW w:w="1985" w:type="dxa"/>
            <w:vMerge/>
          </w:tcPr>
          <w:p w:rsidR="00747491" w:rsidRPr="00613206" w:rsidP="005624CB">
            <w:pPr>
              <w:rPr>
                <w:rFonts w:ascii="Calibri" w:hAnsi="Calibri" w:cs="Calibri"/>
                <w:b/>
                <w:sz w:val="22"/>
                <w:szCs w:val="22"/>
              </w:rPr>
            </w:pPr>
          </w:p>
        </w:tc>
        <w:tc>
          <w:tcPr>
            <w:tcW w:w="8505" w:type="dxa"/>
          </w:tcPr>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r w:rsidRPr="00613206">
              <w:rPr>
                <w:rFonts w:ascii="Calibri" w:hAnsi="Calibri" w:cs="Calibri"/>
                <w:sz w:val="22"/>
                <w:szCs w:val="22"/>
              </w:rPr>
              <w:t xml:space="preserve">A lot with the right management team. There </w:t>
            </w:r>
            <w:r w:rsidRPr="00613206">
              <w:rPr>
                <w:rFonts w:ascii="Calibri" w:hAnsi="Calibri" w:cs="Calibri"/>
                <w:sz w:val="22"/>
                <w:szCs w:val="22"/>
              </w:rPr>
              <w:t>are</w:t>
            </w:r>
            <w:r w:rsidRPr="00613206">
              <w:rPr>
                <w:rFonts w:ascii="Calibri" w:hAnsi="Calibri" w:cs="Calibri"/>
                <w:sz w:val="22"/>
                <w:szCs w:val="22"/>
              </w:rPr>
              <w:t xml:space="preserve"> a lot of good healthcare professionals but due to industry failures a lot of people are walking away.</w:t>
            </w:r>
          </w:p>
          <w:p w:rsidR="00747491" w:rsidRPr="00613206" w:rsidP="005624CB">
            <w:pPr>
              <w:rPr>
                <w:rFonts w:ascii="Calibri" w:hAnsi="Calibri" w:cs="Calibri"/>
                <w:sz w:val="22"/>
                <w:szCs w:val="22"/>
              </w:rPr>
            </w:pPr>
          </w:p>
          <w:p w:rsidR="00747491" w:rsidRPr="00613206"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47491" w:rsidRPr="00613206" w:rsidP="00D9492A">
            <w:pPr>
              <w:rPr>
                <w:rFonts w:ascii="Calibri" w:hAnsi="Calibri" w:cs="Calibri"/>
                <w:b/>
                <w:sz w:val="22"/>
                <w:szCs w:val="22"/>
              </w:rPr>
            </w:pPr>
            <w:r w:rsidRPr="00613206">
              <w:rPr>
                <w:rFonts w:ascii="Calibri" w:hAnsi="Calibri" w:cs="Calibri"/>
                <w:b/>
                <w:sz w:val="22"/>
                <w:szCs w:val="22"/>
              </w:rPr>
              <w:t>Equality and diversity</w:t>
            </w:r>
          </w:p>
        </w:tc>
        <w:tc>
          <w:tcPr>
            <w:tcW w:w="8505" w:type="dxa"/>
          </w:tcPr>
          <w:p w:rsidR="00747491" w:rsidRPr="00613206" w:rsidP="00D9492A">
            <w:pPr>
              <w:rPr>
                <w:rFonts w:ascii="Calibri" w:hAnsi="Calibri" w:cs="Calibri"/>
                <w:sz w:val="22"/>
                <w:szCs w:val="22"/>
              </w:rPr>
            </w:pPr>
            <w:r w:rsidRPr="00613206">
              <w:rPr>
                <w:rFonts w:ascii="Calibri" w:hAnsi="Calibri" w:eastAsiaTheme="minorEastAsia" w:cs="Calibri"/>
                <w:sz w:val="22"/>
                <w:szCs w:val="22"/>
              </w:rPr>
              <w:t>1. How are underserved or vulnerable patient groups considered in the planning, strategy and delivery of transition services?</w:t>
            </w:r>
          </w:p>
        </w:tc>
      </w:tr>
      <w:tr w:rsidTr="006C72F8">
        <w:tblPrEx>
          <w:tblW w:w="10490" w:type="dxa"/>
          <w:tblInd w:w="-714" w:type="dxa"/>
          <w:tblLook w:val="04A0"/>
        </w:tblPrEx>
        <w:tc>
          <w:tcPr>
            <w:tcW w:w="1985" w:type="dxa"/>
            <w:vMerge/>
          </w:tcPr>
          <w:p w:rsidR="00747491" w:rsidRPr="00613206" w:rsidP="00D9492A">
            <w:pPr>
              <w:rPr>
                <w:rFonts w:ascii="Calibri" w:hAnsi="Calibri" w:cs="Calibri"/>
                <w:sz w:val="22"/>
                <w:szCs w:val="22"/>
              </w:rPr>
            </w:pPr>
          </w:p>
        </w:tc>
        <w:tc>
          <w:tcPr>
            <w:tcW w:w="8505" w:type="dxa"/>
          </w:tcPr>
          <w:p w:rsidR="00747491" w:rsidRPr="00613206" w:rsidP="00D9492A">
            <w:pPr>
              <w:rPr>
                <w:rFonts w:ascii="Calibri" w:hAnsi="Calibri" w:cs="Calibri"/>
                <w:sz w:val="22"/>
                <w:szCs w:val="22"/>
              </w:rPr>
            </w:pPr>
          </w:p>
          <w:p w:rsidR="00747491" w:rsidRPr="00613206" w:rsidP="00D9492A">
            <w:pPr>
              <w:rPr>
                <w:rFonts w:ascii="Calibri" w:hAnsi="Calibri" w:cs="Calibri"/>
                <w:sz w:val="22"/>
                <w:szCs w:val="22"/>
              </w:rPr>
            </w:pPr>
            <w:r w:rsidRPr="00613206">
              <w:rPr>
                <w:rFonts w:ascii="Calibri" w:hAnsi="Calibri" w:cs="Calibri"/>
                <w:sz w:val="22"/>
                <w:szCs w:val="22"/>
              </w:rPr>
              <w:t xml:space="preserve">In practice they are still not considered sufficiently within the planning, strategy, and delivery of services. Young people with complex disabilities, mental health needs, neurodevelopmental conditions, care experience, communication difficulties, or unstable placements are often the most affected by gaps in provision, delayed assessments, and inconsistent support. </w:t>
            </w:r>
          </w:p>
          <w:p w:rsidR="00747491" w:rsidRPr="00613206" w:rsidP="00D9492A">
            <w:pPr>
              <w:rPr>
                <w:rFonts w:ascii="Calibri" w:hAnsi="Calibri" w:cs="Calibri"/>
                <w:sz w:val="22"/>
                <w:szCs w:val="22"/>
              </w:rPr>
            </w:pPr>
          </w:p>
          <w:p w:rsidR="00747491" w:rsidRPr="00613206" w:rsidP="00D9492A">
            <w:pPr>
              <w:rPr>
                <w:rFonts w:ascii="Calibri" w:hAnsi="Calibri" w:cs="Calibri"/>
                <w:sz w:val="22"/>
                <w:szCs w:val="22"/>
              </w:rPr>
            </w:pPr>
          </w:p>
        </w:tc>
      </w:tr>
      <w:tr w:rsidTr="006C72F8">
        <w:tblPrEx>
          <w:tblW w:w="10490" w:type="dxa"/>
          <w:tblInd w:w="-714" w:type="dxa"/>
          <w:tblLook w:val="04A0"/>
        </w:tblPrEx>
        <w:tc>
          <w:tcPr>
            <w:tcW w:w="1985" w:type="dxa"/>
            <w:vMerge/>
          </w:tcPr>
          <w:p w:rsidR="00747491" w:rsidRPr="00613206" w:rsidP="00D9492A">
            <w:pPr>
              <w:rPr>
                <w:rFonts w:ascii="Calibri" w:hAnsi="Calibri" w:cs="Calibri"/>
                <w:sz w:val="22"/>
                <w:szCs w:val="22"/>
              </w:rPr>
            </w:pPr>
          </w:p>
        </w:tc>
        <w:tc>
          <w:tcPr>
            <w:tcW w:w="8505" w:type="dxa"/>
          </w:tcPr>
          <w:p w:rsidR="00747491" w:rsidRPr="00613206" w:rsidP="00D9492A">
            <w:pPr>
              <w:rPr>
                <w:rFonts w:ascii="Calibri" w:hAnsi="Calibri" w:cs="Calibri"/>
                <w:sz w:val="22"/>
                <w:szCs w:val="22"/>
              </w:rPr>
            </w:pPr>
            <w:r w:rsidRPr="00613206">
              <w:rPr>
                <w:rFonts w:ascii="Calibri" w:hAnsi="Calibri" w:cs="Calibri"/>
                <w:sz w:val="22"/>
                <w:szCs w:val="22"/>
              </w:rPr>
              <w:t>2. What extra data is captured for young people with additional needs, specifically those at the intersection of different protected characteristics?</w:t>
            </w:r>
          </w:p>
        </w:tc>
      </w:tr>
      <w:tr w:rsidTr="006C72F8">
        <w:tblPrEx>
          <w:tblW w:w="10490" w:type="dxa"/>
          <w:tblInd w:w="-714" w:type="dxa"/>
          <w:tblLook w:val="04A0"/>
        </w:tblPrEx>
        <w:tc>
          <w:tcPr>
            <w:tcW w:w="1985" w:type="dxa"/>
            <w:vMerge/>
          </w:tcPr>
          <w:p w:rsidR="00747491" w:rsidRPr="00613206" w:rsidP="00D9492A">
            <w:pPr>
              <w:rPr>
                <w:rFonts w:ascii="Calibri" w:hAnsi="Calibri" w:cs="Calibri"/>
                <w:sz w:val="22"/>
                <w:szCs w:val="22"/>
              </w:rPr>
            </w:pPr>
          </w:p>
        </w:tc>
        <w:tc>
          <w:tcPr>
            <w:tcW w:w="8505" w:type="dxa"/>
          </w:tcPr>
          <w:p w:rsidR="00747491" w:rsidRPr="00613206" w:rsidP="00D9492A">
            <w:pPr>
              <w:rPr>
                <w:rFonts w:ascii="Calibri" w:hAnsi="Calibri" w:cs="Calibri"/>
                <w:sz w:val="22"/>
                <w:szCs w:val="22"/>
              </w:rPr>
            </w:pPr>
          </w:p>
          <w:p w:rsidR="00747491" w:rsidRPr="00613206" w:rsidP="00D9492A">
            <w:pPr>
              <w:rPr>
                <w:rFonts w:ascii="Calibri" w:hAnsi="Calibri" w:cs="Calibri"/>
                <w:sz w:val="22"/>
                <w:szCs w:val="22"/>
              </w:rPr>
            </w:pPr>
            <w:r w:rsidRPr="00613206">
              <w:rPr>
                <w:rFonts w:ascii="Calibri" w:hAnsi="Calibri" w:cs="Calibri"/>
                <w:sz w:val="22"/>
                <w:szCs w:val="22"/>
              </w:rPr>
              <w:t xml:space="preserve">There isn’t enough data because I believe it would highlight additional uncontrollable issues. </w:t>
            </w:r>
          </w:p>
          <w:p w:rsidR="00747491" w:rsidRPr="00613206" w:rsidP="00D9492A">
            <w:pPr>
              <w:rPr>
                <w:rFonts w:ascii="Calibri" w:hAnsi="Calibri" w:cs="Calibri"/>
                <w:sz w:val="22"/>
                <w:szCs w:val="22"/>
              </w:rPr>
            </w:pPr>
          </w:p>
        </w:tc>
      </w:tr>
    </w:tbl>
    <w:p w:rsidR="00747491">
      <w:pPr>
        <w:rPr>
          <w:rFonts w:ascii="Calibri" w:hAnsi="Calibri" w:cs="Calibri"/>
          <w:sz w:val="22"/>
          <w:szCs w:val="22"/>
        </w:rPr>
      </w:pPr>
    </w:p>
    <w:p w:rsidR="00613206">
      <w:pPr>
        <w:rPr>
          <w:rFonts w:ascii="Calibri" w:hAnsi="Calibri" w:cs="Calibri"/>
          <w:sz w:val="22"/>
          <w:szCs w:val="22"/>
        </w:rPr>
      </w:pPr>
    </w:p>
    <w:p w:rsidR="00613206" w:rsidRPr="00613206">
      <w:pPr>
        <w:rPr>
          <w:rFonts w:ascii="Calibri" w:hAnsi="Calibri" w:cs="Calibri"/>
          <w:i/>
          <w:iCs/>
          <w:sz w:val="22"/>
          <w:szCs w:val="22"/>
        </w:rPr>
      </w:pPr>
      <w:r w:rsidRPr="00613206">
        <w:rPr>
          <w:rFonts w:ascii="Calibri" w:hAnsi="Calibri" w:cs="Calibri"/>
          <w:i/>
          <w:iCs/>
          <w:sz w:val="22"/>
          <w:szCs w:val="22"/>
        </w:rPr>
        <w:t>May 2026</w:t>
      </w:r>
    </w:p>
    <w:sectPr w:rsidSect="00D77B1C">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E0839"/>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5820262"/>
    <w:multiLevelType w:val="hybridMultilevel"/>
    <w:tmpl w:val="FCA87CF6"/>
    <w:lvl w:ilvl="0">
      <w:start w:val="1"/>
      <w:numFmt w:val="decimal"/>
      <w:lvlText w:val="%1."/>
      <w:lvlJc w:val="left"/>
      <w:pPr>
        <w:ind w:left="-360" w:hanging="360"/>
      </w:pPr>
      <w:rPr>
        <w:rFonts w:ascii="Aptos" w:eastAsia="Aptos" w:hAnsi="Aptos" w:cstheme="minorBidi"/>
      </w:rPr>
    </w:lvl>
    <w:lvl w:ilvl="1">
      <w:start w:val="1"/>
      <w:numFmt w:val="bullet"/>
      <w:lvlText w:val="o"/>
      <w:lvlJc w:val="left"/>
      <w:pPr>
        <w:ind w:left="36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2">
    <w:nsid w:val="083C1A6C"/>
    <w:multiLevelType w:val="multilevel"/>
    <w:tmpl w:val="917E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8D0028"/>
    <w:multiLevelType w:val="multilevel"/>
    <w:tmpl w:val="5AB4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6705BF"/>
    <w:multiLevelType w:val="hybridMultilevel"/>
    <w:tmpl w:val="0D9C6B08"/>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0FF27C5"/>
    <w:multiLevelType w:val="multilevel"/>
    <w:tmpl w:val="FAA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EC5B36"/>
    <w:multiLevelType w:val="hybridMultilevel"/>
    <w:tmpl w:val="BC384F5E"/>
    <w:lvl w:ilvl="0">
      <w:start w:val="1"/>
      <w:numFmt w:val="bullet"/>
      <w:lvlText w:val=""/>
      <w:lvlJc w:val="left"/>
      <w:pPr>
        <w:ind w:left="360" w:hanging="360"/>
      </w:pPr>
      <w:rPr>
        <w:rFonts w:ascii="Symbol" w:hAnsi="Symbol" w:hint="default"/>
        <w:b w:val="0"/>
        <w:bCs w:val="0"/>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53576A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2058B8"/>
    <w:multiLevelType w:val="hybridMultilevel"/>
    <w:tmpl w:val="52C47B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E065863"/>
    <w:multiLevelType w:val="multilevel"/>
    <w:tmpl w:val="3BBA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2A06B0A"/>
    <w:multiLevelType w:val="multilevel"/>
    <w:tmpl w:val="629A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D8F59A5"/>
    <w:multiLevelType w:val="multilevel"/>
    <w:tmpl w:val="CFA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C55A53"/>
    <w:multiLevelType w:val="multilevel"/>
    <w:tmpl w:val="BECA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A96E7F"/>
    <w:multiLevelType w:val="hybridMultilevel"/>
    <w:tmpl w:val="A51E1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365203B"/>
    <w:multiLevelType w:val="hybridMultilevel"/>
    <w:tmpl w:val="BE6268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3CEC334"/>
    <w:multiLevelType w:val="hybridMultilevel"/>
    <w:tmpl w:val="9B1E4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A1E0120"/>
    <w:multiLevelType w:val="multilevel"/>
    <w:tmpl w:val="C67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9BB053B"/>
    <w:multiLevelType w:val="multilevel"/>
    <w:tmpl w:val="B4E4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0A36164"/>
    <w:multiLevelType w:val="multilevel"/>
    <w:tmpl w:val="1CC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5FC11D6"/>
    <w:multiLevelType w:val="multilevel"/>
    <w:tmpl w:val="C73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4"/>
  </w:num>
  <w:num w:numId="3">
    <w:abstractNumId w:val="6"/>
  </w:num>
  <w:num w:numId="4">
    <w:abstractNumId w:val="15"/>
  </w:num>
  <w:num w:numId="5">
    <w:abstractNumId w:val="4"/>
  </w:num>
  <w:num w:numId="6">
    <w:abstractNumId w:val="11"/>
  </w:num>
  <w:num w:numId="7">
    <w:abstractNumId w:val="18"/>
  </w:num>
  <w:num w:numId="8">
    <w:abstractNumId w:val="17"/>
  </w:num>
  <w:num w:numId="9">
    <w:abstractNumId w:val="9"/>
  </w:num>
  <w:num w:numId="10">
    <w:abstractNumId w:val="5"/>
  </w:num>
  <w:num w:numId="11">
    <w:abstractNumId w:val="13"/>
  </w:num>
  <w:num w:numId="12">
    <w:abstractNumId w:val="8"/>
  </w:num>
  <w:num w:numId="13">
    <w:abstractNumId w:val="0"/>
  </w:num>
  <w:num w:numId="14">
    <w:abstractNumId w:val="7"/>
  </w:num>
  <w:num w:numId="15">
    <w:abstractNumId w:val="2"/>
  </w:num>
  <w:num w:numId="16">
    <w:abstractNumId w:val="10"/>
  </w:num>
  <w:num w:numId="17">
    <w:abstractNumId w:val="12"/>
  </w:num>
  <w:num w:numId="18">
    <w:abstractNumId w:val="3"/>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51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E90"/>
    <w:rPr>
      <w:rFonts w:eastAsiaTheme="majorEastAsia" w:cstheme="majorBidi"/>
      <w:color w:val="272727" w:themeColor="text1" w:themeTint="D8"/>
    </w:rPr>
  </w:style>
  <w:style w:type="paragraph" w:styleId="Title">
    <w:name w:val="Title"/>
    <w:basedOn w:val="Normal"/>
    <w:next w:val="Normal"/>
    <w:link w:val="TitleChar"/>
    <w:uiPriority w:val="10"/>
    <w:qFormat/>
    <w:rsid w:val="00D51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E90"/>
    <w:pPr>
      <w:spacing w:before="160"/>
      <w:jc w:val="center"/>
    </w:pPr>
    <w:rPr>
      <w:i/>
      <w:iCs/>
      <w:color w:val="404040" w:themeColor="text1" w:themeTint="BF"/>
    </w:rPr>
  </w:style>
  <w:style w:type="character" w:customStyle="1" w:styleId="QuoteChar">
    <w:name w:val="Quote Char"/>
    <w:basedOn w:val="DefaultParagraphFont"/>
    <w:link w:val="Quote"/>
    <w:uiPriority w:val="29"/>
    <w:rsid w:val="00D51E90"/>
    <w:rPr>
      <w:i/>
      <w:iCs/>
      <w:color w:val="404040" w:themeColor="text1" w:themeTint="BF"/>
    </w:rPr>
  </w:style>
  <w:style w:type="paragraph" w:styleId="ListParagraph">
    <w:name w:val="List Paragraph"/>
    <w:basedOn w:val="Normal"/>
    <w:uiPriority w:val="34"/>
    <w:qFormat/>
    <w:rsid w:val="00D51E90"/>
    <w:pPr>
      <w:ind w:left="720"/>
      <w:contextualSpacing/>
    </w:pPr>
  </w:style>
  <w:style w:type="character" w:styleId="IntenseEmphasis">
    <w:name w:val="Intense Emphasis"/>
    <w:basedOn w:val="DefaultParagraphFont"/>
    <w:uiPriority w:val="21"/>
    <w:qFormat/>
    <w:rsid w:val="00D51E90"/>
    <w:rPr>
      <w:i/>
      <w:iCs/>
      <w:color w:val="0F4761" w:themeColor="accent1" w:themeShade="BF"/>
    </w:rPr>
  </w:style>
  <w:style w:type="paragraph" w:styleId="IntenseQuote">
    <w:name w:val="Intense Quote"/>
    <w:basedOn w:val="Normal"/>
    <w:next w:val="Normal"/>
    <w:link w:val="IntenseQuoteChar"/>
    <w:uiPriority w:val="30"/>
    <w:qFormat/>
    <w:rsid w:val="00D51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E90"/>
    <w:rPr>
      <w:i/>
      <w:iCs/>
      <w:color w:val="0F4761" w:themeColor="accent1" w:themeShade="BF"/>
    </w:rPr>
  </w:style>
  <w:style w:type="character" w:styleId="IntenseReference">
    <w:name w:val="Intense Reference"/>
    <w:basedOn w:val="DefaultParagraphFont"/>
    <w:uiPriority w:val="32"/>
    <w:qFormat/>
    <w:rsid w:val="00D51E90"/>
    <w:rPr>
      <w:b/>
      <w:bCs/>
      <w:smallCaps/>
      <w:color w:val="0F4761" w:themeColor="accent1" w:themeShade="BF"/>
      <w:spacing w:val="5"/>
    </w:rPr>
  </w:style>
  <w:style w:type="table" w:styleId="TableGrid">
    <w:name w:val="Table Grid"/>
    <w:basedOn w:val="TableNormal"/>
    <w:uiPriority w:val="39"/>
    <w:rsid w:val="00D5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48D114B8"/>
    <w:rPr>
      <w:color w:val="467886"/>
      <w:u w:val="single"/>
    </w:rPr>
  </w:style>
  <w:style w:type="character" w:styleId="CommentReference">
    <w:name w:val="annotation reference"/>
    <w:basedOn w:val="DefaultParagraphFont"/>
    <w:uiPriority w:val="99"/>
    <w:semiHidden/>
    <w:unhideWhenUsed/>
    <w:rsid w:val="00A632C1"/>
    <w:rPr>
      <w:sz w:val="16"/>
      <w:szCs w:val="16"/>
    </w:rPr>
  </w:style>
  <w:style w:type="paragraph" w:styleId="CommentText">
    <w:name w:val="annotation text"/>
    <w:basedOn w:val="Normal"/>
    <w:link w:val="CommentTextChar"/>
    <w:uiPriority w:val="99"/>
    <w:unhideWhenUsed/>
    <w:rsid w:val="00A632C1"/>
    <w:pPr>
      <w:spacing w:line="240" w:lineRule="auto"/>
    </w:pPr>
    <w:rPr>
      <w:sz w:val="20"/>
      <w:szCs w:val="20"/>
    </w:rPr>
  </w:style>
  <w:style w:type="character" w:customStyle="1" w:styleId="CommentTextChar">
    <w:name w:val="Comment Text Char"/>
    <w:basedOn w:val="DefaultParagraphFont"/>
    <w:link w:val="CommentText"/>
    <w:uiPriority w:val="99"/>
    <w:rsid w:val="00A632C1"/>
    <w:rPr>
      <w:sz w:val="20"/>
      <w:szCs w:val="20"/>
    </w:rPr>
  </w:style>
  <w:style w:type="paragraph" w:styleId="CommentSubject">
    <w:name w:val="annotation subject"/>
    <w:basedOn w:val="CommentText"/>
    <w:next w:val="CommentText"/>
    <w:link w:val="CommentSubjectChar"/>
    <w:uiPriority w:val="99"/>
    <w:semiHidden/>
    <w:unhideWhenUsed/>
    <w:rsid w:val="00A632C1"/>
    <w:rPr>
      <w:b/>
      <w:bCs/>
    </w:rPr>
  </w:style>
  <w:style w:type="character" w:customStyle="1" w:styleId="CommentSubjectChar">
    <w:name w:val="Comment Subject Char"/>
    <w:basedOn w:val="CommentTextChar"/>
    <w:link w:val="CommentSubject"/>
    <w:uiPriority w:val="99"/>
    <w:semiHidden/>
    <w:rsid w:val="00A632C1"/>
    <w:rPr>
      <w:b/>
      <w:bCs/>
      <w:sz w:val="20"/>
      <w:szCs w:val="20"/>
    </w:rPr>
  </w:style>
  <w:style w:type="character" w:customStyle="1" w:styleId="UnresolvedMention1">
    <w:name w:val="Unresolved Mention1"/>
    <w:basedOn w:val="DefaultParagraphFont"/>
    <w:uiPriority w:val="99"/>
    <w:semiHidden/>
    <w:unhideWhenUsed/>
    <w:rsid w:val="00880424"/>
    <w:rPr>
      <w:color w:val="605E5C"/>
      <w:shd w:val="clear" w:color="auto" w:fill="E1DFDD"/>
    </w:rPr>
  </w:style>
  <w:style w:type="paragraph" w:styleId="Revision">
    <w:name w:val="Revision"/>
    <w:hidden/>
    <w:uiPriority w:val="99"/>
    <w:semiHidden/>
    <w:rsid w:val="00461691"/>
    <w:pPr>
      <w:spacing w:after="0" w:line="240" w:lineRule="auto"/>
    </w:pPr>
  </w:style>
  <w:style w:type="paragraph" w:styleId="Header">
    <w:name w:val="header"/>
    <w:basedOn w:val="Normal"/>
    <w:link w:val="HeaderChar"/>
    <w:uiPriority w:val="99"/>
    <w:unhideWhenUsed/>
    <w:rsid w:val="00B62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AD5"/>
  </w:style>
  <w:style w:type="paragraph" w:styleId="Footer">
    <w:name w:val="footer"/>
    <w:basedOn w:val="Normal"/>
    <w:link w:val="FooterChar"/>
    <w:uiPriority w:val="99"/>
    <w:unhideWhenUsed/>
    <w:rsid w:val="00B62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AD5"/>
  </w:style>
  <w:style w:type="paragraph" w:customStyle="1" w:styleId="Para">
    <w:name w:val="Para"/>
    <w:basedOn w:val="Normal"/>
    <w:uiPriority w:val="19"/>
    <w:qFormat/>
    <w:rsid w:val="00D07D51"/>
    <w:pPr>
      <w:spacing w:before="160" w:line="259" w:lineRule="auto"/>
    </w:pPr>
    <w:rPr>
      <w:rFonts w:ascii="Arial" w:hAnsi="Arial"/>
      <w:kern w:val="24"/>
      <w:sz w:val="28"/>
      <w:szCs w:val="22"/>
    </w:rPr>
  </w:style>
  <w:style w:type="character" w:customStyle="1" w:styleId="Mention1">
    <w:name w:val="Mention1"/>
    <w:basedOn w:val="DefaultParagraphFont"/>
    <w:uiPriority w:val="99"/>
    <w:unhideWhenUsed/>
    <w:rsid w:val="00B56F70"/>
    <w:rPr>
      <w:color w:val="2B579A"/>
      <w:shd w:val="clear" w:color="auto" w:fill="E1DFDD"/>
    </w:rPr>
  </w:style>
  <w:style w:type="paragraph" w:styleId="NormalWeb">
    <w:name w:val="Normal (Web)"/>
    <w:basedOn w:val="Normal"/>
    <w:uiPriority w:val="99"/>
    <w:unhideWhenUsed/>
    <w:rsid w:val="00642B97"/>
    <w:pPr>
      <w:spacing w:before="100" w:beforeAutospacing="1" w:after="100" w:afterAutospacing="1" w:line="240" w:lineRule="auto"/>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TRN0070</dc:title>
  <cp:revision>0</cp:revision>
</cp:coreProperties>
</file>