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E5B97" w:rsidP="00CE5B97">
      <w:pPr>
        <w:tabs>
          <w:tab w:val="num" w:pos="720"/>
        </w:tabs>
        <w:jc w:val="center"/>
        <w:rPr>
          <w:b/>
          <w:bCs/>
          <w:sz w:val="28"/>
          <w:szCs w:val="28"/>
        </w:rPr>
      </w:pPr>
      <w:r>
        <w:rPr>
          <w:b/>
          <w:bCs/>
          <w:sz w:val="28"/>
          <w:szCs w:val="28"/>
        </w:rPr>
        <w:t xml:space="preserve">Written evidence submitted by the </w:t>
      </w:r>
      <w:r w:rsidRPr="00CE5B97">
        <w:rPr>
          <w:b/>
          <w:bCs/>
          <w:sz w:val="28"/>
          <w:szCs w:val="28"/>
        </w:rPr>
        <w:t>Leverhulme Centre for Wildfires, Environment and Society</w:t>
      </w:r>
      <w:r>
        <w:rPr>
          <w:b/>
          <w:bCs/>
          <w:sz w:val="28"/>
          <w:szCs w:val="28"/>
        </w:rPr>
        <w:t xml:space="preserve"> (CWR0254)</w:t>
      </w:r>
    </w:p>
    <w:p w:rsidR="00CE5B97" w:rsidP="00493558">
      <w:pPr>
        <w:tabs>
          <w:tab w:val="num" w:pos="720"/>
        </w:tabs>
        <w:rPr>
          <w:b/>
          <w:bCs/>
          <w:sz w:val="28"/>
          <w:szCs w:val="28"/>
        </w:rPr>
      </w:pPr>
    </w:p>
    <w:p w:rsidR="00493558" w:rsidP="00493558">
      <w:pPr>
        <w:tabs>
          <w:tab w:val="num" w:pos="720"/>
        </w:tabs>
        <w:rPr>
          <w:b/>
          <w:bCs/>
          <w:sz w:val="28"/>
          <w:szCs w:val="28"/>
        </w:rPr>
      </w:pPr>
      <w:r w:rsidRPr="00493558">
        <w:rPr>
          <w:b/>
          <w:bCs/>
          <w:sz w:val="28"/>
          <w:szCs w:val="28"/>
        </w:rPr>
        <w:t>Environment, Food and Rural Affairs Committee 'Wildfire risk and response' inquiry</w:t>
      </w:r>
    </w:p>
    <w:p w:rsidR="00493558" w:rsidP="00493558">
      <w:pPr>
        <w:tabs>
          <w:tab w:val="num" w:pos="720"/>
        </w:tabs>
        <w:rPr>
          <w:i/>
          <w:iCs/>
          <w:sz w:val="24"/>
          <w:szCs w:val="24"/>
        </w:rPr>
      </w:pPr>
      <w:r w:rsidRPr="00493558">
        <w:rPr>
          <w:i/>
          <w:iCs/>
          <w:sz w:val="24"/>
          <w:szCs w:val="24"/>
        </w:rPr>
        <w:t>Response from the Leverhulme Centre for Wildfires, Environment and Society</w:t>
      </w:r>
    </w:p>
    <w:p w:rsidR="005211A8" w:rsidP="00493558">
      <w:pPr>
        <w:tabs>
          <w:tab w:val="num" w:pos="720"/>
        </w:tabs>
        <w:rPr>
          <w:rFonts w:cstheme="minorHAnsi"/>
          <w:i/>
          <w:iCs/>
        </w:rPr>
      </w:pPr>
      <w:r>
        <w:rPr>
          <w:rFonts w:cstheme="minorHAnsi"/>
          <w:i/>
          <w:iCs/>
        </w:rPr>
        <w:t>May 2026</w:t>
      </w:r>
    </w:p>
    <w:p w:rsidR="00C00AD9" w:rsidRPr="00EF44D4" w:rsidP="00493558">
      <w:pPr>
        <w:tabs>
          <w:tab w:val="num" w:pos="720"/>
        </w:tabs>
        <w:rPr>
          <w:rFonts w:cstheme="minorHAnsi"/>
          <w:i/>
          <w:iCs/>
        </w:rPr>
      </w:pPr>
    </w:p>
    <w:p w:rsidR="00114A12" w:rsidRPr="00EF44D4" w:rsidP="00114A12">
      <w:pPr>
        <w:pStyle w:val="ListParagraph"/>
        <w:numPr>
          <w:ilvl w:val="0"/>
          <w:numId w:val="18"/>
        </w:numPr>
        <w:rPr>
          <w:rFonts w:cstheme="minorHAnsi"/>
        </w:rPr>
      </w:pPr>
      <w:r w:rsidRPr="00EF44D4">
        <w:rPr>
          <w:rFonts w:cstheme="minorHAnsi"/>
          <w:b/>
          <w:bCs/>
        </w:rPr>
        <w:t>How can land management techniques be best used at a regional level to prevent and control wildfires whilst balancing the needs of different land users? What evidence-gaps are there and how can they be filled?</w:t>
      </w:r>
    </w:p>
    <w:p w:rsidR="00244B82" w:rsidRPr="00EF44D4" w:rsidP="0003700E">
      <w:pPr>
        <w:rPr>
          <w:rFonts w:cstheme="minorHAnsi"/>
        </w:rPr>
      </w:pPr>
      <w:r w:rsidRPr="00EF44D4">
        <w:rPr>
          <w:rFonts w:cstheme="minorHAnsi"/>
        </w:rPr>
        <w:t xml:space="preserve">There is empirical evidence that individual land management techniques can reduce wildfire severity at local scales, though this evidence is largely derived from site-specific studies. </w:t>
      </w:r>
      <w:r w:rsidRPr="00EF44D4" w:rsidR="00B004FC">
        <w:rPr>
          <w:rFonts w:cstheme="minorHAnsi"/>
        </w:rPr>
        <w:t xml:space="preserve"> R</w:t>
      </w:r>
      <w:r w:rsidRPr="00EF44D4">
        <w:rPr>
          <w:rFonts w:cstheme="minorHAnsi"/>
        </w:rPr>
        <w:t xml:space="preserve">obust evidence on their effectiveness at landscape and regional scales in the UK remains limited and highly </w:t>
      </w:r>
      <w:r w:rsidRPr="00EF44D4">
        <w:rPr>
          <w:rFonts w:cstheme="minorHAnsi"/>
        </w:rPr>
        <w:t>context-dependent</w:t>
      </w:r>
      <w:r w:rsidRPr="00EF44D4">
        <w:rPr>
          <w:rFonts w:cstheme="minorHAnsi"/>
        </w:rPr>
        <w:t>. For example, the success of peatland re-wetting varies significantly with local hydrology, geomorphology and soil structure, limiting transferability between sites.</w:t>
      </w:r>
    </w:p>
    <w:p w:rsidR="00114A12" w:rsidRPr="00EF44D4" w:rsidP="0003700E">
      <w:pPr>
        <w:rPr>
          <w:rFonts w:cstheme="minorHAnsi"/>
        </w:rPr>
      </w:pPr>
      <w:r w:rsidRPr="00EF44D4">
        <w:rPr>
          <w:rFonts w:cstheme="minorHAnsi"/>
        </w:rPr>
        <w:t xml:space="preserve">At a regional level, a mosaic approach to land use, combining varied vegetation types and management regimes, can reduce fuel continuity and help moderate fire behaviour. Strategic fire breaks, often informed by local knowledge but implemented at scale (e.g. via roads, paths and access corridors), can support both wildfire risk reduction and the needs of multiple land users, </w:t>
      </w:r>
      <w:r w:rsidRPr="00EF44D4" w:rsidR="00F80444">
        <w:rPr>
          <w:rFonts w:cstheme="minorHAnsi"/>
        </w:rPr>
        <w:t>aligned with Forestry Commission guidance on incorporating wildfire resilience into forest management planning, including the use of fuel management, access infrastructure and landscape design measures (Forestry Commission, 2014).</w:t>
      </w:r>
    </w:p>
    <w:p w:rsidR="0003700E" w:rsidRPr="00EF44D4" w:rsidP="0003700E">
      <w:pPr>
        <w:rPr>
          <w:rFonts w:cstheme="minorHAnsi"/>
        </w:rPr>
      </w:pPr>
      <w:r w:rsidRPr="00EF44D4">
        <w:rPr>
          <w:rFonts w:cstheme="minorHAnsi"/>
        </w:rPr>
        <w:t>Significant evidence gaps remain, including:</w:t>
      </w:r>
    </w:p>
    <w:p w:rsidR="0003700E" w:rsidRPr="00EF44D4" w:rsidP="0003700E">
      <w:pPr>
        <w:pStyle w:val="ListParagraph"/>
        <w:numPr>
          <w:ilvl w:val="0"/>
          <w:numId w:val="19"/>
        </w:numPr>
        <w:rPr>
          <w:rFonts w:cstheme="minorHAnsi"/>
        </w:rPr>
      </w:pPr>
      <w:r w:rsidRPr="00EF44D4">
        <w:rPr>
          <w:rFonts w:cstheme="minorHAnsi"/>
        </w:rPr>
        <w:t>Comparative effectiveness of fuel treatments (e.g. prescribed burning, grazing, mechanical thinning) under UK conditions;</w:t>
      </w:r>
    </w:p>
    <w:p w:rsidR="0003700E" w:rsidRPr="00EF44D4" w:rsidP="0003700E">
      <w:pPr>
        <w:pStyle w:val="ListParagraph"/>
        <w:numPr>
          <w:ilvl w:val="0"/>
          <w:numId w:val="19"/>
        </w:numPr>
        <w:rPr>
          <w:rFonts w:cstheme="minorHAnsi"/>
        </w:rPr>
      </w:pPr>
      <w:r w:rsidRPr="00EF44D4">
        <w:rPr>
          <w:rFonts w:cstheme="minorHAnsi"/>
        </w:rPr>
        <w:t>Fire behaviour across UK-specific ecosystems, particularly under increasingly frequent hot and dry conditions;</w:t>
      </w:r>
    </w:p>
    <w:p w:rsidR="0003700E" w:rsidRPr="00EF44D4" w:rsidP="0003700E">
      <w:pPr>
        <w:pStyle w:val="ListParagraph"/>
        <w:numPr>
          <w:ilvl w:val="0"/>
          <w:numId w:val="19"/>
        </w:numPr>
        <w:rPr>
          <w:rFonts w:cstheme="minorHAnsi"/>
        </w:rPr>
      </w:pPr>
      <w:r w:rsidRPr="00EF44D4">
        <w:rPr>
          <w:rFonts w:cstheme="minorHAnsi"/>
        </w:rPr>
        <w:t>Interactions between land management, climate change and fuel dynamics.</w:t>
      </w:r>
    </w:p>
    <w:p w:rsidR="00BE7919" w:rsidRPr="00EF44D4" w:rsidP="0003700E">
      <w:pPr>
        <w:rPr>
          <w:rFonts w:cstheme="minorHAnsi"/>
        </w:rPr>
      </w:pPr>
      <w:r w:rsidRPr="00EF44D4">
        <w:rPr>
          <w:rFonts w:cstheme="minorHAnsi"/>
        </w:rPr>
        <w:t>These challenges are consistent with those identified in UK wildfire policy and research, including a limited evidence base, fragmented responsibilities, and a continued emphasis on suppression within existing approaches (McMorrow et al., 2016). Existing policy frameworks, including the National Adaptation Programme 3</w:t>
      </w:r>
      <w:r w:rsidRPr="00EF44D4" w:rsidR="009E2B34">
        <w:rPr>
          <w:rFonts w:cstheme="minorHAnsi"/>
        </w:rPr>
        <w:t xml:space="preserve"> (NAP3)</w:t>
      </w:r>
      <w:r w:rsidRPr="00EF44D4">
        <w:rPr>
          <w:rFonts w:cstheme="minorHAnsi"/>
        </w:rPr>
        <w:t xml:space="preserve"> (Annex 1), recognise wildfire as an increasing climate risk, but further development is needed to support effective and coordinated implementation at regional scales.</w:t>
      </w:r>
    </w:p>
    <w:p w:rsidR="00114A12" w:rsidRPr="00EF44D4" w:rsidP="0003700E">
      <w:pPr>
        <w:rPr>
          <w:rFonts w:cstheme="minorHAnsi"/>
        </w:rPr>
      </w:pPr>
      <w:r w:rsidRPr="00EF44D4">
        <w:rPr>
          <w:rFonts w:cstheme="minorHAnsi"/>
        </w:rPr>
        <w:t>Land management activities can also contribute to response capacity by maintaining skilled personnel, access infrastructure and equipment, helping to reduce time between detection and initial response.</w:t>
      </w:r>
    </w:p>
    <w:p w:rsidR="00114A12" w:rsidRPr="00EF44D4" w:rsidP="00114A12">
      <w:pPr>
        <w:pStyle w:val="ListParagraph"/>
        <w:rPr>
          <w:rFonts w:cstheme="minorHAnsi"/>
        </w:rPr>
      </w:pPr>
    </w:p>
    <w:p w:rsidR="00114A12" w:rsidRPr="00EF44D4" w:rsidP="00114A12">
      <w:pPr>
        <w:pStyle w:val="ListParagraph"/>
        <w:numPr>
          <w:ilvl w:val="0"/>
          <w:numId w:val="18"/>
        </w:numPr>
        <w:rPr>
          <w:rFonts w:cstheme="minorHAnsi"/>
          <w:b/>
          <w:bCs/>
        </w:rPr>
      </w:pPr>
      <w:r w:rsidRPr="00EF44D4">
        <w:rPr>
          <w:rFonts w:cstheme="minorHAnsi"/>
          <w:b/>
          <w:bCs/>
        </w:rPr>
        <w:t>What role do nature-based solutions, such as improving biodiversity and more resilient landscapes, have in the prevention and control of wildfires?</w:t>
      </w:r>
    </w:p>
    <w:p w:rsidR="009A0E54" w:rsidRPr="00EF44D4" w:rsidP="009F3F76">
      <w:pPr>
        <w:pStyle w:val="NormalWeb"/>
        <w:spacing w:line="300" w:lineRule="atLeast"/>
        <w:rPr>
          <w:rFonts w:asciiTheme="minorHAnsi" w:eastAsiaTheme="minorHAnsi" w:hAnsiTheme="minorHAnsi" w:cstheme="minorHAnsi"/>
          <w:sz w:val="22"/>
          <w:szCs w:val="22"/>
          <w:lang w:eastAsia="en-US"/>
        </w:rPr>
      </w:pPr>
      <w:r w:rsidRPr="00EF44D4">
        <w:rPr>
          <w:rFonts w:asciiTheme="minorHAnsi" w:eastAsiaTheme="minorHAnsi" w:hAnsiTheme="minorHAnsi" w:cstheme="minorHAnsi"/>
          <w:sz w:val="22"/>
          <w:szCs w:val="22"/>
          <w:lang w:eastAsia="en-US"/>
        </w:rPr>
        <w:t>Nature-based solutions (</w:t>
      </w:r>
      <w:r w:rsidRPr="00EF44D4">
        <w:rPr>
          <w:rFonts w:asciiTheme="minorHAnsi" w:eastAsiaTheme="minorHAnsi" w:hAnsiTheme="minorHAnsi" w:cstheme="minorHAnsi"/>
          <w:sz w:val="22"/>
          <w:szCs w:val="22"/>
          <w:lang w:eastAsia="en-US"/>
        </w:rPr>
        <w:t>NbS</w:t>
      </w:r>
      <w:r w:rsidRPr="00EF44D4">
        <w:rPr>
          <w:rFonts w:asciiTheme="minorHAnsi" w:eastAsiaTheme="minorHAnsi" w:hAnsiTheme="minorHAnsi" w:cstheme="minorHAnsi"/>
          <w:sz w:val="22"/>
          <w:szCs w:val="22"/>
          <w:lang w:eastAsia="en-US"/>
        </w:rPr>
        <w:t xml:space="preserve">) have the potential to contribute to wildfire risk mitigation, particularly through protection of lands through re-wetting, </w:t>
      </w:r>
      <w:r w:rsidRPr="00EF44D4">
        <w:rPr>
          <w:rFonts w:asciiTheme="minorHAnsi" w:eastAsiaTheme="minorHAnsi" w:hAnsiTheme="minorHAnsi" w:cstheme="minorHAnsi"/>
          <w:sz w:val="22"/>
          <w:szCs w:val="22"/>
          <w:lang w:eastAsia="en-US"/>
        </w:rPr>
        <w:t>where</w:t>
      </w:r>
      <w:r w:rsidRPr="00EF44D4">
        <w:rPr>
          <w:rFonts w:asciiTheme="minorHAnsi" w:eastAsiaTheme="minorHAnsi" w:hAnsiTheme="minorHAnsi" w:cstheme="minorHAnsi"/>
          <w:sz w:val="22"/>
          <w:szCs w:val="22"/>
          <w:lang w:eastAsia="en-US"/>
        </w:rPr>
        <w:t xml:space="preserve"> successful. </w:t>
      </w:r>
      <w:r w:rsidRPr="00EF44D4">
        <w:rPr>
          <w:rFonts w:asciiTheme="minorHAnsi" w:eastAsiaTheme="minorHAnsi" w:hAnsiTheme="minorHAnsi" w:cstheme="minorHAnsi"/>
          <w:sz w:val="22"/>
          <w:szCs w:val="22"/>
          <w:lang w:eastAsia="en-US"/>
        </w:rPr>
        <w:t>NbS</w:t>
      </w:r>
      <w:r w:rsidRPr="00EF44D4">
        <w:rPr>
          <w:rFonts w:asciiTheme="minorHAnsi" w:eastAsiaTheme="minorHAnsi" w:hAnsiTheme="minorHAnsi" w:cstheme="minorHAnsi"/>
          <w:sz w:val="22"/>
          <w:szCs w:val="22"/>
          <w:lang w:eastAsia="en-US"/>
        </w:rPr>
        <w:t xml:space="preserve"> can alter vegetation structure and reduce both vertical and horizontal fuel continuity (fuel ladders), especially once established. Adaptive forestry, grazing and ecosystem restoration can reduce fuel loads and create more heterogeneous landscapes, which is associated with lower fire intensity and reduced rates of spread (European Environment Agency, 2025). There are a small number of case examples of </w:t>
      </w:r>
      <w:r w:rsidRPr="00EF44D4">
        <w:rPr>
          <w:rFonts w:asciiTheme="minorHAnsi" w:eastAsiaTheme="minorHAnsi" w:hAnsiTheme="minorHAnsi" w:cstheme="minorHAnsi"/>
          <w:sz w:val="22"/>
          <w:szCs w:val="22"/>
          <w:lang w:eastAsia="en-US"/>
        </w:rPr>
        <w:t>NbS</w:t>
      </w:r>
      <w:r w:rsidRPr="00EF44D4">
        <w:rPr>
          <w:rFonts w:asciiTheme="minorHAnsi" w:eastAsiaTheme="minorHAnsi" w:hAnsiTheme="minorHAnsi" w:cstheme="minorHAnsi"/>
          <w:sz w:val="22"/>
          <w:szCs w:val="22"/>
          <w:lang w:eastAsia="en-US"/>
        </w:rPr>
        <w:t xml:space="preserve"> projects reducing wildfire risks in the UK.</w:t>
      </w:r>
    </w:p>
    <w:p w:rsidR="00510F86" w:rsidRPr="00EF44D4" w:rsidP="009F3F76">
      <w:pPr>
        <w:pStyle w:val="NormalWeb"/>
        <w:spacing w:line="300" w:lineRule="atLeast"/>
        <w:rPr>
          <w:rFonts w:asciiTheme="minorHAnsi" w:eastAsiaTheme="minorHAnsi" w:hAnsiTheme="minorHAnsi" w:cstheme="minorHAnsi"/>
          <w:sz w:val="22"/>
          <w:szCs w:val="22"/>
          <w:lang w:eastAsia="en-US"/>
        </w:rPr>
      </w:pPr>
      <w:r w:rsidRPr="00EF44D4">
        <w:rPr>
          <w:rFonts w:asciiTheme="minorHAnsi" w:eastAsiaTheme="minorHAnsi" w:hAnsiTheme="minorHAnsi" w:cstheme="minorHAnsi"/>
          <w:sz w:val="22"/>
          <w:szCs w:val="22"/>
          <w:lang w:eastAsia="en-US"/>
        </w:rPr>
        <w:t xml:space="preserve">However, concern remains within the fire management community regarding the expansion of </w:t>
      </w:r>
      <w:r w:rsidRPr="00EF44D4">
        <w:rPr>
          <w:rFonts w:asciiTheme="minorHAnsi" w:eastAsiaTheme="minorHAnsi" w:hAnsiTheme="minorHAnsi" w:cstheme="minorHAnsi"/>
          <w:sz w:val="22"/>
          <w:szCs w:val="22"/>
          <w:lang w:eastAsia="en-US"/>
        </w:rPr>
        <w:t>NbS</w:t>
      </w:r>
      <w:r w:rsidRPr="00EF44D4">
        <w:rPr>
          <w:rFonts w:asciiTheme="minorHAnsi" w:eastAsiaTheme="minorHAnsi" w:hAnsiTheme="minorHAnsi" w:cstheme="minorHAnsi"/>
          <w:sz w:val="22"/>
          <w:szCs w:val="22"/>
          <w:lang w:eastAsia="en-US"/>
        </w:rPr>
        <w:t xml:space="preserve"> without adequate integration of wildfire risk assessment and mitigation. Unmanaged, dry and flammable vegetation associated with rewilding or poorly implemented </w:t>
      </w:r>
      <w:r w:rsidRPr="00EF44D4">
        <w:rPr>
          <w:rFonts w:asciiTheme="minorHAnsi" w:eastAsiaTheme="minorHAnsi" w:hAnsiTheme="minorHAnsi" w:cstheme="minorHAnsi"/>
          <w:sz w:val="22"/>
          <w:szCs w:val="22"/>
          <w:lang w:eastAsia="en-US"/>
        </w:rPr>
        <w:t>NbS</w:t>
      </w:r>
      <w:r w:rsidRPr="00EF44D4">
        <w:rPr>
          <w:rFonts w:asciiTheme="minorHAnsi" w:eastAsiaTheme="minorHAnsi" w:hAnsiTheme="minorHAnsi" w:cstheme="minorHAnsi"/>
          <w:sz w:val="22"/>
          <w:szCs w:val="22"/>
          <w:lang w:eastAsia="en-US"/>
        </w:rPr>
        <w:t xml:space="preserve"> can increase fuel availability, exacerbating risks under fire weather conditions, particularly in early stages of implementation.</w:t>
      </w:r>
    </w:p>
    <w:p w:rsidR="006478F0" w:rsidRPr="00EF44D4" w:rsidP="005211A8">
      <w:pPr>
        <w:pStyle w:val="NormalWeb"/>
        <w:spacing w:line="300" w:lineRule="atLeast"/>
        <w:rPr>
          <w:rFonts w:asciiTheme="minorHAnsi" w:eastAsiaTheme="minorHAnsi" w:hAnsiTheme="minorHAnsi" w:cstheme="minorHAnsi"/>
          <w:sz w:val="22"/>
          <w:szCs w:val="22"/>
          <w:lang w:eastAsia="en-US"/>
        </w:rPr>
      </w:pPr>
      <w:r w:rsidRPr="00EF44D4">
        <w:rPr>
          <w:rFonts w:asciiTheme="minorHAnsi" w:eastAsiaTheme="minorHAnsi" w:hAnsiTheme="minorHAnsi" w:cstheme="minorHAnsi"/>
          <w:sz w:val="22"/>
          <w:szCs w:val="22"/>
          <w:lang w:eastAsia="en-US"/>
        </w:rPr>
        <w:t xml:space="preserve">Enhancing biodiversity and promoting structurally diverse ecosystems can reduce wildfire risk by creating heterogeneous fuel mosaics and moderating microclimatic conditions. Fuel heterogeneity and patchy burn patterns influence fuel accumulation and fire behaviour and may contribute to moderating fire spread under certain conditions (Steel, 2023; Gibson, 2024). </w:t>
      </w:r>
      <w:r w:rsidRPr="00EF44D4">
        <w:rPr>
          <w:rFonts w:asciiTheme="minorHAnsi" w:eastAsiaTheme="minorHAnsi" w:hAnsiTheme="minorHAnsi" w:cstheme="minorHAnsi"/>
          <w:sz w:val="22"/>
          <w:szCs w:val="22"/>
          <w:lang w:eastAsia="en-US"/>
        </w:rPr>
        <w:t>NbS</w:t>
      </w:r>
      <w:r w:rsidRPr="00EF44D4">
        <w:rPr>
          <w:rFonts w:asciiTheme="minorHAnsi" w:eastAsiaTheme="minorHAnsi" w:hAnsiTheme="minorHAnsi" w:cstheme="minorHAnsi"/>
          <w:sz w:val="22"/>
          <w:szCs w:val="22"/>
          <w:lang w:eastAsia="en-US"/>
        </w:rPr>
        <w:t xml:space="preserve"> approaches such as mixed-species forestry, agroforestry and landscape mosaics are recognised as tools for reducing fire risk while delivering co-benefits for biodiversity and ecosystem services (European Environment Agency, 2025). However, these benefits are highly dependent on local design and management.</w:t>
      </w:r>
    </w:p>
    <w:p w:rsidR="00E411C8" w:rsidRPr="00EF44D4" w:rsidP="009F3F76">
      <w:pPr>
        <w:pStyle w:val="NormalWeb"/>
        <w:spacing w:line="300" w:lineRule="atLeast"/>
        <w:rPr>
          <w:rFonts w:asciiTheme="minorHAnsi" w:eastAsiaTheme="minorHAnsi" w:hAnsiTheme="minorHAnsi" w:cstheme="minorHAnsi"/>
          <w:sz w:val="22"/>
          <w:szCs w:val="22"/>
          <w:lang w:eastAsia="en-US"/>
        </w:rPr>
      </w:pPr>
      <w:r w:rsidRPr="00EF44D4">
        <w:rPr>
          <w:rFonts w:asciiTheme="minorHAnsi" w:eastAsiaTheme="minorHAnsi" w:hAnsiTheme="minorHAnsi" w:cstheme="minorHAnsi"/>
          <w:sz w:val="22"/>
          <w:szCs w:val="22"/>
          <w:lang w:eastAsia="en-US"/>
        </w:rPr>
        <w:t xml:space="preserve">Peatland restoration and re-wetting are particularly relevant </w:t>
      </w:r>
      <w:r w:rsidRPr="00EF44D4">
        <w:rPr>
          <w:rFonts w:asciiTheme="minorHAnsi" w:eastAsiaTheme="minorHAnsi" w:hAnsiTheme="minorHAnsi" w:cstheme="minorHAnsi"/>
          <w:sz w:val="22"/>
          <w:szCs w:val="22"/>
          <w:lang w:eastAsia="en-US"/>
        </w:rPr>
        <w:t>NbS</w:t>
      </w:r>
      <w:r w:rsidRPr="00EF44D4">
        <w:rPr>
          <w:rFonts w:asciiTheme="minorHAnsi" w:eastAsiaTheme="minorHAnsi" w:hAnsiTheme="minorHAnsi" w:cstheme="minorHAnsi"/>
          <w:sz w:val="22"/>
          <w:szCs w:val="22"/>
          <w:lang w:eastAsia="en-US"/>
        </w:rPr>
        <w:t xml:space="preserve"> interventions in the UK context. Maintaining high water tables reduces the likelihood of deep-burning fires and associated carbon emissions. Although peatlands account for a relatively small proportion of burned area, they contribute disproportionately to wildfire-related carbon emissions (Pellegrini et al., 2025). Re-wetting degraded peatlands has been identified as a key strategy for increasing wildfire resilience by reducing fuel dryness and limiting sustained combustion (IUCN UK Peatland Programme, 2024). However, effectiveness is highly site-specific, depending on geomorphology, hydrology and vegetation dynamics, and there remains uncertainty in applying uniform approaches across</w:t>
      </w:r>
      <w:r w:rsidRPr="00EF44D4" w:rsidR="00042E37">
        <w:rPr>
          <w:rFonts w:asciiTheme="minorHAnsi" w:eastAsiaTheme="minorHAnsi" w:hAnsiTheme="minorHAnsi" w:cstheme="minorHAnsi"/>
          <w:sz w:val="22"/>
          <w:szCs w:val="22"/>
          <w:lang w:eastAsia="en-US"/>
        </w:rPr>
        <w:t xml:space="preserve"> </w:t>
      </w:r>
      <w:r w:rsidRPr="00EF44D4" w:rsidR="00515215">
        <w:rPr>
          <w:rFonts w:asciiTheme="minorHAnsi" w:eastAsiaTheme="minorHAnsi" w:hAnsiTheme="minorHAnsi" w:cstheme="minorHAnsi"/>
          <w:sz w:val="22"/>
          <w:szCs w:val="22"/>
          <w:lang w:eastAsia="en-US"/>
        </w:rPr>
        <w:t>heterogeneous</w:t>
      </w:r>
      <w:r w:rsidRPr="00EF44D4">
        <w:rPr>
          <w:rFonts w:asciiTheme="minorHAnsi" w:eastAsiaTheme="minorHAnsi" w:hAnsiTheme="minorHAnsi" w:cstheme="minorHAnsi"/>
          <w:sz w:val="22"/>
          <w:szCs w:val="22"/>
          <w:lang w:eastAsia="en-US"/>
        </w:rPr>
        <w:t xml:space="preserve"> upland landscapes (Heinemeyer et al., 2026).</w:t>
      </w:r>
    </w:p>
    <w:p w:rsidR="009F3F76" w:rsidRPr="00EF44D4" w:rsidP="009F3F76">
      <w:pPr>
        <w:pStyle w:val="NormalWeb"/>
        <w:spacing w:line="300" w:lineRule="atLeast"/>
        <w:rPr>
          <w:rFonts w:asciiTheme="minorHAnsi" w:eastAsiaTheme="minorHAnsi" w:hAnsiTheme="minorHAnsi" w:cstheme="minorHAnsi"/>
          <w:sz w:val="22"/>
          <w:szCs w:val="22"/>
          <w:lang w:eastAsia="en-US"/>
        </w:rPr>
      </w:pPr>
      <w:r w:rsidRPr="00EF44D4">
        <w:rPr>
          <w:rFonts w:asciiTheme="minorHAnsi" w:eastAsiaTheme="minorHAnsi" w:hAnsiTheme="minorHAnsi" w:cstheme="minorHAnsi"/>
          <w:sz w:val="22"/>
          <w:szCs w:val="22"/>
          <w:lang w:eastAsia="en-US"/>
        </w:rPr>
        <w:t xml:space="preserve">Grazing also warrants consideration within </w:t>
      </w:r>
      <w:r w:rsidRPr="00EF44D4">
        <w:rPr>
          <w:rFonts w:asciiTheme="minorHAnsi" w:eastAsiaTheme="minorHAnsi" w:hAnsiTheme="minorHAnsi" w:cstheme="minorHAnsi"/>
          <w:sz w:val="22"/>
          <w:szCs w:val="22"/>
          <w:lang w:eastAsia="en-US"/>
        </w:rPr>
        <w:t>NbS</w:t>
      </w:r>
      <w:r w:rsidRPr="00EF44D4">
        <w:rPr>
          <w:rFonts w:asciiTheme="minorHAnsi" w:eastAsiaTheme="minorHAnsi" w:hAnsiTheme="minorHAnsi" w:cstheme="minorHAnsi"/>
          <w:sz w:val="22"/>
          <w:szCs w:val="22"/>
          <w:lang w:eastAsia="en-US"/>
        </w:rPr>
        <w:t xml:space="preserve"> frameworks. Reductions in grazing intensity and land abandonment have contributed to increased fuel accumulation, particularly fine fuels such as grasses. Evidence from UK wildfire practitioners and European studies suggests that well-managed grazing can reduce biomass and fuel continuity (European Commission, 2024; Xu et al., 2026). Effects are highly context-dependent and influenced by livestock type and management. For example, in upland systems, native cattle breeds may be more effective at reducing older, more flammable vegetation than sheep. Poorly managed or excessive grazing can, however, degrade ecosystems and should be applied carefully.</w:t>
      </w:r>
    </w:p>
    <w:p w:rsidR="009C7C22" w:rsidRPr="00EF44D4" w:rsidP="00BD4DE0">
      <w:pPr>
        <w:pStyle w:val="NormalWeb"/>
        <w:spacing w:line="300" w:lineRule="atLeast"/>
        <w:rPr>
          <w:rFonts w:asciiTheme="minorHAnsi" w:eastAsiaTheme="minorHAnsi" w:hAnsiTheme="minorHAnsi" w:cstheme="minorHAnsi"/>
          <w:sz w:val="22"/>
          <w:szCs w:val="22"/>
          <w:lang w:eastAsia="en-US"/>
        </w:rPr>
      </w:pPr>
      <w:r w:rsidRPr="00EF44D4">
        <w:rPr>
          <w:rFonts w:asciiTheme="minorHAnsi" w:eastAsiaTheme="minorHAnsi" w:hAnsiTheme="minorHAnsi" w:cstheme="minorHAnsi"/>
          <w:sz w:val="22"/>
          <w:szCs w:val="22"/>
          <w:lang w:eastAsia="en-US"/>
        </w:rPr>
        <w:t xml:space="preserve">Overall, </w:t>
      </w:r>
      <w:r w:rsidRPr="00EF44D4">
        <w:rPr>
          <w:rFonts w:asciiTheme="minorHAnsi" w:eastAsiaTheme="minorHAnsi" w:hAnsiTheme="minorHAnsi" w:cstheme="minorHAnsi"/>
          <w:sz w:val="22"/>
          <w:szCs w:val="22"/>
          <w:lang w:eastAsia="en-US"/>
        </w:rPr>
        <w:t>NbS</w:t>
      </w:r>
      <w:r w:rsidRPr="00EF44D4">
        <w:rPr>
          <w:rFonts w:asciiTheme="minorHAnsi" w:eastAsiaTheme="minorHAnsi" w:hAnsiTheme="minorHAnsi" w:cstheme="minorHAnsi"/>
          <w:sz w:val="22"/>
          <w:szCs w:val="22"/>
          <w:lang w:eastAsia="en-US"/>
        </w:rPr>
        <w:t xml:space="preserve"> provide a promising pathway for shifting wildfire management from reactive suppression towards proactive, landscape-scale risk reduction. However, effectiveness depends on careful design, active management, and integration with wider wildfire risk management strategies. Poorly implemented or unmanaged approaches can inadvertently increase wildfire risk.</w:t>
      </w:r>
    </w:p>
    <w:p w:rsidR="00114A12" w:rsidRPr="00EF44D4" w:rsidP="00114A12">
      <w:pPr>
        <w:pStyle w:val="ListParagraph"/>
        <w:rPr>
          <w:rFonts w:cstheme="minorHAnsi"/>
        </w:rPr>
      </w:pPr>
    </w:p>
    <w:p w:rsidR="00B832DF" w:rsidRPr="00EF44D4" w:rsidP="00B832DF">
      <w:pPr>
        <w:pStyle w:val="ListParagraph"/>
        <w:numPr>
          <w:ilvl w:val="0"/>
          <w:numId w:val="18"/>
        </w:numPr>
        <w:rPr>
          <w:rFonts w:cstheme="minorHAnsi"/>
        </w:rPr>
      </w:pPr>
      <w:r w:rsidRPr="00EF44D4">
        <w:rPr>
          <w:rFonts w:cstheme="minorHAnsi"/>
          <w:b/>
          <w:bCs/>
        </w:rPr>
        <w:t>How best can Defra funding schemes be used to support land managers to adapt to the increased risk of wildfires?</w:t>
      </w:r>
    </w:p>
    <w:p w:rsidR="00F37CAB" w:rsidRPr="00EF44D4" w:rsidP="00E16751">
      <w:pPr>
        <w:pStyle w:val="ListParagraph"/>
        <w:rPr>
          <w:rFonts w:cstheme="minorHAnsi"/>
        </w:rPr>
      </w:pPr>
    </w:p>
    <w:p w:rsidR="00470623" w:rsidRPr="00EF44D4" w:rsidP="00470623">
      <w:pPr>
        <w:rPr>
          <w:rFonts w:cstheme="minorHAnsi"/>
        </w:rPr>
      </w:pPr>
      <w:r w:rsidRPr="00EF44D4">
        <w:rPr>
          <w:rFonts w:cstheme="minorHAnsi"/>
        </w:rPr>
        <w:t>Defra funding schemes can support adaptation to increasing wildfire risk by:</w:t>
      </w:r>
    </w:p>
    <w:p w:rsidR="00A43AED" w:rsidRPr="00EF44D4" w:rsidP="00312605">
      <w:pPr>
        <w:pStyle w:val="ListParagraph"/>
        <w:numPr>
          <w:ilvl w:val="0"/>
          <w:numId w:val="20"/>
        </w:numPr>
        <w:spacing w:after="0" w:line="300" w:lineRule="atLeast"/>
        <w:rPr>
          <w:rFonts w:cstheme="minorHAnsi"/>
        </w:rPr>
      </w:pPr>
      <w:r w:rsidRPr="00EF44D4">
        <w:rPr>
          <w:rFonts w:cstheme="minorHAnsi"/>
        </w:rPr>
        <w:t>Incentivising land management practices that explicitly reduce wildfire risk, including through Countryside Stewardship and related schemes;</w:t>
      </w:r>
    </w:p>
    <w:p w:rsidR="00A43AED" w:rsidRPr="00EF44D4" w:rsidP="00470623">
      <w:pPr>
        <w:pStyle w:val="ListParagraph"/>
        <w:numPr>
          <w:ilvl w:val="0"/>
          <w:numId w:val="20"/>
        </w:numPr>
        <w:rPr>
          <w:rFonts w:cstheme="minorHAnsi"/>
        </w:rPr>
      </w:pPr>
      <w:r w:rsidRPr="00EF44D4">
        <w:rPr>
          <w:rFonts w:cstheme="minorHAnsi"/>
        </w:rPr>
        <w:t>Supporting targeted grazing interventions for wildfire risk reduction, including incentivising appropriate livestock types and native breeds (e.g. cattle in upland systems) where these are effective at reducing flammable vegetation</w:t>
      </w:r>
      <w:r w:rsidRPr="00EF44D4" w:rsidR="00F160BE">
        <w:rPr>
          <w:rFonts w:cstheme="minorHAnsi"/>
        </w:rPr>
        <w:t>;</w:t>
      </w:r>
    </w:p>
    <w:p w:rsidR="00A43AED" w:rsidRPr="00EF44D4" w:rsidP="00470623">
      <w:pPr>
        <w:pStyle w:val="ListParagraph"/>
        <w:numPr>
          <w:ilvl w:val="0"/>
          <w:numId w:val="20"/>
        </w:numPr>
        <w:rPr>
          <w:rFonts w:cstheme="minorHAnsi"/>
        </w:rPr>
      </w:pPr>
      <w:r w:rsidRPr="00EF44D4">
        <w:rPr>
          <w:rFonts w:cstheme="minorHAnsi"/>
        </w:rPr>
        <w:t xml:space="preserve">Supporting development and implementation of wildfire risk management plans at </w:t>
      </w:r>
      <w:r w:rsidRPr="00EF44D4" w:rsidR="00985027">
        <w:rPr>
          <w:rFonts w:cstheme="minorHAnsi"/>
        </w:rPr>
        <w:t>farm/</w:t>
      </w:r>
      <w:r w:rsidRPr="00EF44D4">
        <w:rPr>
          <w:rFonts w:cstheme="minorHAnsi"/>
        </w:rPr>
        <w:t>holding and landscape scales</w:t>
      </w:r>
      <w:r w:rsidRPr="00EF44D4" w:rsidR="00F160BE">
        <w:rPr>
          <w:rFonts w:cstheme="minorHAnsi"/>
        </w:rPr>
        <w:t>;</w:t>
      </w:r>
    </w:p>
    <w:p w:rsidR="00470623" w:rsidRPr="00EF44D4" w:rsidP="00470623">
      <w:pPr>
        <w:pStyle w:val="ListParagraph"/>
        <w:numPr>
          <w:ilvl w:val="0"/>
          <w:numId w:val="20"/>
        </w:numPr>
        <w:rPr>
          <w:rFonts w:cstheme="minorHAnsi"/>
        </w:rPr>
      </w:pPr>
      <w:r w:rsidRPr="00EF44D4">
        <w:rPr>
          <w:rFonts w:cstheme="minorHAnsi"/>
        </w:rPr>
        <w:t>Improving training, equipment and preparedness among land managers, including strengthening links with Fire and Rescue Services;</w:t>
      </w:r>
    </w:p>
    <w:p w:rsidR="00F160BE" w:rsidRPr="00EF44D4" w:rsidP="00FC5986">
      <w:pPr>
        <w:pStyle w:val="ListParagraph"/>
        <w:numPr>
          <w:ilvl w:val="0"/>
          <w:numId w:val="20"/>
        </w:numPr>
        <w:rPr>
          <w:rFonts w:cstheme="minorHAnsi"/>
        </w:rPr>
      </w:pPr>
      <w:r w:rsidRPr="00EF44D4">
        <w:rPr>
          <w:rFonts w:cstheme="minorHAnsi"/>
        </w:rPr>
        <w:t>Enabling better spatial targeting of interventions,</w:t>
      </w:r>
      <w:r w:rsidRPr="00EF44D4" w:rsidR="00FC5986">
        <w:rPr>
          <w:rFonts w:eastAsia="Times New Roman" w:cstheme="minorHAnsi"/>
          <w:lang w:eastAsia="en-GB"/>
        </w:rPr>
        <w:t xml:space="preserve"> </w:t>
      </w:r>
      <w:r w:rsidRPr="00EF44D4" w:rsidR="00FC5986">
        <w:rPr>
          <w:rFonts w:cstheme="minorHAnsi"/>
        </w:rPr>
        <w:t>including further development and implementation of national wildfire risk mapping and fire danger rating capabilities.</w:t>
      </w:r>
    </w:p>
    <w:p w:rsidR="00B832DF" w:rsidRPr="00EF44D4" w:rsidP="009B0B40">
      <w:pPr>
        <w:rPr>
          <w:rFonts w:cstheme="minorHAnsi"/>
        </w:rPr>
      </w:pPr>
      <w:r w:rsidRPr="00EF44D4">
        <w:rPr>
          <w:rFonts w:cstheme="minorHAnsi"/>
        </w:rPr>
        <w:t>There is also a need to review interactions across land-use policies to ensure wildfire risk is consistently considered and not inadvertently increased.</w:t>
      </w:r>
    </w:p>
    <w:p w:rsidR="00114A12" w:rsidRPr="00EF44D4" w:rsidP="00114A12">
      <w:pPr>
        <w:pStyle w:val="ListParagraph"/>
        <w:rPr>
          <w:rFonts w:cstheme="minorHAnsi"/>
        </w:rPr>
      </w:pPr>
    </w:p>
    <w:p w:rsidR="00470623" w:rsidRPr="00EF44D4" w:rsidP="00114A12">
      <w:pPr>
        <w:pStyle w:val="ListParagraph"/>
        <w:numPr>
          <w:ilvl w:val="0"/>
          <w:numId w:val="18"/>
        </w:numPr>
        <w:rPr>
          <w:rFonts w:cstheme="minorHAnsi"/>
        </w:rPr>
      </w:pPr>
      <w:r w:rsidRPr="00EF44D4">
        <w:rPr>
          <w:rFonts w:cstheme="minorHAnsi"/>
          <w:b/>
          <w:bCs/>
        </w:rPr>
        <w:t>What impact does the monitoring of wildfires have on our understanding of the causes and risks of these events in the UK, and how can this be improved? Are there international examples or best practices that can be used in a UK context?</w:t>
      </w:r>
      <w:r w:rsidRPr="00EF44D4">
        <w:rPr>
          <w:rFonts w:cstheme="minorHAnsi"/>
          <w:b/>
          <w:bCs/>
        </w:rPr>
        <w:t xml:space="preserve"> </w:t>
      </w:r>
    </w:p>
    <w:p w:rsidR="00B46A1A" w:rsidRPr="00EF44D4" w:rsidP="009B0B40">
      <w:pPr>
        <w:rPr>
          <w:rFonts w:cstheme="minorHAnsi"/>
        </w:rPr>
      </w:pPr>
      <w:r w:rsidRPr="00EF44D4">
        <w:rPr>
          <w:rFonts w:cstheme="minorHAnsi"/>
        </w:rPr>
        <w:t>Wildfire monitoring is essential for understanding ignition sources, fire behaviour and risk patterns. Current UK approaches remain fragmented, with localised and agency-specific initiatives that could be scaled into a more coordinated national system. Forestry Commission wildfire statistics and investigation work provide an important foundation, but coverage and integration remain limited.</w:t>
      </w:r>
      <w:r w:rsidRPr="00EF44D4">
        <w:rPr>
          <w:rFonts w:cstheme="minorHAnsi"/>
        </w:rPr>
        <w:br/>
      </w:r>
    </w:p>
    <w:p w:rsidR="00470623" w:rsidRPr="00EF44D4" w:rsidP="009B0B40">
      <w:pPr>
        <w:rPr>
          <w:rFonts w:cstheme="minorHAnsi"/>
        </w:rPr>
      </w:pPr>
      <w:r w:rsidRPr="00EF44D4">
        <w:rPr>
          <w:rFonts w:cstheme="minorHAnsi"/>
        </w:rPr>
        <w:t>Limitations include:</w:t>
      </w:r>
    </w:p>
    <w:p w:rsidR="00470623" w:rsidRPr="00EF44D4" w:rsidP="00470623">
      <w:pPr>
        <w:pStyle w:val="ListParagraph"/>
        <w:numPr>
          <w:ilvl w:val="0"/>
          <w:numId w:val="21"/>
        </w:numPr>
        <w:rPr>
          <w:rFonts w:cstheme="minorHAnsi"/>
        </w:rPr>
      </w:pPr>
      <w:r w:rsidRPr="00EF44D4">
        <w:rPr>
          <w:rFonts w:cstheme="minorHAnsi"/>
        </w:rPr>
        <w:t>Satellite data that often lacks the spatial resolution needed to detect smaller fires typical of UK landscapes;</w:t>
      </w:r>
    </w:p>
    <w:p w:rsidR="00470623" w:rsidRPr="00EF44D4" w:rsidP="00470623">
      <w:pPr>
        <w:pStyle w:val="ListParagraph"/>
        <w:numPr>
          <w:ilvl w:val="0"/>
          <w:numId w:val="21"/>
        </w:numPr>
        <w:rPr>
          <w:rFonts w:cstheme="minorHAnsi"/>
        </w:rPr>
      </w:pPr>
      <w:r w:rsidRPr="00EF44D4">
        <w:rPr>
          <w:rFonts w:cstheme="minorHAnsi"/>
        </w:rPr>
        <w:t>Limited integration across datasets, including incident, land management and environmental data;</w:t>
      </w:r>
    </w:p>
    <w:p w:rsidR="00B46A1A" w:rsidRPr="00EF44D4" w:rsidP="00470623">
      <w:pPr>
        <w:pStyle w:val="ListParagraph"/>
        <w:numPr>
          <w:ilvl w:val="0"/>
          <w:numId w:val="21"/>
        </w:numPr>
        <w:rPr>
          <w:rFonts w:cstheme="minorHAnsi"/>
        </w:rPr>
      </w:pPr>
      <w:r w:rsidRPr="00EF44D4">
        <w:rPr>
          <w:rFonts w:cstheme="minorHAnsi"/>
        </w:rPr>
        <w:t>Inconsistent reporting standards across regions.</w:t>
      </w:r>
    </w:p>
    <w:p w:rsidR="00470623" w:rsidRPr="00EF44D4" w:rsidP="00B46A1A">
      <w:pPr>
        <w:rPr>
          <w:rFonts w:cstheme="minorHAnsi"/>
        </w:rPr>
      </w:pPr>
      <w:r w:rsidRPr="00EF44D4">
        <w:rPr>
          <w:rFonts w:cstheme="minorHAnsi"/>
        </w:rPr>
        <w:t>Improvements should focus on:</w:t>
      </w:r>
    </w:p>
    <w:p w:rsidR="00470623" w:rsidRPr="00EF44D4" w:rsidP="00470623">
      <w:pPr>
        <w:pStyle w:val="ListParagraph"/>
        <w:numPr>
          <w:ilvl w:val="0"/>
          <w:numId w:val="21"/>
        </w:numPr>
        <w:rPr>
          <w:rFonts w:cstheme="minorHAnsi"/>
        </w:rPr>
      </w:pPr>
      <w:r w:rsidRPr="00EF44D4">
        <w:rPr>
          <w:rFonts w:cstheme="minorHAnsi"/>
        </w:rPr>
        <w:t>Developing a coordinated national wildfire data framework;</w:t>
      </w:r>
    </w:p>
    <w:p w:rsidR="00470623" w:rsidRPr="00EF44D4" w:rsidP="00470623">
      <w:pPr>
        <w:pStyle w:val="ListParagraph"/>
        <w:numPr>
          <w:ilvl w:val="0"/>
          <w:numId w:val="21"/>
        </w:numPr>
        <w:rPr>
          <w:rFonts w:cstheme="minorHAnsi"/>
        </w:rPr>
      </w:pPr>
      <w:r w:rsidRPr="00EF44D4">
        <w:rPr>
          <w:rFonts w:cstheme="minorHAnsi"/>
        </w:rPr>
        <w:t>Integrating remote sensing, incident reporting and land management data;</w:t>
      </w:r>
    </w:p>
    <w:p w:rsidR="003917D5" w:rsidRPr="00EF44D4" w:rsidP="00470623">
      <w:pPr>
        <w:pStyle w:val="ListParagraph"/>
        <w:numPr>
          <w:ilvl w:val="0"/>
          <w:numId w:val="21"/>
        </w:numPr>
        <w:rPr>
          <w:rFonts w:cstheme="minorHAnsi"/>
        </w:rPr>
      </w:pPr>
      <w:r w:rsidRPr="00EF44D4">
        <w:rPr>
          <w:rFonts w:cstheme="minorHAnsi"/>
        </w:rPr>
        <w:t xml:space="preserve">Advancing modelling capability, including </w:t>
      </w:r>
      <w:r w:rsidRPr="00EF44D4" w:rsidR="002E6D30">
        <w:rPr>
          <w:rFonts w:cstheme="minorHAnsi"/>
        </w:rPr>
        <w:t>further development and implementation of a UK fire danger rating system.</w:t>
      </w:r>
    </w:p>
    <w:p w:rsidR="003917D5" w:rsidRPr="00EF44D4" w:rsidP="003917D5">
      <w:pPr>
        <w:pStyle w:val="ListParagraph"/>
        <w:ind w:left="1080"/>
        <w:rPr>
          <w:rFonts w:cstheme="minorHAnsi"/>
        </w:rPr>
      </w:pPr>
    </w:p>
    <w:p w:rsidR="00114A12" w:rsidRPr="00EF44D4" w:rsidP="003917D5">
      <w:pPr>
        <w:rPr>
          <w:rFonts w:cstheme="minorHAnsi"/>
        </w:rPr>
      </w:pPr>
      <w:r w:rsidRPr="00EF44D4">
        <w:rPr>
          <w:rFonts w:cstheme="minorHAnsi"/>
        </w:rPr>
        <w:t>International examples demonstrate the value of integrated systems, but these must be adapted to UK landscape and governance contexts.</w:t>
      </w:r>
    </w:p>
    <w:p w:rsidR="00114A12" w:rsidRPr="00EF44D4" w:rsidP="00114A12">
      <w:pPr>
        <w:pStyle w:val="ListParagraph"/>
        <w:rPr>
          <w:rFonts w:cstheme="minorHAnsi"/>
        </w:rPr>
      </w:pPr>
    </w:p>
    <w:p w:rsidR="00470623" w:rsidRPr="00EF44D4" w:rsidP="00114A12">
      <w:pPr>
        <w:pStyle w:val="ListParagraph"/>
        <w:numPr>
          <w:ilvl w:val="0"/>
          <w:numId w:val="18"/>
        </w:numPr>
        <w:rPr>
          <w:rFonts w:cstheme="minorHAnsi"/>
        </w:rPr>
      </w:pPr>
      <w:r w:rsidRPr="00EF44D4">
        <w:rPr>
          <w:rFonts w:cstheme="minorHAnsi"/>
          <w:b/>
          <w:bCs/>
        </w:rPr>
        <w:t>What resources and training do emergency services and local authorities need to respond to the increasing number of wildfires, particularly in rural and hard-to-reach areas?</w:t>
      </w:r>
    </w:p>
    <w:p w:rsidR="00470623" w:rsidRPr="00EF44D4" w:rsidP="009B0B40">
      <w:pPr>
        <w:rPr>
          <w:rFonts w:cstheme="minorHAnsi"/>
        </w:rPr>
      </w:pPr>
      <w:r w:rsidRPr="00EF44D4">
        <w:rPr>
          <w:rFonts w:cstheme="minorHAnsi"/>
        </w:rPr>
        <w:t>Emergency services and local authorities require enhanced capacity to respond to increasing wildfire risk, particularly in rural and hard-to-reach areas. Key priorities include:</w:t>
      </w:r>
    </w:p>
    <w:p w:rsidR="00816267" w:rsidP="00470623">
      <w:pPr>
        <w:pStyle w:val="ListParagraph"/>
        <w:numPr>
          <w:ilvl w:val="0"/>
          <w:numId w:val="22"/>
        </w:numPr>
        <w:rPr>
          <w:rFonts w:cstheme="minorHAnsi"/>
        </w:rPr>
      </w:pPr>
      <w:r w:rsidRPr="00816267">
        <w:rPr>
          <w:rFonts w:cstheme="minorHAnsi"/>
        </w:rPr>
        <w:t>Increased staffing and specialist wildfire capability within Fire and Rescue Services, alongside strengthening the availability and mobilisation of land manager assets and capabilities, recognising their local knowledge and ability to support response in complex terrain;</w:t>
      </w:r>
    </w:p>
    <w:p w:rsidR="00470623" w:rsidRPr="00EF44D4" w:rsidP="00470623">
      <w:pPr>
        <w:pStyle w:val="ListParagraph"/>
        <w:numPr>
          <w:ilvl w:val="0"/>
          <w:numId w:val="22"/>
        </w:numPr>
        <w:rPr>
          <w:rFonts w:cstheme="minorHAnsi"/>
        </w:rPr>
      </w:pPr>
      <w:r w:rsidRPr="00EF44D4">
        <w:rPr>
          <w:rFonts w:cstheme="minorHAnsi"/>
        </w:rPr>
        <w:t>Appropriate PPE for operations in high-temperature and prolonged incidents;</w:t>
      </w:r>
    </w:p>
    <w:p w:rsidR="00470623" w:rsidRPr="00EF44D4" w:rsidP="00470623">
      <w:pPr>
        <w:pStyle w:val="ListParagraph"/>
        <w:numPr>
          <w:ilvl w:val="0"/>
          <w:numId w:val="22"/>
        </w:numPr>
        <w:rPr>
          <w:rFonts w:cstheme="minorHAnsi"/>
        </w:rPr>
      </w:pPr>
      <w:r w:rsidRPr="00EF44D4">
        <w:rPr>
          <w:rFonts w:cstheme="minorHAnsi"/>
        </w:rPr>
        <w:t>Investment in off-road and specialist vehicles suitable for challenging terrain;</w:t>
      </w:r>
    </w:p>
    <w:p w:rsidR="009B0B40" w:rsidRPr="00954D3D" w:rsidP="00954D3D">
      <w:pPr>
        <w:pStyle w:val="ListParagraph"/>
        <w:numPr>
          <w:ilvl w:val="0"/>
          <w:numId w:val="22"/>
        </w:numPr>
        <w:rPr>
          <w:rFonts w:cstheme="minorHAnsi"/>
        </w:rPr>
      </w:pPr>
      <w:r w:rsidRPr="00EF44D4">
        <w:rPr>
          <w:rFonts w:cstheme="minorHAnsi"/>
        </w:rPr>
        <w:t>Expanded training across emergency responders, local authorities and land managers, building on existing Forestry Commission and sector training programmes</w:t>
      </w:r>
      <w:r w:rsidR="00954D3D">
        <w:rPr>
          <w:rFonts w:cstheme="minorHAnsi"/>
        </w:rPr>
        <w:t xml:space="preserve"> (</w:t>
      </w:r>
      <w:r w:rsidRPr="00954D3D" w:rsidR="00954D3D">
        <w:rPr>
          <w:rFonts w:cstheme="minorHAnsi"/>
        </w:rPr>
        <w:t xml:space="preserve">e.g. </w:t>
      </w:r>
      <w:r w:rsidRPr="00954D3D" w:rsidR="00954D3D">
        <w:rPr>
          <w:rFonts w:cstheme="minorHAnsi"/>
        </w:rPr>
        <w:t>Lantra</w:t>
      </w:r>
      <w:r w:rsidRPr="00954D3D" w:rsidR="00954D3D">
        <w:rPr>
          <w:rFonts w:cstheme="minorHAnsi"/>
        </w:rPr>
        <w:t>-accredited vegetation fire training)</w:t>
      </w:r>
      <w:r w:rsidR="00954D3D">
        <w:rPr>
          <w:rFonts w:cstheme="minorHAnsi"/>
        </w:rPr>
        <w:t>.</w:t>
      </w:r>
    </w:p>
    <w:p w:rsidR="00114A12" w:rsidRPr="00EF44D4" w:rsidP="008161A1">
      <w:pPr>
        <w:rPr>
          <w:rFonts w:cstheme="minorHAnsi"/>
        </w:rPr>
      </w:pPr>
      <w:r w:rsidRPr="00EF44D4">
        <w:rPr>
          <w:rFonts w:cstheme="minorHAnsi"/>
        </w:rPr>
        <w:t>Stronger collaboration between land managers and emergency services is also needed. Co-developed wildfire planning, incorporating local knowledge of land use, access, fuels and assets, can significantly improve preparedness and response effectiveness.</w:t>
      </w:r>
    </w:p>
    <w:p w:rsidR="00114A12" w:rsidRPr="00EF44D4" w:rsidP="00114A12">
      <w:pPr>
        <w:pStyle w:val="ListParagraph"/>
        <w:rPr>
          <w:rFonts w:cstheme="minorHAnsi"/>
        </w:rPr>
      </w:pPr>
    </w:p>
    <w:p w:rsidR="009B0B40" w:rsidRPr="00EF44D4" w:rsidP="00114A12">
      <w:pPr>
        <w:pStyle w:val="ListParagraph"/>
        <w:numPr>
          <w:ilvl w:val="0"/>
          <w:numId w:val="18"/>
        </w:numPr>
        <w:rPr>
          <w:rFonts w:cstheme="minorHAnsi"/>
        </w:rPr>
      </w:pPr>
      <w:r w:rsidRPr="00EF44D4">
        <w:rPr>
          <w:rFonts w:cstheme="minorHAnsi"/>
          <w:b/>
          <w:bCs/>
        </w:rPr>
        <w:t>What are the most effective activities for tackling the human causes of wildfire ignition, for example public engagement and campaigns? How can the UK Government best support the delivery of these activities at both a local and national scale</w:t>
      </w:r>
    </w:p>
    <w:p w:rsidR="009B0B40" w:rsidRPr="00EF44D4" w:rsidP="009B0B40">
      <w:pPr>
        <w:rPr>
          <w:rFonts w:cstheme="minorHAnsi"/>
        </w:rPr>
      </w:pPr>
      <w:r w:rsidRPr="00EF44D4">
        <w:rPr>
          <w:rFonts w:cstheme="minorHAnsi"/>
        </w:rPr>
        <w:t>Human activity remains a primary cause of wildfire ignition in the UK. Effective measures include:</w:t>
      </w:r>
    </w:p>
    <w:p w:rsidR="009B0B40" w:rsidRPr="00EF44D4" w:rsidP="009B0B40">
      <w:pPr>
        <w:pStyle w:val="ListParagraph"/>
        <w:numPr>
          <w:ilvl w:val="0"/>
          <w:numId w:val="23"/>
        </w:numPr>
        <w:rPr>
          <w:rFonts w:cstheme="minorHAnsi"/>
        </w:rPr>
      </w:pPr>
      <w:r w:rsidRPr="00EF44D4">
        <w:rPr>
          <w:rFonts w:cstheme="minorHAnsi"/>
        </w:rPr>
        <w:t>Targeted public engagement and education, including school-based programmes and seasonal campaigns;</w:t>
      </w:r>
    </w:p>
    <w:p w:rsidR="003E2680" w:rsidRPr="00EF44D4" w:rsidP="009B0B40">
      <w:pPr>
        <w:pStyle w:val="ListParagraph"/>
        <w:numPr>
          <w:ilvl w:val="0"/>
          <w:numId w:val="23"/>
        </w:numPr>
        <w:rPr>
          <w:rFonts w:cstheme="minorHAnsi"/>
        </w:rPr>
      </w:pPr>
      <w:r w:rsidRPr="00EF44D4">
        <w:rPr>
          <w:rFonts w:cstheme="minorHAnsi"/>
        </w:rPr>
        <w:t>Behavioural research to better understand ignition drivers, including the conditions under which intentional land management fires (e.g. prescribed burning for grazing or estate management) escape control and become wildfires. Evidence indicates this can be linked not only to technical practice but to wider socio-economic factors, such as changes in land use, reduced active land management, and an ageing land management workforce, suggesting that training alone may not be sufficient to reduce risk;</w:t>
      </w:r>
    </w:p>
    <w:p w:rsidR="009B0B40" w:rsidRPr="00EF44D4" w:rsidP="009B0B40">
      <w:pPr>
        <w:pStyle w:val="ListParagraph"/>
        <w:numPr>
          <w:ilvl w:val="0"/>
          <w:numId w:val="23"/>
        </w:numPr>
        <w:rPr>
          <w:rFonts w:cstheme="minorHAnsi"/>
        </w:rPr>
      </w:pPr>
      <w:r w:rsidRPr="00EF44D4">
        <w:rPr>
          <w:rFonts w:cstheme="minorHAnsi"/>
        </w:rPr>
        <w:t>Improved design and evaluation of signage, including addressing “sign blindness” in high-visitor areas;</w:t>
      </w:r>
    </w:p>
    <w:p w:rsidR="007972EE" w:rsidRPr="00EF44D4" w:rsidP="009B0B40">
      <w:pPr>
        <w:pStyle w:val="ListParagraph"/>
        <w:numPr>
          <w:ilvl w:val="0"/>
          <w:numId w:val="23"/>
        </w:numPr>
        <w:rPr>
          <w:rFonts w:cstheme="minorHAnsi"/>
        </w:rPr>
      </w:pPr>
      <w:r w:rsidRPr="00EF44D4">
        <w:rPr>
          <w:rFonts w:cstheme="minorHAnsi"/>
        </w:rPr>
        <w:t>Appropriate regulatory and enforcement measures to deter high-risk activities.</w:t>
      </w:r>
    </w:p>
    <w:p w:rsidR="00114A12" w:rsidRPr="00EF44D4" w:rsidP="007972EE">
      <w:pPr>
        <w:rPr>
          <w:rFonts w:cstheme="minorHAnsi"/>
        </w:rPr>
      </w:pPr>
      <w:r w:rsidRPr="00EF44D4">
        <w:rPr>
          <w:rFonts w:cstheme="minorHAnsi"/>
        </w:rPr>
        <w:t>In high-risk areas, prevention should also include targeted fuel management to reduce the likelihood that ignitions develop into large fires. National coordination is needed to ensure consistent messaging, supported by locally tailored delivery.</w:t>
      </w:r>
    </w:p>
    <w:p w:rsidR="00114A12" w:rsidRPr="00EF44D4" w:rsidP="00114A12">
      <w:pPr>
        <w:pStyle w:val="ListParagraph"/>
        <w:rPr>
          <w:rFonts w:cstheme="minorHAnsi"/>
        </w:rPr>
      </w:pPr>
    </w:p>
    <w:p w:rsidR="009B0B40" w:rsidRPr="00EF44D4" w:rsidP="00114A12">
      <w:pPr>
        <w:pStyle w:val="ListParagraph"/>
        <w:numPr>
          <w:ilvl w:val="0"/>
          <w:numId w:val="18"/>
        </w:numPr>
        <w:rPr>
          <w:rFonts w:cstheme="minorHAnsi"/>
        </w:rPr>
      </w:pPr>
      <w:r w:rsidRPr="00EF44D4">
        <w:rPr>
          <w:rFonts w:cstheme="minorHAnsi"/>
          <w:b/>
          <w:bCs/>
        </w:rPr>
        <w:t>What policies are in place, or are needed, to reduce the severity of wildfires and their socio-economic impacts on both agricultural land and at rural-urban boundaries?</w:t>
      </w:r>
      <w:r w:rsidRPr="00EF44D4">
        <w:rPr>
          <w:rFonts w:cstheme="minorHAnsi"/>
        </w:rPr>
        <w:br/>
      </w:r>
    </w:p>
    <w:p w:rsidR="009B0B40" w:rsidRPr="00EF44D4" w:rsidP="009B0B40">
      <w:pPr>
        <w:rPr>
          <w:rFonts w:cstheme="minorHAnsi"/>
        </w:rPr>
      </w:pPr>
      <w:r w:rsidRPr="00EF44D4">
        <w:rPr>
          <w:rFonts w:cstheme="minorHAnsi"/>
        </w:rPr>
        <w:t>Current policy addressing wildfire risk in England is fragmented across land management, environmental, planning and civil contingency frameworks, with no single, integrated approach. This limits the effectiveness of measures to reduce wildfire severity and associated socio-economic impacts, particularly at rural–urban interfaces.</w:t>
      </w:r>
    </w:p>
    <w:p w:rsidR="00B40F31" w:rsidRPr="00EF44D4" w:rsidP="009B0B40">
      <w:pPr>
        <w:rPr>
          <w:rFonts w:cstheme="minorHAnsi"/>
        </w:rPr>
      </w:pPr>
      <w:r w:rsidRPr="00EF44D4">
        <w:rPr>
          <w:rFonts w:cstheme="minorHAnsi"/>
        </w:rPr>
        <w:t>There is a need for a more coherent policy framework that:</w:t>
      </w:r>
    </w:p>
    <w:p w:rsidR="00B40F31" w:rsidRPr="00EF44D4" w:rsidP="00B40F31">
      <w:pPr>
        <w:pStyle w:val="ListParagraph"/>
        <w:numPr>
          <w:ilvl w:val="0"/>
          <w:numId w:val="24"/>
        </w:numPr>
        <w:rPr>
          <w:rFonts w:cstheme="minorHAnsi"/>
        </w:rPr>
      </w:pPr>
      <w:r w:rsidRPr="00EF44D4">
        <w:rPr>
          <w:rFonts w:cstheme="minorHAnsi"/>
        </w:rPr>
        <w:t>Integrates wildfire risk explicitly into land-use planning and development control at rural–urban boundaries;</w:t>
      </w:r>
    </w:p>
    <w:p w:rsidR="00B40F31" w:rsidRPr="00EF44D4" w:rsidP="00B40F31">
      <w:pPr>
        <w:pStyle w:val="ListParagraph"/>
        <w:numPr>
          <w:ilvl w:val="0"/>
          <w:numId w:val="24"/>
        </w:numPr>
        <w:rPr>
          <w:rFonts w:cstheme="minorHAnsi"/>
        </w:rPr>
      </w:pPr>
      <w:r w:rsidRPr="00EF44D4">
        <w:rPr>
          <w:rFonts w:cstheme="minorHAnsi"/>
        </w:rPr>
        <w:t>Aligns agricultural, forestry and environmental schemes with wildfire risk reduction objectives;</w:t>
      </w:r>
    </w:p>
    <w:p w:rsidR="00B40F31" w:rsidRPr="00EF44D4" w:rsidP="00B40F31">
      <w:pPr>
        <w:pStyle w:val="ListParagraph"/>
        <w:numPr>
          <w:ilvl w:val="0"/>
          <w:numId w:val="24"/>
        </w:numPr>
        <w:rPr>
          <w:rFonts w:cstheme="minorHAnsi"/>
        </w:rPr>
      </w:pPr>
      <w:r w:rsidRPr="00EF44D4">
        <w:rPr>
          <w:rFonts w:cstheme="minorHAnsi"/>
        </w:rPr>
        <w:t>Supports proactive fuel management in high-risk areas, including around infrastructure and settlements;</w:t>
      </w:r>
    </w:p>
    <w:p w:rsidR="00B40F31" w:rsidRPr="00EF44D4" w:rsidP="00B40F31">
      <w:pPr>
        <w:pStyle w:val="ListParagraph"/>
        <w:numPr>
          <w:ilvl w:val="0"/>
          <w:numId w:val="24"/>
        </w:numPr>
        <w:rPr>
          <w:rFonts w:cstheme="minorHAnsi"/>
        </w:rPr>
      </w:pPr>
      <w:r w:rsidRPr="00EF44D4">
        <w:rPr>
          <w:rFonts w:cstheme="minorHAnsi"/>
        </w:rPr>
        <w:t>Strengthens consideration of wildfire risk within relevant legislation and regulatory frameworks.</w:t>
      </w:r>
    </w:p>
    <w:p w:rsidR="00114A12" w:rsidRPr="00EF44D4" w:rsidP="00B40F31">
      <w:pPr>
        <w:rPr>
          <w:rFonts w:cstheme="minorHAnsi"/>
        </w:rPr>
      </w:pPr>
      <w:r w:rsidRPr="00EF44D4">
        <w:rPr>
          <w:rFonts w:cstheme="minorHAnsi"/>
        </w:rPr>
        <w:t>Overall, reducing wildfire impacts will require a shift from a predominantly reactive approach towards a preventative, risk-based framework embedded across sectors.</w:t>
      </w:r>
    </w:p>
    <w:p w:rsidR="00114A12" w:rsidRPr="00EF44D4" w:rsidP="00114A12">
      <w:pPr>
        <w:pStyle w:val="ListParagraph"/>
        <w:rPr>
          <w:rFonts w:cstheme="minorHAnsi"/>
        </w:rPr>
      </w:pPr>
    </w:p>
    <w:p w:rsidR="00B40F31" w:rsidRPr="00EF44D4" w:rsidP="00114A12">
      <w:pPr>
        <w:pStyle w:val="ListParagraph"/>
        <w:numPr>
          <w:ilvl w:val="0"/>
          <w:numId w:val="18"/>
        </w:numPr>
        <w:rPr>
          <w:rFonts w:cstheme="minorHAnsi"/>
        </w:rPr>
      </w:pPr>
      <w:r w:rsidRPr="00EF44D4">
        <w:rPr>
          <w:rFonts w:cstheme="minorHAnsi"/>
          <w:b/>
          <w:bCs/>
        </w:rPr>
        <w:t>Given that responsibility is spread across government departments and bodies (e.g. Defra, Forestry Commission, MHCLG), how should the government coordinate a cross-departmental approach to tackle the increasing risk of wildfires?</w:t>
      </w:r>
    </w:p>
    <w:p w:rsidR="00FE7318" w:rsidP="00613DA4">
      <w:pPr>
        <w:rPr>
          <w:rFonts w:cstheme="minorHAnsi"/>
        </w:rPr>
      </w:pPr>
      <w:r w:rsidRPr="00FE7318">
        <w:rPr>
          <w:rFonts w:cstheme="minorHAnsi"/>
        </w:rPr>
        <w:t>Wildfire risk is currently addressed across multiple departments and agencies, leading to fragmentation in policy and response. This has been identified as a longstanding issue, including the absence of a single coordinating body in England (McMorrow et al., 2016).</w:t>
      </w:r>
    </w:p>
    <w:p w:rsidR="00613DA4" w:rsidRPr="00613DA4" w:rsidP="00613DA4">
      <w:pPr>
        <w:rPr>
          <w:rFonts w:cstheme="minorHAnsi"/>
        </w:rPr>
      </w:pPr>
      <w:r w:rsidRPr="00613DA4">
        <w:rPr>
          <w:rFonts w:cstheme="minorHAnsi"/>
        </w:rPr>
        <w:t>There is a strong case for establishing a more coordinated national approach, including the creation of a single, independently chaired body or mechanism to oversee wildfire risk management across departments. This should be supported by a national wildfire strategy, with defined roles, shared data systems, and alignment across land management, emergency response and planning functions.</w:t>
      </w:r>
    </w:p>
    <w:p w:rsidR="00B4752D" w:rsidRPr="00B4752D" w:rsidP="00B4752D">
      <w:pPr>
        <w:rPr>
          <w:rFonts w:cstheme="minorHAnsi"/>
        </w:rPr>
      </w:pPr>
      <w:r w:rsidRPr="00B4752D">
        <w:rPr>
          <w:rFonts w:cstheme="minorHAnsi"/>
        </w:rPr>
        <w:t>There is also a need for a systematic review of existing fire, forestry, environmental, resilience and development planning frameworks (including building regulations) to identify gaps and ensure legislation is fit for purpose in the context of increasing wildfire risk. This aligns with wider UK climate adaptation assessments, which identify gaps in current policy frameworks and the need for stronger, coordinated delivery (e.g. Climate Change Committee, 2026,</w:t>
      </w:r>
      <w:r w:rsidRPr="00B4752D">
        <w:rPr>
          <w:rFonts w:cstheme="minorHAnsi"/>
          <w:i/>
          <w:iCs/>
        </w:rPr>
        <w:t xml:space="preserve"> A Well</w:t>
      </w:r>
      <w:r w:rsidRPr="00B4752D">
        <w:rPr>
          <w:rFonts w:cstheme="minorHAnsi"/>
          <w:i/>
          <w:iCs/>
        </w:rPr>
        <w:noBreakHyphen/>
        <w:t>Adapted UK</w:t>
      </w:r>
      <w:r w:rsidRPr="00B4752D">
        <w:rPr>
          <w:rFonts w:cstheme="minorHAnsi"/>
        </w:rPr>
        <w:t>).</w:t>
      </w:r>
    </w:p>
    <w:p w:rsidR="004632C6" w:rsidRPr="00CE5B97">
      <w:pPr>
        <w:rPr>
          <w:i/>
          <w:iCs/>
        </w:rPr>
      </w:pPr>
      <w:r w:rsidRPr="00CE5B97">
        <w:rPr>
          <w:rFonts w:cstheme="minorHAnsi"/>
          <w:i/>
          <w:iCs/>
        </w:rPr>
        <w:t>May 2026</w:t>
      </w:r>
    </w:p>
    <w:sectPr>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CD5B02"/>
    <w:multiLevelType w:val="multilevel"/>
    <w:tmpl w:val="6A42F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F13B03"/>
    <w:multiLevelType w:val="multilevel"/>
    <w:tmpl w:val="1F5C6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472F9D"/>
    <w:multiLevelType w:val="multilevel"/>
    <w:tmpl w:val="A8A65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5616D1"/>
    <w:multiLevelType w:val="hybridMultilevel"/>
    <w:tmpl w:val="F986403C"/>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07F90091"/>
    <w:multiLevelType w:val="hybridMultilevel"/>
    <w:tmpl w:val="B6D0FB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0E5208CD"/>
    <w:multiLevelType w:val="hybridMultilevel"/>
    <w:tmpl w:val="9F32A76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13DF79E9"/>
    <w:multiLevelType w:val="multilevel"/>
    <w:tmpl w:val="4DDEB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A362C2"/>
    <w:multiLevelType w:val="multilevel"/>
    <w:tmpl w:val="06B0F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8E3111"/>
    <w:multiLevelType w:val="hybridMultilevel"/>
    <w:tmpl w:val="0A8C0B4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229386B"/>
    <w:multiLevelType w:val="hybridMultilevel"/>
    <w:tmpl w:val="4C3281C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240D2CE1"/>
    <w:multiLevelType w:val="multilevel"/>
    <w:tmpl w:val="F66E5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1C77EC"/>
    <w:multiLevelType w:val="hybridMultilevel"/>
    <w:tmpl w:val="CB96C4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61246D0"/>
    <w:multiLevelType w:val="multilevel"/>
    <w:tmpl w:val="96EA1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3A170F"/>
    <w:multiLevelType w:val="multilevel"/>
    <w:tmpl w:val="7C4AA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F36652"/>
    <w:multiLevelType w:val="multilevel"/>
    <w:tmpl w:val="3E90A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314E24"/>
    <w:multiLevelType w:val="multilevel"/>
    <w:tmpl w:val="DE088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CE41CA"/>
    <w:multiLevelType w:val="multilevel"/>
    <w:tmpl w:val="6A0CC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69D0370"/>
    <w:multiLevelType w:val="hybridMultilevel"/>
    <w:tmpl w:val="3AC89A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8561BCD"/>
    <w:multiLevelType w:val="hybridMultilevel"/>
    <w:tmpl w:val="9E20D9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C200DB1"/>
    <w:multiLevelType w:val="multilevel"/>
    <w:tmpl w:val="CF907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B4347EB"/>
    <w:multiLevelType w:val="hybridMultilevel"/>
    <w:tmpl w:val="B198C9B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71954014"/>
    <w:multiLevelType w:val="multilevel"/>
    <w:tmpl w:val="18827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1DB2996"/>
    <w:multiLevelType w:val="multilevel"/>
    <w:tmpl w:val="44D4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72B026C"/>
    <w:multiLevelType w:val="hybridMultilevel"/>
    <w:tmpl w:val="3C3AE1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C731DBE"/>
    <w:multiLevelType w:val="multilevel"/>
    <w:tmpl w:val="6B761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1"/>
  </w:num>
  <w:num w:numId="3">
    <w:abstractNumId w:val="1"/>
  </w:num>
  <w:num w:numId="4">
    <w:abstractNumId w:val="22"/>
  </w:num>
  <w:num w:numId="5">
    <w:abstractNumId w:val="12"/>
  </w:num>
  <w:num w:numId="6">
    <w:abstractNumId w:val="14"/>
  </w:num>
  <w:num w:numId="7">
    <w:abstractNumId w:val="3"/>
  </w:num>
  <w:num w:numId="8">
    <w:abstractNumId w:val="16"/>
  </w:num>
  <w:num w:numId="9">
    <w:abstractNumId w:val="13"/>
  </w:num>
  <w:num w:numId="10">
    <w:abstractNumId w:val="18"/>
  </w:num>
  <w:num w:numId="11">
    <w:abstractNumId w:val="15"/>
  </w:num>
  <w:num w:numId="12">
    <w:abstractNumId w:val="7"/>
  </w:num>
  <w:num w:numId="13">
    <w:abstractNumId w:val="2"/>
  </w:num>
  <w:num w:numId="14">
    <w:abstractNumId w:val="10"/>
  </w:num>
  <w:num w:numId="15">
    <w:abstractNumId w:val="0"/>
  </w:num>
  <w:num w:numId="16">
    <w:abstractNumId w:val="19"/>
  </w:num>
  <w:num w:numId="17">
    <w:abstractNumId w:val="24"/>
  </w:num>
  <w:num w:numId="18">
    <w:abstractNumId w:val="8"/>
  </w:num>
  <w:num w:numId="19">
    <w:abstractNumId w:val="9"/>
  </w:num>
  <w:num w:numId="20">
    <w:abstractNumId w:val="17"/>
  </w:num>
  <w:num w:numId="21">
    <w:abstractNumId w:val="20"/>
  </w:num>
  <w:num w:numId="22">
    <w:abstractNumId w:val="5"/>
  </w:num>
  <w:num w:numId="23">
    <w:abstractNumId w:val="11"/>
  </w:num>
  <w:num w:numId="24">
    <w:abstractNumId w:val="23"/>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n-GB"/>
    </w:rPr>
  </w:style>
  <w:style w:type="paragraph" w:styleId="Heading1">
    <w:name w:val="heading 1"/>
    <w:basedOn w:val="Normal"/>
    <w:next w:val="Normal"/>
    <w:link w:val="Heading1Char"/>
    <w:uiPriority w:val="9"/>
    <w:qFormat/>
    <w:rsid w:val="004935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935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9355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9355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9355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935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35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35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35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3558"/>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semiHidden/>
    <w:rsid w:val="00493558"/>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493558"/>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493558"/>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493558"/>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493558"/>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93558"/>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93558"/>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93558"/>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4935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3558"/>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4935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3558"/>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93558"/>
    <w:pPr>
      <w:spacing w:before="160"/>
      <w:jc w:val="center"/>
    </w:pPr>
    <w:rPr>
      <w:i/>
      <w:iCs/>
      <w:color w:val="404040" w:themeColor="text1" w:themeTint="BF"/>
    </w:rPr>
  </w:style>
  <w:style w:type="character" w:customStyle="1" w:styleId="QuoteChar">
    <w:name w:val="Quote Char"/>
    <w:basedOn w:val="DefaultParagraphFont"/>
    <w:link w:val="Quote"/>
    <w:uiPriority w:val="29"/>
    <w:rsid w:val="00493558"/>
    <w:rPr>
      <w:i/>
      <w:iCs/>
      <w:color w:val="404040" w:themeColor="text1" w:themeTint="BF"/>
      <w:lang w:val="en-GB"/>
    </w:rPr>
  </w:style>
  <w:style w:type="paragraph" w:styleId="ListParagraph">
    <w:name w:val="List Paragraph"/>
    <w:basedOn w:val="Normal"/>
    <w:uiPriority w:val="34"/>
    <w:qFormat/>
    <w:rsid w:val="00493558"/>
    <w:pPr>
      <w:ind w:left="720"/>
      <w:contextualSpacing/>
    </w:pPr>
  </w:style>
  <w:style w:type="character" w:styleId="IntenseEmphasis">
    <w:name w:val="Intense Emphasis"/>
    <w:basedOn w:val="DefaultParagraphFont"/>
    <w:uiPriority w:val="21"/>
    <w:qFormat/>
    <w:rsid w:val="00493558"/>
    <w:rPr>
      <w:i/>
      <w:iCs/>
      <w:color w:val="2F5496" w:themeColor="accent1" w:themeShade="BF"/>
    </w:rPr>
  </w:style>
  <w:style w:type="paragraph" w:styleId="IntenseQuote">
    <w:name w:val="Intense Quote"/>
    <w:basedOn w:val="Normal"/>
    <w:next w:val="Normal"/>
    <w:link w:val="IntenseQuoteChar"/>
    <w:uiPriority w:val="30"/>
    <w:qFormat/>
    <w:rsid w:val="004935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3558"/>
    <w:rPr>
      <w:i/>
      <w:iCs/>
      <w:color w:val="2F5496" w:themeColor="accent1" w:themeShade="BF"/>
      <w:lang w:val="en-GB"/>
    </w:rPr>
  </w:style>
  <w:style w:type="character" w:styleId="IntenseReference">
    <w:name w:val="Intense Reference"/>
    <w:basedOn w:val="DefaultParagraphFont"/>
    <w:uiPriority w:val="32"/>
    <w:qFormat/>
    <w:rsid w:val="00493558"/>
    <w:rPr>
      <w:b/>
      <w:bCs/>
      <w:smallCaps/>
      <w:color w:val="2F5496" w:themeColor="accent1" w:themeShade="BF"/>
      <w:spacing w:val="5"/>
    </w:rPr>
  </w:style>
  <w:style w:type="paragraph" w:styleId="NormalWeb">
    <w:name w:val="Normal (Web)"/>
    <w:basedOn w:val="Normal"/>
    <w:uiPriority w:val="99"/>
    <w:unhideWhenUsed/>
    <w:rsid w:val="00E864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E7919"/>
    <w:rPr>
      <w:color w:val="0563C1" w:themeColor="hyperlink"/>
      <w:u w:val="single"/>
    </w:rPr>
  </w:style>
  <w:style w:type="character" w:styleId="FollowedHyperlink">
    <w:name w:val="FollowedHyperlink"/>
    <w:basedOn w:val="DefaultParagraphFont"/>
    <w:uiPriority w:val="99"/>
    <w:semiHidden/>
    <w:unhideWhenUsed/>
    <w:rsid w:val="00B37AD9"/>
    <w:rPr>
      <w:color w:val="954F72" w:themeColor="followedHyperlink"/>
      <w:u w:val="single"/>
    </w:rPr>
  </w:style>
  <w:style w:type="character" w:styleId="CommentReference">
    <w:name w:val="annotation reference"/>
    <w:basedOn w:val="DefaultParagraphFont"/>
    <w:uiPriority w:val="99"/>
    <w:semiHidden/>
    <w:unhideWhenUsed/>
    <w:rsid w:val="009C7C22"/>
    <w:rPr>
      <w:sz w:val="16"/>
      <w:szCs w:val="16"/>
    </w:rPr>
  </w:style>
  <w:style w:type="paragraph" w:styleId="CommentText">
    <w:name w:val="annotation text"/>
    <w:basedOn w:val="Normal"/>
    <w:link w:val="CommentTextChar"/>
    <w:uiPriority w:val="99"/>
    <w:unhideWhenUsed/>
    <w:rsid w:val="009C7C22"/>
    <w:pPr>
      <w:spacing w:line="240" w:lineRule="auto"/>
    </w:pPr>
    <w:rPr>
      <w:kern w:val="2"/>
      <w:sz w:val="20"/>
      <w:szCs w:val="20"/>
      <w:lang w:val="en-US"/>
    </w:rPr>
  </w:style>
  <w:style w:type="character" w:customStyle="1" w:styleId="CommentTextChar">
    <w:name w:val="Comment Text Char"/>
    <w:basedOn w:val="DefaultParagraphFont"/>
    <w:link w:val="CommentText"/>
    <w:uiPriority w:val="99"/>
    <w:rsid w:val="009C7C22"/>
    <w:rPr>
      <w:kern w:val="2"/>
      <w:sz w:val="20"/>
      <w:szCs w:val="20"/>
    </w:rPr>
  </w:style>
  <w:style w:type="character" w:customStyle="1" w:styleId="UnresolvedMention">
    <w:name w:val="Unresolved Mention"/>
    <w:basedOn w:val="DefaultParagraphFont"/>
    <w:uiPriority w:val="99"/>
    <w:semiHidden/>
    <w:unhideWhenUsed/>
    <w:rsid w:val="00C00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CWR0254</dc:title>
  <cp:revision>0</cp:revision>
</cp:coreProperties>
</file>