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34C7" w:rsidRPr="00C729DD">
      <w:pPr>
        <w:rPr>
          <w:rFonts w:ascii="Calibri" w:hAnsi="Calibri" w:cs="Calibri"/>
          <w:lang w:val="en-GB"/>
        </w:rPr>
      </w:pPr>
    </w:p>
    <w:p w:rsidR="00B034C7" w:rsidRPr="00C729DD">
      <w:pPr>
        <w:rPr>
          <w:rFonts w:ascii="Calibri" w:hAnsi="Calibri" w:cs="Calibri"/>
          <w:lang w:val="en-GB"/>
        </w:rPr>
      </w:pPr>
    </w:p>
    <w:p w:rsidR="00B034C7" w:rsidRPr="00C729DD">
      <w:pPr>
        <w:rPr>
          <w:rFonts w:ascii="Calibri" w:hAnsi="Calibri" w:cs="Calibri"/>
          <w:lang w:val="en-GB"/>
        </w:rPr>
      </w:pPr>
    </w:p>
    <w:p w:rsidR="00B034C7" w:rsidRPr="00C729DD" w:rsidP="00FA383E">
      <w:pPr>
        <w:tabs>
          <w:tab w:val="left" w:pos="1972"/>
        </w:tabs>
        <w:ind w:left="-284"/>
        <w:rPr>
          <w:rFonts w:ascii="Calibri" w:hAnsi="Calibri" w:cs="Calibri"/>
        </w:rPr>
      </w:pPr>
      <w:r w:rsidRPr="00C729DD">
        <w:rPr>
          <w:rFonts w:ascii="Calibri" w:hAnsi="Calibri" w:cs="Calibri"/>
        </w:rPr>
        <w:tab/>
      </w:r>
    </w:p>
    <w:p w:rsidR="00C729DD" w:rsidRPr="00C729DD" w:rsidP="00C729DD">
      <w:pPr>
        <w:spacing w:line="259" w:lineRule="auto"/>
        <w:jc w:val="center"/>
        <w:rPr>
          <w:rFonts w:ascii="Calibri" w:hAnsi="Calibri" w:cs="Calibri"/>
          <w:b/>
          <w:bCs/>
          <w:sz w:val="28"/>
          <w:lang w:val="en-GB"/>
        </w:rPr>
      </w:pPr>
      <w:r w:rsidRPr="00C729DD">
        <w:rPr>
          <w:rFonts w:ascii="Calibri" w:hAnsi="Calibri" w:cs="Calibri"/>
          <w:b/>
          <w:bCs/>
          <w:sz w:val="28"/>
          <w:lang w:val="en-GB"/>
        </w:rPr>
        <w:t>Written Evidence submitted by Rainbow Trust Children's Charity (TRN006</w:t>
      </w:r>
      <w:r w:rsidRPr="00C729DD">
        <w:rPr>
          <w:rFonts w:ascii="Calibri" w:hAnsi="Calibri" w:cs="Calibri"/>
          <w:b/>
          <w:bCs/>
          <w:sz w:val="28"/>
          <w:lang w:val="en-GB"/>
        </w:rPr>
        <w:t>9</w:t>
      </w:r>
      <w:r w:rsidRPr="00C729DD">
        <w:rPr>
          <w:rFonts w:ascii="Calibri" w:hAnsi="Calibri" w:cs="Calibri"/>
          <w:b/>
          <w:bCs/>
          <w:sz w:val="28"/>
          <w:lang w:val="en-GB"/>
        </w:rPr>
        <w:t>)</w:t>
      </w:r>
    </w:p>
    <w:p w:rsidR="00B034C7" w:rsidRPr="00C729DD" w:rsidP="00CE5F5C">
      <w:pPr>
        <w:spacing w:line="259" w:lineRule="auto"/>
        <w:rPr>
          <w:rFonts w:ascii="Calibri" w:hAnsi="Calibri" w:cs="Calibri"/>
        </w:rPr>
      </w:pPr>
      <w:r w:rsidRPr="00C729DD">
        <w:rPr>
          <w:rFonts w:ascii="Calibri" w:hAnsi="Calibri" w:cs="Calibri"/>
          <w:b/>
          <w:sz w:val="28"/>
        </w:rPr>
        <w:t xml:space="preserve"> </w:t>
      </w:r>
    </w:p>
    <w:p w:rsidR="00C729DD" w:rsidRPr="00C729DD" w:rsidP="00CE5F5C">
      <w:pPr>
        <w:rPr>
          <w:rFonts w:ascii="Calibri" w:hAnsi="Calibri" w:cs="Calibri"/>
          <w:b/>
          <w:bCs/>
        </w:rPr>
      </w:pPr>
    </w:p>
    <w:p w:rsidR="00C729DD"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About Rainbow Trust Children’s Charity:</w:t>
      </w:r>
      <w:r w:rsidRPr="00C729DD">
        <w:rPr>
          <w:rFonts w:ascii="Calibri" w:hAnsi="Calibri" w:cs="Calibri"/>
          <w:b/>
          <w:bCs/>
        </w:rPr>
        <w:br/>
      </w:r>
    </w:p>
    <w:p w:rsidR="00C729DD" w:rsidRPr="00C729DD" w:rsidP="00CE5F5C">
      <w:pPr>
        <w:rPr>
          <w:rFonts w:ascii="Calibri" w:hAnsi="Calibri" w:cs="Calibri"/>
          <w:b/>
          <w:bCs/>
        </w:rPr>
      </w:pPr>
    </w:p>
    <w:p w:rsidR="00B034C7" w:rsidRPr="00C729DD" w:rsidP="00CE5F5C">
      <w:pPr>
        <w:rPr>
          <w:rFonts w:ascii="Calibri" w:hAnsi="Calibri" w:cs="Calibri"/>
        </w:rPr>
      </w:pPr>
      <w:r w:rsidRPr="00C729DD">
        <w:rPr>
          <w:rFonts w:ascii="Calibri" w:hAnsi="Calibri" w:cs="Calibri"/>
        </w:rPr>
        <w:t>Rainbow Trust Children's Charity supports families with a child with a life-threatening or terminal illness. We help the whole family with whatever support is needed, to whoever in the family needs it. This includes the child or young person, parents, and siblings</w:t>
      </w:r>
      <w:r w:rsidRPr="00C729DD">
        <w:rPr>
          <w:rFonts w:ascii="Calibri" w:hAnsi="Calibri" w:cs="Calibri"/>
        </w:rPr>
        <w:t>, to</w:t>
      </w:r>
      <w:r w:rsidRPr="00C729DD">
        <w:rPr>
          <w:rFonts w:ascii="Calibri" w:hAnsi="Calibri" w:cs="Calibri"/>
        </w:rPr>
        <w:t xml:space="preserve"> grandparents, neighbours and family friends. Families are matched with a Family Support Worker, who </w:t>
      </w:r>
      <w:r w:rsidRPr="00C729DD">
        <w:rPr>
          <w:rFonts w:ascii="Calibri" w:hAnsi="Calibri" w:cs="Calibri"/>
        </w:rPr>
        <w:t>provide</w:t>
      </w:r>
      <w:r w:rsidRPr="00C729DD">
        <w:rPr>
          <w:rFonts w:ascii="Calibri" w:hAnsi="Calibri" w:cs="Calibri"/>
        </w:rPr>
        <w:t xml:space="preserve"> social palliative care. This is the practical and emotional support that enables children to remain at home where possible, reduces avoidable hospital pressures, and supports parents and siblings through complex and often lengthy care journeys, including into bereavement. We support families who </w:t>
      </w:r>
      <w:r w:rsidRPr="00C729DD">
        <w:rPr>
          <w:rFonts w:ascii="Calibri" w:hAnsi="Calibri" w:cs="Calibri"/>
        </w:rPr>
        <w:t>has</w:t>
      </w:r>
      <w:r w:rsidRPr="00C729DD">
        <w:rPr>
          <w:rFonts w:ascii="Calibri" w:hAnsi="Calibri" w:cs="Calibri"/>
        </w:rPr>
        <w:t xml:space="preserve"> a child with a life-threatening or terminal illness, aged up to 18.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We are a national charity, in our fortieth year of operation. Our services are CQC-registered. We have </w:t>
      </w:r>
      <w:r w:rsidRPr="00C729DD">
        <w:rPr>
          <w:rFonts w:ascii="Calibri" w:hAnsi="Calibri" w:cs="Calibri"/>
        </w:rPr>
        <w:t>face to face</w:t>
      </w:r>
      <w:r w:rsidRPr="00C729DD">
        <w:rPr>
          <w:rFonts w:ascii="Calibri" w:hAnsi="Calibri" w:cs="Calibri"/>
        </w:rPr>
        <w:t xml:space="preserve"> services covering a significant footprint across nine areas of England. We also have an online support service which covers the whole of the UK, allowing us to help families where multiple family members may need support, families for whom online support is preferable, and for family members who may live abroad.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Last year we supported 1,532 families, providing 28,552 hours of support.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Our submission focuses particularly on the transition from </w:t>
      </w:r>
      <w:r w:rsidRPr="00C729DD">
        <w:rPr>
          <w:rFonts w:ascii="Calibri" w:hAnsi="Calibri" w:cs="Calibri"/>
        </w:rPr>
        <w:t>children’s</w:t>
      </w:r>
      <w:r w:rsidRPr="00C729DD">
        <w:rPr>
          <w:rFonts w:ascii="Calibri" w:hAnsi="Calibri" w:cs="Calibri"/>
        </w:rPr>
        <w:t xml:space="preserve"> to adult services for families with a young person who has complex and ongoing needs relating to a life-threatening illness or a terminal illness. Transition may be experienced not simply as a transfer between clinical services, but as a significant reduction in holistic and family-centred support. The impact of a life-threatening or terminal illness can continue long into adulthood, including where a young person transitions with the same diagnosis and support needs, or where families experience</w:t>
      </w:r>
      <w:r w:rsidRPr="00C729DD">
        <w:rPr>
          <w:rFonts w:ascii="Calibri" w:hAnsi="Calibri" w:cs="Calibri"/>
        </w:rPr>
        <w:t xml:space="preserve"> ongoing emotional issues, including the impact of bereavement.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Rainbow Trust would be pleased to give evidence to the Expert Panel, or to provide them with more information. </w:t>
      </w:r>
    </w:p>
    <w:p w:rsidR="00B034C7" w:rsidRPr="00C729DD" w:rsidP="00CE5F5C">
      <w:pPr>
        <w:rPr>
          <w:rFonts w:ascii="Calibri" w:hAnsi="Calibri" w:cs="Calibri"/>
        </w:rPr>
      </w:pPr>
    </w:p>
    <w:p w:rsidR="00B034C7" w:rsidRPr="00C729DD" w:rsidP="00CE5F5C">
      <w:pPr>
        <w:rPr>
          <w:rFonts w:ascii="Calibri" w:hAnsi="Calibri" w:cs="Calibri"/>
          <w:b/>
          <w:bCs/>
          <w:sz w:val="28"/>
          <w:szCs w:val="28"/>
        </w:rPr>
      </w:pPr>
      <w:r w:rsidRPr="00C729DD">
        <w:rPr>
          <w:rFonts w:ascii="Calibri" w:hAnsi="Calibri" w:cs="Calibri"/>
          <w:b/>
          <w:bCs/>
          <w:sz w:val="28"/>
          <w:szCs w:val="28"/>
        </w:rPr>
        <w:br w:type="page"/>
      </w:r>
    </w:p>
    <w:p w:rsidR="00B034C7" w:rsidRPr="00C729DD" w:rsidP="00CE5F5C">
      <w:pPr>
        <w:rPr>
          <w:rFonts w:ascii="Calibri" w:hAnsi="Calibri" w:cs="Calibri"/>
          <w:b/>
          <w:bCs/>
          <w:sz w:val="28"/>
          <w:szCs w:val="28"/>
        </w:rPr>
      </w:pPr>
      <w:r w:rsidRPr="00C729DD">
        <w:rPr>
          <w:rFonts w:ascii="Calibri" w:hAnsi="Calibri" w:cs="Calibri"/>
          <w:b/>
          <w:bCs/>
          <w:sz w:val="28"/>
          <w:szCs w:val="28"/>
        </w:rPr>
        <w:t>Focus area 1 – timeliness and pace of the transition to adult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resources are required by health and social care services to enable identification and implementation of transition planning from year 9, or immediately after if the young person enters services later?</w:t>
      </w:r>
    </w:p>
    <w:p w:rsidR="00B034C7" w:rsidRPr="00C729DD" w:rsidP="00CE5F5C">
      <w:pPr>
        <w:rPr>
          <w:rFonts w:ascii="Calibri" w:hAnsi="Calibri" w:cs="Calibri"/>
        </w:rPr>
      </w:pPr>
      <w:r w:rsidRPr="00C729DD">
        <w:rPr>
          <w:rFonts w:ascii="Calibri" w:hAnsi="Calibri" w:cs="Calibri"/>
        </w:rPr>
        <w:t>Effective transition planning requires dedicated staffing, coordination and joint working across children’s and adult health, social care, education and voluntary sector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For families with a child or young person with a life-threatening or terminal illness, transition planning may be complex and may involve multiple professionals and services over a prolonged period. Early identification and planning </w:t>
      </w:r>
      <w:r w:rsidRPr="00C729DD">
        <w:rPr>
          <w:rFonts w:ascii="Calibri" w:hAnsi="Calibri" w:cs="Calibri"/>
        </w:rPr>
        <w:t>relies</w:t>
      </w:r>
      <w:r w:rsidRPr="00C729DD">
        <w:rPr>
          <w:rFonts w:ascii="Calibri" w:hAnsi="Calibri" w:cs="Calibri"/>
        </w:rPr>
        <w:t xml:space="preserve"> on joint working across children’s and adult health and social care services, involving the voluntary sector, alongside emotional and practical support for families as well as clinical planning. We also recommend that there </w:t>
      </w:r>
      <w:r w:rsidRPr="00C729DD">
        <w:rPr>
          <w:rFonts w:ascii="Calibri" w:hAnsi="Calibri" w:cs="Calibri"/>
        </w:rPr>
        <w:t>is</w:t>
      </w:r>
      <w:r w:rsidRPr="00C729DD">
        <w:rPr>
          <w:rFonts w:ascii="Calibri" w:hAnsi="Calibri" w:cs="Calibri"/>
        </w:rPr>
        <w:t xml:space="preserve"> accessible information and communication for young people and carers.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 support should also recognise that the impact of a life-threatening or terminal illness is often experienced by the whole family, including parents and siblings, and that these impacts can continue into adulthood.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To what extent are local authorities sufficiently resourced to assess children for continuing need and provide ongoing services, where needed, to ensure no gaps in provision?</w:t>
      </w:r>
    </w:p>
    <w:p w:rsidR="00B034C7" w:rsidRPr="00C729DD" w:rsidP="00CE5F5C">
      <w:pPr>
        <w:rPr>
          <w:rFonts w:ascii="Calibri" w:hAnsi="Calibri" w:cs="Calibri"/>
        </w:rPr>
      </w:pPr>
      <w:r w:rsidRPr="00C729DD">
        <w:rPr>
          <w:rFonts w:ascii="Calibri" w:hAnsi="Calibri" w:cs="Calibri"/>
        </w:rPr>
        <w:t>Rainbow Trust’s frontline experience suggests that local authorities and wider services are operating under significant financial and workforce pressures, which can affect the timeliness and consistency of transition assessments and support.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Families can experience uncertainty about future eligibility for adult services well before transition takes place. Young people with substantial ongoing needs can transition into adult systems that are less holistic and less family-centred than children’s services, and where voluntary sector support is absent or not commissioned.</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Families also experience gaps between children’s and adult provision, particularly where adult services apply narrower eligibility thresholds or where equivalent emotional and practical support is unavailable after transition.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some families, transition is experienced as a reduction in coordinated support at the point a young person turns 18, despite ongoing and sometimes lifelong impacts associated with a life-threatening or terminal illness.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do services identify those who will need to transition to adult services, and what proportion start transition planning in year 9? How is this monitored?</w:t>
      </w:r>
    </w:p>
    <w:p w:rsidR="00B034C7" w:rsidRPr="00C729DD" w:rsidP="00CE5F5C">
      <w:pPr>
        <w:rPr>
          <w:rFonts w:ascii="Calibri" w:hAnsi="Calibri" w:cs="Calibri"/>
        </w:rPr>
      </w:pPr>
      <w:r w:rsidRPr="00C729DD">
        <w:rPr>
          <w:rFonts w:ascii="Calibri" w:hAnsi="Calibri" w:cs="Calibri"/>
        </w:rPr>
        <w:t xml:space="preserve">Rainbow Trust does not hold national quantitative data on the proportion of young people who begin transition planning in year 9.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Young people with complex, long-term or life-threatening or terminal conditions are often known to services for many years before transition. Despite this, planning can still begin late, particularly </w:t>
      </w:r>
      <w:r w:rsidRPr="00C729DD">
        <w:rPr>
          <w:rFonts w:ascii="Calibri" w:hAnsi="Calibri" w:cs="Calibri"/>
        </w:rPr>
        <w:t>where</w:t>
      </w:r>
      <w:r w:rsidRPr="00C729DD">
        <w:rPr>
          <w:rFonts w:ascii="Calibri" w:hAnsi="Calibri" w:cs="Calibri"/>
        </w:rPr>
        <w:t xml:space="preserve"> services are fragmented or where there is uncertainty about future adult provision. A child’s prognosis can often be difficult to predict, but this should not preclude transition planning process from starting. </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To what extent are transfers from child to adult services managed without gaps in provision? How is this monitored?</w:t>
      </w:r>
    </w:p>
    <w:p w:rsidR="00B034C7" w:rsidRPr="00C729DD" w:rsidP="00CE5F5C">
      <w:pPr>
        <w:rPr>
          <w:rFonts w:ascii="Calibri" w:hAnsi="Calibri" w:cs="Calibri"/>
        </w:rPr>
      </w:pPr>
      <w:r w:rsidRPr="00C729DD">
        <w:rPr>
          <w:rFonts w:ascii="Calibri" w:hAnsi="Calibri" w:cs="Calibri"/>
        </w:rPr>
        <w:t>Rainbow Trust’s experience suggests that gaps in provision remain a significant concern for many families.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Transitions may be experienced not as a coordinated process, but as a series of separate handovers between services with differing thresholds, eligibility criteria and approaches. Families may need to repeatedly explain their circumstances to new professionals.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Particular challenges</w:t>
      </w:r>
      <w:r w:rsidRPr="00C729DD">
        <w:rPr>
          <w:rFonts w:ascii="Calibri" w:hAnsi="Calibri" w:cs="Calibri"/>
        </w:rPr>
        <w:t xml:space="preserve"> can arise where:</w:t>
      </w:r>
    </w:p>
    <w:p w:rsidR="00B034C7" w:rsidRPr="00C729DD" w:rsidP="00CE5F5C">
      <w:pPr>
        <w:numPr>
          <w:ilvl w:val="0"/>
          <w:numId w:val="2"/>
        </w:numPr>
        <w:tabs>
          <w:tab w:val="clear" w:pos="360"/>
          <w:tab w:val="num" w:pos="720"/>
        </w:tabs>
        <w:rPr>
          <w:rFonts w:ascii="Calibri" w:hAnsi="Calibri" w:cs="Calibri"/>
        </w:rPr>
      </w:pPr>
      <w:r w:rsidRPr="00C729DD">
        <w:rPr>
          <w:rFonts w:ascii="Calibri" w:hAnsi="Calibri" w:cs="Calibri"/>
        </w:rPr>
        <w:t xml:space="preserve">there is no equivalent adult service </w:t>
      </w:r>
    </w:p>
    <w:p w:rsidR="00B034C7" w:rsidRPr="00C729DD" w:rsidP="00CE5F5C">
      <w:pPr>
        <w:numPr>
          <w:ilvl w:val="0"/>
          <w:numId w:val="2"/>
        </w:numPr>
        <w:tabs>
          <w:tab w:val="clear" w:pos="360"/>
          <w:tab w:val="num" w:pos="720"/>
        </w:tabs>
        <w:rPr>
          <w:rFonts w:ascii="Calibri" w:hAnsi="Calibri" w:cs="Calibri"/>
        </w:rPr>
      </w:pPr>
      <w:r w:rsidRPr="00C729DD">
        <w:rPr>
          <w:rFonts w:ascii="Calibri" w:hAnsi="Calibri" w:cs="Calibri"/>
        </w:rPr>
        <w:t>adult</w:t>
      </w:r>
      <w:r w:rsidRPr="00C729DD">
        <w:rPr>
          <w:rFonts w:ascii="Calibri" w:hAnsi="Calibri" w:cs="Calibri"/>
        </w:rPr>
        <w:t xml:space="preserve"> services are commissioned differently from children’s services </w:t>
      </w:r>
    </w:p>
    <w:p w:rsidR="00B034C7" w:rsidRPr="00C729DD" w:rsidP="00CE5F5C">
      <w:pPr>
        <w:numPr>
          <w:ilvl w:val="0"/>
          <w:numId w:val="2"/>
        </w:numPr>
        <w:tabs>
          <w:tab w:val="clear" w:pos="360"/>
          <w:tab w:val="num" w:pos="720"/>
        </w:tabs>
        <w:rPr>
          <w:rFonts w:ascii="Calibri" w:hAnsi="Calibri" w:cs="Calibri"/>
        </w:rPr>
      </w:pPr>
      <w:r w:rsidRPr="00C729DD">
        <w:rPr>
          <w:rFonts w:ascii="Calibri" w:hAnsi="Calibri" w:cs="Calibri"/>
        </w:rPr>
        <w:t xml:space="preserve">emotional and practical support reduces after 18 </w:t>
      </w:r>
    </w:p>
    <w:p w:rsidR="00B034C7" w:rsidRPr="00C729DD" w:rsidP="00CE5F5C">
      <w:pPr>
        <w:numPr>
          <w:ilvl w:val="0"/>
          <w:numId w:val="2"/>
        </w:numPr>
        <w:tabs>
          <w:tab w:val="clear" w:pos="360"/>
          <w:tab w:val="num" w:pos="720"/>
        </w:tabs>
        <w:rPr>
          <w:rFonts w:ascii="Calibri" w:hAnsi="Calibri" w:cs="Calibri"/>
        </w:rPr>
      </w:pPr>
      <w:r w:rsidRPr="00C729DD">
        <w:rPr>
          <w:rFonts w:ascii="Calibri" w:hAnsi="Calibri" w:cs="Calibri"/>
        </w:rPr>
        <w:t xml:space="preserve">responsibilities for care coordination become unclear.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While some clinical support may continue into adulthood, equivalent support for parents, siblings and wider family wellbeing is often less available after transition.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is the transition support strengths-based, focusing on what is positive and possible for the young person?</w:t>
      </w:r>
    </w:p>
    <w:p w:rsidR="00B034C7" w:rsidRPr="00C729DD" w:rsidP="00CE5F5C">
      <w:pPr>
        <w:rPr>
          <w:rFonts w:ascii="Calibri" w:hAnsi="Calibri" w:cs="Calibri"/>
        </w:rPr>
      </w:pPr>
      <w:r w:rsidRPr="00C729DD">
        <w:rPr>
          <w:rFonts w:ascii="Calibri" w:hAnsi="Calibri" w:cs="Calibri"/>
        </w:rPr>
        <w:t xml:space="preserve">A </w:t>
      </w:r>
      <w:r w:rsidRPr="00C729DD">
        <w:rPr>
          <w:rFonts w:ascii="Calibri" w:hAnsi="Calibri" w:cs="Calibri"/>
        </w:rPr>
        <w:t>strengths</w:t>
      </w:r>
      <w:r w:rsidRPr="00C729DD">
        <w:rPr>
          <w:rFonts w:ascii="Calibri" w:hAnsi="Calibri" w:cs="Calibri"/>
        </w:rPr>
        <w:t>-based approach should focus not only on clinical needs, but also on the young person’s goals, relationships, identity, education, emotional wellbeing and aspirations for adulthood.</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Good transition support should:</w:t>
      </w:r>
    </w:p>
    <w:p w:rsidR="00B034C7" w:rsidRPr="00C729DD" w:rsidP="00CE5F5C">
      <w:pPr>
        <w:numPr>
          <w:ilvl w:val="0"/>
          <w:numId w:val="3"/>
        </w:numPr>
        <w:tabs>
          <w:tab w:val="clear" w:pos="360"/>
          <w:tab w:val="num" w:pos="720"/>
        </w:tabs>
        <w:rPr>
          <w:rFonts w:ascii="Calibri" w:hAnsi="Calibri" w:cs="Calibri"/>
        </w:rPr>
      </w:pPr>
      <w:r w:rsidRPr="00C729DD">
        <w:rPr>
          <w:rFonts w:ascii="Calibri" w:hAnsi="Calibri" w:cs="Calibri"/>
        </w:rPr>
        <w:t xml:space="preserve">involve young people meaningfully in decisions </w:t>
      </w:r>
    </w:p>
    <w:p w:rsidR="00B034C7" w:rsidRPr="00C729DD" w:rsidP="00CE5F5C">
      <w:pPr>
        <w:numPr>
          <w:ilvl w:val="0"/>
          <w:numId w:val="3"/>
        </w:numPr>
        <w:tabs>
          <w:tab w:val="clear" w:pos="360"/>
          <w:tab w:val="num" w:pos="720"/>
        </w:tabs>
        <w:rPr>
          <w:rFonts w:ascii="Calibri" w:hAnsi="Calibri" w:cs="Calibri"/>
        </w:rPr>
      </w:pPr>
      <w:r w:rsidRPr="00C729DD">
        <w:rPr>
          <w:rFonts w:ascii="Calibri" w:hAnsi="Calibri" w:cs="Calibri"/>
        </w:rPr>
        <w:t xml:space="preserve">support confidence and independence at an appropriate pace </w:t>
      </w:r>
    </w:p>
    <w:p w:rsidR="00B034C7" w:rsidRPr="00C729DD" w:rsidP="00CE5F5C">
      <w:pPr>
        <w:numPr>
          <w:ilvl w:val="0"/>
          <w:numId w:val="3"/>
        </w:numPr>
        <w:tabs>
          <w:tab w:val="clear" w:pos="360"/>
          <w:tab w:val="num" w:pos="720"/>
        </w:tabs>
        <w:rPr>
          <w:rFonts w:ascii="Calibri" w:hAnsi="Calibri" w:cs="Calibri"/>
        </w:rPr>
      </w:pPr>
      <w:r w:rsidRPr="00C729DD">
        <w:rPr>
          <w:rFonts w:ascii="Calibri" w:hAnsi="Calibri" w:cs="Calibri"/>
        </w:rPr>
        <w:t>recognise</w:t>
      </w:r>
      <w:r w:rsidRPr="00C729DD">
        <w:rPr>
          <w:rFonts w:ascii="Calibri" w:hAnsi="Calibri" w:cs="Calibri"/>
        </w:rPr>
        <w:t xml:space="preserve"> the importance of trusted relationships and family support </w:t>
      </w:r>
    </w:p>
    <w:p w:rsidR="00B034C7" w:rsidRPr="00C729DD" w:rsidP="00CE5F5C">
      <w:pPr>
        <w:numPr>
          <w:ilvl w:val="0"/>
          <w:numId w:val="3"/>
        </w:numPr>
        <w:tabs>
          <w:tab w:val="clear" w:pos="360"/>
          <w:tab w:val="num" w:pos="720"/>
        </w:tabs>
        <w:rPr>
          <w:rFonts w:ascii="Calibri" w:hAnsi="Calibri" w:cs="Calibri"/>
        </w:rPr>
      </w:pPr>
      <w:r w:rsidRPr="00C729DD">
        <w:rPr>
          <w:rFonts w:ascii="Calibri" w:hAnsi="Calibri" w:cs="Calibri"/>
        </w:rPr>
        <w:t xml:space="preserve">consider emotional wellbeing alongside physical health </w:t>
      </w:r>
    </w:p>
    <w:p w:rsidR="00B034C7" w:rsidRPr="00C729DD" w:rsidP="00CE5F5C">
      <w:pPr>
        <w:numPr>
          <w:ilvl w:val="0"/>
          <w:numId w:val="3"/>
        </w:numPr>
        <w:tabs>
          <w:tab w:val="clear" w:pos="360"/>
          <w:tab w:val="num" w:pos="720"/>
        </w:tabs>
        <w:rPr>
          <w:rFonts w:ascii="Calibri" w:hAnsi="Calibri" w:cs="Calibri"/>
        </w:rPr>
      </w:pPr>
      <w:r w:rsidRPr="00C729DD">
        <w:rPr>
          <w:rFonts w:ascii="Calibri" w:hAnsi="Calibri" w:cs="Calibri"/>
        </w:rPr>
        <w:t xml:space="preserve">focus on what matters to the young person as an individual.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young people with life-threatening or terminal illness, strengths-based support should also acknowledge that independence may look different for different individuals and should not be defined solely through standard age-based assumptions.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The young person should remain at the centre of their own plan, but the needs of parents and siblings, who may become carers to their adult child, or a young adult carer to their sibling, should also be considered.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How is the recommendation that the point of transfer to adult services should be based on individual need, rather than rigid age criteria, managed in practice?</w:t>
      </w:r>
    </w:p>
    <w:p w:rsidR="00B034C7" w:rsidRPr="00C729DD" w:rsidP="00CE5F5C">
      <w:pPr>
        <w:rPr>
          <w:rFonts w:ascii="Calibri" w:hAnsi="Calibri" w:cs="Calibri"/>
        </w:rPr>
      </w:pPr>
      <w:r w:rsidRPr="00C729DD">
        <w:rPr>
          <w:rFonts w:ascii="Calibri" w:hAnsi="Calibri" w:cs="Calibri"/>
        </w:rPr>
        <w:t>In practice, many services continue to operate around fixed age thresholds despite NICE guidance encouraging flexibility based on individual need and readiness.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For families affected by a child’s life-threatening or terminal illness, transition may be experienced as a significant reduction in holistic support once a young person turns 18.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Adult services are frequently less family-centred than children’s services, despite the ongoing impact on parents, siblings and the young person themselves.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Some young people transition into adulthood with the same diagnosis, complexity and support needs they had in childhood. Others may experience ongoing emotional, social or bereavement impacts that continue long beyond childhood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 should therefore be understood as a family transition, not solely a transfer between clinical services. Families can describe transition as a “cliff edge”, particularly where trusted relationships and coordinated support end abruptly at 18.</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To what extent are service providers able to meet these statements of intent?</w:t>
      </w:r>
    </w:p>
    <w:p w:rsidR="00B034C7" w:rsidRPr="00C729DD" w:rsidP="00CE5F5C">
      <w:pPr>
        <w:rPr>
          <w:rFonts w:ascii="Calibri" w:hAnsi="Calibri" w:cs="Calibri"/>
        </w:rPr>
      </w:pPr>
      <w:r w:rsidRPr="00C729DD">
        <w:rPr>
          <w:rFonts w:ascii="Calibri" w:hAnsi="Calibri" w:cs="Calibri"/>
        </w:rPr>
        <w:t>The principles within NICE guidance are widely supported, but implementation is inconsistent across different areas and services. Workforce pressures, funding constraints and fragmentation between services can make delivery difficult in practice.</w:t>
      </w:r>
    </w:p>
    <w:p w:rsidR="00B034C7" w:rsidRPr="00C729DD" w:rsidP="00CE5F5C">
      <w:pPr>
        <w:rPr>
          <w:rFonts w:ascii="Calibri" w:hAnsi="Calibri" w:cs="Calibri"/>
        </w:rPr>
      </w:pPr>
      <w:r w:rsidRPr="00C729DD">
        <w:rPr>
          <w:rFonts w:ascii="Calibri" w:hAnsi="Calibri" w:cs="Calibri"/>
        </w:rPr>
        <w:t>This can be particularly challenging for young people with complex or life-threatening or terminal conditions whose needs span multiple systems and continue into adulthood.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2. How appropriate are the current expectations </w:t>
      </w:r>
      <w:r w:rsidRPr="00C729DD">
        <w:rPr>
          <w:rFonts w:ascii="Calibri" w:hAnsi="Calibri" w:cs="Calibri"/>
          <w:b/>
          <w:bCs/>
        </w:rPr>
        <w:t>on</w:t>
      </w:r>
      <w:r w:rsidRPr="00C729DD">
        <w:rPr>
          <w:rFonts w:ascii="Calibri" w:hAnsi="Calibri" w:cs="Calibri"/>
          <w:b/>
          <w:bCs/>
        </w:rPr>
        <w:t xml:space="preserve"> the timeliness and pace of the transition at both the individual and service level?</w:t>
      </w:r>
    </w:p>
    <w:p w:rsidR="00B034C7" w:rsidRPr="00C729DD" w:rsidP="00CE5F5C">
      <w:pPr>
        <w:rPr>
          <w:rFonts w:ascii="Calibri" w:hAnsi="Calibri" w:cs="Calibri"/>
        </w:rPr>
      </w:pPr>
      <w:r w:rsidRPr="00C729DD">
        <w:rPr>
          <w:rFonts w:ascii="Calibri" w:hAnsi="Calibri" w:cs="Calibri"/>
        </w:rPr>
        <w:t>The principle of early planning is appropriate and important. However, transition should be understood as a gradual and flexible process rather than a single transfer event.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A standardised age-based approach does not always reflect the realities of young people’s developmental, emotional or clinical needs. Some young people may require longer periods of overlap between services and continued family involvement beyond 18.</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For some families, the impact of a life-threatening or terminal illness is lifelong, a young person may enter adulthood with </w:t>
      </w:r>
      <w:r w:rsidRPr="00C729DD">
        <w:rPr>
          <w:rFonts w:ascii="Calibri" w:hAnsi="Calibri" w:cs="Calibri"/>
        </w:rPr>
        <w:t>a health</w:t>
      </w:r>
      <w:r w:rsidRPr="00C729DD">
        <w:rPr>
          <w:rFonts w:ascii="Calibri" w:hAnsi="Calibri" w:cs="Calibri"/>
        </w:rPr>
        <w:t xml:space="preserve"> condition and support needs.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is the progress of underserved or vulnerable service-user groups, including those with protected characteristics, monitored in the delivery of services under this guidance?</w:t>
      </w:r>
    </w:p>
    <w:p w:rsidR="00B034C7" w:rsidRPr="00C729DD" w:rsidP="00CE5F5C">
      <w:pPr>
        <w:rPr>
          <w:rFonts w:ascii="Calibri" w:hAnsi="Calibri" w:cs="Calibri"/>
        </w:rPr>
      </w:pPr>
      <w:r w:rsidRPr="00C729DD">
        <w:rPr>
          <w:rFonts w:ascii="Calibri" w:hAnsi="Calibri" w:cs="Calibri"/>
        </w:rPr>
        <w:t>Rainbow Trust believes there should be stronger and more consistent monitoring of outcomes and experiences for underserved groups during transition.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Particular focus</w:t>
      </w:r>
      <w:r w:rsidRPr="00C729DD">
        <w:rPr>
          <w:rFonts w:ascii="Calibri" w:hAnsi="Calibri" w:cs="Calibri"/>
        </w:rPr>
        <w:t xml:space="preserve"> should be placed on the following groups of young people:</w:t>
      </w:r>
    </w:p>
    <w:p w:rsidR="00B034C7" w:rsidRPr="00C729DD" w:rsidP="00CE5F5C">
      <w:pPr>
        <w:numPr>
          <w:ilvl w:val="0"/>
          <w:numId w:val="4"/>
        </w:numPr>
        <w:tabs>
          <w:tab w:val="clear" w:pos="360"/>
          <w:tab w:val="num" w:pos="720"/>
        </w:tabs>
        <w:rPr>
          <w:rFonts w:ascii="Calibri" w:hAnsi="Calibri" w:cs="Calibri"/>
        </w:rPr>
      </w:pPr>
      <w:r w:rsidRPr="00C729DD">
        <w:rPr>
          <w:rFonts w:ascii="Calibri" w:hAnsi="Calibri" w:cs="Calibri"/>
        </w:rPr>
        <w:t xml:space="preserve">young people with complex disabilities or life-threatening or terminal illness </w:t>
      </w:r>
    </w:p>
    <w:p w:rsidR="00B034C7" w:rsidRPr="00C729DD" w:rsidP="00CE5F5C">
      <w:pPr>
        <w:numPr>
          <w:ilvl w:val="0"/>
          <w:numId w:val="4"/>
        </w:numPr>
        <w:tabs>
          <w:tab w:val="clear" w:pos="360"/>
          <w:tab w:val="num" w:pos="720"/>
        </w:tabs>
        <w:rPr>
          <w:rFonts w:ascii="Calibri" w:hAnsi="Calibri" w:cs="Calibri"/>
        </w:rPr>
      </w:pPr>
      <w:r w:rsidRPr="00C729DD">
        <w:rPr>
          <w:rFonts w:ascii="Calibri" w:hAnsi="Calibri" w:cs="Calibri"/>
        </w:rPr>
        <w:t xml:space="preserve">those with communication needs </w:t>
      </w:r>
    </w:p>
    <w:p w:rsidR="00B034C7" w:rsidRPr="00C729DD" w:rsidP="00CE5F5C">
      <w:pPr>
        <w:numPr>
          <w:ilvl w:val="0"/>
          <w:numId w:val="4"/>
        </w:numPr>
        <w:tabs>
          <w:tab w:val="clear" w:pos="360"/>
          <w:tab w:val="num" w:pos="720"/>
        </w:tabs>
        <w:rPr>
          <w:rFonts w:ascii="Calibri" w:hAnsi="Calibri" w:cs="Calibri"/>
        </w:rPr>
      </w:pPr>
      <w:r w:rsidRPr="00C729DD">
        <w:rPr>
          <w:rFonts w:ascii="Calibri" w:hAnsi="Calibri" w:cs="Calibri"/>
        </w:rPr>
        <w:t xml:space="preserve">young carers and siblings </w:t>
      </w:r>
    </w:p>
    <w:p w:rsidR="00B034C7" w:rsidRPr="00C729DD" w:rsidP="00CE5F5C">
      <w:pPr>
        <w:numPr>
          <w:ilvl w:val="0"/>
          <w:numId w:val="4"/>
        </w:numPr>
        <w:tabs>
          <w:tab w:val="clear" w:pos="360"/>
          <w:tab w:val="num" w:pos="720"/>
        </w:tabs>
        <w:rPr>
          <w:rFonts w:ascii="Calibri" w:hAnsi="Calibri" w:cs="Calibri"/>
        </w:rPr>
      </w:pPr>
      <w:r w:rsidRPr="00C729DD">
        <w:rPr>
          <w:rFonts w:ascii="Calibri" w:hAnsi="Calibri" w:cs="Calibri"/>
        </w:rPr>
        <w:t xml:space="preserve">young people with mental health needs, including </w:t>
      </w:r>
      <w:r w:rsidRPr="00C729DD">
        <w:rPr>
          <w:rFonts w:ascii="Calibri" w:hAnsi="Calibri" w:cs="Calibri"/>
        </w:rPr>
        <w:t>as a result of</w:t>
      </w:r>
      <w:r w:rsidRPr="00C729DD">
        <w:rPr>
          <w:rFonts w:ascii="Calibri" w:hAnsi="Calibri" w:cs="Calibri"/>
        </w:rPr>
        <w:t xml:space="preserve"> bereavement </w:t>
      </w:r>
    </w:p>
    <w:p w:rsidR="00B034C7" w:rsidRPr="00C729DD" w:rsidP="00CE5F5C">
      <w:pPr>
        <w:numPr>
          <w:ilvl w:val="0"/>
          <w:numId w:val="4"/>
        </w:numPr>
        <w:tabs>
          <w:tab w:val="clear" w:pos="360"/>
          <w:tab w:val="num" w:pos="720"/>
        </w:tabs>
        <w:rPr>
          <w:rFonts w:ascii="Calibri" w:hAnsi="Calibri" w:cs="Calibri"/>
        </w:rPr>
      </w:pPr>
      <w:r w:rsidRPr="00C729DD">
        <w:rPr>
          <w:rFonts w:ascii="Calibri" w:hAnsi="Calibri" w:cs="Calibri"/>
        </w:rPr>
        <w:t xml:space="preserve">families facing poverty or wider </w:t>
      </w:r>
      <w:r w:rsidRPr="00C729DD">
        <w:rPr>
          <w:rFonts w:ascii="Calibri" w:hAnsi="Calibri" w:cs="Calibri"/>
        </w:rPr>
        <w:t>disadvantage</w:t>
      </w:r>
      <w:r w:rsidRPr="00C729DD">
        <w:rPr>
          <w:rFonts w:ascii="Calibri" w:hAnsi="Calibri" w:cs="Calibri"/>
        </w:rPr>
        <w:t xml:space="preserve">.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Qualitative feedback from young people and families should form part of monitoring arrangements alongside quantitative service data.</w:t>
      </w:r>
    </w:p>
    <w:p w:rsidR="00C729DD" w:rsidP="00CE5F5C">
      <w:pPr>
        <w:rPr>
          <w:rFonts w:ascii="Calibri" w:hAnsi="Calibri" w:cs="Calibri"/>
          <w:b/>
          <w:bCs/>
          <w:sz w:val="28"/>
          <w:szCs w:val="28"/>
        </w:rPr>
      </w:pPr>
    </w:p>
    <w:p w:rsidR="00B034C7" w:rsidRPr="00C729DD" w:rsidP="00CE5F5C">
      <w:pPr>
        <w:rPr>
          <w:rFonts w:ascii="Calibri" w:hAnsi="Calibri" w:cs="Calibri"/>
          <w:b/>
          <w:bCs/>
          <w:sz w:val="28"/>
          <w:szCs w:val="28"/>
        </w:rPr>
      </w:pPr>
      <w:r w:rsidRPr="00C729DD">
        <w:rPr>
          <w:rFonts w:ascii="Calibri" w:hAnsi="Calibri" w:cs="Calibri"/>
          <w:b/>
          <w:bCs/>
          <w:sz w:val="28"/>
          <w:szCs w:val="28"/>
        </w:rPr>
        <w:t>Focus area 2 – effectiveness of the transition process and cross-service coordination</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resourcing is needed for health and social care services to effectively enable joint working and commissioning?</w:t>
      </w:r>
    </w:p>
    <w:p w:rsidR="00B034C7" w:rsidRPr="00C729DD" w:rsidP="00CE5F5C">
      <w:pPr>
        <w:rPr>
          <w:rFonts w:ascii="Calibri" w:hAnsi="Calibri" w:cs="Calibri"/>
        </w:rPr>
      </w:pPr>
      <w:r w:rsidRPr="00C729DD">
        <w:rPr>
          <w:rFonts w:ascii="Calibri" w:hAnsi="Calibri" w:cs="Calibri"/>
        </w:rPr>
        <w:t>Effective transition support requires coordinated working across children’s and adult health, social care, education and voluntary sector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families affected by a child’s life-threatening or terminal illness, support is often delivered across multiple agencies and professionals over many years. Joint working therefore requires sufficient staffing, protected coordination time, clear responsibilities and shared planning processes.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The voluntary sector may also be providing substantial emotional and practical support to families, but this role is not always recognised or sustainably commissioned within wider transition planning arrangements.</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2. Are gap analyses taking place across services, when do these take place, how are they acted on and how is this monitored?</w:t>
      </w:r>
    </w:p>
    <w:p w:rsidR="00B034C7" w:rsidRPr="00C729DD" w:rsidP="00CE5F5C">
      <w:pPr>
        <w:rPr>
          <w:rFonts w:ascii="Calibri" w:hAnsi="Calibri" w:cs="Calibri"/>
        </w:rPr>
      </w:pPr>
      <w:r w:rsidRPr="00C729DD">
        <w:rPr>
          <w:rFonts w:ascii="Calibri" w:hAnsi="Calibri" w:cs="Calibri"/>
        </w:rPr>
        <w:t>Rainbow Trust does not hold national data on the consistency or effectiveness of local gap analyses.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our experience suggests that gaps between children’s and adult provision remain a significant concern, particularly where:</w:t>
      </w:r>
    </w:p>
    <w:p w:rsidR="00B034C7" w:rsidRPr="00C729DD" w:rsidP="00CE5F5C">
      <w:pPr>
        <w:numPr>
          <w:ilvl w:val="0"/>
          <w:numId w:val="13"/>
        </w:numPr>
        <w:tabs>
          <w:tab w:val="clear" w:pos="360"/>
          <w:tab w:val="num" w:pos="720"/>
        </w:tabs>
        <w:rPr>
          <w:rFonts w:ascii="Calibri" w:hAnsi="Calibri" w:cs="Calibri"/>
        </w:rPr>
      </w:pPr>
      <w:r w:rsidRPr="00C729DD">
        <w:rPr>
          <w:rFonts w:ascii="Calibri" w:hAnsi="Calibri" w:cs="Calibri"/>
        </w:rPr>
        <w:t xml:space="preserve">there is no equivalent adult service </w:t>
      </w:r>
    </w:p>
    <w:p w:rsidR="00B034C7" w:rsidRPr="00C729DD" w:rsidP="00CE5F5C">
      <w:pPr>
        <w:numPr>
          <w:ilvl w:val="0"/>
          <w:numId w:val="13"/>
        </w:numPr>
        <w:tabs>
          <w:tab w:val="clear" w:pos="360"/>
          <w:tab w:val="num" w:pos="720"/>
        </w:tabs>
        <w:rPr>
          <w:rFonts w:ascii="Calibri" w:hAnsi="Calibri" w:cs="Calibri"/>
        </w:rPr>
      </w:pPr>
      <w:r w:rsidRPr="00C729DD">
        <w:rPr>
          <w:rFonts w:ascii="Calibri" w:hAnsi="Calibri" w:cs="Calibri"/>
        </w:rPr>
        <w:t xml:space="preserve">eligibility criteria differ substantially between children’s and adult services </w:t>
      </w:r>
    </w:p>
    <w:p w:rsidR="00B034C7" w:rsidRPr="00C729DD" w:rsidP="00CE5F5C">
      <w:pPr>
        <w:numPr>
          <w:ilvl w:val="0"/>
          <w:numId w:val="13"/>
        </w:numPr>
        <w:tabs>
          <w:tab w:val="clear" w:pos="360"/>
          <w:tab w:val="num" w:pos="720"/>
        </w:tabs>
        <w:rPr>
          <w:rFonts w:ascii="Calibri" w:hAnsi="Calibri" w:cs="Calibri"/>
        </w:rPr>
      </w:pPr>
      <w:r w:rsidRPr="00C729DD">
        <w:rPr>
          <w:rFonts w:ascii="Calibri" w:hAnsi="Calibri" w:cs="Calibri"/>
        </w:rPr>
        <w:t xml:space="preserve">emotional and practical support reduces after 18 </w:t>
      </w:r>
    </w:p>
    <w:p w:rsidR="00B034C7" w:rsidRPr="00C729DD" w:rsidP="00CE5F5C">
      <w:pPr>
        <w:numPr>
          <w:ilvl w:val="0"/>
          <w:numId w:val="13"/>
        </w:numPr>
        <w:tabs>
          <w:tab w:val="clear" w:pos="360"/>
          <w:tab w:val="num" w:pos="720"/>
        </w:tabs>
        <w:rPr>
          <w:rFonts w:ascii="Calibri" w:hAnsi="Calibri" w:cs="Calibri"/>
        </w:rPr>
      </w:pPr>
      <w:r w:rsidRPr="00C729DD">
        <w:rPr>
          <w:rFonts w:ascii="Calibri" w:hAnsi="Calibri" w:cs="Calibri"/>
        </w:rPr>
        <w:t xml:space="preserve">services are commissioned separately with limited coordination.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with life-threatening or terminal illness, and their families, may therefore experience uncertainty or reduced support despite ongoing need.</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1. How effective is joint commissioning and coordinated delivery of care at the point of transition?</w:t>
      </w:r>
    </w:p>
    <w:p w:rsidR="00B034C7" w:rsidRPr="00C729DD" w:rsidP="00CE5F5C">
      <w:pPr>
        <w:rPr>
          <w:rFonts w:ascii="Calibri" w:hAnsi="Calibri" w:cs="Calibri"/>
        </w:rPr>
      </w:pPr>
      <w:r w:rsidRPr="00C729DD">
        <w:rPr>
          <w:rFonts w:ascii="Calibri" w:hAnsi="Calibri" w:cs="Calibri"/>
        </w:rPr>
        <w:t>Rainbow Trust has not evaluated the effectiveness of commissioning, but there appears to be variation across services and geographical areas.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Where joint working is effective, families are more likely to experience continuity, clearer communication and smoother transitions between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families can also experience fragmented systems, repeated assessments and uncertainty around responsibilities during transition. Differences in thresholds, commissioning arrangements and service models between children’s and adult systems can create additional challenges.</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 xml:space="preserve">2. Are there ways in which better and more effective joint </w:t>
      </w:r>
      <w:r w:rsidRPr="00C729DD">
        <w:rPr>
          <w:rFonts w:ascii="Calibri" w:hAnsi="Calibri" w:cs="Calibri"/>
          <w:b/>
          <w:bCs/>
        </w:rPr>
        <w:t>working</w:t>
      </w:r>
      <w:r w:rsidRPr="00C729DD">
        <w:rPr>
          <w:rFonts w:ascii="Calibri" w:hAnsi="Calibri" w:cs="Calibri"/>
          <w:b/>
          <w:bCs/>
        </w:rPr>
        <w:t xml:space="preserve"> could improve provision and quality of services? What does good practice look like?</w:t>
      </w:r>
    </w:p>
    <w:p w:rsidR="00B034C7" w:rsidRPr="00C729DD" w:rsidP="00CE5F5C">
      <w:pPr>
        <w:rPr>
          <w:rFonts w:ascii="Calibri" w:hAnsi="Calibri" w:cs="Calibri"/>
        </w:rPr>
      </w:pPr>
      <w:r w:rsidRPr="00C729DD">
        <w:rPr>
          <w:rFonts w:ascii="Calibri" w:hAnsi="Calibri" w:cs="Calibri"/>
        </w:rPr>
        <w:t>Good practice should include:</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early and gradual transition planning </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joint meetings involving children’s and adult services </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named coordinators or key workers </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clear communication with families </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continuity of emotional and practical support </w:t>
      </w:r>
    </w:p>
    <w:p w:rsidR="00B034C7" w:rsidRPr="00C729DD" w:rsidP="00CE5F5C">
      <w:pPr>
        <w:numPr>
          <w:ilvl w:val="0"/>
          <w:numId w:val="14"/>
        </w:numPr>
        <w:tabs>
          <w:tab w:val="clear" w:pos="360"/>
          <w:tab w:val="num" w:pos="720"/>
        </w:tabs>
        <w:rPr>
          <w:rFonts w:ascii="Calibri" w:hAnsi="Calibri" w:cs="Calibri"/>
        </w:rPr>
      </w:pPr>
      <w:r w:rsidRPr="00C729DD">
        <w:rPr>
          <w:rFonts w:ascii="Calibri" w:hAnsi="Calibri" w:cs="Calibri"/>
        </w:rPr>
        <w:t xml:space="preserve">recognition of the role of parents, carers and siblings alongside the young person.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Adult services are often more fragmented and less holistic than the support received during childhood. Better joint </w:t>
      </w:r>
      <w:r w:rsidRPr="00C729DD">
        <w:rPr>
          <w:rFonts w:ascii="Calibri" w:hAnsi="Calibri" w:cs="Calibri"/>
        </w:rPr>
        <w:t>working</w:t>
      </w:r>
      <w:r w:rsidRPr="00C729DD">
        <w:rPr>
          <w:rFonts w:ascii="Calibri" w:hAnsi="Calibri" w:cs="Calibri"/>
        </w:rPr>
        <w:t xml:space="preserve"> could therefore improve continuity, reduce anxiety and help prevent families from feeling unsupported at transition.</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Where health and social care organisations</w:t>
      </w:r>
      <w:r w:rsidRPr="00C729DD">
        <w:rPr>
          <w:rFonts w:ascii="Calibri" w:hAnsi="Calibri" w:cs="Calibri"/>
          <w:b/>
          <w:bCs/>
        </w:rPr>
        <w:t xml:space="preserve"> have not been able to fulfil these statements of intent, what has the impact been?</w:t>
      </w:r>
    </w:p>
    <w:p w:rsidR="00B034C7" w:rsidRPr="00C729DD" w:rsidP="00CE5F5C">
      <w:pPr>
        <w:rPr>
          <w:rFonts w:ascii="Calibri" w:hAnsi="Calibri" w:cs="Calibri"/>
        </w:rPr>
      </w:pPr>
      <w:r w:rsidRPr="00C729DD">
        <w:rPr>
          <w:rFonts w:ascii="Calibri" w:hAnsi="Calibri" w:cs="Calibri"/>
        </w:rPr>
        <w:t>Poorly coordinated transitions can lead to:</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anxiety and uncertainty for young people and families </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gaps in support </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repeated assessments and retelling of circumstances </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reduced trust in services </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emotional distress </w:t>
      </w:r>
    </w:p>
    <w:p w:rsidR="00B034C7" w:rsidRPr="00C729DD" w:rsidP="00CE5F5C">
      <w:pPr>
        <w:numPr>
          <w:ilvl w:val="0"/>
          <w:numId w:val="15"/>
        </w:numPr>
        <w:tabs>
          <w:tab w:val="clear" w:pos="360"/>
          <w:tab w:val="num" w:pos="720"/>
        </w:tabs>
        <w:rPr>
          <w:rFonts w:ascii="Calibri" w:hAnsi="Calibri" w:cs="Calibri"/>
        </w:rPr>
      </w:pPr>
      <w:r w:rsidRPr="00C729DD">
        <w:rPr>
          <w:rFonts w:ascii="Calibri" w:hAnsi="Calibri" w:cs="Calibri"/>
        </w:rPr>
        <w:t xml:space="preserve">disengagement from support.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families affected by a child’s life-threatening or terminal illness, the impact can extend beyond the young person themselves to parents, siblings and wider family wellbeing.</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2. What is the impact of joint working on an individual’s experience of transition between child and adult services?</w:t>
      </w:r>
    </w:p>
    <w:p w:rsidR="00B034C7" w:rsidRPr="00C729DD" w:rsidP="00CE5F5C">
      <w:pPr>
        <w:rPr>
          <w:rFonts w:ascii="Calibri" w:hAnsi="Calibri" w:cs="Calibri"/>
        </w:rPr>
      </w:pPr>
      <w:r w:rsidRPr="00C729DD">
        <w:rPr>
          <w:rFonts w:ascii="Calibri" w:hAnsi="Calibri" w:cs="Calibri"/>
        </w:rPr>
        <w:t>Where services work well together, young people and families are more likely to feel informed, supported and confident during transition.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Continuity of relationships, shared planning and clear communication can help reduce anxiety and improve trust in adult services.</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3. Is there available data demonstrating the proportion of young people transitioned to primary care management?</w:t>
      </w:r>
    </w:p>
    <w:p w:rsidR="00B034C7" w:rsidRPr="00C729DD" w:rsidP="00CE5F5C">
      <w:pPr>
        <w:rPr>
          <w:rFonts w:ascii="Calibri" w:hAnsi="Calibri" w:cs="Calibri"/>
        </w:rPr>
      </w:pPr>
      <w:r w:rsidRPr="00C729DD">
        <w:rPr>
          <w:rFonts w:ascii="Calibri" w:hAnsi="Calibri" w:cs="Calibri"/>
        </w:rPr>
        <w:t>Rainbow Trust does not hold national data on the proportion of young people transitioned to primary care management where no adult specialist service exists or eligibility thresholds are not met.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families may experience instances where support reduces significantly after transition or where adult provision is unavailable or more limited than children’s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Are current guidelines and guidance in this area appropriate for children and young people, and for professionals involved?</w:t>
      </w:r>
    </w:p>
    <w:p w:rsidR="00B034C7" w:rsidRPr="00C729DD" w:rsidP="00CE5F5C">
      <w:pPr>
        <w:rPr>
          <w:rFonts w:ascii="Calibri" w:hAnsi="Calibri" w:cs="Calibri"/>
        </w:rPr>
      </w:pPr>
      <w:r w:rsidRPr="00C729DD">
        <w:rPr>
          <w:rFonts w:ascii="Calibri" w:hAnsi="Calibri" w:cs="Calibri"/>
        </w:rPr>
        <w:t>The principles within current guidance are appropriate and important. However, implementation can be challenging where systems are fragmented or where children’s and adult services operate to different thresholds, models or commissioning arrangements.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There should also be greater recognition within transition planning that the impact of a life-threatening or terminal illness may continue throughout adulthood and affect the whole family.</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are underserved or vulnerable groups considered in the delivery of services under this guidance?</w:t>
      </w:r>
    </w:p>
    <w:p w:rsidR="00B034C7" w:rsidRPr="00C729DD" w:rsidP="00CE5F5C">
      <w:pPr>
        <w:rPr>
          <w:rFonts w:ascii="Calibri" w:hAnsi="Calibri" w:cs="Calibri"/>
        </w:rPr>
      </w:pPr>
      <w:r w:rsidRPr="00C729DD">
        <w:rPr>
          <w:rFonts w:ascii="Calibri" w:hAnsi="Calibri" w:cs="Calibri"/>
        </w:rPr>
        <w:t>Underserved groups may face additional barriers navigating fragmented transition systems.</w:t>
      </w:r>
    </w:p>
    <w:p w:rsidR="00B034C7" w:rsidRPr="00C729DD" w:rsidP="00CE5F5C">
      <w:pPr>
        <w:rPr>
          <w:rFonts w:ascii="Calibri" w:hAnsi="Calibri" w:cs="Calibri"/>
        </w:rPr>
      </w:pPr>
      <w:r w:rsidRPr="00C729DD">
        <w:rPr>
          <w:rFonts w:ascii="Calibri" w:hAnsi="Calibri" w:cs="Calibri"/>
        </w:rPr>
        <w:t>This includes young people with:</w:t>
      </w:r>
    </w:p>
    <w:p w:rsidR="00B034C7" w:rsidRPr="00C729DD" w:rsidP="00CE5F5C">
      <w:pPr>
        <w:numPr>
          <w:ilvl w:val="0"/>
          <w:numId w:val="16"/>
        </w:numPr>
        <w:tabs>
          <w:tab w:val="clear" w:pos="360"/>
          <w:tab w:val="num" w:pos="720"/>
        </w:tabs>
        <w:rPr>
          <w:rFonts w:ascii="Calibri" w:hAnsi="Calibri" w:cs="Calibri"/>
        </w:rPr>
      </w:pPr>
      <w:r w:rsidRPr="00C729DD">
        <w:rPr>
          <w:rFonts w:ascii="Calibri" w:hAnsi="Calibri" w:cs="Calibri"/>
        </w:rPr>
        <w:t xml:space="preserve">complex disabilities </w:t>
      </w:r>
    </w:p>
    <w:p w:rsidR="00B034C7" w:rsidRPr="00C729DD" w:rsidP="00CE5F5C">
      <w:pPr>
        <w:numPr>
          <w:ilvl w:val="0"/>
          <w:numId w:val="16"/>
        </w:numPr>
        <w:tabs>
          <w:tab w:val="clear" w:pos="360"/>
          <w:tab w:val="num" w:pos="720"/>
        </w:tabs>
        <w:rPr>
          <w:rFonts w:ascii="Calibri" w:hAnsi="Calibri" w:cs="Calibri"/>
        </w:rPr>
      </w:pPr>
      <w:r w:rsidRPr="00C729DD">
        <w:rPr>
          <w:rFonts w:ascii="Calibri" w:hAnsi="Calibri" w:cs="Calibri"/>
        </w:rPr>
        <w:t xml:space="preserve">communication needs </w:t>
      </w:r>
    </w:p>
    <w:p w:rsidR="00B034C7" w:rsidRPr="00C729DD" w:rsidP="00CE5F5C">
      <w:pPr>
        <w:numPr>
          <w:ilvl w:val="0"/>
          <w:numId w:val="16"/>
        </w:numPr>
        <w:tabs>
          <w:tab w:val="clear" w:pos="360"/>
          <w:tab w:val="num" w:pos="720"/>
        </w:tabs>
        <w:rPr>
          <w:rFonts w:ascii="Calibri" w:hAnsi="Calibri" w:cs="Calibri"/>
        </w:rPr>
      </w:pPr>
      <w:r w:rsidRPr="00C729DD">
        <w:rPr>
          <w:rFonts w:ascii="Calibri" w:hAnsi="Calibri" w:cs="Calibri"/>
        </w:rPr>
        <w:t xml:space="preserve">mental health needs </w:t>
      </w:r>
    </w:p>
    <w:p w:rsidR="00B034C7" w:rsidRPr="00C729DD" w:rsidP="00CE5F5C">
      <w:pPr>
        <w:numPr>
          <w:ilvl w:val="0"/>
          <w:numId w:val="16"/>
        </w:numPr>
        <w:tabs>
          <w:tab w:val="clear" w:pos="360"/>
          <w:tab w:val="num" w:pos="720"/>
        </w:tabs>
        <w:rPr>
          <w:rFonts w:ascii="Calibri" w:hAnsi="Calibri" w:cs="Calibri"/>
        </w:rPr>
      </w:pPr>
      <w:r w:rsidRPr="00C729DD">
        <w:rPr>
          <w:rFonts w:ascii="Calibri" w:hAnsi="Calibri" w:cs="Calibri"/>
        </w:rPr>
        <w:t xml:space="preserve">life-threatening or terminal illness </w:t>
      </w:r>
    </w:p>
    <w:p w:rsidR="00B034C7" w:rsidRPr="00C729DD" w:rsidP="00CE5F5C">
      <w:pPr>
        <w:numPr>
          <w:ilvl w:val="0"/>
          <w:numId w:val="16"/>
        </w:numPr>
        <w:tabs>
          <w:tab w:val="clear" w:pos="360"/>
          <w:tab w:val="num" w:pos="720"/>
        </w:tabs>
        <w:rPr>
          <w:rFonts w:ascii="Calibri" w:hAnsi="Calibri" w:cs="Calibri"/>
        </w:rPr>
      </w:pPr>
      <w:r w:rsidRPr="00C729DD">
        <w:rPr>
          <w:rFonts w:ascii="Calibri" w:hAnsi="Calibri" w:cs="Calibri"/>
        </w:rPr>
        <w:t xml:space="preserve">wider social or economic disadvantage.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 planning should also consider the experiences of parents, carers and siblings, particularly where families may already be undergoing emotional, financial or practical pressures associated with long-term caring responsibilities or bereavement.</w:t>
      </w:r>
    </w:p>
    <w:p w:rsidR="00B034C7" w:rsidRPr="00C729DD" w:rsidP="00CE5F5C">
      <w:pPr>
        <w:rPr>
          <w:rFonts w:ascii="Calibri" w:hAnsi="Calibri" w:cs="Calibri"/>
          <w:b/>
          <w:bCs/>
          <w:sz w:val="28"/>
          <w:szCs w:val="28"/>
        </w:rPr>
      </w:pPr>
    </w:p>
    <w:p w:rsidR="00B034C7" w:rsidRPr="00C729DD" w:rsidP="00CE5F5C">
      <w:pPr>
        <w:rPr>
          <w:rFonts w:ascii="Calibri" w:hAnsi="Calibri" w:cs="Calibri"/>
          <w:b/>
          <w:bCs/>
          <w:sz w:val="28"/>
          <w:szCs w:val="28"/>
        </w:rPr>
      </w:pPr>
      <w:r w:rsidRPr="00C729DD">
        <w:rPr>
          <w:rFonts w:ascii="Calibri" w:hAnsi="Calibri" w:cs="Calibri"/>
          <w:b/>
          <w:bCs/>
          <w:sz w:val="28"/>
          <w:szCs w:val="28"/>
        </w:rPr>
        <w:br w:type="page"/>
      </w:r>
    </w:p>
    <w:p w:rsidR="00B034C7" w:rsidRPr="00C729DD" w:rsidP="00CE5F5C">
      <w:pPr>
        <w:rPr>
          <w:rFonts w:ascii="Calibri" w:hAnsi="Calibri" w:cs="Calibri"/>
          <w:b/>
          <w:bCs/>
          <w:sz w:val="28"/>
          <w:szCs w:val="28"/>
        </w:rPr>
      </w:pPr>
      <w:r w:rsidRPr="00C729DD">
        <w:rPr>
          <w:rFonts w:ascii="Calibri" w:hAnsi="Calibri" w:cs="Calibri"/>
          <w:b/>
          <w:bCs/>
          <w:sz w:val="28"/>
          <w:szCs w:val="28"/>
        </w:rPr>
        <w:t>Focus area 3 – meaningful involvement of children, young people and their carers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1. How are services resourced to </w:t>
      </w:r>
      <w:r w:rsidRPr="00C729DD">
        <w:rPr>
          <w:rFonts w:ascii="Calibri" w:hAnsi="Calibri" w:cs="Calibri"/>
          <w:b/>
          <w:bCs/>
        </w:rPr>
        <w:t>take into account</w:t>
      </w:r>
      <w:r w:rsidRPr="00C729DD">
        <w:rPr>
          <w:rFonts w:ascii="Calibri" w:hAnsi="Calibri" w:cs="Calibri"/>
          <w:b/>
          <w:bCs/>
        </w:rPr>
        <w:t xml:space="preserve"> the needs, wishes and aspirations of the young person, including during the planning process and after transition?</w:t>
      </w:r>
    </w:p>
    <w:p w:rsidR="00B034C7" w:rsidRPr="00C729DD" w:rsidP="00CE5F5C">
      <w:pPr>
        <w:rPr>
          <w:rFonts w:ascii="Calibri" w:hAnsi="Calibri" w:cs="Calibri"/>
        </w:rPr>
      </w:pPr>
      <w:r w:rsidRPr="00C729DD">
        <w:rPr>
          <w:rFonts w:ascii="Calibri" w:hAnsi="Calibri" w:cs="Calibri"/>
        </w:rPr>
        <w:t>Meaningful involvement requires time, continuity and trusted relationships. Young people and families are more likely to engage positively in transition planning where practitioners have the capacity to build relationships over time and tailor communication and support to the individual.</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families affected by a child’s life-threatening or terminal illness, transition planning should recognise the role of parents, carers and siblings alongside the young person themselves. The impact of serious childhood illness is often experienced across the whole family, including after a young person turns 18.</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services are often under pressure and may prioritise clinical transfer processes over wider emotional, practical and family-centred support.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What resourcing is required to enable co-production of transition strategies/policies and provide feedback on outcomes?</w:t>
      </w:r>
    </w:p>
    <w:p w:rsidR="00B034C7" w:rsidRPr="00C729DD" w:rsidP="00CE5F5C">
      <w:pPr>
        <w:rPr>
          <w:rFonts w:ascii="Calibri" w:hAnsi="Calibri" w:cs="Calibri"/>
        </w:rPr>
      </w:pPr>
      <w:r w:rsidRPr="00C729DD">
        <w:rPr>
          <w:rFonts w:ascii="Calibri" w:hAnsi="Calibri" w:cs="Calibri"/>
        </w:rPr>
        <w:t>Effective co-production requires dedicated staff time, accessible engagement methods and ongoing feedback mechanisms.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and families should be supported to contribute in ways that are meaningful and appropriate to their needs and communication preferences. This may include flexible engagement approaches, advocacy and support with participation.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Organisations</w:t>
      </w:r>
      <w:r w:rsidRPr="00C729DD">
        <w:rPr>
          <w:rFonts w:ascii="Calibri" w:hAnsi="Calibri" w:cs="Calibri"/>
        </w:rPr>
        <w:t xml:space="preserve"> should also ensure that children, young people and families can see how their involvement has influenced policy or service development.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are young people, and their carers, involved in their transition planning and what methods are effective in supporting involvement?</w:t>
      </w:r>
    </w:p>
    <w:p w:rsidR="00B034C7" w:rsidRPr="00C729DD" w:rsidP="00CE5F5C">
      <w:pPr>
        <w:rPr>
          <w:rFonts w:ascii="Calibri" w:hAnsi="Calibri" w:cs="Calibri"/>
        </w:rPr>
      </w:pPr>
      <w:r w:rsidRPr="00C729DD">
        <w:rPr>
          <w:rFonts w:ascii="Calibri" w:hAnsi="Calibri" w:cs="Calibri"/>
        </w:rPr>
        <w:t>Effective transition planning involves young people and families as active participants rather than passive recipients of information.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Involvement principles should include:</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communication</w:t>
      </w:r>
      <w:r w:rsidRPr="00C729DD">
        <w:rPr>
          <w:rFonts w:ascii="Calibri" w:hAnsi="Calibri" w:cs="Calibri"/>
        </w:rPr>
        <w:t xml:space="preserve"> is clear and accessible </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planning</w:t>
      </w:r>
      <w:r w:rsidRPr="00C729DD">
        <w:rPr>
          <w:rFonts w:ascii="Calibri" w:hAnsi="Calibri" w:cs="Calibri"/>
        </w:rPr>
        <w:t xml:space="preserve"> begins early </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 xml:space="preserve">young people are listened to and involved in decision-making </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 xml:space="preserve">families are treated as expert partners in care </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 xml:space="preserve">there is continuity of relationships with professionals </w:t>
      </w:r>
    </w:p>
    <w:p w:rsidR="00B034C7" w:rsidRPr="00C729DD" w:rsidP="00CE5F5C">
      <w:pPr>
        <w:numPr>
          <w:ilvl w:val="0"/>
          <w:numId w:val="5"/>
        </w:numPr>
        <w:tabs>
          <w:tab w:val="clear" w:pos="360"/>
          <w:tab w:val="num" w:pos="720"/>
        </w:tabs>
        <w:rPr>
          <w:rFonts w:ascii="Calibri" w:hAnsi="Calibri" w:cs="Calibri"/>
        </w:rPr>
      </w:pPr>
      <w:r w:rsidRPr="00C729DD">
        <w:rPr>
          <w:rFonts w:ascii="Calibri" w:hAnsi="Calibri" w:cs="Calibri"/>
        </w:rPr>
        <w:t>emotional</w:t>
      </w:r>
      <w:r w:rsidRPr="00C729DD">
        <w:rPr>
          <w:rFonts w:ascii="Calibri" w:hAnsi="Calibri" w:cs="Calibri"/>
        </w:rPr>
        <w:t xml:space="preserve"> wellbeing is considered alongside clinical needs.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may also benefit from peer support, mentoring and opportunities to build confidence and self-advocacy skills over time.</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What does effective inclusion of young people in the planning and delivery of their transition look like?</w:t>
      </w:r>
    </w:p>
    <w:p w:rsidR="00B034C7" w:rsidRPr="00C729DD" w:rsidP="00CE5F5C">
      <w:pPr>
        <w:rPr>
          <w:rFonts w:ascii="Calibri" w:hAnsi="Calibri" w:cs="Calibri"/>
        </w:rPr>
      </w:pPr>
      <w:r w:rsidRPr="00C729DD">
        <w:rPr>
          <w:rFonts w:ascii="Calibri" w:hAnsi="Calibri" w:cs="Calibri"/>
        </w:rPr>
        <w:t>Effective inclusion means young people feel listened to, respected and supported to express what matters to them.</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This includes recognising</w:t>
      </w:r>
      <w:r w:rsidRPr="00C729DD">
        <w:rPr>
          <w:rFonts w:ascii="Calibri" w:hAnsi="Calibri" w:cs="Calibri"/>
        </w:rPr>
        <w:t xml:space="preserve"> that independence and adulthood may look different for different young people, particularly those with ongoing complex needs or life-threatening or terminal illness.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Good transition planning should be flexible, person-centred and tailored to individual communication styles, developmental stage and emotional readiness.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are the impacts of co-producing transition policies and strategies with children and young people?</w:t>
      </w:r>
    </w:p>
    <w:p w:rsidR="00B034C7" w:rsidRPr="00C729DD" w:rsidP="00CE5F5C">
      <w:pPr>
        <w:rPr>
          <w:rFonts w:ascii="Calibri" w:hAnsi="Calibri" w:cs="Calibri"/>
        </w:rPr>
      </w:pPr>
      <w:r w:rsidRPr="00C729DD">
        <w:rPr>
          <w:rFonts w:ascii="Calibri" w:hAnsi="Calibri" w:cs="Calibri"/>
        </w:rPr>
        <w:t>Co-production can help ensure services are more responsive, accessible and reflective of real experiences and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and families can provide valuable insight into:</w:t>
      </w:r>
    </w:p>
    <w:p w:rsidR="00B034C7" w:rsidRPr="00C729DD" w:rsidP="00CE5F5C">
      <w:pPr>
        <w:numPr>
          <w:ilvl w:val="0"/>
          <w:numId w:val="6"/>
        </w:numPr>
        <w:tabs>
          <w:tab w:val="clear" w:pos="360"/>
          <w:tab w:val="num" w:pos="720"/>
        </w:tabs>
        <w:rPr>
          <w:rFonts w:ascii="Calibri" w:hAnsi="Calibri" w:cs="Calibri"/>
        </w:rPr>
      </w:pPr>
      <w:r w:rsidRPr="00C729DD">
        <w:rPr>
          <w:rFonts w:ascii="Calibri" w:hAnsi="Calibri" w:cs="Calibri"/>
        </w:rPr>
        <w:t xml:space="preserve">gaps between children’s and adult services </w:t>
      </w:r>
    </w:p>
    <w:p w:rsidR="00B034C7" w:rsidRPr="00C729DD" w:rsidP="00CE5F5C">
      <w:pPr>
        <w:numPr>
          <w:ilvl w:val="0"/>
          <w:numId w:val="6"/>
        </w:numPr>
        <w:tabs>
          <w:tab w:val="clear" w:pos="360"/>
          <w:tab w:val="num" w:pos="720"/>
        </w:tabs>
        <w:rPr>
          <w:rFonts w:ascii="Calibri" w:hAnsi="Calibri" w:cs="Calibri"/>
        </w:rPr>
      </w:pPr>
      <w:r w:rsidRPr="00C729DD">
        <w:rPr>
          <w:rFonts w:ascii="Calibri" w:hAnsi="Calibri" w:cs="Calibri"/>
        </w:rPr>
        <w:t xml:space="preserve">communication challenges </w:t>
      </w:r>
    </w:p>
    <w:p w:rsidR="00B034C7" w:rsidRPr="00C729DD" w:rsidP="00CE5F5C">
      <w:pPr>
        <w:numPr>
          <w:ilvl w:val="0"/>
          <w:numId w:val="6"/>
        </w:numPr>
        <w:tabs>
          <w:tab w:val="clear" w:pos="360"/>
          <w:tab w:val="num" w:pos="720"/>
        </w:tabs>
        <w:rPr>
          <w:rFonts w:ascii="Calibri" w:hAnsi="Calibri" w:cs="Calibri"/>
        </w:rPr>
      </w:pPr>
      <w:r w:rsidRPr="00C729DD">
        <w:rPr>
          <w:rFonts w:ascii="Calibri" w:hAnsi="Calibri" w:cs="Calibri"/>
        </w:rPr>
        <w:t xml:space="preserve">emotional impacts of transition </w:t>
      </w:r>
    </w:p>
    <w:p w:rsidR="00B034C7" w:rsidRPr="00C729DD" w:rsidP="00CE5F5C">
      <w:pPr>
        <w:numPr>
          <w:ilvl w:val="0"/>
          <w:numId w:val="6"/>
        </w:numPr>
        <w:tabs>
          <w:tab w:val="clear" w:pos="360"/>
          <w:tab w:val="num" w:pos="720"/>
        </w:tabs>
        <w:rPr>
          <w:rFonts w:ascii="Calibri" w:hAnsi="Calibri" w:cs="Calibri"/>
        </w:rPr>
      </w:pPr>
      <w:r w:rsidRPr="00C729DD">
        <w:rPr>
          <w:rFonts w:ascii="Calibri" w:hAnsi="Calibri" w:cs="Calibri"/>
        </w:rPr>
        <w:t xml:space="preserve">barriers to accessing support </w:t>
      </w:r>
    </w:p>
    <w:p w:rsidR="00B034C7" w:rsidRPr="00C729DD" w:rsidP="00CE5F5C">
      <w:pPr>
        <w:numPr>
          <w:ilvl w:val="0"/>
          <w:numId w:val="6"/>
        </w:numPr>
        <w:tabs>
          <w:tab w:val="clear" w:pos="360"/>
          <w:tab w:val="num" w:pos="720"/>
        </w:tabs>
        <w:rPr>
          <w:rFonts w:ascii="Calibri" w:hAnsi="Calibri" w:cs="Calibri"/>
        </w:rPr>
      </w:pPr>
      <w:r w:rsidRPr="00C729DD">
        <w:rPr>
          <w:rFonts w:ascii="Calibri" w:hAnsi="Calibri" w:cs="Calibri"/>
        </w:rPr>
        <w:t>what</w:t>
      </w:r>
      <w:r w:rsidRPr="00C729DD">
        <w:rPr>
          <w:rFonts w:ascii="Calibri" w:hAnsi="Calibri" w:cs="Calibri"/>
        </w:rPr>
        <w:t xml:space="preserve"> helps young people feel safe, informed and included.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Involving families can also help services better understand the ongoing impact of life-threatening or terminal illness beyond childhood.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What does a good transition service look like, and how is an effective transition defined, measured and monitored?</w:t>
      </w:r>
    </w:p>
    <w:p w:rsidR="00B034C7" w:rsidRPr="00C729DD" w:rsidP="00CE5F5C">
      <w:pPr>
        <w:rPr>
          <w:rFonts w:ascii="Calibri" w:hAnsi="Calibri" w:cs="Calibri"/>
        </w:rPr>
      </w:pPr>
      <w:r w:rsidRPr="00C729DD">
        <w:rPr>
          <w:rFonts w:ascii="Calibri" w:hAnsi="Calibri" w:cs="Calibri"/>
        </w:rPr>
        <w:t>A good transition service should provide continuity, coordination and emotional support alongside clinical transfer arrangements.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Effective transition should not be measured solely by whether a referral to adult services has taken place. It should also </w:t>
      </w:r>
      <w:r w:rsidRPr="00C729DD">
        <w:rPr>
          <w:rFonts w:ascii="Calibri" w:hAnsi="Calibri" w:cs="Calibri"/>
        </w:rPr>
        <w:t>consider</w:t>
      </w:r>
      <w:r w:rsidRPr="00C729DD">
        <w:rPr>
          <w:rFonts w:ascii="Calibri" w:hAnsi="Calibri" w:cs="Calibri"/>
        </w:rPr>
        <w:t>:</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young people’s wellbeing and confidence </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continuity of support </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whether families feel informed and supported </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whether there are gaps in provision </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emotional outcomes for young people, parents and siblings </w:t>
      </w:r>
    </w:p>
    <w:p w:rsidR="00B034C7" w:rsidRPr="00C729DD" w:rsidP="00CE5F5C">
      <w:pPr>
        <w:numPr>
          <w:ilvl w:val="0"/>
          <w:numId w:val="7"/>
        </w:numPr>
        <w:tabs>
          <w:tab w:val="clear" w:pos="360"/>
          <w:tab w:val="num" w:pos="720"/>
        </w:tabs>
        <w:rPr>
          <w:rFonts w:ascii="Calibri" w:hAnsi="Calibri" w:cs="Calibri"/>
        </w:rPr>
      </w:pPr>
      <w:r w:rsidRPr="00C729DD">
        <w:rPr>
          <w:rFonts w:ascii="Calibri" w:hAnsi="Calibri" w:cs="Calibri"/>
        </w:rPr>
        <w:t xml:space="preserve">the extent to which support remains person-centred after transition.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 should be understood as a process rather than a single event.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Are the current guidelines for involvement appropriate?</w:t>
      </w:r>
    </w:p>
    <w:p w:rsidR="00B034C7" w:rsidRPr="00C729DD" w:rsidP="00CE5F5C">
      <w:pPr>
        <w:rPr>
          <w:rFonts w:ascii="Calibri" w:hAnsi="Calibri" w:cs="Calibri"/>
        </w:rPr>
      </w:pPr>
      <w:r w:rsidRPr="00C729DD">
        <w:rPr>
          <w:rFonts w:ascii="Calibri" w:hAnsi="Calibri" w:cs="Calibri"/>
        </w:rPr>
        <w:t>The principles within current guidance are appropriate and important. However, implementation can be inconsistent where services lack time, staffing or coordination capacity.</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There can also be tension between promoting independence and recognising the continuing role of families and carers for young people with ongoing complex needs.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are underserved or vulnerable groups involved in their own transition planning?</w:t>
      </w:r>
    </w:p>
    <w:p w:rsidR="00B034C7" w:rsidRPr="00C729DD" w:rsidP="00CE5F5C">
      <w:pPr>
        <w:rPr>
          <w:rFonts w:ascii="Calibri" w:hAnsi="Calibri" w:cs="Calibri"/>
        </w:rPr>
      </w:pPr>
      <w:r w:rsidRPr="00C729DD">
        <w:rPr>
          <w:rFonts w:ascii="Calibri" w:hAnsi="Calibri" w:cs="Calibri"/>
        </w:rPr>
        <w:t>Services should ensure transition planning is accessible and tailored to individual communication and support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with communication needs, learning disabilities or mental health needs may require adapted approaches and additional time to support meaningful involvement.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To what extent are underserved groups involved in co-production?</w:t>
      </w:r>
    </w:p>
    <w:p w:rsidR="00B034C7" w:rsidRPr="00C729DD" w:rsidP="00CE5F5C">
      <w:pPr>
        <w:rPr>
          <w:rFonts w:ascii="Calibri" w:hAnsi="Calibri" w:cs="Calibri"/>
        </w:rPr>
      </w:pPr>
      <w:r w:rsidRPr="00C729DD">
        <w:rPr>
          <w:rFonts w:ascii="Calibri" w:hAnsi="Calibri" w:cs="Calibri"/>
        </w:rPr>
        <w:t xml:space="preserve">There should be proactive efforts to include young people and families whose voices are less frequently heard, including those with complex disabilities, communication needs, bereavement experiences or wider social </w:t>
      </w:r>
      <w:r w:rsidRPr="00C729DD">
        <w:rPr>
          <w:rFonts w:ascii="Calibri" w:hAnsi="Calibri" w:cs="Calibri"/>
        </w:rPr>
        <w:t>disadvantage</w:t>
      </w:r>
      <w:r w:rsidRPr="00C729DD">
        <w:rPr>
          <w:rFonts w:ascii="Calibri" w:hAnsi="Calibri" w:cs="Calibri"/>
        </w:rPr>
        <w:t>.</w:t>
      </w:r>
    </w:p>
    <w:p w:rsidR="00B034C7" w:rsidRPr="00C729DD" w:rsidP="00CE5F5C">
      <w:pPr>
        <w:rPr>
          <w:rFonts w:ascii="Calibri" w:hAnsi="Calibri" w:cs="Calibri"/>
          <w:b/>
          <w:bCs/>
        </w:rPr>
      </w:pPr>
    </w:p>
    <w:p w:rsidR="00B034C7" w:rsidRPr="00C729DD" w:rsidP="00CE5F5C">
      <w:pPr>
        <w:rPr>
          <w:rFonts w:ascii="Calibri" w:hAnsi="Calibri" w:cs="Calibri"/>
          <w:b/>
          <w:bCs/>
          <w:sz w:val="28"/>
          <w:szCs w:val="28"/>
        </w:rPr>
      </w:pPr>
      <w:r w:rsidRPr="00C729DD">
        <w:rPr>
          <w:rFonts w:ascii="Calibri" w:hAnsi="Calibri" w:cs="Calibri"/>
          <w:b/>
          <w:bCs/>
          <w:sz w:val="28"/>
          <w:szCs w:val="28"/>
        </w:rPr>
        <w:br w:type="page"/>
      </w:r>
    </w:p>
    <w:p w:rsidR="00B034C7" w:rsidRPr="00C729DD" w:rsidP="00CE5F5C">
      <w:pPr>
        <w:rPr>
          <w:rFonts w:ascii="Calibri" w:hAnsi="Calibri" w:cs="Calibri"/>
          <w:b/>
          <w:bCs/>
          <w:sz w:val="28"/>
          <w:szCs w:val="28"/>
        </w:rPr>
      </w:pPr>
      <w:r w:rsidRPr="00C729DD">
        <w:rPr>
          <w:rFonts w:ascii="Calibri" w:hAnsi="Calibri" w:cs="Calibri"/>
          <w:b/>
          <w:bCs/>
          <w:sz w:val="28"/>
          <w:szCs w:val="28"/>
        </w:rPr>
        <w:t>Focus area 4 – workforce and training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Which healthcare professionals form the transition team and are roles clearly defined?</w:t>
      </w:r>
    </w:p>
    <w:p w:rsidR="00B034C7" w:rsidRPr="00C729DD" w:rsidP="00CE5F5C">
      <w:pPr>
        <w:rPr>
          <w:rFonts w:ascii="Calibri" w:hAnsi="Calibri" w:cs="Calibri"/>
        </w:rPr>
      </w:pPr>
      <w:r w:rsidRPr="00C729DD">
        <w:rPr>
          <w:rFonts w:ascii="Calibri" w:hAnsi="Calibri" w:cs="Calibri"/>
        </w:rPr>
        <w:t>Young people with life-threatening or terminal illness may be supported by multiple professionals across health, social care, education and voluntary sector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Effective transition support requires clearly defined roles and responsibilities, particularly around care coordination. Families may experience confusion and fragmentation where responsibility for transition planning is unclear.</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Named coordinators or key workers can play an important role in supporting continuity and communication across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2. What is the role of executives in </w:t>
      </w:r>
      <w:r w:rsidRPr="00C729DD">
        <w:rPr>
          <w:rFonts w:ascii="Calibri" w:hAnsi="Calibri" w:cs="Calibri"/>
          <w:b/>
          <w:bCs/>
        </w:rPr>
        <w:t>overseeing</w:t>
      </w:r>
      <w:r w:rsidRPr="00C729DD">
        <w:rPr>
          <w:rFonts w:ascii="Calibri" w:hAnsi="Calibri" w:cs="Calibri"/>
          <w:b/>
          <w:bCs/>
        </w:rPr>
        <w:t xml:space="preserve"> implementation?</w:t>
      </w:r>
    </w:p>
    <w:p w:rsidR="00B034C7" w:rsidRPr="00C729DD" w:rsidP="00CE5F5C">
      <w:pPr>
        <w:rPr>
          <w:rFonts w:ascii="Calibri" w:hAnsi="Calibri" w:cs="Calibri"/>
        </w:rPr>
      </w:pPr>
      <w:r w:rsidRPr="00C729DD">
        <w:rPr>
          <w:rFonts w:ascii="Calibri" w:hAnsi="Calibri" w:cs="Calibri"/>
        </w:rPr>
        <w:t>Senior leaders have an important role in ensuring transition is treated as a strategic priority rather than solely an operational process.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This includes championing person-centred and family-centred approaches, supporting cross-service working, including the voluntary sector, and ensuring transition pathways are appropriately resourced and monitored.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3. Is there workforce data demonstrating required capacity?</w:t>
      </w:r>
    </w:p>
    <w:p w:rsidR="00B034C7" w:rsidRPr="00C729DD" w:rsidP="00CE5F5C">
      <w:pPr>
        <w:rPr>
          <w:rFonts w:ascii="Calibri" w:hAnsi="Calibri" w:cs="Calibri"/>
        </w:rPr>
      </w:pPr>
      <w:r w:rsidRPr="00C729DD">
        <w:rPr>
          <w:rFonts w:ascii="Calibri" w:hAnsi="Calibri" w:cs="Calibri"/>
        </w:rPr>
        <w:t>Rainbow Trust does not hold workforce data at national level. However, workforce pressures and inconsistent commissioning can significantly affect the quality and consistency of transition support.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Are existing training and education effective?</w:t>
      </w:r>
    </w:p>
    <w:p w:rsidR="00B034C7" w:rsidRPr="00C729DD" w:rsidP="00CE5F5C">
      <w:pPr>
        <w:rPr>
          <w:rFonts w:ascii="Calibri" w:hAnsi="Calibri" w:cs="Calibri"/>
        </w:rPr>
      </w:pPr>
      <w:r w:rsidRPr="00C729DD">
        <w:rPr>
          <w:rFonts w:ascii="Calibri" w:hAnsi="Calibri" w:cs="Calibri"/>
        </w:rPr>
        <w:t xml:space="preserve">Training can improve understanding of communication, adolescent development and transition processes.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Staff may feel more confident supporting </w:t>
      </w:r>
      <w:r w:rsidRPr="00C729DD">
        <w:rPr>
          <w:rFonts w:ascii="Calibri" w:hAnsi="Calibri" w:cs="Calibri"/>
        </w:rPr>
        <w:t>transition</w:t>
      </w:r>
      <w:r w:rsidRPr="00C729DD">
        <w:rPr>
          <w:rFonts w:ascii="Calibri" w:hAnsi="Calibri" w:cs="Calibri"/>
        </w:rPr>
        <w:t xml:space="preserve"> where they have opportunities for multidisciplinary learning and experience across both children’s and adult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How are staff trained to effectively support young people?</w:t>
      </w:r>
    </w:p>
    <w:p w:rsidR="00B034C7" w:rsidRPr="00C729DD" w:rsidP="00CE5F5C">
      <w:pPr>
        <w:rPr>
          <w:rFonts w:ascii="Calibri" w:hAnsi="Calibri" w:cs="Calibri"/>
        </w:rPr>
      </w:pPr>
      <w:r w:rsidRPr="00C729DD">
        <w:rPr>
          <w:rFonts w:ascii="Calibri" w:hAnsi="Calibri" w:cs="Calibri"/>
        </w:rPr>
        <w:t>Training should include:</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communication skills </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person-centred planning </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emotional wellbeing </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family dynamics </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supporting young people with complex and life-threatening or terminal illness </w:t>
      </w:r>
    </w:p>
    <w:p w:rsidR="00B034C7" w:rsidRPr="00C729DD" w:rsidP="00CE5F5C">
      <w:pPr>
        <w:numPr>
          <w:ilvl w:val="0"/>
          <w:numId w:val="8"/>
        </w:numPr>
        <w:tabs>
          <w:tab w:val="clear" w:pos="360"/>
          <w:tab w:val="num" w:pos="720"/>
        </w:tabs>
        <w:rPr>
          <w:rFonts w:ascii="Calibri" w:hAnsi="Calibri" w:cs="Calibri"/>
        </w:rPr>
      </w:pPr>
      <w:r w:rsidRPr="00C729DD">
        <w:rPr>
          <w:rFonts w:ascii="Calibri" w:hAnsi="Calibri" w:cs="Calibri"/>
        </w:rPr>
        <w:t xml:space="preserve">understanding the emotional impact of transition and uncertainty.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Staff supporting transition regularly may require more specialist training and dedicated time for coordination.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3. To what extent are executives championing transition strategically?</w:t>
      </w:r>
    </w:p>
    <w:p w:rsidR="00B034C7" w:rsidRPr="00C729DD" w:rsidP="00CE5F5C">
      <w:pPr>
        <w:rPr>
          <w:rFonts w:ascii="Calibri" w:hAnsi="Calibri" w:cs="Calibri"/>
          <w:b/>
          <w:bCs/>
        </w:rPr>
      </w:pPr>
      <w:r w:rsidRPr="00C729DD">
        <w:rPr>
          <w:rFonts w:ascii="Calibri" w:hAnsi="Calibri" w:cs="Calibri"/>
          <w:b/>
          <w:bCs/>
        </w:rPr>
        <w: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is the impact of training?</w:t>
      </w:r>
    </w:p>
    <w:p w:rsidR="00B034C7" w:rsidRPr="00C729DD" w:rsidP="00CE5F5C">
      <w:pPr>
        <w:rPr>
          <w:rFonts w:ascii="Calibri" w:hAnsi="Calibri" w:cs="Calibri"/>
        </w:rPr>
      </w:pPr>
      <w:r w:rsidRPr="00C729DD">
        <w:rPr>
          <w:rFonts w:ascii="Calibri" w:hAnsi="Calibri" w:cs="Calibri"/>
        </w:rPr>
        <w:t>Well-supported staff are more likely to provide coordinated, developmentally appropriate and person-centred care.</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Positive relationships with trusted professionals can significantly affect how safe and supported young people and families feel during transition.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Where staff are not equipped with the right skills, what is the impact?</w:t>
      </w:r>
    </w:p>
    <w:p w:rsidR="00B034C7" w:rsidRPr="00C729DD" w:rsidP="00CE5F5C">
      <w:pPr>
        <w:rPr>
          <w:rFonts w:ascii="Calibri" w:hAnsi="Calibri" w:cs="Calibri"/>
        </w:rPr>
      </w:pPr>
      <w:r w:rsidRPr="00C729DD">
        <w:rPr>
          <w:rFonts w:ascii="Calibri" w:hAnsi="Calibri" w:cs="Calibri"/>
        </w:rPr>
        <w:t>Poorly coordinated or poorly communicated transitions can increase anxiety and uncertainty for young people and families.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Families may experience repeated assessments, inconsistent communication or gaps in support where professionals lack sufficient training, time or clarity around responsibilities.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3. What is the impact of named staff members responsible for transition?</w:t>
      </w:r>
    </w:p>
    <w:p w:rsidR="00B034C7" w:rsidRPr="00C729DD" w:rsidP="00CE5F5C">
      <w:pPr>
        <w:rPr>
          <w:rFonts w:ascii="Calibri" w:hAnsi="Calibri" w:cs="Calibri"/>
        </w:rPr>
      </w:pPr>
      <w:r w:rsidRPr="00C729DD">
        <w:rPr>
          <w:rFonts w:ascii="Calibri" w:hAnsi="Calibri" w:cs="Calibri"/>
        </w:rPr>
        <w:t>Named workers and clear leadership can improve continuity, communication and accountability.</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families with complex needs, having a trusted point of contact can reduce stress and help services work more cohesively.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Is the level of training appropriate?</w:t>
      </w:r>
    </w:p>
    <w:p w:rsidR="00B034C7" w:rsidRPr="00C729DD" w:rsidP="00CE5F5C">
      <w:pPr>
        <w:rPr>
          <w:rFonts w:ascii="Calibri" w:hAnsi="Calibri" w:cs="Calibri"/>
        </w:rPr>
      </w:pPr>
      <w:r w:rsidRPr="00C729DD">
        <w:rPr>
          <w:rFonts w:ascii="Calibri" w:hAnsi="Calibri" w:cs="Calibri"/>
        </w:rPr>
        <w:t>The principles behind current training expectations are appropriate. However, the availability and consistency of training may vary significantly between services and areas.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Is there staff feedback on training?</w:t>
      </w:r>
    </w:p>
    <w:p w:rsidR="00B034C7" w:rsidRPr="00C729DD" w:rsidP="00CE5F5C">
      <w:pPr>
        <w:rPr>
          <w:rFonts w:ascii="Calibri" w:hAnsi="Calibri" w:cs="Calibri"/>
        </w:rPr>
      </w:pPr>
      <w:r w:rsidRPr="00C729DD">
        <w:rPr>
          <w:rFonts w:ascii="Calibri" w:hAnsi="Calibri" w:cs="Calibri"/>
        </w:rPr>
        <w:t>Rainbow Trust does not hold national data on staff feedback or training uptake.</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To what extent are staff trained to deliver person-centred care?</w:t>
      </w:r>
    </w:p>
    <w:p w:rsidR="00B034C7" w:rsidRPr="00C729DD" w:rsidP="00CE5F5C">
      <w:pPr>
        <w:rPr>
          <w:rFonts w:ascii="Calibri" w:hAnsi="Calibri" w:cs="Calibri"/>
        </w:rPr>
      </w:pPr>
      <w:r w:rsidRPr="00C729DD">
        <w:rPr>
          <w:rFonts w:ascii="Calibri" w:hAnsi="Calibri" w:cs="Calibri"/>
        </w:rPr>
        <w:t>Staff should be supported to deliver care that is culturally competent, trauma-informed and responsive to differing communication and support needs.</w:t>
      </w:r>
    </w:p>
    <w:p w:rsidR="00B034C7" w:rsidRPr="00C729DD" w:rsidP="00CE5F5C">
      <w:pPr>
        <w:rPr>
          <w:rFonts w:ascii="Calibri" w:hAnsi="Calibri" w:cs="Calibri"/>
          <w:b/>
          <w:bCs/>
          <w:sz w:val="28"/>
          <w:szCs w:val="28"/>
        </w:rPr>
      </w:pPr>
      <w:r w:rsidRPr="00C729DD">
        <w:rPr>
          <w:rFonts w:ascii="Calibri" w:hAnsi="Calibri" w:cs="Calibri"/>
          <w:b/>
          <w:bCs/>
          <w:sz w:val="28"/>
          <w:szCs w:val="28"/>
        </w:rPr>
        <w:br w:type="page"/>
      </w:r>
    </w:p>
    <w:p w:rsidR="00B034C7" w:rsidRPr="00C729DD" w:rsidP="00CE5F5C">
      <w:pPr>
        <w:rPr>
          <w:rFonts w:ascii="Calibri" w:hAnsi="Calibri" w:cs="Calibri"/>
          <w:b/>
          <w:bCs/>
          <w:sz w:val="28"/>
          <w:szCs w:val="28"/>
        </w:rPr>
      </w:pPr>
      <w:r w:rsidRPr="00C729DD">
        <w:rPr>
          <w:rFonts w:ascii="Calibri" w:hAnsi="Calibri" w:cs="Calibri"/>
          <w:b/>
          <w:bCs/>
          <w:sz w:val="28"/>
          <w:szCs w:val="28"/>
        </w:rPr>
        <w:t>Focus area 5 – enabling developmentally appropriate independence</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Are services sufficiently resourced to offer developmentally appropriate provisions?</w:t>
      </w:r>
    </w:p>
    <w:p w:rsidR="00B034C7" w:rsidRPr="00C729DD" w:rsidP="00CE5F5C">
      <w:pPr>
        <w:rPr>
          <w:rFonts w:ascii="Calibri" w:hAnsi="Calibri" w:cs="Calibri"/>
        </w:rPr>
      </w:pPr>
      <w:r w:rsidRPr="00C729DD">
        <w:rPr>
          <w:rFonts w:ascii="Calibri" w:hAnsi="Calibri" w:cs="Calibri"/>
        </w:rPr>
        <w:t>Developmentally appropriate support requires flexibility and continuity across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with life-threatening or terminal illness may have differing levels of readiness for independence and may require ongoing family involvement and support beyond 18.</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Services need sufficient capacity to tailor support appropriately rather than relying on rigid age-based assumptions.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Are services sufficiently resourced to assess and support wider outcomes?</w:t>
      </w:r>
    </w:p>
    <w:p w:rsidR="00B034C7" w:rsidRPr="00C729DD" w:rsidP="00CE5F5C">
      <w:pPr>
        <w:rPr>
          <w:rFonts w:ascii="Calibri" w:hAnsi="Calibri" w:cs="Calibri"/>
        </w:rPr>
      </w:pPr>
      <w:r w:rsidRPr="00C729DD">
        <w:rPr>
          <w:rFonts w:ascii="Calibri" w:hAnsi="Calibri" w:cs="Calibri"/>
        </w:rPr>
        <w:t>Transition support should address education, employment, emotional wellbeing, social inclusion, housing and independent living alongside healthcare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wider psychosocial support is often less available within adult services than children’s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methods of person-centred</w:t>
      </w:r>
      <w:r w:rsidRPr="00C729DD">
        <w:rPr>
          <w:rFonts w:ascii="Calibri" w:hAnsi="Calibri" w:cs="Calibri"/>
          <w:b/>
          <w:bCs/>
        </w:rPr>
        <w:t xml:space="preserve"> support are effective?</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early and gradual planning </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flexible transition timelines </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coordinated multidisciplinary working </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emotional, practical and family-centred support </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involving families appropriately </w:t>
      </w:r>
    </w:p>
    <w:p w:rsidR="00B034C7" w:rsidRPr="00C729DD" w:rsidP="00CE5F5C">
      <w:pPr>
        <w:numPr>
          <w:ilvl w:val="0"/>
          <w:numId w:val="9"/>
        </w:numPr>
        <w:tabs>
          <w:tab w:val="clear" w:pos="360"/>
          <w:tab w:val="num" w:pos="720"/>
        </w:tabs>
        <w:rPr>
          <w:rFonts w:ascii="Calibri" w:hAnsi="Calibri" w:cs="Calibri"/>
        </w:rPr>
      </w:pPr>
      <w:r w:rsidRPr="00C729DD">
        <w:rPr>
          <w:rFonts w:ascii="Calibri" w:hAnsi="Calibri" w:cs="Calibri"/>
        </w:rPr>
        <w:t xml:space="preserve">focusing on individual goals and aspirations. </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What methods ensure provision is developmentally appropriate?</w:t>
      </w:r>
    </w:p>
    <w:p w:rsidR="00B034C7" w:rsidRPr="00C729DD" w:rsidP="00CE5F5C">
      <w:pPr>
        <w:rPr>
          <w:rFonts w:ascii="Calibri" w:hAnsi="Calibri" w:cs="Calibri"/>
        </w:rPr>
      </w:pPr>
      <w:r w:rsidRPr="00C729DD">
        <w:rPr>
          <w:rFonts w:ascii="Calibri" w:hAnsi="Calibri" w:cs="Calibri"/>
        </w:rPr>
        <w:t>Developmentally appropriate care should recognise that young people mature at different rates and may require differing levels of support.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some young people with complex or life-threatening or terminal illness, independence may mean increased choice, autonomy and participation rather than complete independence from support.</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3. To what extent are local authorities fulfilling duties around Pathway Plans?</w:t>
      </w:r>
    </w:p>
    <w:p w:rsidR="00B034C7" w:rsidRPr="00C729DD" w:rsidP="00CE5F5C">
      <w:pPr>
        <w:rPr>
          <w:rFonts w:ascii="Calibri" w:hAnsi="Calibri" w:cs="Calibri"/>
        </w:rPr>
      </w:pPr>
      <w:r w:rsidRPr="00C729DD">
        <w:rPr>
          <w:rFonts w:ascii="Calibri" w:hAnsi="Calibri" w:cs="Calibri"/>
        </w:rPr>
        <w:t>Rainbow Trust does not hold evidence on national compliance levels. However, continuity and coordination remain important concerns raised by families.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evidence is there that developmentally appropriate support improves outcomes?</w:t>
      </w:r>
    </w:p>
    <w:p w:rsidR="00B034C7" w:rsidRPr="00C729DD" w:rsidP="00CE5F5C">
      <w:pPr>
        <w:rPr>
          <w:rFonts w:ascii="Calibri" w:hAnsi="Calibri" w:cs="Calibri"/>
        </w:rPr>
      </w:pPr>
      <w:r w:rsidRPr="00C729DD">
        <w:rPr>
          <w:rFonts w:ascii="Calibri" w:hAnsi="Calibri" w:cs="Calibri"/>
        </w:rPr>
        <w:t>Young people are more likely to feel confident, informed and supported where transition is gradual, coordinated and responsive to their individual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Trusted relationships and continuity of support can reduce anxiety and improve engagement with adult services.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Are there areas requiring more guidance?</w:t>
      </w:r>
    </w:p>
    <w:p w:rsidR="00B034C7" w:rsidRPr="00C729DD" w:rsidP="00CE5F5C">
      <w:pPr>
        <w:rPr>
          <w:rFonts w:ascii="Calibri" w:hAnsi="Calibri" w:cs="Calibri"/>
        </w:rPr>
      </w:pPr>
      <w:r w:rsidRPr="00C729DD">
        <w:rPr>
          <w:rFonts w:ascii="Calibri" w:hAnsi="Calibri" w:cs="Calibri"/>
        </w:rPr>
        <w:t>There is a need for stronger focus on emotional wellbeing, family support and psychosocial impacts during transition, particularly for young people with life-threatening or terminal illness.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3. What evidence is there that Pathway Plans improve outcomes?</w:t>
      </w:r>
    </w:p>
    <w:p w:rsidR="00B034C7" w:rsidRPr="00C729DD" w:rsidP="00CE5F5C">
      <w:pPr>
        <w:rPr>
          <w:rFonts w:ascii="Calibri" w:hAnsi="Calibri" w:cs="Calibri"/>
        </w:rPr>
      </w:pPr>
      <w:r w:rsidRPr="00C729DD">
        <w:rPr>
          <w:rFonts w:ascii="Calibri" w:hAnsi="Calibri" w:cs="Calibri"/>
        </w:rPr>
        <w:t>Rainbow Trust does not hold specific evidence on Pathway Plan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4. What are the consequences when transition support is absent or inconsistent?</w:t>
      </w:r>
    </w:p>
    <w:p w:rsidR="00B034C7" w:rsidRPr="00C729DD" w:rsidP="00CE5F5C">
      <w:pPr>
        <w:rPr>
          <w:rFonts w:ascii="Calibri" w:hAnsi="Calibri" w:cs="Calibri"/>
        </w:rPr>
      </w:pPr>
      <w:r w:rsidRPr="00C729DD">
        <w:rPr>
          <w:rFonts w:ascii="Calibri" w:hAnsi="Calibri" w:cs="Calibri"/>
        </w:rPr>
        <w:t>Poor transition experiences can lead to anxiety, disengagement from services, emotional distress and increased pressure on families.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Families may feel abandoned at the point adult services take over, particularly where holistic support reduces significantly after 18.</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far are current approaches tailored to developmental stage?</w:t>
      </w:r>
    </w:p>
    <w:p w:rsidR="00B034C7" w:rsidRPr="00C729DD" w:rsidP="00CE5F5C">
      <w:pPr>
        <w:rPr>
          <w:rFonts w:ascii="Calibri" w:hAnsi="Calibri" w:cs="Calibri"/>
        </w:rPr>
      </w:pPr>
      <w:r w:rsidRPr="00C729DD">
        <w:rPr>
          <w:rFonts w:ascii="Calibri" w:hAnsi="Calibri" w:cs="Calibri"/>
        </w:rPr>
        <w:t>Current approaches do not always sufficiently account for differing developmental stages, communication needs and emotional readiness.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2. How is independence </w:t>
      </w:r>
      <w:r w:rsidRPr="00C729DD">
        <w:rPr>
          <w:rFonts w:ascii="Calibri" w:hAnsi="Calibri" w:cs="Calibri"/>
          <w:b/>
          <w:bCs/>
        </w:rPr>
        <w:t>adapted</w:t>
      </w:r>
      <w:r w:rsidRPr="00C729DD">
        <w:rPr>
          <w:rFonts w:ascii="Calibri" w:hAnsi="Calibri" w:cs="Calibri"/>
          <w:b/>
          <w:bCs/>
        </w:rPr>
        <w:t xml:space="preserve"> for young people requiring substantial support?</w:t>
      </w:r>
    </w:p>
    <w:p w:rsidR="00B034C7" w:rsidRPr="00C729DD" w:rsidP="00CE5F5C">
      <w:pPr>
        <w:rPr>
          <w:rFonts w:ascii="Calibri" w:hAnsi="Calibri" w:cs="Calibri"/>
        </w:rPr>
      </w:pPr>
      <w:r w:rsidRPr="00C729DD">
        <w:rPr>
          <w:rFonts w:ascii="Calibri" w:hAnsi="Calibri" w:cs="Calibri"/>
        </w:rPr>
        <w:t>Services should recognise that some young people will continue to require significant support throughout adulthood.</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Support for independence should therefore focus on maximising autonomy, participation and quality of life rather than assuming complete independence is achievable or appropriate for all.</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1. How far do services </w:t>
      </w:r>
      <w:r w:rsidRPr="00C729DD">
        <w:rPr>
          <w:rFonts w:ascii="Calibri" w:hAnsi="Calibri" w:cs="Calibri"/>
          <w:b/>
          <w:bCs/>
        </w:rPr>
        <w:t>adapt support</w:t>
      </w:r>
      <w:r w:rsidRPr="00C729DD">
        <w:rPr>
          <w:rFonts w:ascii="Calibri" w:hAnsi="Calibri" w:cs="Calibri"/>
          <w:b/>
          <w:bCs/>
        </w:rPr>
        <w:t xml:space="preserve"> to differing needs?</w:t>
      </w:r>
    </w:p>
    <w:p w:rsidR="00B034C7" w:rsidRPr="00C729DD" w:rsidP="00CE5F5C">
      <w:pPr>
        <w:rPr>
          <w:rFonts w:ascii="Calibri" w:hAnsi="Calibri" w:cs="Calibri"/>
        </w:rPr>
      </w:pPr>
      <w:r w:rsidRPr="00C729DD">
        <w:rPr>
          <w:rFonts w:ascii="Calibri" w:hAnsi="Calibri" w:cs="Calibri"/>
        </w:rPr>
        <w:t>There remains variation in how effectively services tailor support for young people with complex needs, disabilities or communication differences.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 xml:space="preserve">2. What evidence is </w:t>
      </w:r>
      <w:r w:rsidRPr="00C729DD">
        <w:rPr>
          <w:rFonts w:ascii="Calibri" w:hAnsi="Calibri" w:cs="Calibri"/>
          <w:b/>
          <w:bCs/>
        </w:rPr>
        <w:t>there</w:t>
      </w:r>
      <w:r w:rsidRPr="00C729DD">
        <w:rPr>
          <w:rFonts w:ascii="Calibri" w:hAnsi="Calibri" w:cs="Calibri"/>
          <w:b/>
          <w:bCs/>
        </w:rPr>
        <w:t xml:space="preserve"> some groups are less likely to receive support?</w:t>
      </w:r>
    </w:p>
    <w:p w:rsidR="00B034C7" w:rsidRPr="00C729DD" w:rsidP="00CE5F5C">
      <w:pPr>
        <w:rPr>
          <w:rFonts w:ascii="Calibri" w:hAnsi="Calibri" w:cs="Calibri"/>
        </w:rPr>
      </w:pPr>
      <w:r w:rsidRPr="00C729DD">
        <w:rPr>
          <w:rFonts w:ascii="Calibri" w:hAnsi="Calibri" w:cs="Calibri"/>
        </w:rPr>
        <w:t xml:space="preserve">Young people with complex needs, rare conditions or communication difficulties may face additional barriers to accessing coordinated adult support, particularly where adult services are </w:t>
      </w:r>
      <w:r w:rsidRPr="00C729DD">
        <w:rPr>
          <w:rFonts w:ascii="Calibri" w:hAnsi="Calibri" w:cs="Calibri"/>
        </w:rPr>
        <w:t>fragmented</w:t>
      </w:r>
      <w:r w:rsidRPr="00C729DD">
        <w:rPr>
          <w:rFonts w:ascii="Calibri" w:hAnsi="Calibri" w:cs="Calibri"/>
        </w:rPr>
        <w:t xml:space="preserve"> or eligibility thresholds are restrictive.</w:t>
      </w:r>
    </w:p>
    <w:p w:rsidR="00B034C7" w:rsidRPr="00C729DD" w:rsidP="00CE5F5C">
      <w:pPr>
        <w:rPr>
          <w:rFonts w:ascii="Calibri" w:hAnsi="Calibri" w:cs="Calibri"/>
          <w:b/>
          <w:bCs/>
        </w:rPr>
      </w:pPr>
      <w:r w:rsidRPr="00C729DD">
        <w:rPr>
          <w:rFonts w:ascii="Calibri" w:hAnsi="Calibri" w:cs="Calibri"/>
          <w:b/>
          <w:bCs/>
        </w:rPr>
        <w:br w:type="page"/>
      </w:r>
      <w:r w:rsidRPr="00C729DD">
        <w:rPr>
          <w:rFonts w:ascii="Calibri" w:hAnsi="Calibri" w:cs="Calibri"/>
          <w:b/>
          <w:bCs/>
          <w:sz w:val="28"/>
          <w:szCs w:val="28"/>
        </w:rPr>
        <w:t>Focus area 6 – promoting equity across the transition</w:t>
      </w:r>
    </w:p>
    <w:p w:rsidR="00B034C7" w:rsidRPr="00C729DD" w:rsidP="00CE5F5C">
      <w:pPr>
        <w:rPr>
          <w:rFonts w:ascii="Calibri" w:hAnsi="Calibri" w:cs="Calibri"/>
          <w:b/>
          <w:bCs/>
        </w:rPr>
      </w:pPr>
      <w:r w:rsidRPr="00C729DD">
        <w:rPr>
          <w:rFonts w:ascii="Calibri" w:hAnsi="Calibri" w:cs="Calibri"/>
          <w:b/>
          <w:bCs/>
        </w:rPr>
        <w:t>Resourcing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Do services have the capacity and funding to deliver on these statements of intent for young people with additional needs?</w:t>
      </w:r>
    </w:p>
    <w:p w:rsidR="00B034C7" w:rsidRPr="00C729DD" w:rsidP="00CE5F5C">
      <w:pPr>
        <w:rPr>
          <w:rFonts w:ascii="Calibri" w:hAnsi="Calibri" w:cs="Calibri"/>
        </w:rPr>
      </w:pPr>
      <w:r w:rsidRPr="00C729DD">
        <w:rPr>
          <w:rFonts w:ascii="Calibri" w:hAnsi="Calibri" w:cs="Calibri"/>
        </w:rPr>
        <w:t>Rainbow Trust’s experience suggests that services are often working under significant resource pressures, which can affect the consistency and accessibility of transition support for young people with additional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Young people with life-threatening or terminal illness may require adapted communication approaches, longer appointments, multidisciplinary coordination and ongoing emotional support for both </w:t>
      </w:r>
      <w:r w:rsidRPr="00C729DD">
        <w:rPr>
          <w:rFonts w:ascii="Calibri" w:hAnsi="Calibri" w:cs="Calibri"/>
        </w:rPr>
        <w:t>themselves</w:t>
      </w:r>
      <w:r w:rsidRPr="00C729DD">
        <w:rPr>
          <w:rFonts w:ascii="Calibri" w:hAnsi="Calibri" w:cs="Calibri"/>
        </w:rPr>
        <w:t xml:space="preserve"> and their families. These approaches can be resource-intensive but are important to achieving equitable and person-centred care.</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There can also be variation between areas in the availability of specialist adult services and wider psychosocial support after transition.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Do all staff involved in transition services receive culturally competent training based on local population needs?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Culturally competent and inclusive practice is essential to effective transition support. Staff should be supported to understand differing cultural, communication and family needs and how these may affect experiences of transition.</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Training should also support staff to recognise and respond appropriately to additional barriers experienced by underserved groups, including disabled young people, young people with communication needs and mental health needs.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Effectiveness and implementation</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effective are services in addressing the specific needs of young people as individuals?</w:t>
      </w:r>
    </w:p>
    <w:p w:rsidR="00B034C7" w:rsidRPr="00C729DD" w:rsidP="00CE5F5C">
      <w:pPr>
        <w:rPr>
          <w:rFonts w:ascii="Calibri" w:hAnsi="Calibri" w:cs="Calibri"/>
        </w:rPr>
      </w:pPr>
      <w:r w:rsidRPr="00C729DD">
        <w:rPr>
          <w:rFonts w:ascii="Calibri" w:hAnsi="Calibri" w:cs="Calibri"/>
        </w:rPr>
        <w:t>Experiences appear variable across services and geographical areas.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and families are more likely to experience positive transitions where support is personalised, flexible and responsive to individual communication styles, developmental stage and family circumstances.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However, families can experience difficulties where services are primarily structured around diagnosis, eligibility thresholds or standard age-based processes rather than individual need.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To what extent are services providing the right tools to ensure all young people can communicate their needs?</w:t>
      </w:r>
    </w:p>
    <w:p w:rsidR="00B034C7" w:rsidRPr="00C729DD" w:rsidP="00CE5F5C">
      <w:pPr>
        <w:rPr>
          <w:rFonts w:ascii="Calibri" w:hAnsi="Calibri" w:cs="Calibri"/>
        </w:rPr>
      </w:pPr>
      <w:r w:rsidRPr="00C729DD">
        <w:rPr>
          <w:rFonts w:ascii="Calibri" w:hAnsi="Calibri" w:cs="Calibri"/>
        </w:rPr>
        <w:t>Accessible communication is essential to meaningful involvement in transition planning.</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may benefit from:</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communication passports to reduce the need to repeat information across multiple professionals </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visual tools </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digital communication methods </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advocacy support </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flexible appointment formats </w:t>
      </w:r>
    </w:p>
    <w:p w:rsidR="00B034C7" w:rsidRPr="00C729DD" w:rsidP="00CE5F5C">
      <w:pPr>
        <w:numPr>
          <w:ilvl w:val="0"/>
          <w:numId w:val="10"/>
        </w:numPr>
        <w:tabs>
          <w:tab w:val="clear" w:pos="360"/>
          <w:tab w:val="num" w:pos="720"/>
        </w:tabs>
        <w:rPr>
          <w:rFonts w:ascii="Calibri" w:hAnsi="Calibri" w:cs="Calibri"/>
        </w:rPr>
      </w:pPr>
      <w:r w:rsidRPr="00C729DD">
        <w:rPr>
          <w:rFonts w:ascii="Calibri" w:hAnsi="Calibri" w:cs="Calibri"/>
        </w:rPr>
        <w:t xml:space="preserve">additional preparation time before meetings or transitions.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Families and carers also play an important role in supporting communication and should be appropriately involved where the young person wishes this.</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3. To what extent is data recorded and monitored for underserved groups?</w:t>
      </w:r>
    </w:p>
    <w:p w:rsidR="00B034C7" w:rsidRPr="00C729DD" w:rsidP="00CE5F5C">
      <w:pPr>
        <w:rPr>
          <w:rFonts w:ascii="Calibri" w:hAnsi="Calibri" w:cs="Calibri"/>
        </w:rPr>
      </w:pPr>
      <w:r w:rsidRPr="00C729DD">
        <w:rPr>
          <w:rFonts w:ascii="Calibri" w:hAnsi="Calibri" w:cs="Calibri"/>
        </w:rPr>
        <w:t>There should be stronger and more consistent monitoring of transition experiences and outcomes for underserved groups.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This should include both quantitative and qualitative information relating to:</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access to adult services </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continuity of care </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emotional wellbeing </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family experiences </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communication accessibility </w:t>
      </w:r>
    </w:p>
    <w:p w:rsidR="00B034C7" w:rsidRPr="00C729DD" w:rsidP="00CE5F5C">
      <w:pPr>
        <w:numPr>
          <w:ilvl w:val="0"/>
          <w:numId w:val="11"/>
        </w:numPr>
        <w:tabs>
          <w:tab w:val="clear" w:pos="360"/>
          <w:tab w:val="num" w:pos="720"/>
        </w:tabs>
        <w:rPr>
          <w:rFonts w:ascii="Calibri" w:hAnsi="Calibri" w:cs="Calibri"/>
        </w:rPr>
      </w:pPr>
      <w:r w:rsidRPr="00C729DD">
        <w:rPr>
          <w:rFonts w:ascii="Calibri" w:hAnsi="Calibri" w:cs="Calibri"/>
        </w:rPr>
        <w:t xml:space="preserve">gaps in provision after transition. </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Impact and outcomes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What is the impact of the provision, or lack of provision, of person-centred care for individuals with additional needs?</w:t>
      </w:r>
    </w:p>
    <w:p w:rsidR="00B034C7" w:rsidRPr="00C729DD" w:rsidP="00CE5F5C">
      <w:pPr>
        <w:rPr>
          <w:rFonts w:ascii="Calibri" w:hAnsi="Calibri" w:cs="Calibri"/>
        </w:rPr>
      </w:pPr>
      <w:r w:rsidRPr="00C729DD">
        <w:rPr>
          <w:rFonts w:ascii="Calibri" w:hAnsi="Calibri" w:cs="Calibri"/>
        </w:rPr>
        <w:t>Where transition support is personalised and coordinated, young people and families are more likely to feel informed, supported and confident navigating adult services.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Where support is absent, fragmented or inaccessible, families may experience increased stress, disengagement from services and emotional distress.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For families affected by a child’s life-threatening or terminal illness, the impact of inadequate transition support can extend beyond the young person themselves to parents, siblings and wider family wellbeing.</w:t>
      </w:r>
    </w:p>
    <w:p w:rsidR="00B034C7" w:rsidRPr="00C729DD" w:rsidP="00CE5F5C">
      <w:pPr>
        <w:rPr>
          <w:rFonts w:ascii="Calibri" w:hAnsi="Calibri" w:cs="Calibri"/>
        </w:rPr>
      </w:pPr>
    </w:p>
    <w:p w:rsidR="00B034C7" w:rsidRPr="00C729DD" w:rsidP="00CE5F5C">
      <w:pPr>
        <w:rPr>
          <w:rFonts w:ascii="Calibri" w:hAnsi="Calibri" w:cs="Calibri"/>
          <w:b/>
          <w:bCs/>
        </w:rPr>
      </w:pPr>
      <w:r w:rsidRPr="00C729DD">
        <w:rPr>
          <w:rFonts w:ascii="Calibri" w:hAnsi="Calibri" w:cs="Calibri"/>
          <w:b/>
          <w:bCs/>
        </w:rPr>
        <w:t>2. What is the impact of comprehensive data collection and usage?</w:t>
      </w:r>
    </w:p>
    <w:p w:rsidR="00B034C7" w:rsidRPr="00C729DD" w:rsidP="00CE5F5C">
      <w:pPr>
        <w:rPr>
          <w:rFonts w:ascii="Calibri" w:hAnsi="Calibri" w:cs="Calibri"/>
        </w:rPr>
      </w:pPr>
      <w:r w:rsidRPr="00C729DD">
        <w:rPr>
          <w:rFonts w:ascii="Calibri" w:hAnsi="Calibri" w:cs="Calibri"/>
        </w:rPr>
        <w:t>Improved data collection can help identify inequalities, gaps in provision and groups at risk of poor transition experiences.</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 xml:space="preserve">However, quantitative data alone may not fully capture the emotional and practical impact of transition on young people and families. Qualitative feedback </w:t>
      </w:r>
      <w:r w:rsidRPr="00C729DD">
        <w:rPr>
          <w:rFonts w:ascii="Calibri" w:hAnsi="Calibri" w:cs="Calibri"/>
        </w:rPr>
        <w:t>and lived</w:t>
      </w:r>
      <w:r w:rsidRPr="00C729DD">
        <w:rPr>
          <w:rFonts w:ascii="Calibri" w:hAnsi="Calibri" w:cs="Calibri"/>
        </w:rPr>
        <w:t xml:space="preserve"> experience should therefore also inform service evaluation and planning.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Appropriateness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appropriately are services providing tailored care to individuals with additional needs?</w:t>
      </w:r>
    </w:p>
    <w:p w:rsidR="00B034C7" w:rsidRPr="00C729DD" w:rsidP="00CE5F5C">
      <w:pPr>
        <w:rPr>
          <w:rFonts w:ascii="Calibri" w:hAnsi="Calibri" w:cs="Calibri"/>
        </w:rPr>
      </w:pPr>
      <w:r w:rsidRPr="00C729DD">
        <w:rPr>
          <w:rFonts w:ascii="Calibri" w:hAnsi="Calibri" w:cs="Calibri"/>
        </w:rPr>
        <w:t xml:space="preserve">The extent to which services </w:t>
      </w:r>
      <w:r w:rsidRPr="00C729DD">
        <w:rPr>
          <w:rFonts w:ascii="Calibri" w:hAnsi="Calibri" w:cs="Calibri"/>
        </w:rPr>
        <w:t>are able to</w:t>
      </w:r>
      <w:r w:rsidRPr="00C729DD">
        <w:rPr>
          <w:rFonts w:ascii="Calibri" w:hAnsi="Calibri" w:cs="Calibri"/>
        </w:rPr>
        <w:t xml:space="preserve"> provide tailored and coordinated support may vary between services and geographical areas, particularly where adult provision differs significantly from children’s services or where services are operating under workforce and resource pressures.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Transition may be more challenging where adult services are less holistic or coordinated than children’s services, particularly for young people with complex or ongoing needs.</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To what extent are services able to accommodate different communication needs?</w:t>
      </w:r>
    </w:p>
    <w:p w:rsidR="00B034C7" w:rsidRPr="00C729DD" w:rsidP="00CE5F5C">
      <w:pPr>
        <w:rPr>
          <w:rFonts w:ascii="Calibri" w:hAnsi="Calibri" w:cs="Calibri"/>
        </w:rPr>
      </w:pPr>
      <w:r w:rsidRPr="00C729DD">
        <w:rPr>
          <w:rFonts w:ascii="Calibri" w:hAnsi="Calibri" w:cs="Calibri"/>
        </w:rPr>
        <w:t>Services vary in their ability to adapt communication methods and processes appropriately.</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Young people with communication difficulties may require additional preparation, adapted materials, alternative communication tools and longer-term relationship-building to support meaningful participation in transition planning.</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Equality and diversity</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1. How are underserved or vulnerable groups considered in planning, strategy and delivery?</w:t>
      </w:r>
    </w:p>
    <w:p w:rsidR="00B034C7" w:rsidRPr="00C729DD" w:rsidP="00CE5F5C">
      <w:pPr>
        <w:rPr>
          <w:rFonts w:ascii="Calibri" w:hAnsi="Calibri" w:cs="Calibri"/>
        </w:rPr>
      </w:pPr>
      <w:r w:rsidRPr="00C729DD">
        <w:rPr>
          <w:rFonts w:ascii="Calibri" w:hAnsi="Calibri" w:cs="Calibri"/>
        </w:rPr>
        <w:t>Transition planning should recognise that some groups may face additional barriers accessing coordinated adult support.</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This includes young people with:</w:t>
      </w:r>
    </w:p>
    <w:p w:rsidR="00B034C7" w:rsidRPr="00C729DD" w:rsidP="00CE5F5C">
      <w:pPr>
        <w:numPr>
          <w:ilvl w:val="0"/>
          <w:numId w:val="12"/>
        </w:numPr>
        <w:tabs>
          <w:tab w:val="clear" w:pos="360"/>
          <w:tab w:val="num" w:pos="720"/>
        </w:tabs>
        <w:rPr>
          <w:rFonts w:ascii="Calibri" w:hAnsi="Calibri" w:cs="Calibri"/>
        </w:rPr>
      </w:pPr>
      <w:r w:rsidRPr="00C729DD">
        <w:rPr>
          <w:rFonts w:ascii="Calibri" w:hAnsi="Calibri" w:cs="Calibri"/>
        </w:rPr>
        <w:t xml:space="preserve">complex disabilities </w:t>
      </w:r>
    </w:p>
    <w:p w:rsidR="00B034C7" w:rsidRPr="00C729DD" w:rsidP="00CE5F5C">
      <w:pPr>
        <w:numPr>
          <w:ilvl w:val="0"/>
          <w:numId w:val="12"/>
        </w:numPr>
        <w:tabs>
          <w:tab w:val="clear" w:pos="360"/>
          <w:tab w:val="num" w:pos="720"/>
        </w:tabs>
        <w:rPr>
          <w:rFonts w:ascii="Calibri" w:hAnsi="Calibri" w:cs="Calibri"/>
        </w:rPr>
      </w:pPr>
      <w:r w:rsidRPr="00C729DD">
        <w:rPr>
          <w:rFonts w:ascii="Calibri" w:hAnsi="Calibri" w:cs="Calibri"/>
        </w:rPr>
        <w:t xml:space="preserve">communication needs </w:t>
      </w:r>
    </w:p>
    <w:p w:rsidR="00B034C7" w:rsidRPr="00C729DD" w:rsidP="00CE5F5C">
      <w:pPr>
        <w:numPr>
          <w:ilvl w:val="0"/>
          <w:numId w:val="12"/>
        </w:numPr>
        <w:tabs>
          <w:tab w:val="clear" w:pos="360"/>
          <w:tab w:val="num" w:pos="720"/>
        </w:tabs>
        <w:rPr>
          <w:rFonts w:ascii="Calibri" w:hAnsi="Calibri" w:cs="Calibri"/>
        </w:rPr>
      </w:pPr>
      <w:r w:rsidRPr="00C729DD">
        <w:rPr>
          <w:rFonts w:ascii="Calibri" w:hAnsi="Calibri" w:cs="Calibri"/>
        </w:rPr>
        <w:t xml:space="preserve">mental health needs </w:t>
      </w:r>
    </w:p>
    <w:p w:rsidR="00B034C7" w:rsidRPr="00C729DD" w:rsidP="00CE5F5C">
      <w:pPr>
        <w:numPr>
          <w:ilvl w:val="0"/>
          <w:numId w:val="12"/>
        </w:numPr>
        <w:tabs>
          <w:tab w:val="clear" w:pos="360"/>
          <w:tab w:val="num" w:pos="720"/>
        </w:tabs>
        <w:rPr>
          <w:rFonts w:ascii="Calibri" w:hAnsi="Calibri" w:cs="Calibri"/>
        </w:rPr>
      </w:pPr>
      <w:r w:rsidRPr="00C729DD">
        <w:rPr>
          <w:rFonts w:ascii="Calibri" w:hAnsi="Calibri" w:cs="Calibri"/>
        </w:rPr>
        <w:t xml:space="preserve">life-threatening or terminal illness </w:t>
      </w:r>
    </w:p>
    <w:p w:rsidR="00B034C7" w:rsidRPr="00C729DD" w:rsidP="00CE5F5C">
      <w:pPr>
        <w:numPr>
          <w:ilvl w:val="0"/>
          <w:numId w:val="12"/>
        </w:numPr>
        <w:tabs>
          <w:tab w:val="clear" w:pos="360"/>
          <w:tab w:val="num" w:pos="720"/>
        </w:tabs>
        <w:rPr>
          <w:rFonts w:ascii="Calibri" w:hAnsi="Calibri" w:cs="Calibri"/>
        </w:rPr>
      </w:pPr>
      <w:r w:rsidRPr="00C729DD">
        <w:rPr>
          <w:rFonts w:ascii="Calibri" w:hAnsi="Calibri" w:cs="Calibri"/>
        </w:rPr>
        <w:t xml:space="preserve">wider social or economic disadvantage. </w:t>
      </w:r>
    </w:p>
    <w:p w:rsidR="00B034C7" w:rsidRPr="00C729DD" w:rsidP="00CE5F5C">
      <w:pPr>
        <w:rPr>
          <w:rFonts w:ascii="Calibri" w:hAnsi="Calibri" w:cs="Calibri"/>
        </w:rPr>
      </w:pPr>
    </w:p>
    <w:p w:rsidR="00B034C7" w:rsidRPr="00C729DD" w:rsidP="00CE5F5C">
      <w:pPr>
        <w:rPr>
          <w:rFonts w:ascii="Calibri" w:hAnsi="Calibri" w:cs="Calibri"/>
        </w:rPr>
      </w:pPr>
      <w:r w:rsidRPr="00C729DD">
        <w:rPr>
          <w:rFonts w:ascii="Calibri" w:hAnsi="Calibri" w:cs="Calibri"/>
        </w:rPr>
        <w:t>Support should also recognise the needs of parents, carers and siblings, particularly where the impact of serious childhood illness continues into adulthood.</w:t>
      </w:r>
    </w:p>
    <w:p w:rsidR="00B034C7" w:rsidRPr="00C729DD" w:rsidP="00CE5F5C">
      <w:pPr>
        <w:rPr>
          <w:rFonts w:ascii="Calibri" w:hAnsi="Calibri" w:cs="Calibri"/>
          <w:b/>
          <w:bCs/>
        </w:rPr>
      </w:pPr>
    </w:p>
    <w:p w:rsidR="00B034C7" w:rsidRPr="00C729DD" w:rsidP="00CE5F5C">
      <w:pPr>
        <w:rPr>
          <w:rFonts w:ascii="Calibri" w:hAnsi="Calibri" w:cs="Calibri"/>
          <w:b/>
          <w:bCs/>
        </w:rPr>
      </w:pPr>
      <w:r w:rsidRPr="00C729DD">
        <w:rPr>
          <w:rFonts w:ascii="Calibri" w:hAnsi="Calibri" w:cs="Calibri"/>
          <w:b/>
          <w:bCs/>
        </w:rPr>
        <w:t>2. What extra data is captured for young people at the intersection of different protected characteristics?</w:t>
      </w:r>
    </w:p>
    <w:p w:rsidR="00B034C7">
      <w:pPr>
        <w:rPr>
          <w:rFonts w:ascii="Calibri" w:hAnsi="Calibri" w:cs="Calibri"/>
        </w:rPr>
      </w:pPr>
      <w:r w:rsidRPr="00C729DD">
        <w:rPr>
          <w:rFonts w:ascii="Calibri" w:hAnsi="Calibri" w:cs="Calibri"/>
        </w:rPr>
        <w:t>Rainbow Trust does not hold detailed national data on this issue. However, there is value in improving understanding of how overlapping factors, including disability, poverty, ethnicity, communication needs and mental health needs, may affect transition experiences and outcomes.</w:t>
      </w:r>
    </w:p>
    <w:p w:rsidR="00C729DD">
      <w:pPr>
        <w:rPr>
          <w:rFonts w:ascii="Calibri" w:hAnsi="Calibri" w:cs="Calibri"/>
        </w:rPr>
      </w:pPr>
    </w:p>
    <w:p w:rsidR="00C729DD" w:rsidRPr="00C729DD">
      <w:pPr>
        <w:rPr>
          <w:rFonts w:ascii="Calibri" w:hAnsi="Calibri" w:cs="Calibri"/>
          <w:i/>
          <w:iCs/>
          <w:lang w:val="en-GB"/>
        </w:rPr>
      </w:pPr>
      <w:r w:rsidRPr="00C729DD">
        <w:rPr>
          <w:rFonts w:ascii="Calibri" w:hAnsi="Calibri" w:cs="Calibri"/>
          <w:i/>
          <w:iCs/>
        </w:rPr>
        <w:t>May 2026</w:t>
      </w:r>
    </w:p>
    <w:sectPr w:rsidSect="00E10D08">
      <w:pgSz w:w="11900" w:h="16840"/>
      <w:pgMar w:top="1440" w:right="1440" w:bottom="1440" w:left="1440" w:header="720" w:footer="720" w:gutter="0"/>
      <w:cols w:space="720"/>
      <w:titlePg/>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A8498F"/>
    <w:multiLevelType w:val="multilevel"/>
    <w:tmpl w:val="90C8B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5865D42"/>
    <w:multiLevelType w:val="multilevel"/>
    <w:tmpl w:val="FEFCD7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66D01B0"/>
    <w:multiLevelType w:val="multilevel"/>
    <w:tmpl w:val="C340EB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75848F0"/>
    <w:multiLevelType w:val="multilevel"/>
    <w:tmpl w:val="C43CE6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C853E7B"/>
    <w:multiLevelType w:val="multilevel"/>
    <w:tmpl w:val="60BEF0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221B2AA1"/>
    <w:multiLevelType w:val="multilevel"/>
    <w:tmpl w:val="54F832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297405D"/>
    <w:multiLevelType w:val="multilevel"/>
    <w:tmpl w:val="E79282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1A45D5"/>
    <w:multiLevelType w:val="multilevel"/>
    <w:tmpl w:val="703C1C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2CE63BA2"/>
    <w:multiLevelType w:val="multilevel"/>
    <w:tmpl w:val="FB1E3E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DB5463C"/>
    <w:multiLevelType w:val="multilevel"/>
    <w:tmpl w:val="78802B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38B820E4"/>
    <w:multiLevelType w:val="hybridMultilevel"/>
    <w:tmpl w:val="0C5A3636"/>
    <w:lvl w:ilvl="0">
      <w:start w:val="1"/>
      <w:numFmt w:val="bullet"/>
      <w:pStyle w:val="RTBulletpoints"/>
      <w:lvlText w:val=""/>
      <w:lvlJc w:val="left"/>
      <w:pPr>
        <w:ind w:left="436" w:hanging="360"/>
      </w:pPr>
      <w:rPr>
        <w:rFonts w:ascii="Symbol" w:hAnsi="Symbol" w:hint="default"/>
      </w:rPr>
    </w:lvl>
    <w:lvl w:ilvl="1" w:tentative="1">
      <w:start w:val="1"/>
      <w:numFmt w:val="bullet"/>
      <w:lvlText w:val="o"/>
      <w:lvlJc w:val="left"/>
      <w:pPr>
        <w:ind w:left="1156" w:hanging="360"/>
      </w:pPr>
      <w:rPr>
        <w:rFonts w:ascii="Courier New" w:hAnsi="Courier New" w:hint="default"/>
      </w:rPr>
    </w:lvl>
    <w:lvl w:ilvl="2" w:tentative="1">
      <w:start w:val="1"/>
      <w:numFmt w:val="bullet"/>
      <w:lvlText w:val=""/>
      <w:lvlJc w:val="left"/>
      <w:pPr>
        <w:ind w:left="1876" w:hanging="360"/>
      </w:pPr>
      <w:rPr>
        <w:rFonts w:ascii="Wingdings" w:hAnsi="Wingdings" w:hint="default"/>
      </w:rPr>
    </w:lvl>
    <w:lvl w:ilvl="3" w:tentative="1">
      <w:start w:val="1"/>
      <w:numFmt w:val="bullet"/>
      <w:lvlText w:val=""/>
      <w:lvlJc w:val="left"/>
      <w:pPr>
        <w:ind w:left="2596" w:hanging="360"/>
      </w:pPr>
      <w:rPr>
        <w:rFonts w:ascii="Symbol" w:hAnsi="Symbol" w:hint="default"/>
      </w:rPr>
    </w:lvl>
    <w:lvl w:ilvl="4" w:tentative="1">
      <w:start w:val="1"/>
      <w:numFmt w:val="bullet"/>
      <w:lvlText w:val="o"/>
      <w:lvlJc w:val="left"/>
      <w:pPr>
        <w:ind w:left="3316" w:hanging="360"/>
      </w:pPr>
      <w:rPr>
        <w:rFonts w:ascii="Courier New" w:hAnsi="Courier New" w:hint="default"/>
      </w:rPr>
    </w:lvl>
    <w:lvl w:ilvl="5" w:tentative="1">
      <w:start w:val="1"/>
      <w:numFmt w:val="bullet"/>
      <w:lvlText w:val=""/>
      <w:lvlJc w:val="left"/>
      <w:pPr>
        <w:ind w:left="4036" w:hanging="360"/>
      </w:pPr>
      <w:rPr>
        <w:rFonts w:ascii="Wingdings" w:hAnsi="Wingdings" w:hint="default"/>
      </w:rPr>
    </w:lvl>
    <w:lvl w:ilvl="6" w:tentative="1">
      <w:start w:val="1"/>
      <w:numFmt w:val="bullet"/>
      <w:lvlText w:val=""/>
      <w:lvlJc w:val="left"/>
      <w:pPr>
        <w:ind w:left="4756" w:hanging="360"/>
      </w:pPr>
      <w:rPr>
        <w:rFonts w:ascii="Symbol" w:hAnsi="Symbol" w:hint="default"/>
      </w:rPr>
    </w:lvl>
    <w:lvl w:ilvl="7" w:tentative="1">
      <w:start w:val="1"/>
      <w:numFmt w:val="bullet"/>
      <w:lvlText w:val="o"/>
      <w:lvlJc w:val="left"/>
      <w:pPr>
        <w:ind w:left="5476" w:hanging="360"/>
      </w:pPr>
      <w:rPr>
        <w:rFonts w:ascii="Courier New" w:hAnsi="Courier New" w:hint="default"/>
      </w:rPr>
    </w:lvl>
    <w:lvl w:ilvl="8" w:tentative="1">
      <w:start w:val="1"/>
      <w:numFmt w:val="bullet"/>
      <w:lvlText w:val=""/>
      <w:lvlJc w:val="left"/>
      <w:pPr>
        <w:ind w:left="6196" w:hanging="360"/>
      </w:pPr>
      <w:rPr>
        <w:rFonts w:ascii="Wingdings" w:hAnsi="Wingdings" w:hint="default"/>
      </w:rPr>
    </w:lvl>
  </w:abstractNum>
  <w:abstractNum w:abstractNumId="11">
    <w:nsid w:val="4F4F571A"/>
    <w:multiLevelType w:val="multilevel"/>
    <w:tmpl w:val="9754FD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563A39E6"/>
    <w:multiLevelType w:val="multilevel"/>
    <w:tmpl w:val="D208FC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670025BF"/>
    <w:multiLevelType w:val="multilevel"/>
    <w:tmpl w:val="9856B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690538B4"/>
    <w:multiLevelType w:val="multilevel"/>
    <w:tmpl w:val="18B2A9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B8B0DCB"/>
    <w:multiLevelType w:val="multilevel"/>
    <w:tmpl w:val="A308FE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0"/>
  </w:num>
  <w:num w:numId="2">
    <w:abstractNumId w:val="0"/>
  </w:num>
  <w:num w:numId="3">
    <w:abstractNumId w:val="4"/>
  </w:num>
  <w:num w:numId="4">
    <w:abstractNumId w:val="15"/>
  </w:num>
  <w:num w:numId="5">
    <w:abstractNumId w:val="3"/>
  </w:num>
  <w:num w:numId="6">
    <w:abstractNumId w:val="8"/>
  </w:num>
  <w:num w:numId="7">
    <w:abstractNumId w:val="1"/>
  </w:num>
  <w:num w:numId="8">
    <w:abstractNumId w:val="7"/>
  </w:num>
  <w:num w:numId="9">
    <w:abstractNumId w:val="9"/>
  </w:num>
  <w:num w:numId="10">
    <w:abstractNumId w:val="14"/>
  </w:num>
  <w:num w:numId="11">
    <w:abstractNumId w:val="12"/>
  </w:num>
  <w:num w:numId="12">
    <w:abstractNumId w:val="6"/>
  </w:num>
  <w:num w:numId="13">
    <w:abstractNumId w:val="13"/>
  </w:num>
  <w:num w:numId="14">
    <w:abstractNumId w:val="2"/>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FA383E"/>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D08"/>
    <w:pPr>
      <w:tabs>
        <w:tab w:val="center" w:pos="4513"/>
        <w:tab w:val="right" w:pos="9026"/>
      </w:tabs>
    </w:pPr>
  </w:style>
  <w:style w:type="character" w:customStyle="1" w:styleId="HeaderChar">
    <w:name w:val="Header Char"/>
    <w:basedOn w:val="DefaultParagraphFont"/>
    <w:link w:val="Header"/>
    <w:uiPriority w:val="99"/>
    <w:rsid w:val="00E10D08"/>
  </w:style>
  <w:style w:type="paragraph" w:styleId="Footer">
    <w:name w:val="footer"/>
    <w:basedOn w:val="Normal"/>
    <w:link w:val="FooterChar"/>
    <w:uiPriority w:val="99"/>
    <w:unhideWhenUsed/>
    <w:rsid w:val="00E10D08"/>
    <w:pPr>
      <w:tabs>
        <w:tab w:val="center" w:pos="4513"/>
        <w:tab w:val="right" w:pos="9026"/>
      </w:tabs>
    </w:pPr>
  </w:style>
  <w:style w:type="character" w:customStyle="1" w:styleId="FooterChar">
    <w:name w:val="Footer Char"/>
    <w:basedOn w:val="DefaultParagraphFont"/>
    <w:link w:val="Footer"/>
    <w:uiPriority w:val="99"/>
    <w:rsid w:val="00E10D08"/>
  </w:style>
  <w:style w:type="character" w:styleId="SubtleReference">
    <w:name w:val="Subtle Reference"/>
    <w:basedOn w:val="DefaultParagraphFont"/>
    <w:uiPriority w:val="31"/>
    <w:rsid w:val="00FA383E"/>
    <w:rPr>
      <w:smallCaps/>
      <w:color w:val="ED7D31" w:themeColor="accent2"/>
      <w:u w:val="single"/>
    </w:rPr>
  </w:style>
  <w:style w:type="paragraph" w:customStyle="1" w:styleId="Adresstext">
    <w:name w:val="Adress text"/>
    <w:qFormat/>
    <w:rsid w:val="00FA383E"/>
    <w:rPr>
      <w:rFonts w:ascii="Arial" w:hAnsi="Arial"/>
      <w:color w:val="404040" w:themeColor="text1" w:themeTint="BF"/>
      <w:sz w:val="22"/>
      <w:lang w:eastAsia="en-US"/>
    </w:rPr>
  </w:style>
  <w:style w:type="paragraph" w:customStyle="1" w:styleId="RTbodytext">
    <w:name w:val="RT body text"/>
    <w:qFormat/>
    <w:rsid w:val="00FA383E"/>
    <w:pPr>
      <w:ind w:left="-284"/>
    </w:pPr>
    <w:rPr>
      <w:rFonts w:ascii="Arial" w:hAnsi="Arial"/>
      <w:color w:val="404040" w:themeColor="text1" w:themeTint="BF"/>
      <w:sz w:val="22"/>
      <w:lang w:eastAsia="en-US"/>
    </w:rPr>
  </w:style>
  <w:style w:type="paragraph" w:customStyle="1" w:styleId="RTHeading1">
    <w:name w:val="RT Heading 1"/>
    <w:next w:val="RTbodytext"/>
    <w:qFormat/>
    <w:rsid w:val="00FA383E"/>
    <w:pPr>
      <w:ind w:left="-284"/>
    </w:pPr>
    <w:rPr>
      <w:rFonts w:ascii="Arial" w:hAnsi="Arial"/>
      <w:b/>
      <w:color w:val="0065A6"/>
      <w:sz w:val="28"/>
      <w:lang w:eastAsia="en-US"/>
    </w:rPr>
  </w:style>
  <w:style w:type="paragraph" w:customStyle="1" w:styleId="RTHeading2">
    <w:name w:val="RT Heading 2"/>
    <w:basedOn w:val="RTHeading1"/>
    <w:next w:val="RTbodytext"/>
    <w:qFormat/>
    <w:rsid w:val="00FA383E"/>
    <w:rPr>
      <w:sz w:val="24"/>
    </w:rPr>
  </w:style>
  <w:style w:type="paragraph" w:customStyle="1" w:styleId="RTHeading3">
    <w:name w:val="RT Heading 3"/>
    <w:basedOn w:val="RTHeading2"/>
    <w:next w:val="RTbodytext"/>
    <w:qFormat/>
    <w:rsid w:val="00FA383E"/>
    <w:rPr>
      <w:color w:val="404040" w:themeColor="text1" w:themeTint="BF"/>
    </w:rPr>
  </w:style>
  <w:style w:type="paragraph" w:customStyle="1" w:styleId="RTBulletpoints">
    <w:name w:val="RT Bullet points"/>
    <w:basedOn w:val="RTbodytext"/>
    <w:qFormat/>
    <w:rsid w:val="00FA383E"/>
    <w:pPr>
      <w:numPr>
        <w:numId w:val="1"/>
      </w:numPr>
      <w:spacing w:line="360" w:lineRule="auto"/>
      <w:ind w:left="142" w:hanging="284"/>
    </w:pPr>
  </w:style>
  <w:style w:type="paragraph" w:customStyle="1" w:styleId="RTQuotes">
    <w:name w:val="RT Quotes"/>
    <w:basedOn w:val="RTbodytext"/>
    <w:next w:val="RTbodytext"/>
    <w:qFormat/>
    <w:rsid w:val="00FA383E"/>
    <w:pPr>
      <w:ind w:left="142" w:right="362"/>
    </w:pPr>
    <w:rPr>
      <w:i/>
      <w:color w:val="0065A6"/>
      <w:shd w:val="clear" w:color="auto" w:fill="FFFFFF"/>
      <w:lang w:val="en-GB"/>
    </w:rPr>
  </w:style>
  <w:style w:type="paragraph" w:customStyle="1" w:styleId="RTSignoff">
    <w:name w:val="RT Sign off"/>
    <w:basedOn w:val="RTbodytext"/>
    <w:qFormat/>
    <w:rsid w:val="00FA383E"/>
    <w:rPr>
      <w:b/>
      <w:color w:val="0065A6"/>
    </w:rPr>
  </w:style>
  <w:style w:type="character" w:styleId="Hyperlink">
    <w:name w:val="Hyperlink"/>
    <w:basedOn w:val="DefaultParagraphFont"/>
    <w:uiPriority w:val="99"/>
    <w:unhideWhenUsed/>
    <w:rsid w:val="00CE5F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TRN0069</dc:title>
  <cp:revision>0</cp:revision>
</cp:coreProperties>
</file>