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12801">
      <w:pPr>
        <w:pStyle w:val="BodyText"/>
        <w:ind w:left="0"/>
        <w:rPr>
          <w:rFonts w:ascii="Times New Roman"/>
          <w:sz w:val="18"/>
        </w:rPr>
      </w:pPr>
    </w:p>
    <w:p w:rsidR="00612801">
      <w:pPr>
        <w:pStyle w:val="BodyText"/>
        <w:spacing w:before="32"/>
        <w:ind w:left="0"/>
        <w:rPr>
          <w:rFonts w:ascii="Times New Roman"/>
          <w:sz w:val="18"/>
        </w:rPr>
      </w:pPr>
    </w:p>
    <w:p w:rsidR="00612801">
      <w:pPr>
        <w:pStyle w:val="BodyText"/>
        <w:ind w:left="0"/>
      </w:pPr>
    </w:p>
    <w:p w:rsidR="0096739C" w:rsidRPr="00C31088" w:rsidP="0096739C">
      <w:pPr>
        <w:pStyle w:val="Heading2"/>
        <w:jc w:val="center"/>
        <w:rPr>
          <w:rFonts w:ascii="Calibri" w:hAnsi="Calibri" w:cs="Calibri"/>
          <w:b/>
          <w:bCs/>
          <w:color w:val="auto"/>
        </w:rPr>
      </w:pPr>
      <w:r w:rsidRPr="00C31088">
        <w:rPr>
          <w:rFonts w:ascii="Calibri" w:hAnsi="Calibri" w:cs="Calibri"/>
          <w:b/>
          <w:bCs/>
          <w:color w:val="auto"/>
        </w:rPr>
        <w:t xml:space="preserve">Written Evidence submitted by </w:t>
      </w:r>
      <w:r w:rsidRPr="0096739C">
        <w:rPr>
          <w:rFonts w:ascii="Calibri" w:hAnsi="Calibri" w:cs="Calibri"/>
          <w:b/>
          <w:bCs/>
          <w:color w:val="auto"/>
        </w:rPr>
        <w:t>Department of Health and Social Care</w:t>
      </w:r>
      <w:r w:rsidRPr="00C31088">
        <w:rPr>
          <w:rFonts w:ascii="Calibri" w:hAnsi="Calibri" w:cs="Calibri"/>
          <w:b/>
          <w:bCs/>
          <w:color w:val="auto"/>
        </w:rPr>
        <w:t xml:space="preserve"> (TRN006</w:t>
      </w:r>
      <w:r>
        <w:rPr>
          <w:rFonts w:ascii="Calibri" w:hAnsi="Calibri" w:cs="Calibri"/>
          <w:b/>
          <w:bCs/>
          <w:color w:val="auto"/>
        </w:rPr>
        <w:t>7</w:t>
      </w:r>
      <w:r w:rsidRPr="00C31088">
        <w:rPr>
          <w:rFonts w:ascii="Calibri" w:hAnsi="Calibri" w:cs="Calibri"/>
          <w:b/>
          <w:bCs/>
          <w:color w:val="auto"/>
        </w:rPr>
        <w:t>)</w:t>
      </w:r>
    </w:p>
    <w:p w:rsidR="00612801">
      <w:pPr>
        <w:pStyle w:val="BodyText"/>
        <w:spacing w:before="83"/>
        <w:ind w:left="0"/>
      </w:pPr>
    </w:p>
    <w:p w:rsidR="0096739C">
      <w:pPr>
        <w:pStyle w:val="BodyText"/>
        <w:spacing w:before="1"/>
      </w:pPr>
    </w:p>
    <w:p w:rsidR="0096739C">
      <w:pPr>
        <w:pStyle w:val="BodyText"/>
        <w:spacing w:before="1"/>
      </w:pPr>
    </w:p>
    <w:p w:rsidR="0096739C">
      <w:pPr>
        <w:pStyle w:val="BodyText"/>
        <w:spacing w:before="1"/>
      </w:pPr>
    </w:p>
    <w:p w:rsidR="0096739C">
      <w:pPr>
        <w:pStyle w:val="BodyText"/>
        <w:spacing w:before="1"/>
      </w:pPr>
    </w:p>
    <w:p w:rsidR="0096739C">
      <w:pPr>
        <w:pStyle w:val="BodyText"/>
        <w:spacing w:before="1"/>
      </w:pPr>
    </w:p>
    <w:p w:rsidR="00612801">
      <w:pPr>
        <w:pStyle w:val="BodyText"/>
        <w:spacing w:before="1"/>
      </w:pPr>
      <w:r>
        <w:t>Dear</w:t>
      </w:r>
      <w:r>
        <w:rPr>
          <w:spacing w:val="-2"/>
        </w:rPr>
        <w:t xml:space="preserve"> </w:t>
      </w:r>
      <w:r>
        <w:t>Layla</w:t>
      </w:r>
      <w:r>
        <w:rPr>
          <w:spacing w:val="-3"/>
        </w:rPr>
        <w:t xml:space="preserve"> </w:t>
      </w:r>
      <w:r>
        <w:t>and</w:t>
      </w:r>
      <w:r>
        <w:rPr>
          <w:spacing w:val="-1"/>
        </w:rPr>
        <w:t xml:space="preserve"> </w:t>
      </w:r>
      <w:r>
        <w:rPr>
          <w:spacing w:val="-2"/>
        </w:rPr>
        <w:t>Jane,</w:t>
      </w:r>
    </w:p>
    <w:p w:rsidR="00612801">
      <w:pPr>
        <w:pStyle w:val="BodyText"/>
        <w:spacing w:before="81"/>
        <w:ind w:left="0"/>
      </w:pPr>
    </w:p>
    <w:p w:rsidR="00612801">
      <w:pPr>
        <w:pStyle w:val="BodyText"/>
        <w:spacing w:line="276" w:lineRule="auto"/>
        <w:ind w:right="146"/>
        <w:jc w:val="both"/>
      </w:pPr>
      <w:r>
        <w:t>Thank</w:t>
      </w:r>
      <w:r>
        <w:rPr>
          <w:spacing w:val="-14"/>
        </w:rPr>
        <w:t xml:space="preserve"> </w:t>
      </w:r>
      <w:r>
        <w:t>you</w:t>
      </w:r>
      <w:r>
        <w:rPr>
          <w:spacing w:val="-14"/>
        </w:rPr>
        <w:t xml:space="preserve"> </w:t>
      </w:r>
      <w:r>
        <w:t>for</w:t>
      </w:r>
      <w:r>
        <w:rPr>
          <w:spacing w:val="-15"/>
        </w:rPr>
        <w:t xml:space="preserve"> </w:t>
      </w:r>
      <w:r>
        <w:t>inviting</w:t>
      </w:r>
      <w:r>
        <w:rPr>
          <w:spacing w:val="-14"/>
        </w:rPr>
        <w:t xml:space="preserve"> </w:t>
      </w:r>
      <w:r>
        <w:t>the</w:t>
      </w:r>
      <w:r>
        <w:rPr>
          <w:spacing w:val="-14"/>
        </w:rPr>
        <w:t xml:space="preserve"> </w:t>
      </w:r>
      <w:r>
        <w:t>Department</w:t>
      </w:r>
      <w:r>
        <w:rPr>
          <w:spacing w:val="-14"/>
        </w:rPr>
        <w:t xml:space="preserve"> </w:t>
      </w:r>
      <w:r>
        <w:t>of</w:t>
      </w:r>
      <w:r>
        <w:rPr>
          <w:spacing w:val="-14"/>
        </w:rPr>
        <w:t xml:space="preserve"> </w:t>
      </w:r>
      <w:r>
        <w:t>Health</w:t>
      </w:r>
      <w:r>
        <w:rPr>
          <w:spacing w:val="-14"/>
        </w:rPr>
        <w:t xml:space="preserve"> </w:t>
      </w:r>
      <w:r>
        <w:t>and</w:t>
      </w:r>
      <w:r>
        <w:rPr>
          <w:spacing w:val="-16"/>
        </w:rPr>
        <w:t xml:space="preserve"> </w:t>
      </w:r>
      <w:r>
        <w:t>Social</w:t>
      </w:r>
      <w:r>
        <w:rPr>
          <w:spacing w:val="-14"/>
        </w:rPr>
        <w:t xml:space="preserve"> </w:t>
      </w:r>
      <w:r>
        <w:t>Care</w:t>
      </w:r>
      <w:r>
        <w:rPr>
          <w:spacing w:val="-14"/>
        </w:rPr>
        <w:t xml:space="preserve"> </w:t>
      </w:r>
      <w:r>
        <w:t>(DHSC)</w:t>
      </w:r>
      <w:r>
        <w:rPr>
          <w:spacing w:val="-15"/>
        </w:rPr>
        <w:t xml:space="preserve"> </w:t>
      </w:r>
      <w:r>
        <w:t>to</w:t>
      </w:r>
      <w:r>
        <w:rPr>
          <w:spacing w:val="-14"/>
        </w:rPr>
        <w:t xml:space="preserve"> </w:t>
      </w:r>
      <w:r>
        <w:t>provide</w:t>
      </w:r>
      <w:r>
        <w:rPr>
          <w:spacing w:val="-14"/>
        </w:rPr>
        <w:t xml:space="preserve"> </w:t>
      </w:r>
      <w:r>
        <w:t>a</w:t>
      </w:r>
      <w:r>
        <w:rPr>
          <w:spacing w:val="-14"/>
        </w:rPr>
        <w:t xml:space="preserve"> </w:t>
      </w:r>
      <w:r>
        <w:t>written response</w:t>
      </w:r>
      <w:r>
        <w:rPr>
          <w:spacing w:val="-7"/>
        </w:rPr>
        <w:t xml:space="preserve"> </w:t>
      </w:r>
      <w:r>
        <w:t>to</w:t>
      </w:r>
      <w:r>
        <w:rPr>
          <w:spacing w:val="-7"/>
        </w:rPr>
        <w:t xml:space="preserve"> </w:t>
      </w:r>
      <w:r>
        <w:t>your</w:t>
      </w:r>
      <w:r>
        <w:rPr>
          <w:spacing w:val="-8"/>
        </w:rPr>
        <w:t xml:space="preserve"> </w:t>
      </w:r>
      <w:r>
        <w:t>call</w:t>
      </w:r>
      <w:r>
        <w:rPr>
          <w:spacing w:val="-11"/>
        </w:rPr>
        <w:t xml:space="preserve"> </w:t>
      </w:r>
      <w:r>
        <w:t>for</w:t>
      </w:r>
      <w:r>
        <w:rPr>
          <w:spacing w:val="-8"/>
        </w:rPr>
        <w:t xml:space="preserve"> </w:t>
      </w:r>
      <w:r>
        <w:t>evidence</w:t>
      </w:r>
      <w:r>
        <w:rPr>
          <w:spacing w:val="-9"/>
        </w:rPr>
        <w:t xml:space="preserve"> </w:t>
      </w:r>
      <w:r>
        <w:t>on</w:t>
      </w:r>
      <w:r>
        <w:rPr>
          <w:spacing w:val="-7"/>
        </w:rPr>
        <w:t xml:space="preserve"> </w:t>
      </w:r>
      <w:r>
        <w:t>the</w:t>
      </w:r>
      <w:r>
        <w:rPr>
          <w:spacing w:val="-9"/>
        </w:rPr>
        <w:t xml:space="preserve"> </w:t>
      </w:r>
      <w:r>
        <w:t>transition</w:t>
      </w:r>
      <w:r>
        <w:rPr>
          <w:spacing w:val="-7"/>
        </w:rPr>
        <w:t xml:space="preserve"> </w:t>
      </w:r>
      <w:r>
        <w:t>from</w:t>
      </w:r>
      <w:r>
        <w:rPr>
          <w:spacing w:val="-8"/>
        </w:rPr>
        <w:t xml:space="preserve"> </w:t>
      </w:r>
      <w:r>
        <w:t>child</w:t>
      </w:r>
      <w:r>
        <w:rPr>
          <w:spacing w:val="-9"/>
        </w:rPr>
        <w:t xml:space="preserve"> </w:t>
      </w:r>
      <w:r>
        <w:t>to</w:t>
      </w:r>
      <w:r>
        <w:rPr>
          <w:spacing w:val="-9"/>
        </w:rPr>
        <w:t xml:space="preserve"> </w:t>
      </w:r>
      <w:r>
        <w:t>adult</w:t>
      </w:r>
      <w:r>
        <w:rPr>
          <w:spacing w:val="-8"/>
        </w:rPr>
        <w:t xml:space="preserve"> </w:t>
      </w:r>
      <w:r>
        <w:t>health</w:t>
      </w:r>
      <w:r>
        <w:rPr>
          <w:spacing w:val="-9"/>
        </w:rPr>
        <w:t xml:space="preserve"> </w:t>
      </w:r>
      <w:r>
        <w:t>and</w:t>
      </w:r>
      <w:r>
        <w:rPr>
          <w:spacing w:val="-7"/>
        </w:rPr>
        <w:t xml:space="preserve"> </w:t>
      </w:r>
      <w:r>
        <w:t>social</w:t>
      </w:r>
      <w:r>
        <w:rPr>
          <w:spacing w:val="-8"/>
        </w:rPr>
        <w:t xml:space="preserve"> </w:t>
      </w:r>
      <w:r>
        <w:t>care services, which you’ve grouped according to six broad focus areas.</w:t>
      </w:r>
    </w:p>
    <w:p w:rsidR="00612801">
      <w:pPr>
        <w:pStyle w:val="BodyText"/>
        <w:spacing w:before="41"/>
        <w:ind w:left="0"/>
      </w:pPr>
    </w:p>
    <w:p w:rsidR="00612801">
      <w:pPr>
        <w:pStyle w:val="BodyText"/>
        <w:spacing w:before="1" w:line="276" w:lineRule="auto"/>
        <w:ind w:right="142"/>
        <w:jc w:val="both"/>
      </w:pPr>
      <w:r>
        <w:t>The Government’s vision for adult social care is to establish a National Care Service that enables</w:t>
      </w:r>
      <w:r>
        <w:rPr>
          <w:spacing w:val="-17"/>
        </w:rPr>
        <w:t xml:space="preserve"> </w:t>
      </w:r>
      <w:r>
        <w:t>people</w:t>
      </w:r>
      <w:r>
        <w:rPr>
          <w:spacing w:val="-17"/>
        </w:rPr>
        <w:t xml:space="preserve"> </w:t>
      </w:r>
      <w:r>
        <w:t>of</w:t>
      </w:r>
      <w:r>
        <w:rPr>
          <w:spacing w:val="-16"/>
        </w:rPr>
        <w:t xml:space="preserve"> </w:t>
      </w:r>
      <w:r>
        <w:t>all</w:t>
      </w:r>
      <w:r>
        <w:rPr>
          <w:spacing w:val="-17"/>
        </w:rPr>
        <w:t xml:space="preserve"> </w:t>
      </w:r>
      <w:r>
        <w:t>ages</w:t>
      </w:r>
      <w:r>
        <w:rPr>
          <w:spacing w:val="-17"/>
        </w:rPr>
        <w:t xml:space="preserve"> </w:t>
      </w:r>
      <w:r>
        <w:t>to</w:t>
      </w:r>
      <w:r>
        <w:rPr>
          <w:spacing w:val="-17"/>
        </w:rPr>
        <w:t xml:space="preserve"> </w:t>
      </w:r>
      <w:r>
        <w:t>live</w:t>
      </w:r>
      <w:r>
        <w:rPr>
          <w:spacing w:val="-16"/>
        </w:rPr>
        <w:t xml:space="preserve"> </w:t>
      </w:r>
      <w:r>
        <w:t>healthy,</w:t>
      </w:r>
      <w:r>
        <w:rPr>
          <w:spacing w:val="-16"/>
        </w:rPr>
        <w:t xml:space="preserve"> </w:t>
      </w:r>
      <w:r>
        <w:t>independent</w:t>
      </w:r>
      <w:r>
        <w:rPr>
          <w:spacing w:val="-17"/>
        </w:rPr>
        <w:t xml:space="preserve"> </w:t>
      </w:r>
      <w:r>
        <w:t>and</w:t>
      </w:r>
      <w:r>
        <w:rPr>
          <w:spacing w:val="-16"/>
        </w:rPr>
        <w:t xml:space="preserve"> </w:t>
      </w:r>
      <w:r>
        <w:t>fulfilling</w:t>
      </w:r>
      <w:r>
        <w:rPr>
          <w:spacing w:val="-16"/>
        </w:rPr>
        <w:t xml:space="preserve"> </w:t>
      </w:r>
      <w:r>
        <w:t>lives,</w:t>
      </w:r>
      <w:r>
        <w:rPr>
          <w:spacing w:val="-16"/>
        </w:rPr>
        <w:t xml:space="preserve"> </w:t>
      </w:r>
      <w:r>
        <w:t>rooted</w:t>
      </w:r>
      <w:r>
        <w:rPr>
          <w:spacing w:val="-16"/>
        </w:rPr>
        <w:t xml:space="preserve"> </w:t>
      </w:r>
      <w:r>
        <w:t>in</w:t>
      </w:r>
      <w:r>
        <w:rPr>
          <w:spacing w:val="-16"/>
        </w:rPr>
        <w:t xml:space="preserve"> </w:t>
      </w:r>
      <w:r>
        <w:t>improving the quality of care, strengthening join-up between health and social care services, and enabling people to have more choice and control.</w:t>
      </w:r>
    </w:p>
    <w:p w:rsidR="00612801">
      <w:pPr>
        <w:pStyle w:val="BodyText"/>
        <w:spacing w:before="41"/>
        <w:ind w:left="0"/>
      </w:pPr>
    </w:p>
    <w:p w:rsidR="00612801">
      <w:pPr>
        <w:pStyle w:val="BodyText"/>
        <w:spacing w:line="276" w:lineRule="auto"/>
        <w:ind w:right="144"/>
        <w:jc w:val="both"/>
      </w:pPr>
      <w:r>
        <w:t>In our</w:t>
      </w:r>
      <w:r>
        <w:rPr>
          <w:spacing w:val="-1"/>
        </w:rPr>
        <w:t xml:space="preserve"> </w:t>
      </w:r>
      <w:r>
        <w:t>10 Year</w:t>
      </w:r>
      <w:r>
        <w:rPr>
          <w:spacing w:val="-1"/>
        </w:rPr>
        <w:t xml:space="preserve"> </w:t>
      </w:r>
      <w:r>
        <w:t>Health</w:t>
      </w:r>
      <w:r>
        <w:rPr>
          <w:spacing w:val="-2"/>
        </w:rPr>
        <w:t xml:space="preserve"> </w:t>
      </w:r>
      <w:r>
        <w:t>Plan,</w:t>
      </w:r>
      <w:r>
        <w:rPr>
          <w:spacing w:val="-2"/>
        </w:rPr>
        <w:t xml:space="preserve"> </w:t>
      </w:r>
      <w:r>
        <w:t>the</w:t>
      </w:r>
      <w:r>
        <w:rPr>
          <w:spacing w:val="-1"/>
        </w:rPr>
        <w:t xml:space="preserve"> </w:t>
      </w:r>
      <w:r>
        <w:t>government</w:t>
      </w:r>
      <w:r>
        <w:rPr>
          <w:spacing w:val="-2"/>
        </w:rPr>
        <w:t xml:space="preserve"> </w:t>
      </w:r>
      <w:r>
        <w:t>has also set out</w:t>
      </w:r>
      <w:r>
        <w:rPr>
          <w:spacing w:val="-2"/>
        </w:rPr>
        <w:t xml:space="preserve"> </w:t>
      </w:r>
      <w:r>
        <w:t>three</w:t>
      </w:r>
      <w:r>
        <w:rPr>
          <w:spacing w:val="-4"/>
        </w:rPr>
        <w:t xml:space="preserve"> </w:t>
      </w:r>
      <w:r>
        <w:t>core shifts:</w:t>
      </w:r>
      <w:r>
        <w:rPr>
          <w:spacing w:val="-2"/>
        </w:rPr>
        <w:t xml:space="preserve"> </w:t>
      </w:r>
      <w:r>
        <w:t>moving from hospital</w:t>
      </w:r>
      <w:r>
        <w:rPr>
          <w:spacing w:val="-8"/>
        </w:rPr>
        <w:t xml:space="preserve"> </w:t>
      </w:r>
      <w:r>
        <w:t>to</w:t>
      </w:r>
      <w:r>
        <w:rPr>
          <w:spacing w:val="-9"/>
        </w:rPr>
        <w:t xml:space="preserve"> </w:t>
      </w:r>
      <w:r>
        <w:t>community,</w:t>
      </w:r>
      <w:r>
        <w:rPr>
          <w:spacing w:val="-10"/>
        </w:rPr>
        <w:t xml:space="preserve"> </w:t>
      </w:r>
      <w:r>
        <w:t>from</w:t>
      </w:r>
      <w:r>
        <w:rPr>
          <w:spacing w:val="-8"/>
        </w:rPr>
        <w:t xml:space="preserve"> </w:t>
      </w:r>
      <w:r>
        <w:t>sickness</w:t>
      </w:r>
      <w:r>
        <w:rPr>
          <w:spacing w:val="-10"/>
        </w:rPr>
        <w:t xml:space="preserve"> </w:t>
      </w:r>
      <w:r>
        <w:t>to</w:t>
      </w:r>
      <w:r>
        <w:rPr>
          <w:spacing w:val="-9"/>
        </w:rPr>
        <w:t xml:space="preserve"> </w:t>
      </w:r>
      <w:r>
        <w:t>prevention,</w:t>
      </w:r>
      <w:r>
        <w:rPr>
          <w:spacing w:val="-10"/>
        </w:rPr>
        <w:t xml:space="preserve"> </w:t>
      </w:r>
      <w:r>
        <w:t>and</w:t>
      </w:r>
      <w:r>
        <w:rPr>
          <w:spacing w:val="-9"/>
        </w:rPr>
        <w:t xml:space="preserve"> </w:t>
      </w:r>
      <w:r>
        <w:t>from</w:t>
      </w:r>
      <w:r>
        <w:rPr>
          <w:spacing w:val="-9"/>
        </w:rPr>
        <w:t xml:space="preserve"> </w:t>
      </w:r>
      <w:r>
        <w:t>analogue</w:t>
      </w:r>
      <w:r>
        <w:rPr>
          <w:spacing w:val="-9"/>
        </w:rPr>
        <w:t xml:space="preserve"> </w:t>
      </w:r>
      <w:r>
        <w:t>to</w:t>
      </w:r>
      <w:r>
        <w:rPr>
          <w:spacing w:val="-9"/>
        </w:rPr>
        <w:t xml:space="preserve"> </w:t>
      </w:r>
      <w:r>
        <w:t>digital,</w:t>
      </w:r>
      <w:r>
        <w:rPr>
          <w:spacing w:val="-10"/>
        </w:rPr>
        <w:t xml:space="preserve"> </w:t>
      </w:r>
      <w:r>
        <w:t>with</w:t>
      </w:r>
      <w:r>
        <w:rPr>
          <w:spacing w:val="-9"/>
        </w:rPr>
        <w:t xml:space="preserve"> </w:t>
      </w:r>
      <w:r>
        <w:t>social care central to all three.</w:t>
      </w:r>
    </w:p>
    <w:p w:rsidR="00612801">
      <w:pPr>
        <w:pStyle w:val="BodyText"/>
        <w:spacing w:before="41"/>
        <w:ind w:left="0"/>
      </w:pPr>
    </w:p>
    <w:p w:rsidR="00612801">
      <w:pPr>
        <w:pStyle w:val="BodyText"/>
        <w:spacing w:line="276" w:lineRule="auto"/>
        <w:ind w:right="136"/>
        <w:jc w:val="both"/>
      </w:pPr>
      <w:r>
        <w:t>Across</w:t>
      </w:r>
      <w:r>
        <w:t xml:space="preserve"> all three shifts, we are placing a strong focus on early intervention, </w:t>
      </w:r>
      <w:r>
        <w:t>personalised</w:t>
      </w:r>
      <w:r>
        <w:t xml:space="preserve"> support</w:t>
      </w:r>
      <w:r>
        <w:rPr>
          <w:spacing w:val="-13"/>
        </w:rPr>
        <w:t xml:space="preserve"> </w:t>
      </w:r>
      <w:r>
        <w:t>and</w:t>
      </w:r>
      <w:r>
        <w:rPr>
          <w:spacing w:val="-12"/>
        </w:rPr>
        <w:t xml:space="preserve"> </w:t>
      </w:r>
      <w:r>
        <w:t>joined-up</w:t>
      </w:r>
      <w:r>
        <w:rPr>
          <w:spacing w:val="-14"/>
        </w:rPr>
        <w:t xml:space="preserve"> </w:t>
      </w:r>
      <w:r>
        <w:t>services</w:t>
      </w:r>
      <w:r>
        <w:rPr>
          <w:spacing w:val="-13"/>
        </w:rPr>
        <w:t xml:space="preserve"> </w:t>
      </w:r>
      <w:r>
        <w:t>across</w:t>
      </w:r>
      <w:r>
        <w:rPr>
          <w:spacing w:val="-12"/>
        </w:rPr>
        <w:t xml:space="preserve"> </w:t>
      </w:r>
      <w:r>
        <w:t>health,</w:t>
      </w:r>
      <w:r>
        <w:rPr>
          <w:spacing w:val="-14"/>
        </w:rPr>
        <w:t xml:space="preserve"> </w:t>
      </w:r>
      <w:r>
        <w:t>social</w:t>
      </w:r>
      <w:r>
        <w:rPr>
          <w:spacing w:val="-13"/>
        </w:rPr>
        <w:t xml:space="preserve"> </w:t>
      </w:r>
      <w:r>
        <w:t>care</w:t>
      </w:r>
      <w:r>
        <w:rPr>
          <w:spacing w:val="-12"/>
        </w:rPr>
        <w:t xml:space="preserve"> </w:t>
      </w:r>
      <w:r>
        <w:t>and</w:t>
      </w:r>
      <w:r>
        <w:rPr>
          <w:spacing w:val="-12"/>
        </w:rPr>
        <w:t xml:space="preserve"> </w:t>
      </w:r>
      <w:r>
        <w:t>education.</w:t>
      </w:r>
      <w:r>
        <w:rPr>
          <w:spacing w:val="-12"/>
        </w:rPr>
        <w:t xml:space="preserve"> </w:t>
      </w:r>
      <w:r>
        <w:t>High-quality</w:t>
      </w:r>
      <w:r>
        <w:rPr>
          <w:spacing w:val="-12"/>
        </w:rPr>
        <w:t xml:space="preserve"> </w:t>
      </w:r>
      <w:r>
        <w:t>health and</w:t>
      </w:r>
      <w:r>
        <w:rPr>
          <w:spacing w:val="-12"/>
        </w:rPr>
        <w:t xml:space="preserve"> </w:t>
      </w:r>
      <w:r>
        <w:t>care</w:t>
      </w:r>
      <w:r>
        <w:rPr>
          <w:spacing w:val="-12"/>
        </w:rPr>
        <w:t xml:space="preserve"> </w:t>
      </w:r>
      <w:r>
        <w:t>transitions</w:t>
      </w:r>
      <w:r>
        <w:rPr>
          <w:spacing w:val="-10"/>
        </w:rPr>
        <w:t xml:space="preserve"> </w:t>
      </w:r>
      <w:r>
        <w:t>from</w:t>
      </w:r>
      <w:r>
        <w:rPr>
          <w:spacing w:val="-9"/>
        </w:rPr>
        <w:t xml:space="preserve"> </w:t>
      </w:r>
      <w:r>
        <w:t>childhood</w:t>
      </w:r>
      <w:r>
        <w:rPr>
          <w:spacing w:val="-12"/>
        </w:rPr>
        <w:t xml:space="preserve"> </w:t>
      </w:r>
      <w:r>
        <w:t>to</w:t>
      </w:r>
      <w:r>
        <w:rPr>
          <w:spacing w:val="-11"/>
        </w:rPr>
        <w:t xml:space="preserve"> </w:t>
      </w:r>
      <w:r>
        <w:t>adulthood</w:t>
      </w:r>
      <w:r>
        <w:rPr>
          <w:spacing w:val="-12"/>
        </w:rPr>
        <w:t xml:space="preserve"> </w:t>
      </w:r>
      <w:r>
        <w:t>are</w:t>
      </w:r>
      <w:r>
        <w:rPr>
          <w:spacing w:val="-10"/>
        </w:rPr>
        <w:t xml:space="preserve"> </w:t>
      </w:r>
      <w:r>
        <w:t>critical</w:t>
      </w:r>
      <w:r>
        <w:rPr>
          <w:spacing w:val="-11"/>
        </w:rPr>
        <w:t xml:space="preserve"> </w:t>
      </w:r>
      <w:r>
        <w:t>to</w:t>
      </w:r>
      <w:r>
        <w:rPr>
          <w:spacing w:val="-12"/>
        </w:rPr>
        <w:t xml:space="preserve"> </w:t>
      </w:r>
      <w:r>
        <w:t>helping</w:t>
      </w:r>
      <w:r>
        <w:rPr>
          <w:spacing w:val="-2"/>
        </w:rPr>
        <w:t xml:space="preserve"> </w:t>
      </w:r>
      <w:r>
        <w:t>prevent</w:t>
      </w:r>
      <w:r>
        <w:rPr>
          <w:spacing w:val="-12"/>
        </w:rPr>
        <w:t xml:space="preserve"> </w:t>
      </w:r>
      <w:r>
        <w:t>crisis,</w:t>
      </w:r>
      <w:r>
        <w:rPr>
          <w:spacing w:val="-10"/>
        </w:rPr>
        <w:t xml:space="preserve"> </w:t>
      </w:r>
      <w:r>
        <w:t>reduce inequalities and support developmentally appropriate independence. Improving transitions is a key test of system integration, continuity of care and effective reform.</w:t>
      </w:r>
    </w:p>
    <w:p w:rsidR="00612801">
      <w:pPr>
        <w:pStyle w:val="BodyText"/>
        <w:spacing w:before="43"/>
        <w:ind w:left="0"/>
      </w:pPr>
    </w:p>
    <w:p w:rsidR="00612801">
      <w:pPr>
        <w:pStyle w:val="BodyText"/>
        <w:spacing w:line="276" w:lineRule="auto"/>
        <w:ind w:right="147"/>
        <w:jc w:val="both"/>
      </w:pPr>
      <w:r>
        <w:t>My</w:t>
      </w:r>
      <w:r>
        <w:rPr>
          <w:spacing w:val="-2"/>
        </w:rPr>
        <w:t xml:space="preserve"> </w:t>
      </w:r>
      <w:r>
        <w:t>letter</w:t>
      </w:r>
      <w:r>
        <w:rPr>
          <w:spacing w:val="-2"/>
        </w:rPr>
        <w:t xml:space="preserve"> </w:t>
      </w:r>
      <w:r>
        <w:t>of</w:t>
      </w:r>
      <w:r>
        <w:rPr>
          <w:spacing w:val="-2"/>
        </w:rPr>
        <w:t xml:space="preserve"> </w:t>
      </w:r>
      <w:r>
        <w:t>7</w:t>
      </w:r>
      <w:r>
        <w:rPr>
          <w:spacing w:val="-4"/>
        </w:rPr>
        <w:t xml:space="preserve"> </w:t>
      </w:r>
      <w:r>
        <w:t>April</w:t>
      </w:r>
      <w:r>
        <w:rPr>
          <w:spacing w:val="-2"/>
        </w:rPr>
        <w:t xml:space="preserve"> </w:t>
      </w:r>
      <w:r>
        <w:t>set</w:t>
      </w:r>
      <w:r>
        <w:rPr>
          <w:spacing w:val="-4"/>
        </w:rPr>
        <w:t xml:space="preserve"> </w:t>
      </w:r>
      <w:r>
        <w:t>out</w:t>
      </w:r>
      <w:r>
        <w:rPr>
          <w:spacing w:val="-2"/>
        </w:rPr>
        <w:t xml:space="preserve"> </w:t>
      </w:r>
      <w:r>
        <w:t>the</w:t>
      </w:r>
      <w:r>
        <w:rPr>
          <w:spacing w:val="-2"/>
        </w:rPr>
        <w:t xml:space="preserve"> </w:t>
      </w:r>
      <w:r>
        <w:t>government’s</w:t>
      </w:r>
      <w:r>
        <w:rPr>
          <w:spacing w:val="-2"/>
        </w:rPr>
        <w:t xml:space="preserve"> </w:t>
      </w:r>
      <w:r>
        <w:t>current</w:t>
      </w:r>
      <w:r>
        <w:rPr>
          <w:spacing w:val="-2"/>
        </w:rPr>
        <w:t xml:space="preserve"> </w:t>
      </w:r>
      <w:r>
        <w:t>expectations</w:t>
      </w:r>
      <w:r>
        <w:rPr>
          <w:spacing w:val="-4"/>
        </w:rPr>
        <w:t xml:space="preserve"> </w:t>
      </w:r>
      <w:r>
        <w:t>for</w:t>
      </w:r>
      <w:r>
        <w:rPr>
          <w:spacing w:val="-5"/>
        </w:rPr>
        <w:t xml:space="preserve"> </w:t>
      </w:r>
      <w:r>
        <w:t>the</w:t>
      </w:r>
      <w:r>
        <w:rPr>
          <w:spacing w:val="-2"/>
        </w:rPr>
        <w:t xml:space="preserve"> </w:t>
      </w:r>
      <w:r>
        <w:t>level</w:t>
      </w:r>
      <w:r>
        <w:rPr>
          <w:spacing w:val="-2"/>
        </w:rPr>
        <w:t xml:space="preserve"> </w:t>
      </w:r>
      <w:r>
        <w:t>and</w:t>
      </w:r>
      <w:r>
        <w:rPr>
          <w:spacing w:val="-2"/>
        </w:rPr>
        <w:t xml:space="preserve"> </w:t>
      </w:r>
      <w:r>
        <w:t>standard of</w:t>
      </w:r>
      <w:r>
        <w:rPr>
          <w:spacing w:val="-11"/>
        </w:rPr>
        <w:t xml:space="preserve"> </w:t>
      </w:r>
      <w:r>
        <w:t>services</w:t>
      </w:r>
      <w:r>
        <w:rPr>
          <w:spacing w:val="-12"/>
        </w:rPr>
        <w:t xml:space="preserve"> </w:t>
      </w:r>
      <w:r>
        <w:t>that</w:t>
      </w:r>
      <w:r>
        <w:rPr>
          <w:spacing w:val="-11"/>
        </w:rPr>
        <w:t xml:space="preserve"> </w:t>
      </w:r>
      <w:r>
        <w:t>should</w:t>
      </w:r>
      <w:r>
        <w:rPr>
          <w:spacing w:val="-11"/>
        </w:rPr>
        <w:t xml:space="preserve"> </w:t>
      </w:r>
      <w:r>
        <w:t>be</w:t>
      </w:r>
      <w:r>
        <w:rPr>
          <w:spacing w:val="-11"/>
        </w:rPr>
        <w:t xml:space="preserve"> </w:t>
      </w:r>
      <w:r>
        <w:t>provided</w:t>
      </w:r>
      <w:r>
        <w:rPr>
          <w:spacing w:val="-11"/>
        </w:rPr>
        <w:t xml:space="preserve"> </w:t>
      </w:r>
      <w:r>
        <w:t>in</w:t>
      </w:r>
      <w:r>
        <w:rPr>
          <w:spacing w:val="-11"/>
        </w:rPr>
        <w:t xml:space="preserve"> </w:t>
      </w:r>
      <w:r>
        <w:t>England</w:t>
      </w:r>
      <w:r>
        <w:rPr>
          <w:spacing w:val="-13"/>
        </w:rPr>
        <w:t xml:space="preserve"> </w:t>
      </w:r>
      <w:r>
        <w:t>for</w:t>
      </w:r>
      <w:r>
        <w:rPr>
          <w:spacing w:val="-12"/>
        </w:rPr>
        <w:t xml:space="preserve"> </w:t>
      </w:r>
      <w:r>
        <w:t>transitioning</w:t>
      </w:r>
      <w:r>
        <w:rPr>
          <w:spacing w:val="-11"/>
        </w:rPr>
        <w:t xml:space="preserve"> </w:t>
      </w:r>
      <w:r>
        <w:t>from</w:t>
      </w:r>
      <w:r>
        <w:rPr>
          <w:spacing w:val="-10"/>
        </w:rPr>
        <w:t xml:space="preserve"> </w:t>
      </w:r>
      <w:r>
        <w:t>child</w:t>
      </w:r>
      <w:r>
        <w:rPr>
          <w:spacing w:val="-11"/>
        </w:rPr>
        <w:t xml:space="preserve"> </w:t>
      </w:r>
      <w:r>
        <w:t>to</w:t>
      </w:r>
      <w:r>
        <w:rPr>
          <w:spacing w:val="-10"/>
        </w:rPr>
        <w:t xml:space="preserve"> </w:t>
      </w:r>
      <w:r>
        <w:t>adult</w:t>
      </w:r>
      <w:r>
        <w:rPr>
          <w:spacing w:val="-12"/>
        </w:rPr>
        <w:t xml:space="preserve"> </w:t>
      </w:r>
      <w:r>
        <w:t>health</w:t>
      </w:r>
      <w:r>
        <w:rPr>
          <w:spacing w:val="-11"/>
        </w:rPr>
        <w:t xml:space="preserve"> </w:t>
      </w:r>
      <w:r>
        <w:t>and social care. This response to the call for evidence builds on that response.</w:t>
      </w:r>
    </w:p>
    <w:p w:rsidR="00612801">
      <w:pPr>
        <w:pStyle w:val="BodyText"/>
        <w:spacing w:before="42"/>
        <w:ind w:left="0"/>
      </w:pPr>
    </w:p>
    <w:p w:rsidR="00612801">
      <w:pPr>
        <w:pStyle w:val="BodyText"/>
        <w:spacing w:line="276" w:lineRule="auto"/>
        <w:ind w:right="138"/>
        <w:jc w:val="both"/>
      </w:pPr>
      <w:r>
        <w:t>As set out in my previous letter, DHSC launched a project in March 2026, with the Department for Education (DfE), Social Care Institute for Excellence (SCIE) and Skills for Care (</w:t>
      </w:r>
      <w:r>
        <w:t>SfC</w:t>
      </w:r>
      <w:r>
        <w:t>) to improve transitions into adult social care. The project will run for</w:t>
      </w:r>
      <w:r>
        <w:rPr>
          <w:spacing w:val="20"/>
        </w:rPr>
        <w:t xml:space="preserve"> </w:t>
      </w:r>
      <w:r>
        <w:t>11 months</w:t>
      </w:r>
    </w:p>
    <w:p w:rsidR="00612801">
      <w:pPr>
        <w:pStyle w:val="BodyText"/>
        <w:spacing w:line="276" w:lineRule="auto"/>
        <w:jc w:val="both"/>
        <w:sectPr>
          <w:type w:val="continuous"/>
          <w:pgSz w:w="11910" w:h="16840"/>
          <w:pgMar w:top="660" w:right="992" w:bottom="280" w:left="992" w:header="720" w:footer="720" w:gutter="0"/>
          <w:cols w:space="720"/>
        </w:sectPr>
      </w:pPr>
    </w:p>
    <w:p w:rsidR="00612801">
      <w:pPr>
        <w:pStyle w:val="BodyText"/>
        <w:spacing w:before="76" w:line="276" w:lineRule="auto"/>
        <w:ind w:right="146"/>
        <w:jc w:val="both"/>
      </w:pPr>
      <w:r>
        <w:t>and</w:t>
      </w:r>
      <w:r>
        <w:rPr>
          <w:spacing w:val="-9"/>
        </w:rPr>
        <w:t xml:space="preserve"> </w:t>
      </w:r>
      <w:r>
        <w:t>will</w:t>
      </w:r>
      <w:r>
        <w:rPr>
          <w:spacing w:val="-9"/>
        </w:rPr>
        <w:t xml:space="preserve"> </w:t>
      </w:r>
      <w:r>
        <w:t>develop</w:t>
      </w:r>
      <w:r>
        <w:rPr>
          <w:spacing w:val="-9"/>
        </w:rPr>
        <w:t xml:space="preserve"> </w:t>
      </w:r>
      <w:r>
        <w:t>national</w:t>
      </w:r>
      <w:r>
        <w:rPr>
          <w:spacing w:val="-8"/>
        </w:rPr>
        <w:t xml:space="preserve"> </w:t>
      </w:r>
      <w:r>
        <w:t>best</w:t>
      </w:r>
      <w:r>
        <w:rPr>
          <w:spacing w:val="-10"/>
        </w:rPr>
        <w:t xml:space="preserve"> </w:t>
      </w:r>
      <w:r>
        <w:t>practice</w:t>
      </w:r>
      <w:r>
        <w:rPr>
          <w:spacing w:val="-10"/>
        </w:rPr>
        <w:t xml:space="preserve"> </w:t>
      </w:r>
      <w:r>
        <w:t>guidance</w:t>
      </w:r>
      <w:r>
        <w:rPr>
          <w:spacing w:val="-8"/>
        </w:rPr>
        <w:t xml:space="preserve"> </w:t>
      </w:r>
      <w:r>
        <w:t>and</w:t>
      </w:r>
      <w:r>
        <w:rPr>
          <w:spacing w:val="-9"/>
        </w:rPr>
        <w:t xml:space="preserve"> </w:t>
      </w:r>
      <w:r>
        <w:t>training</w:t>
      </w:r>
      <w:r>
        <w:rPr>
          <w:spacing w:val="-9"/>
        </w:rPr>
        <w:t xml:space="preserve"> </w:t>
      </w:r>
      <w:r>
        <w:t>that</w:t>
      </w:r>
      <w:r>
        <w:rPr>
          <w:spacing w:val="-8"/>
        </w:rPr>
        <w:t xml:space="preserve"> </w:t>
      </w:r>
      <w:r>
        <w:t>we</w:t>
      </w:r>
      <w:r>
        <w:rPr>
          <w:spacing w:val="-9"/>
        </w:rPr>
        <w:t xml:space="preserve"> </w:t>
      </w:r>
      <w:r>
        <w:t>are</w:t>
      </w:r>
      <w:r>
        <w:rPr>
          <w:spacing w:val="-10"/>
        </w:rPr>
        <w:t xml:space="preserve"> </w:t>
      </w:r>
      <w:r>
        <w:t>aiming</w:t>
      </w:r>
      <w:r>
        <w:rPr>
          <w:spacing w:val="-8"/>
        </w:rPr>
        <w:t xml:space="preserve"> </w:t>
      </w:r>
      <w:r>
        <w:t>to</w:t>
      </w:r>
      <w:r>
        <w:rPr>
          <w:spacing w:val="-8"/>
        </w:rPr>
        <w:t xml:space="preserve"> </w:t>
      </w:r>
      <w:r>
        <w:t>launch</w:t>
      </w:r>
      <w:r>
        <w:rPr>
          <w:spacing w:val="-8"/>
        </w:rPr>
        <w:t xml:space="preserve"> </w:t>
      </w:r>
      <w:r>
        <w:t>in early 2027.</w:t>
      </w:r>
    </w:p>
    <w:p w:rsidR="00612801">
      <w:pPr>
        <w:pStyle w:val="BodyText"/>
        <w:spacing w:before="42"/>
        <w:ind w:left="0"/>
      </w:pPr>
    </w:p>
    <w:p w:rsidR="00612801">
      <w:pPr>
        <w:pStyle w:val="BodyText"/>
        <w:spacing w:before="1" w:line="276" w:lineRule="auto"/>
        <w:ind w:right="140"/>
        <w:jc w:val="both"/>
      </w:pPr>
      <w:r>
        <w:t>DHSC has policy responsibility for health and adult social care services. In preparing this response,</w:t>
      </w:r>
      <w:r>
        <w:rPr>
          <w:spacing w:val="-9"/>
        </w:rPr>
        <w:t xml:space="preserve"> </w:t>
      </w:r>
      <w:r>
        <w:t>the</w:t>
      </w:r>
      <w:r>
        <w:rPr>
          <w:spacing w:val="-11"/>
        </w:rPr>
        <w:t xml:space="preserve"> </w:t>
      </w:r>
      <w:r>
        <w:t>department</w:t>
      </w:r>
      <w:r>
        <w:rPr>
          <w:spacing w:val="-11"/>
        </w:rPr>
        <w:t xml:space="preserve"> </w:t>
      </w:r>
      <w:r>
        <w:t>and</w:t>
      </w:r>
      <w:r>
        <w:rPr>
          <w:spacing w:val="-11"/>
        </w:rPr>
        <w:t xml:space="preserve"> </w:t>
      </w:r>
      <w:r>
        <w:t>NHS</w:t>
      </w:r>
      <w:r>
        <w:rPr>
          <w:spacing w:val="-9"/>
        </w:rPr>
        <w:t xml:space="preserve"> </w:t>
      </w:r>
      <w:r>
        <w:t>England</w:t>
      </w:r>
      <w:r>
        <w:rPr>
          <w:spacing w:val="-11"/>
        </w:rPr>
        <w:t xml:space="preserve"> </w:t>
      </w:r>
      <w:r>
        <w:t>have</w:t>
      </w:r>
      <w:r>
        <w:rPr>
          <w:spacing w:val="-11"/>
        </w:rPr>
        <w:t xml:space="preserve"> </w:t>
      </w:r>
      <w:r>
        <w:t>also</w:t>
      </w:r>
      <w:r>
        <w:rPr>
          <w:spacing w:val="-9"/>
        </w:rPr>
        <w:t xml:space="preserve"> </w:t>
      </w:r>
      <w:r>
        <w:t>worked</w:t>
      </w:r>
      <w:r>
        <w:rPr>
          <w:spacing w:val="-8"/>
        </w:rPr>
        <w:t xml:space="preserve"> </w:t>
      </w:r>
      <w:r>
        <w:t>closely</w:t>
      </w:r>
      <w:r>
        <w:rPr>
          <w:spacing w:val="-10"/>
        </w:rPr>
        <w:t xml:space="preserve"> </w:t>
      </w:r>
      <w:r>
        <w:t>with</w:t>
      </w:r>
      <w:r>
        <w:rPr>
          <w:spacing w:val="-8"/>
        </w:rPr>
        <w:t xml:space="preserve"> </w:t>
      </w:r>
      <w:r>
        <w:t>DfE</w:t>
      </w:r>
      <w:r>
        <w:rPr>
          <w:spacing w:val="-9"/>
        </w:rPr>
        <w:t xml:space="preserve"> </w:t>
      </w:r>
      <w:r>
        <w:t>(as</w:t>
      </w:r>
      <w:r>
        <w:rPr>
          <w:spacing w:val="-11"/>
        </w:rPr>
        <w:t xml:space="preserve"> </w:t>
      </w:r>
      <w:r>
        <w:t>the</w:t>
      </w:r>
      <w:r>
        <w:rPr>
          <w:spacing w:val="-8"/>
        </w:rPr>
        <w:t xml:space="preserve"> </w:t>
      </w:r>
      <w:r>
        <w:t>lead department for children’s social care) and the Ministry of Housing, Communities and Local Government (MHCLG).</w:t>
      </w:r>
    </w:p>
    <w:p w:rsidR="00612801">
      <w:pPr>
        <w:pStyle w:val="BodyText"/>
        <w:spacing w:before="40"/>
        <w:ind w:left="0"/>
      </w:pPr>
    </w:p>
    <w:p w:rsidR="00612801">
      <w:pPr>
        <w:pStyle w:val="BodyText"/>
        <w:spacing w:before="1" w:line="276" w:lineRule="auto"/>
        <w:ind w:right="148"/>
        <w:jc w:val="both"/>
      </w:pPr>
      <w:r>
        <w:t>We</w:t>
      </w:r>
      <w:r>
        <w:rPr>
          <w:spacing w:val="-17"/>
        </w:rPr>
        <w:t xml:space="preserve"> </w:t>
      </w:r>
      <w:r>
        <w:t>have</w:t>
      </w:r>
      <w:r>
        <w:rPr>
          <w:spacing w:val="-16"/>
        </w:rPr>
        <w:t xml:space="preserve"> </w:t>
      </w:r>
      <w:r>
        <w:t>considered</w:t>
      </w:r>
      <w:r>
        <w:rPr>
          <w:spacing w:val="-16"/>
        </w:rPr>
        <w:t xml:space="preserve"> </w:t>
      </w:r>
      <w:r>
        <w:t>the</w:t>
      </w:r>
      <w:r>
        <w:rPr>
          <w:spacing w:val="-14"/>
        </w:rPr>
        <w:t xml:space="preserve"> </w:t>
      </w:r>
      <w:r>
        <w:t>six</w:t>
      </w:r>
      <w:r>
        <w:rPr>
          <w:spacing w:val="-15"/>
        </w:rPr>
        <w:t xml:space="preserve"> </w:t>
      </w:r>
      <w:r>
        <w:t>focus</w:t>
      </w:r>
      <w:r>
        <w:rPr>
          <w:spacing w:val="-15"/>
        </w:rPr>
        <w:t xml:space="preserve"> </w:t>
      </w:r>
      <w:r>
        <w:t>areas</w:t>
      </w:r>
      <w:r>
        <w:rPr>
          <w:spacing w:val="-15"/>
        </w:rPr>
        <w:t xml:space="preserve"> </w:t>
      </w:r>
      <w:r>
        <w:t>in</w:t>
      </w:r>
      <w:r>
        <w:rPr>
          <w:spacing w:val="-17"/>
        </w:rPr>
        <w:t xml:space="preserve"> </w:t>
      </w:r>
      <w:r>
        <w:t>full</w:t>
      </w:r>
      <w:r>
        <w:rPr>
          <w:spacing w:val="-17"/>
        </w:rPr>
        <w:t xml:space="preserve"> </w:t>
      </w:r>
      <w:r>
        <w:t>and</w:t>
      </w:r>
      <w:r>
        <w:rPr>
          <w:spacing w:val="-13"/>
        </w:rPr>
        <w:t xml:space="preserve"> </w:t>
      </w:r>
      <w:r>
        <w:t>collated</w:t>
      </w:r>
      <w:r>
        <w:rPr>
          <w:spacing w:val="-14"/>
        </w:rPr>
        <w:t xml:space="preserve"> </w:t>
      </w:r>
      <w:r>
        <w:t>responses</w:t>
      </w:r>
      <w:r>
        <w:rPr>
          <w:spacing w:val="-17"/>
        </w:rPr>
        <w:t xml:space="preserve"> </w:t>
      </w:r>
      <w:r>
        <w:t>against</w:t>
      </w:r>
      <w:r>
        <w:rPr>
          <w:spacing w:val="-13"/>
        </w:rPr>
        <w:t xml:space="preserve"> </w:t>
      </w:r>
      <w:r>
        <w:t>the</w:t>
      </w:r>
      <w:r>
        <w:rPr>
          <w:spacing w:val="-14"/>
        </w:rPr>
        <w:t xml:space="preserve"> </w:t>
      </w:r>
      <w:r>
        <w:t>four</w:t>
      </w:r>
      <w:r>
        <w:rPr>
          <w:spacing w:val="-17"/>
        </w:rPr>
        <w:t xml:space="preserve"> </w:t>
      </w:r>
      <w:r>
        <w:t>broad themes of:</w:t>
      </w:r>
    </w:p>
    <w:p w:rsidR="00612801">
      <w:pPr>
        <w:pStyle w:val="BodyText"/>
        <w:spacing w:before="41"/>
        <w:ind w:left="0"/>
      </w:pPr>
    </w:p>
    <w:p w:rsidR="00612801">
      <w:pPr>
        <w:pStyle w:val="ListParagraph"/>
        <w:numPr>
          <w:ilvl w:val="0"/>
          <w:numId w:val="2"/>
        </w:numPr>
        <w:tabs>
          <w:tab w:val="left" w:pos="861"/>
        </w:tabs>
        <w:spacing w:before="1" w:line="276" w:lineRule="auto"/>
        <w:ind w:right="148"/>
        <w:rPr>
          <w:sz w:val="24"/>
        </w:rPr>
      </w:pPr>
      <w:r>
        <w:rPr>
          <w:sz w:val="24"/>
        </w:rPr>
        <w:t xml:space="preserve">Timeliness and effectiveness of the transition process outcomes (focus areas 1 and </w:t>
      </w:r>
      <w:r>
        <w:rPr>
          <w:spacing w:val="-6"/>
          <w:sz w:val="24"/>
        </w:rPr>
        <w:t>2)</w:t>
      </w:r>
    </w:p>
    <w:p w:rsidR="00612801">
      <w:pPr>
        <w:pStyle w:val="ListParagraph"/>
        <w:numPr>
          <w:ilvl w:val="0"/>
          <w:numId w:val="2"/>
        </w:numPr>
        <w:tabs>
          <w:tab w:val="left" w:pos="860"/>
        </w:tabs>
        <w:spacing w:before="0" w:line="275" w:lineRule="exact"/>
        <w:ind w:left="860" w:hanging="359"/>
        <w:rPr>
          <w:sz w:val="24"/>
        </w:rPr>
      </w:pPr>
      <w:r>
        <w:rPr>
          <w:sz w:val="24"/>
        </w:rPr>
        <w:t>Workforce</w:t>
      </w:r>
      <w:r>
        <w:rPr>
          <w:spacing w:val="-7"/>
          <w:sz w:val="24"/>
        </w:rPr>
        <w:t xml:space="preserve"> </w:t>
      </w:r>
      <w:r>
        <w:rPr>
          <w:sz w:val="24"/>
        </w:rPr>
        <w:t>and</w:t>
      </w:r>
      <w:r>
        <w:rPr>
          <w:spacing w:val="-3"/>
          <w:sz w:val="24"/>
        </w:rPr>
        <w:t xml:space="preserve"> </w:t>
      </w:r>
      <w:r>
        <w:rPr>
          <w:sz w:val="24"/>
        </w:rPr>
        <w:t>training</w:t>
      </w:r>
      <w:r>
        <w:rPr>
          <w:spacing w:val="-6"/>
          <w:sz w:val="24"/>
        </w:rPr>
        <w:t xml:space="preserve"> </w:t>
      </w:r>
      <w:r>
        <w:rPr>
          <w:sz w:val="24"/>
        </w:rPr>
        <w:t>(focus</w:t>
      </w:r>
      <w:r>
        <w:rPr>
          <w:spacing w:val="-3"/>
          <w:sz w:val="24"/>
        </w:rPr>
        <w:t xml:space="preserve"> </w:t>
      </w:r>
      <w:r>
        <w:rPr>
          <w:sz w:val="24"/>
        </w:rPr>
        <w:t>area</w:t>
      </w:r>
      <w:r>
        <w:rPr>
          <w:spacing w:val="-5"/>
          <w:sz w:val="24"/>
        </w:rPr>
        <w:t xml:space="preserve"> 4)</w:t>
      </w:r>
    </w:p>
    <w:p w:rsidR="00612801">
      <w:pPr>
        <w:pStyle w:val="ListParagraph"/>
        <w:numPr>
          <w:ilvl w:val="0"/>
          <w:numId w:val="2"/>
        </w:numPr>
        <w:tabs>
          <w:tab w:val="left" w:pos="860"/>
        </w:tabs>
        <w:spacing w:before="40"/>
        <w:ind w:left="860" w:hanging="359"/>
        <w:rPr>
          <w:sz w:val="24"/>
        </w:rPr>
      </w:pPr>
      <w:r>
        <w:rPr>
          <w:sz w:val="24"/>
        </w:rPr>
        <w:t>Enabling</w:t>
      </w:r>
      <w:r>
        <w:rPr>
          <w:spacing w:val="-7"/>
          <w:sz w:val="24"/>
        </w:rPr>
        <w:t xml:space="preserve"> </w:t>
      </w:r>
      <w:r>
        <w:rPr>
          <w:sz w:val="24"/>
        </w:rPr>
        <w:t>developmentally</w:t>
      </w:r>
      <w:r>
        <w:rPr>
          <w:spacing w:val="-6"/>
          <w:sz w:val="24"/>
        </w:rPr>
        <w:t xml:space="preserve"> </w:t>
      </w:r>
      <w:r>
        <w:rPr>
          <w:sz w:val="24"/>
        </w:rPr>
        <w:t>appropriate</w:t>
      </w:r>
      <w:r>
        <w:rPr>
          <w:spacing w:val="-6"/>
          <w:sz w:val="24"/>
        </w:rPr>
        <w:t xml:space="preserve"> </w:t>
      </w:r>
      <w:r>
        <w:rPr>
          <w:sz w:val="24"/>
        </w:rPr>
        <w:t>independence</w:t>
      </w:r>
      <w:r>
        <w:rPr>
          <w:spacing w:val="-7"/>
          <w:sz w:val="24"/>
        </w:rPr>
        <w:t xml:space="preserve"> </w:t>
      </w:r>
      <w:r>
        <w:rPr>
          <w:sz w:val="24"/>
        </w:rPr>
        <w:t>(focus</w:t>
      </w:r>
      <w:r>
        <w:rPr>
          <w:spacing w:val="-6"/>
          <w:sz w:val="24"/>
        </w:rPr>
        <w:t xml:space="preserve"> </w:t>
      </w:r>
      <w:r>
        <w:rPr>
          <w:sz w:val="24"/>
        </w:rPr>
        <w:t>area</w:t>
      </w:r>
      <w:r>
        <w:rPr>
          <w:spacing w:val="-6"/>
          <w:sz w:val="24"/>
        </w:rPr>
        <w:t xml:space="preserve"> </w:t>
      </w:r>
      <w:r>
        <w:rPr>
          <w:spacing w:val="-5"/>
          <w:sz w:val="24"/>
        </w:rPr>
        <w:t>5)</w:t>
      </w:r>
    </w:p>
    <w:p w:rsidR="00612801">
      <w:pPr>
        <w:pStyle w:val="ListParagraph"/>
        <w:numPr>
          <w:ilvl w:val="0"/>
          <w:numId w:val="2"/>
        </w:numPr>
        <w:tabs>
          <w:tab w:val="left" w:pos="861"/>
        </w:tabs>
        <w:spacing w:before="44" w:line="276" w:lineRule="auto"/>
        <w:ind w:right="147"/>
        <w:rPr>
          <w:sz w:val="24"/>
        </w:rPr>
      </w:pPr>
      <w:r>
        <w:rPr>
          <w:sz w:val="24"/>
        </w:rPr>
        <w:t xml:space="preserve">Meaningful involvement of children, young people and their </w:t>
      </w:r>
      <w:r>
        <w:rPr>
          <w:sz w:val="24"/>
        </w:rPr>
        <w:t>carers</w:t>
      </w:r>
      <w:r>
        <w:rPr>
          <w:sz w:val="24"/>
        </w:rPr>
        <w:t>, and promoting equity (focus areas 3 and 6).</w:t>
      </w:r>
    </w:p>
    <w:p w:rsidR="00612801">
      <w:pPr>
        <w:pStyle w:val="BodyText"/>
        <w:spacing w:before="39"/>
        <w:ind w:left="0"/>
      </w:pPr>
    </w:p>
    <w:p w:rsidR="00612801">
      <w:pPr>
        <w:pStyle w:val="BodyText"/>
        <w:spacing w:line="276" w:lineRule="auto"/>
        <w:ind w:right="139"/>
        <w:jc w:val="both"/>
      </w:pPr>
      <w:r>
        <w:t>On 8 April, NHS England published transition guidance for use across England. This guidance</w:t>
      </w:r>
      <w:r>
        <w:rPr>
          <w:spacing w:val="-13"/>
        </w:rPr>
        <w:t xml:space="preserve"> </w:t>
      </w:r>
      <w:r>
        <w:t>is</w:t>
      </w:r>
      <w:r>
        <w:rPr>
          <w:spacing w:val="-12"/>
        </w:rPr>
        <w:t xml:space="preserve"> </w:t>
      </w:r>
      <w:r>
        <w:t>designed</w:t>
      </w:r>
      <w:r>
        <w:rPr>
          <w:spacing w:val="-11"/>
        </w:rPr>
        <w:t xml:space="preserve"> </w:t>
      </w:r>
      <w:r>
        <w:t>to</w:t>
      </w:r>
      <w:r>
        <w:rPr>
          <w:spacing w:val="-12"/>
        </w:rPr>
        <w:t xml:space="preserve"> </w:t>
      </w:r>
      <w:r>
        <w:t>support</w:t>
      </w:r>
      <w:r>
        <w:rPr>
          <w:spacing w:val="-14"/>
        </w:rPr>
        <w:t xml:space="preserve"> </w:t>
      </w:r>
      <w:r>
        <w:t>transition</w:t>
      </w:r>
      <w:r>
        <w:rPr>
          <w:spacing w:val="-13"/>
        </w:rPr>
        <w:t xml:space="preserve"> </w:t>
      </w:r>
      <w:r>
        <w:t>both</w:t>
      </w:r>
      <w:r>
        <w:rPr>
          <w:spacing w:val="-11"/>
        </w:rPr>
        <w:t xml:space="preserve"> </w:t>
      </w:r>
      <w:r>
        <w:t>for</w:t>
      </w:r>
      <w:r>
        <w:rPr>
          <w:spacing w:val="-15"/>
        </w:rPr>
        <w:t xml:space="preserve"> </w:t>
      </w:r>
      <w:r>
        <w:t>children</w:t>
      </w:r>
      <w:r>
        <w:rPr>
          <w:spacing w:val="-13"/>
        </w:rPr>
        <w:t xml:space="preserve"> </w:t>
      </w:r>
      <w:r>
        <w:t>and</w:t>
      </w:r>
      <w:r>
        <w:rPr>
          <w:spacing w:val="-11"/>
        </w:rPr>
        <w:t xml:space="preserve"> </w:t>
      </w:r>
      <w:r>
        <w:t>young</w:t>
      </w:r>
      <w:r>
        <w:rPr>
          <w:spacing w:val="-12"/>
        </w:rPr>
        <w:t xml:space="preserve"> </w:t>
      </w:r>
      <w:r>
        <w:t>people</w:t>
      </w:r>
      <w:r>
        <w:rPr>
          <w:spacing w:val="-11"/>
        </w:rPr>
        <w:t xml:space="preserve"> </w:t>
      </w:r>
      <w:r>
        <w:t>in</w:t>
      </w:r>
      <w:r>
        <w:rPr>
          <w:spacing w:val="-14"/>
        </w:rPr>
        <w:t xml:space="preserve"> </w:t>
      </w:r>
      <w:r>
        <w:t>general</w:t>
      </w:r>
      <w:r>
        <w:rPr>
          <w:spacing w:val="-14"/>
        </w:rPr>
        <w:t xml:space="preserve"> </w:t>
      </w:r>
      <w:r>
        <w:t xml:space="preserve">and more specifically for children and young people’s continuing care (CYPCC), aiming to streamline and clarify the process for all involved. The guidance is available at: </w:t>
      </w:r>
      <w:r>
        <w:fldChar w:fldCharType="begin"/>
      </w:r>
      <w:r>
        <w:instrText xml:space="preserve"> HYPERLINK "https://www.england.nhs.uk/long-read/supporting-young-people-to-transition-into-adolescent-and-adult-services/" </w:instrText>
      </w:r>
      <w:r>
        <w:fldChar w:fldCharType="separate"/>
      </w:r>
      <w:r>
        <w:rPr>
          <w:color w:val="0462C1"/>
          <w:u w:val="single" w:color="0462C1"/>
        </w:rPr>
        <w:t>NHS</w:t>
      </w:r>
      <w:r>
        <w:fldChar w:fldCharType="end"/>
      </w:r>
      <w:r>
        <w:rPr>
          <w:color w:val="0462C1"/>
        </w:rPr>
        <w:t xml:space="preserve"> </w:t>
      </w:r>
      <w:r>
        <w:fldChar w:fldCharType="begin"/>
      </w:r>
      <w:r>
        <w:instrText xml:space="preserve"> HYPERLINK "https://www.england.nhs.uk/long-read/supporting-young-people-to-transition-into-adolescent-and-adult-services/" </w:instrText>
      </w:r>
      <w:r>
        <w:fldChar w:fldCharType="separate"/>
      </w:r>
      <w:r>
        <w:rPr>
          <w:color w:val="0462C1"/>
          <w:u w:val="single" w:color="0462C1"/>
        </w:rPr>
        <w:t>England » Supporting young people to transition into adolescent and adult services</w:t>
      </w:r>
      <w:r>
        <w:fldChar w:fldCharType="end"/>
      </w:r>
    </w:p>
    <w:p w:rsidR="00612801">
      <w:pPr>
        <w:pStyle w:val="BodyText"/>
        <w:spacing w:before="43"/>
        <w:ind w:left="0"/>
      </w:pPr>
    </w:p>
    <w:p w:rsidR="00612801">
      <w:pPr>
        <w:pStyle w:val="BodyText"/>
        <w:ind w:left="0" w:right="2"/>
        <w:jc w:val="center"/>
      </w:pPr>
      <w:r>
        <w:t xml:space="preserve">Yours </w:t>
      </w:r>
      <w:r>
        <w:rPr>
          <w:spacing w:val="-2"/>
        </w:rPr>
        <w:t>sincerely,</w:t>
      </w:r>
    </w:p>
    <w:p w:rsidR="00612801">
      <w:pPr>
        <w:pStyle w:val="BodyText"/>
        <w:spacing w:before="119"/>
        <w:ind w:left="0"/>
        <w:rPr>
          <w:sz w:val="20"/>
        </w:rPr>
      </w:pPr>
      <w:r>
        <w:rPr>
          <w:noProof/>
          <w:sz w:val="20"/>
        </w:rPr>
        <w:drawing>
          <wp:anchor distT="0" distB="0" distL="0" distR="0" simplePos="0" relativeHeight="251658240" behindDoc="1" locked="0" layoutInCell="1" allowOverlap="1">
            <wp:simplePos x="0" y="0"/>
            <wp:positionH relativeFrom="page">
              <wp:posOffset>3015614</wp:posOffset>
            </wp:positionH>
            <wp:positionV relativeFrom="paragraph">
              <wp:posOffset>236977</wp:posOffset>
            </wp:positionV>
            <wp:extent cx="1540813" cy="800481"/>
            <wp:effectExtent l="0" t="0" r="0" b="0"/>
            <wp:wrapTopAndBottom/>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xmlns:r="http://schemas.openxmlformats.org/officeDocument/2006/relationships" r:embed="rId4" cstate="print"/>
                    <a:stretch>
                      <a:fillRect/>
                    </a:stretch>
                  </pic:blipFill>
                  <pic:spPr>
                    <a:xfrm>
                      <a:off x="0" y="0"/>
                      <a:ext cx="1540813" cy="800481"/>
                    </a:xfrm>
                    <a:prstGeom prst="rect">
                      <a:avLst/>
                    </a:prstGeom>
                  </pic:spPr>
                </pic:pic>
              </a:graphicData>
            </a:graphic>
          </wp:anchor>
        </w:drawing>
      </w:r>
    </w:p>
    <w:p w:rsidR="00612801">
      <w:pPr>
        <w:pStyle w:val="BodyText"/>
        <w:spacing w:before="270"/>
        <w:ind w:left="0"/>
      </w:pPr>
    </w:p>
    <w:p w:rsidR="00612801">
      <w:pPr>
        <w:pStyle w:val="Heading1"/>
        <w:spacing w:line="480" w:lineRule="auto"/>
        <w:ind w:left="3101" w:right="2680" w:firstLine="698"/>
      </w:pPr>
      <w:r>
        <w:t>STEPHEN KINNOCK MINISTER</w:t>
      </w:r>
      <w:r>
        <w:rPr>
          <w:spacing w:val="-11"/>
        </w:rPr>
        <w:t xml:space="preserve"> </w:t>
      </w:r>
      <w:r>
        <w:t>OF</w:t>
      </w:r>
      <w:r>
        <w:rPr>
          <w:spacing w:val="-8"/>
        </w:rPr>
        <w:t xml:space="preserve"> </w:t>
      </w:r>
      <w:r>
        <w:t>STATE</w:t>
      </w:r>
      <w:r>
        <w:rPr>
          <w:spacing w:val="-10"/>
        </w:rPr>
        <w:t xml:space="preserve"> </w:t>
      </w:r>
      <w:r>
        <w:t>FOR</w:t>
      </w:r>
      <w:r>
        <w:rPr>
          <w:spacing w:val="-8"/>
        </w:rPr>
        <w:t xml:space="preserve"> </w:t>
      </w:r>
      <w:r>
        <w:t>CARE</w:t>
      </w:r>
    </w:p>
    <w:p w:rsidR="00612801">
      <w:pPr>
        <w:pStyle w:val="Heading1"/>
        <w:spacing w:line="480" w:lineRule="auto"/>
        <w:sectPr>
          <w:pgSz w:w="11910" w:h="16840"/>
          <w:pgMar w:top="1300" w:right="992" w:bottom="280" w:left="992" w:header="720" w:footer="720" w:gutter="0"/>
          <w:cols w:space="720"/>
        </w:sectPr>
      </w:pPr>
    </w:p>
    <w:p w:rsidR="00612801">
      <w:pPr>
        <w:spacing w:before="76"/>
        <w:ind w:left="140"/>
        <w:rPr>
          <w:rFonts w:ascii="Arial"/>
          <w:b/>
          <w:sz w:val="24"/>
        </w:rPr>
      </w:pPr>
      <w:r>
        <w:rPr>
          <w:rFonts w:ascii="Arial"/>
          <w:b/>
          <w:spacing w:val="-2"/>
          <w:sz w:val="24"/>
          <w:u w:val="single"/>
        </w:rPr>
        <w:t>Introduction</w:t>
      </w:r>
    </w:p>
    <w:p w:rsidR="00612801">
      <w:pPr>
        <w:pStyle w:val="BodyText"/>
        <w:spacing w:before="121"/>
        <w:ind w:right="152"/>
        <w:jc w:val="both"/>
      </w:pPr>
      <w:r>
        <w:t>The government is committed to ensuring high quality, accessible and sustainable care as young people move between children’s and adult services.</w:t>
      </w:r>
    </w:p>
    <w:p w:rsidR="00612801">
      <w:pPr>
        <w:pStyle w:val="BodyText"/>
        <w:spacing w:before="120"/>
        <w:ind w:right="136"/>
        <w:jc w:val="both"/>
      </w:pPr>
      <w:r>
        <w:t>We provided a response to the committee on 7 April with information on the government’s current expectations for the level and standard of services that should be provided in England, including relevant legislation, regulations, guidance, frameworks and policy documents</w:t>
      </w:r>
      <w:r>
        <w:rPr>
          <w:spacing w:val="-9"/>
        </w:rPr>
        <w:t xml:space="preserve"> </w:t>
      </w:r>
      <w:r>
        <w:t>that</w:t>
      </w:r>
      <w:r>
        <w:rPr>
          <w:spacing w:val="-6"/>
        </w:rPr>
        <w:t xml:space="preserve"> </w:t>
      </w:r>
      <w:r>
        <w:t>set</w:t>
      </w:r>
      <w:r>
        <w:rPr>
          <w:spacing w:val="-9"/>
        </w:rPr>
        <w:t xml:space="preserve"> </w:t>
      </w:r>
      <w:r>
        <w:t>out</w:t>
      </w:r>
      <w:r>
        <w:rPr>
          <w:spacing w:val="-9"/>
        </w:rPr>
        <w:t xml:space="preserve"> </w:t>
      </w:r>
      <w:r>
        <w:t>standards</w:t>
      </w:r>
      <w:r>
        <w:rPr>
          <w:spacing w:val="-9"/>
        </w:rPr>
        <w:t xml:space="preserve"> </w:t>
      </w:r>
      <w:r>
        <w:t>for</w:t>
      </w:r>
      <w:r>
        <w:rPr>
          <w:spacing w:val="-7"/>
        </w:rPr>
        <w:t xml:space="preserve"> </w:t>
      </w:r>
      <w:r>
        <w:t>care</w:t>
      </w:r>
      <w:r>
        <w:rPr>
          <w:spacing w:val="-9"/>
        </w:rPr>
        <w:t xml:space="preserve"> </w:t>
      </w:r>
      <w:r>
        <w:t>during</w:t>
      </w:r>
      <w:r>
        <w:rPr>
          <w:spacing w:val="-8"/>
        </w:rPr>
        <w:t xml:space="preserve"> </w:t>
      </w:r>
      <w:r>
        <w:t>this</w:t>
      </w:r>
      <w:r>
        <w:rPr>
          <w:spacing w:val="-10"/>
        </w:rPr>
        <w:t xml:space="preserve"> </w:t>
      </w:r>
      <w:r>
        <w:t>transition</w:t>
      </w:r>
      <w:r>
        <w:rPr>
          <w:spacing w:val="-6"/>
        </w:rPr>
        <w:t xml:space="preserve"> </w:t>
      </w:r>
      <w:r>
        <w:t>period.</w:t>
      </w:r>
      <w:r>
        <w:rPr>
          <w:spacing w:val="-6"/>
        </w:rPr>
        <w:t xml:space="preserve"> </w:t>
      </w:r>
      <w:r>
        <w:t>This</w:t>
      </w:r>
      <w:r>
        <w:rPr>
          <w:spacing w:val="-10"/>
        </w:rPr>
        <w:t xml:space="preserve"> </w:t>
      </w:r>
      <w:r>
        <w:t>response</w:t>
      </w:r>
      <w:r>
        <w:rPr>
          <w:spacing w:val="-8"/>
        </w:rPr>
        <w:t xml:space="preserve"> </w:t>
      </w:r>
      <w:r>
        <w:t>builds on that response in</w:t>
      </w:r>
      <w:r>
        <w:rPr>
          <w:spacing w:val="-1"/>
        </w:rPr>
        <w:t xml:space="preserve"> </w:t>
      </w:r>
      <w:r>
        <w:t>relation to the specific areas the committee has</w:t>
      </w:r>
      <w:r>
        <w:rPr>
          <w:spacing w:val="-2"/>
        </w:rPr>
        <w:t xml:space="preserve"> </w:t>
      </w:r>
      <w:r>
        <w:t>called for evidence</w:t>
      </w:r>
      <w:r>
        <w:rPr>
          <w:spacing w:val="-1"/>
        </w:rPr>
        <w:t xml:space="preserve"> </w:t>
      </w:r>
      <w:r>
        <w:t>on.</w:t>
      </w:r>
    </w:p>
    <w:p w:rsidR="00612801">
      <w:pPr>
        <w:pStyle w:val="BodyText"/>
        <w:spacing w:before="120"/>
        <w:ind w:right="140"/>
        <w:jc w:val="both"/>
      </w:pPr>
      <w:r>
        <w:t>In March we launched a project with the Department for Education (DfE), Social Care Institute for Excellence (SCIE) and Skills for Care to improve transitions into adult social care.</w:t>
      </w:r>
      <w:r>
        <w:rPr>
          <w:spacing w:val="-14"/>
        </w:rPr>
        <w:t xml:space="preserve"> </w:t>
      </w:r>
      <w:r>
        <w:t>The</w:t>
      </w:r>
      <w:r>
        <w:rPr>
          <w:spacing w:val="-17"/>
        </w:rPr>
        <w:t xml:space="preserve"> </w:t>
      </w:r>
      <w:r>
        <w:t>project,</w:t>
      </w:r>
      <w:r>
        <w:rPr>
          <w:spacing w:val="-13"/>
        </w:rPr>
        <w:t xml:space="preserve"> </w:t>
      </w:r>
      <w:r>
        <w:t>which</w:t>
      </w:r>
      <w:r>
        <w:rPr>
          <w:spacing w:val="-14"/>
        </w:rPr>
        <w:t xml:space="preserve"> </w:t>
      </w:r>
      <w:r>
        <w:t>will</w:t>
      </w:r>
      <w:r>
        <w:rPr>
          <w:spacing w:val="-16"/>
        </w:rPr>
        <w:t xml:space="preserve"> </w:t>
      </w:r>
      <w:r>
        <w:t>run</w:t>
      </w:r>
      <w:r>
        <w:rPr>
          <w:spacing w:val="-16"/>
        </w:rPr>
        <w:t xml:space="preserve"> </w:t>
      </w:r>
      <w:r>
        <w:t>until</w:t>
      </w:r>
      <w:r>
        <w:rPr>
          <w:spacing w:val="-15"/>
        </w:rPr>
        <w:t xml:space="preserve"> </w:t>
      </w:r>
      <w:r>
        <w:t>March</w:t>
      </w:r>
      <w:r>
        <w:rPr>
          <w:spacing w:val="-17"/>
        </w:rPr>
        <w:t xml:space="preserve"> </w:t>
      </w:r>
      <w:r>
        <w:t>2027,</w:t>
      </w:r>
      <w:r>
        <w:rPr>
          <w:spacing w:val="-16"/>
        </w:rPr>
        <w:t xml:space="preserve"> </w:t>
      </w:r>
      <w:r>
        <w:t>will</w:t>
      </w:r>
      <w:r>
        <w:rPr>
          <w:spacing w:val="-16"/>
        </w:rPr>
        <w:t xml:space="preserve"> </w:t>
      </w:r>
      <w:r>
        <w:t>deliver</w:t>
      </w:r>
      <w:r>
        <w:rPr>
          <w:spacing w:val="-17"/>
        </w:rPr>
        <w:t xml:space="preserve"> </w:t>
      </w:r>
      <w:r>
        <w:t>national</w:t>
      </w:r>
      <w:r>
        <w:rPr>
          <w:spacing w:val="-14"/>
        </w:rPr>
        <w:t xml:space="preserve"> </w:t>
      </w:r>
      <w:r>
        <w:t>best</w:t>
      </w:r>
      <w:r>
        <w:rPr>
          <w:spacing w:val="-17"/>
        </w:rPr>
        <w:t xml:space="preserve"> </w:t>
      </w:r>
      <w:r>
        <w:t>practice</w:t>
      </w:r>
      <w:r>
        <w:rPr>
          <w:spacing w:val="-16"/>
        </w:rPr>
        <w:t xml:space="preserve"> </w:t>
      </w:r>
      <w:r>
        <w:t>guidance and training to help ensure staff have the knowledge and tools they need to provide high-quality support to young people as they transition into adulthood.</w:t>
      </w:r>
    </w:p>
    <w:p w:rsidR="00612801">
      <w:pPr>
        <w:pStyle w:val="BodyText"/>
        <w:spacing w:before="123" w:line="237" w:lineRule="auto"/>
        <w:ind w:right="141"/>
        <w:jc w:val="both"/>
      </w:pPr>
      <w:r>
        <w:t>NHS England (NHSE) published updated guidance on 8 April on supporting young people to transition into adolescent and adult services</w:t>
      </w:r>
      <w:r>
        <w:rPr>
          <w:spacing w:val="-17"/>
        </w:rPr>
        <w:t xml:space="preserve"> </w:t>
      </w:r>
      <w:r>
        <w:fldChar w:fldCharType="begin"/>
      </w:r>
      <w:r>
        <w:instrText xml:space="preserve"> HYPERLINK \l "_bookmark0" </w:instrText>
      </w:r>
      <w:r>
        <w:fldChar w:fldCharType="separate"/>
      </w:r>
      <w:r>
        <w:rPr>
          <w:position w:val="8"/>
          <w:sz w:val="16"/>
        </w:rPr>
        <w:t>1</w:t>
      </w:r>
      <w:r>
        <w:fldChar w:fldCharType="end"/>
      </w:r>
      <w:r>
        <w:rPr>
          <w:spacing w:val="80"/>
          <w:position w:val="8"/>
          <w:sz w:val="16"/>
        </w:rPr>
        <w:t xml:space="preserve"> </w:t>
      </w:r>
      <w:r>
        <w:t>which has been widely welcomed by integrated care boards (ICBs) and people working in the sector.</w:t>
      </w:r>
    </w:p>
    <w:p w:rsidR="00612801">
      <w:pPr>
        <w:pStyle w:val="BodyText"/>
        <w:spacing w:before="121"/>
        <w:ind w:right="140"/>
        <w:jc w:val="both"/>
      </w:pPr>
      <w:r>
        <w:t xml:space="preserve">DfE has also launched a number of </w:t>
      </w:r>
      <w:r>
        <w:t>programmes</w:t>
      </w:r>
      <w:r>
        <w:t xml:space="preserve"> to deliver on children’s social care and SEND reform, including through the families first partnership </w:t>
      </w:r>
      <w:r>
        <w:t>programme</w:t>
      </w:r>
      <w:r>
        <w:t xml:space="preserve">, with full national implementation expected by March 2027; the Children’s Wellbeing and Schools Bill, which received royal assent on 29 April; the Schools White Paper, </w:t>
      </w:r>
      <w:r>
        <w:fldChar w:fldCharType="begin"/>
      </w:r>
      <w:r>
        <w:instrText xml:space="preserve"> HYPERLINK "https://eur03.safelinks.protection.outlook.com/?url=http%3A%2F%2Fwww.gov.uk%2Fgovernment%2Fpublications%2Fevery-child-achieving-and-thriving&amp;data=05%7C02%7CGeorgina.Connolly%40dhsc.gov.uk%7C8ead482b5d6d449e10fc08de964070fe%7C61278c3091a84c318c1fef4de8973a1c%7C1%7C0%7C639113400746296561%7CUnknown%7CTWFpbGZsb3d8eyJFbXB0eU1hcGkiOnRydWUsIlYiOiIwLjAuMDAwMCIsIlAiOiJXaW4zMiIsIkFOIjoiTWFpbCIsIldUIjoyfQ%3D%3D%7C0%7C%7C%7C&amp;sdata=paekaoOoHtDpc6WIQT8uNt5ewQIK8%2FE3%2B5JB2Jm%2B%2FXs%3D&amp;reserved=0" </w:instrText>
      </w:r>
      <w:r>
        <w:fldChar w:fldCharType="separate"/>
      </w:r>
      <w:r>
        <w:t>‘</w:t>
      </w:r>
      <w:r>
        <w:rPr>
          <w:color w:val="0000FF"/>
          <w:u w:val="single" w:color="0000FF"/>
        </w:rPr>
        <w:t>Every child achieving and</w:t>
      </w:r>
      <w:r>
        <w:fldChar w:fldCharType="end"/>
      </w:r>
      <w:r>
        <w:rPr>
          <w:color w:val="0000FF"/>
        </w:rPr>
        <w:t xml:space="preserve"> </w:t>
      </w:r>
      <w:r>
        <w:fldChar w:fldCharType="begin"/>
      </w:r>
      <w:r>
        <w:instrText xml:space="preserve"> HYPERLINK "https://eur03.safelinks.protection.outlook.com/?url=http%3A%2F%2Fwww.gov.uk%2Fgovernment%2Fpublications%2Fevery-child-achieving-and-thriving&amp;data=05%7C02%7CGeorgina.Connolly%40dhsc.gov.uk%7C8ead482b5d6d449e10fc08de964070fe%7C61278c3091a84c318c1fef4de8973a1c%7C1%7C0%7C639113400746296561%7CUnknown%7CTWFpbGZsb3d8eyJFbXB0eU1hcGkiOnRydWUsIlYiOiIwLjAuMDAwMCIsIlAiOiJXaW4zMiIsIkFOIjoiTWFpbCIsIldUIjoyfQ%3D%3D%7C0%7C%7C%7C&amp;sdata=paekaoOoHtDpc6WIQT8uNt5ewQIK8%2FE3%2B5JB2Jm%2B%2FXs%3D&amp;reserved=0" </w:instrText>
      </w:r>
      <w:r>
        <w:fldChar w:fldCharType="separate"/>
      </w:r>
      <w:r>
        <w:rPr>
          <w:color w:val="0000FF"/>
          <w:u w:val="single" w:color="0000FF"/>
        </w:rPr>
        <w:t>thriving</w:t>
      </w:r>
      <w:r>
        <w:t>’</w:t>
      </w:r>
      <w:r>
        <w:fldChar w:fldCharType="end"/>
      </w:r>
      <w:r>
        <w:t>;</w:t>
      </w:r>
      <w:r>
        <w:rPr>
          <w:spacing w:val="-2"/>
        </w:rPr>
        <w:t xml:space="preserve"> </w:t>
      </w:r>
      <w:r>
        <w:t>and</w:t>
      </w:r>
      <w:r>
        <w:rPr>
          <w:spacing w:val="-2"/>
        </w:rPr>
        <w:t xml:space="preserve"> </w:t>
      </w:r>
      <w:r>
        <w:t>the</w:t>
      </w:r>
      <w:r>
        <w:rPr>
          <w:spacing w:val="-3"/>
        </w:rPr>
        <w:t xml:space="preserve"> </w:t>
      </w:r>
      <w:r>
        <w:t>SEND</w:t>
      </w:r>
      <w:r>
        <w:rPr>
          <w:spacing w:val="-2"/>
        </w:rPr>
        <w:t xml:space="preserve"> </w:t>
      </w:r>
      <w:r>
        <w:t xml:space="preserve">consultation, </w:t>
      </w:r>
      <w:r>
        <w:rPr>
          <w:rFonts w:ascii="Arial" w:hAnsi="Arial"/>
          <w:i/>
        </w:rPr>
        <w:t>Putting</w:t>
      </w:r>
      <w:r>
        <w:rPr>
          <w:rFonts w:ascii="Arial" w:hAnsi="Arial"/>
          <w:i/>
          <w:spacing w:val="-4"/>
        </w:rPr>
        <w:t xml:space="preserve"> </w:t>
      </w:r>
      <w:r>
        <w:rPr>
          <w:rFonts w:ascii="Arial" w:hAnsi="Arial"/>
          <w:i/>
        </w:rPr>
        <w:t>Children</w:t>
      </w:r>
      <w:r>
        <w:rPr>
          <w:rFonts w:ascii="Arial" w:hAnsi="Arial"/>
          <w:i/>
          <w:spacing w:val="-2"/>
        </w:rPr>
        <w:t xml:space="preserve"> </w:t>
      </w:r>
      <w:r>
        <w:rPr>
          <w:rFonts w:ascii="Arial" w:hAnsi="Arial"/>
          <w:i/>
        </w:rPr>
        <w:t>and</w:t>
      </w:r>
      <w:r>
        <w:rPr>
          <w:rFonts w:ascii="Arial" w:hAnsi="Arial"/>
          <w:i/>
          <w:spacing w:val="-4"/>
        </w:rPr>
        <w:t xml:space="preserve"> </w:t>
      </w:r>
      <w:r>
        <w:rPr>
          <w:rFonts w:ascii="Arial" w:hAnsi="Arial"/>
          <w:i/>
        </w:rPr>
        <w:t>Young</w:t>
      </w:r>
      <w:r>
        <w:rPr>
          <w:rFonts w:ascii="Arial" w:hAnsi="Arial"/>
          <w:i/>
          <w:spacing w:val="-2"/>
        </w:rPr>
        <w:t xml:space="preserve"> </w:t>
      </w:r>
      <w:r>
        <w:rPr>
          <w:rFonts w:ascii="Arial" w:hAnsi="Arial"/>
          <w:i/>
        </w:rPr>
        <w:t>People</w:t>
      </w:r>
      <w:r>
        <w:rPr>
          <w:rFonts w:ascii="Arial" w:hAnsi="Arial"/>
          <w:i/>
          <w:spacing w:val="-2"/>
        </w:rPr>
        <w:t xml:space="preserve"> </w:t>
      </w:r>
      <w:r>
        <w:rPr>
          <w:rFonts w:ascii="Arial" w:hAnsi="Arial"/>
          <w:i/>
        </w:rPr>
        <w:t>First</w:t>
      </w:r>
      <w:r>
        <w:fldChar w:fldCharType="begin"/>
      </w:r>
      <w:r>
        <w:instrText xml:space="preserve"> HYPERLINK \l "_bookmark1" </w:instrText>
      </w:r>
      <w:r>
        <w:fldChar w:fldCharType="separate"/>
      </w:r>
      <w:r>
        <w:rPr>
          <w:rFonts w:ascii="Arial" w:hAnsi="Arial"/>
          <w:i/>
          <w:position w:val="7"/>
          <w:sz w:val="16"/>
        </w:rPr>
        <w:t>2</w:t>
      </w:r>
      <w:r>
        <w:fldChar w:fldCharType="end"/>
      </w:r>
      <w:r>
        <w:t>,</w:t>
      </w:r>
      <w:r>
        <w:rPr>
          <w:spacing w:val="-2"/>
        </w:rPr>
        <w:t xml:space="preserve"> </w:t>
      </w:r>
      <w:r>
        <w:t>which</w:t>
      </w:r>
      <w:r>
        <w:rPr>
          <w:spacing w:val="-2"/>
        </w:rPr>
        <w:t xml:space="preserve"> </w:t>
      </w:r>
      <w:r>
        <w:t xml:space="preserve">runs until 18 May 2026. The proposals aim to improve consistency, strengthen accountability, and ensure that children and families receive the support they need to achieve their </w:t>
      </w:r>
      <w:r>
        <w:rPr>
          <w:spacing w:val="-2"/>
        </w:rPr>
        <w:t>ambitions.</w:t>
      </w:r>
    </w:p>
    <w:p w:rsidR="00612801">
      <w:pPr>
        <w:pStyle w:val="BodyText"/>
        <w:spacing w:before="240"/>
        <w:ind w:left="0"/>
      </w:pPr>
    </w:p>
    <w:p w:rsidR="00612801">
      <w:pPr>
        <w:pStyle w:val="Heading1"/>
      </w:pPr>
      <w:r>
        <w:rPr>
          <w:u w:val="single"/>
        </w:rPr>
        <w:t>Focus</w:t>
      </w:r>
      <w:r>
        <w:rPr>
          <w:spacing w:val="-5"/>
          <w:u w:val="single"/>
        </w:rPr>
        <w:t xml:space="preserve"> </w:t>
      </w:r>
      <w:r>
        <w:rPr>
          <w:u w:val="single"/>
        </w:rPr>
        <w:t>area</w:t>
      </w:r>
      <w:r>
        <w:rPr>
          <w:spacing w:val="-3"/>
          <w:u w:val="single"/>
        </w:rPr>
        <w:t xml:space="preserve"> </w:t>
      </w:r>
      <w:r>
        <w:rPr>
          <w:u w:val="single"/>
        </w:rPr>
        <w:t>1</w:t>
      </w:r>
      <w:r>
        <w:rPr>
          <w:spacing w:val="-2"/>
          <w:u w:val="single"/>
        </w:rPr>
        <w:t xml:space="preserve"> </w:t>
      </w:r>
      <w:r>
        <w:rPr>
          <w:u w:val="single"/>
        </w:rPr>
        <w:t>and</w:t>
      </w:r>
      <w:r>
        <w:rPr>
          <w:spacing w:val="-5"/>
          <w:u w:val="single"/>
        </w:rPr>
        <w:t xml:space="preserve"> </w:t>
      </w:r>
      <w:r>
        <w:rPr>
          <w:u w:val="single"/>
        </w:rPr>
        <w:t>2:</w:t>
      </w:r>
      <w:r>
        <w:rPr>
          <w:spacing w:val="-2"/>
          <w:u w:val="single"/>
        </w:rPr>
        <w:t xml:space="preserve"> </w:t>
      </w:r>
      <w:r>
        <w:rPr>
          <w:u w:val="single"/>
        </w:rPr>
        <w:t>Timeliness</w:t>
      </w:r>
      <w:r>
        <w:rPr>
          <w:spacing w:val="-4"/>
          <w:u w:val="single"/>
        </w:rPr>
        <w:t xml:space="preserve"> </w:t>
      </w:r>
      <w:r>
        <w:rPr>
          <w:u w:val="single"/>
        </w:rPr>
        <w:t>and</w:t>
      </w:r>
      <w:r>
        <w:rPr>
          <w:spacing w:val="-2"/>
          <w:u w:val="single"/>
        </w:rPr>
        <w:t xml:space="preserve"> </w:t>
      </w:r>
      <w:r>
        <w:rPr>
          <w:u w:val="single"/>
        </w:rPr>
        <w:t>effectiveness</w:t>
      </w:r>
      <w:r>
        <w:rPr>
          <w:spacing w:val="-2"/>
          <w:u w:val="single"/>
        </w:rPr>
        <w:t xml:space="preserve"> </w:t>
      </w:r>
      <w:r>
        <w:rPr>
          <w:u w:val="single"/>
        </w:rPr>
        <w:t>of</w:t>
      </w:r>
      <w:r>
        <w:rPr>
          <w:spacing w:val="-2"/>
          <w:u w:val="single"/>
        </w:rPr>
        <w:t xml:space="preserve"> </w:t>
      </w:r>
      <w:r>
        <w:rPr>
          <w:u w:val="single"/>
        </w:rPr>
        <w:t>the</w:t>
      </w:r>
      <w:r>
        <w:rPr>
          <w:spacing w:val="-2"/>
          <w:u w:val="single"/>
        </w:rPr>
        <w:t xml:space="preserve"> transition</w:t>
      </w:r>
    </w:p>
    <w:p w:rsidR="00612801">
      <w:pPr>
        <w:pStyle w:val="BodyText"/>
        <w:spacing w:before="121"/>
        <w:ind w:right="144"/>
        <w:jc w:val="both"/>
      </w:pPr>
      <w:r>
        <w:t>Transition</w:t>
      </w:r>
      <w:r>
        <w:rPr>
          <w:spacing w:val="-3"/>
        </w:rPr>
        <w:t xml:space="preserve"> </w:t>
      </w:r>
      <w:r>
        <w:t>into</w:t>
      </w:r>
      <w:r>
        <w:rPr>
          <w:spacing w:val="-6"/>
        </w:rPr>
        <w:t xml:space="preserve"> </w:t>
      </w:r>
      <w:r>
        <w:t>adult</w:t>
      </w:r>
      <w:r>
        <w:rPr>
          <w:spacing w:val="-4"/>
        </w:rPr>
        <w:t xml:space="preserve"> </w:t>
      </w:r>
      <w:r>
        <w:t>social</w:t>
      </w:r>
      <w:r>
        <w:rPr>
          <w:spacing w:val="-4"/>
        </w:rPr>
        <w:t xml:space="preserve"> </w:t>
      </w:r>
      <w:r>
        <w:t>care</w:t>
      </w:r>
      <w:r>
        <w:rPr>
          <w:spacing w:val="-4"/>
        </w:rPr>
        <w:t xml:space="preserve"> </w:t>
      </w:r>
      <w:r>
        <w:t>(ASC)</w:t>
      </w:r>
      <w:r>
        <w:rPr>
          <w:spacing w:val="-6"/>
        </w:rPr>
        <w:t xml:space="preserve"> </w:t>
      </w:r>
      <w:r>
        <w:t>includes a</w:t>
      </w:r>
      <w:r>
        <w:rPr>
          <w:spacing w:val="-4"/>
        </w:rPr>
        <w:t xml:space="preserve"> </w:t>
      </w:r>
      <w:r>
        <w:t>wide</w:t>
      </w:r>
      <w:r>
        <w:rPr>
          <w:spacing w:val="-4"/>
        </w:rPr>
        <w:t xml:space="preserve"> </w:t>
      </w:r>
      <w:r>
        <w:t>number</w:t>
      </w:r>
      <w:r>
        <w:rPr>
          <w:spacing w:val="-5"/>
        </w:rPr>
        <w:t xml:space="preserve"> </w:t>
      </w:r>
      <w:r>
        <w:t>of</w:t>
      </w:r>
      <w:r>
        <w:rPr>
          <w:spacing w:val="-4"/>
        </w:rPr>
        <w:t xml:space="preserve"> </w:t>
      </w:r>
      <w:r>
        <w:t>cohorts</w:t>
      </w:r>
      <w:r>
        <w:rPr>
          <w:spacing w:val="-5"/>
        </w:rPr>
        <w:t xml:space="preserve"> </w:t>
      </w:r>
      <w:r>
        <w:t>of</w:t>
      </w:r>
      <w:r>
        <w:rPr>
          <w:spacing w:val="-4"/>
        </w:rPr>
        <w:t xml:space="preserve"> </w:t>
      </w:r>
      <w:r>
        <w:t>individuals</w:t>
      </w:r>
      <w:r>
        <w:rPr>
          <w:spacing w:val="-5"/>
        </w:rPr>
        <w:t xml:space="preserve"> </w:t>
      </w:r>
      <w:r>
        <w:t xml:space="preserve">and associated systems, including individuals already identified with care and support needs, along with identifying newcomers to services who are likely to need care and support into </w:t>
      </w:r>
      <w:r>
        <w:rPr>
          <w:spacing w:val="-2"/>
        </w:rPr>
        <w:t>adulthood.</w:t>
      </w:r>
    </w:p>
    <w:p w:rsidR="00612801">
      <w:pPr>
        <w:pStyle w:val="BodyText"/>
        <w:spacing w:before="115"/>
        <w:ind w:right="139"/>
        <w:jc w:val="both"/>
      </w:pPr>
      <w:r>
        <w:t>The Care Act (sections 58 and 66)</w:t>
      </w:r>
      <w:r>
        <w:fldChar w:fldCharType="begin"/>
      </w:r>
      <w:r>
        <w:instrText xml:space="preserve"> HYPERLINK \l "_bookmark2" </w:instrText>
      </w:r>
      <w:r>
        <w:fldChar w:fldCharType="separate"/>
      </w:r>
      <w:r>
        <w:rPr>
          <w:position w:val="8"/>
          <w:sz w:val="16"/>
        </w:rPr>
        <w:t>3</w:t>
      </w:r>
      <w:r>
        <w:fldChar w:fldCharType="end"/>
      </w:r>
      <w:r>
        <w:rPr>
          <w:position w:val="8"/>
          <w:sz w:val="16"/>
        </w:rPr>
        <w:t xml:space="preserve"> </w:t>
      </w:r>
      <w:r>
        <w:t>sets out clear statutory duties for local authorities in England</w:t>
      </w:r>
      <w:r>
        <w:rPr>
          <w:spacing w:val="-3"/>
        </w:rPr>
        <w:t xml:space="preserve"> </w:t>
      </w:r>
      <w:r>
        <w:t>to</w:t>
      </w:r>
      <w:r>
        <w:rPr>
          <w:spacing w:val="-3"/>
        </w:rPr>
        <w:t xml:space="preserve"> </w:t>
      </w:r>
      <w:r>
        <w:t>ensure</w:t>
      </w:r>
      <w:r>
        <w:rPr>
          <w:spacing w:val="-3"/>
        </w:rPr>
        <w:t xml:space="preserve"> </w:t>
      </w:r>
      <w:r>
        <w:t>continuity</w:t>
      </w:r>
      <w:r>
        <w:rPr>
          <w:spacing w:val="-3"/>
        </w:rPr>
        <w:t xml:space="preserve"> </w:t>
      </w:r>
      <w:r>
        <w:t>of</w:t>
      </w:r>
      <w:r>
        <w:rPr>
          <w:spacing w:val="-3"/>
        </w:rPr>
        <w:t xml:space="preserve"> </w:t>
      </w:r>
      <w:r>
        <w:t>care</w:t>
      </w:r>
      <w:r>
        <w:rPr>
          <w:spacing w:val="-3"/>
        </w:rPr>
        <w:t xml:space="preserve"> </w:t>
      </w:r>
      <w:r>
        <w:t>and</w:t>
      </w:r>
      <w:r>
        <w:rPr>
          <w:spacing w:val="-3"/>
        </w:rPr>
        <w:t xml:space="preserve"> </w:t>
      </w:r>
      <w:r>
        <w:t>support,</w:t>
      </w:r>
      <w:r>
        <w:rPr>
          <w:spacing w:val="-3"/>
        </w:rPr>
        <w:t xml:space="preserve"> </w:t>
      </w:r>
      <w:r>
        <w:t>primarily</w:t>
      </w:r>
      <w:r>
        <w:rPr>
          <w:spacing w:val="-3"/>
        </w:rPr>
        <w:t xml:space="preserve"> </w:t>
      </w:r>
      <w:r>
        <w:t>to</w:t>
      </w:r>
      <w:r>
        <w:rPr>
          <w:spacing w:val="-2"/>
        </w:rPr>
        <w:t xml:space="preserve"> </w:t>
      </w:r>
      <w:r>
        <w:t>protect</w:t>
      </w:r>
      <w:r>
        <w:rPr>
          <w:spacing w:val="-3"/>
        </w:rPr>
        <w:t xml:space="preserve"> </w:t>
      </w:r>
      <w:r>
        <w:t>vulnerable</w:t>
      </w:r>
      <w:r>
        <w:rPr>
          <w:spacing w:val="-3"/>
        </w:rPr>
        <w:t xml:space="preserve"> </w:t>
      </w:r>
      <w:r>
        <w:t>individuals from</w:t>
      </w:r>
      <w:r>
        <w:rPr>
          <w:spacing w:val="-6"/>
        </w:rPr>
        <w:t xml:space="preserve"> </w:t>
      </w:r>
      <w:r>
        <w:t>gaps</w:t>
      </w:r>
      <w:r>
        <w:rPr>
          <w:spacing w:val="-7"/>
        </w:rPr>
        <w:t xml:space="preserve"> </w:t>
      </w:r>
      <w:r>
        <w:t>in</w:t>
      </w:r>
      <w:r>
        <w:rPr>
          <w:spacing w:val="-6"/>
        </w:rPr>
        <w:t xml:space="preserve"> </w:t>
      </w:r>
      <w:r>
        <w:t>service,</w:t>
      </w:r>
      <w:r>
        <w:rPr>
          <w:spacing w:val="-6"/>
        </w:rPr>
        <w:t xml:space="preserve"> </w:t>
      </w:r>
      <w:r>
        <w:t>particularly</w:t>
      </w:r>
      <w:r>
        <w:rPr>
          <w:spacing w:val="-7"/>
        </w:rPr>
        <w:t xml:space="preserve"> </w:t>
      </w:r>
      <w:r>
        <w:t>during</w:t>
      </w:r>
      <w:r>
        <w:rPr>
          <w:spacing w:val="-6"/>
        </w:rPr>
        <w:t xml:space="preserve"> </w:t>
      </w:r>
      <w:r>
        <w:t>transitions</w:t>
      </w:r>
      <w:r>
        <w:rPr>
          <w:spacing w:val="-7"/>
        </w:rPr>
        <w:t xml:space="preserve"> </w:t>
      </w:r>
      <w:r>
        <w:t>or</w:t>
      </w:r>
      <w:r>
        <w:rPr>
          <w:spacing w:val="-7"/>
        </w:rPr>
        <w:t xml:space="preserve"> </w:t>
      </w:r>
      <w:r>
        <w:t>provider</w:t>
      </w:r>
      <w:r>
        <w:rPr>
          <w:spacing w:val="-7"/>
        </w:rPr>
        <w:t xml:space="preserve"> </w:t>
      </w:r>
      <w:r>
        <w:t>failures.</w:t>
      </w:r>
      <w:r>
        <w:rPr>
          <w:spacing w:val="-6"/>
        </w:rPr>
        <w:t xml:space="preserve"> </w:t>
      </w:r>
      <w:r>
        <w:t>Local</w:t>
      </w:r>
      <w:r>
        <w:rPr>
          <w:spacing w:val="-7"/>
        </w:rPr>
        <w:t xml:space="preserve"> </w:t>
      </w:r>
      <w:r>
        <w:t>authorities</w:t>
      </w:r>
      <w:r>
        <w:rPr>
          <w:spacing w:val="-7"/>
        </w:rPr>
        <w:t xml:space="preserve"> </w:t>
      </w:r>
      <w:r>
        <w:t>are best</w:t>
      </w:r>
      <w:r>
        <w:rPr>
          <w:spacing w:val="-3"/>
        </w:rPr>
        <w:t xml:space="preserve"> </w:t>
      </w:r>
      <w:r>
        <w:t>placed</w:t>
      </w:r>
      <w:r>
        <w:rPr>
          <w:spacing w:val="-5"/>
        </w:rPr>
        <w:t xml:space="preserve"> </w:t>
      </w:r>
      <w:r>
        <w:t>to</w:t>
      </w:r>
      <w:r>
        <w:rPr>
          <w:spacing w:val="-5"/>
        </w:rPr>
        <w:t xml:space="preserve"> </w:t>
      </w:r>
      <w:r>
        <w:t>understand</w:t>
      </w:r>
      <w:r>
        <w:rPr>
          <w:spacing w:val="-5"/>
        </w:rPr>
        <w:t xml:space="preserve"> </w:t>
      </w:r>
      <w:r>
        <w:t>and</w:t>
      </w:r>
      <w:r>
        <w:rPr>
          <w:spacing w:val="-5"/>
        </w:rPr>
        <w:t xml:space="preserve"> </w:t>
      </w:r>
      <w:r>
        <w:t>plan</w:t>
      </w:r>
      <w:r>
        <w:rPr>
          <w:spacing w:val="-4"/>
        </w:rPr>
        <w:t xml:space="preserve"> </w:t>
      </w:r>
      <w:r>
        <w:t>for</w:t>
      </w:r>
      <w:r>
        <w:rPr>
          <w:spacing w:val="-4"/>
        </w:rPr>
        <w:t xml:space="preserve"> </w:t>
      </w:r>
      <w:r>
        <w:t>the</w:t>
      </w:r>
      <w:r>
        <w:rPr>
          <w:spacing w:val="-5"/>
        </w:rPr>
        <w:t xml:space="preserve"> </w:t>
      </w:r>
      <w:r>
        <w:t>needs</w:t>
      </w:r>
      <w:r>
        <w:rPr>
          <w:spacing w:val="-6"/>
        </w:rPr>
        <w:t xml:space="preserve"> </w:t>
      </w:r>
      <w:r>
        <w:t>of</w:t>
      </w:r>
      <w:r>
        <w:rPr>
          <w:spacing w:val="-3"/>
        </w:rPr>
        <w:t xml:space="preserve"> </w:t>
      </w:r>
      <w:r>
        <w:t>their</w:t>
      </w:r>
      <w:r>
        <w:rPr>
          <w:spacing w:val="-5"/>
        </w:rPr>
        <w:t xml:space="preserve"> </w:t>
      </w:r>
      <w:r>
        <w:t>population.</w:t>
      </w:r>
      <w:r>
        <w:rPr>
          <w:spacing w:val="-3"/>
        </w:rPr>
        <w:t xml:space="preserve"> </w:t>
      </w:r>
      <w:r>
        <w:t>Under</w:t>
      </w:r>
      <w:r>
        <w:rPr>
          <w:spacing w:val="-4"/>
        </w:rPr>
        <w:t xml:space="preserve"> </w:t>
      </w:r>
      <w:r>
        <w:t>section</w:t>
      </w:r>
      <w:r>
        <w:rPr>
          <w:spacing w:val="-3"/>
        </w:rPr>
        <w:t xml:space="preserve"> </w:t>
      </w:r>
      <w:r>
        <w:t>5</w:t>
      </w:r>
      <w:r>
        <w:rPr>
          <w:spacing w:val="-5"/>
        </w:rPr>
        <w:t xml:space="preserve"> </w:t>
      </w:r>
      <w:r>
        <w:t>of</w:t>
      </w:r>
      <w:r>
        <w:rPr>
          <w:spacing w:val="-3"/>
        </w:rPr>
        <w:t xml:space="preserve"> </w:t>
      </w:r>
      <w:r>
        <w:t>the Care</w:t>
      </w:r>
      <w:r>
        <w:rPr>
          <w:spacing w:val="-2"/>
        </w:rPr>
        <w:t xml:space="preserve"> </w:t>
      </w:r>
      <w:r>
        <w:t>Act</w:t>
      </w:r>
      <w:r>
        <w:rPr>
          <w:spacing w:val="-4"/>
        </w:rPr>
        <w:t xml:space="preserve"> </w:t>
      </w:r>
      <w:r>
        <w:t>2014,</w:t>
      </w:r>
      <w:r>
        <w:rPr>
          <w:spacing w:val="-4"/>
        </w:rPr>
        <w:t xml:space="preserve"> </w:t>
      </w:r>
      <w:r>
        <w:t>they</w:t>
      </w:r>
      <w:r>
        <w:rPr>
          <w:spacing w:val="-2"/>
        </w:rPr>
        <w:t xml:space="preserve"> </w:t>
      </w:r>
      <w:r>
        <w:t>are</w:t>
      </w:r>
      <w:r>
        <w:rPr>
          <w:spacing w:val="-2"/>
        </w:rPr>
        <w:t xml:space="preserve"> </w:t>
      </w:r>
      <w:r>
        <w:t>tasked</w:t>
      </w:r>
      <w:r>
        <w:rPr>
          <w:spacing w:val="-4"/>
        </w:rPr>
        <w:t xml:space="preserve"> </w:t>
      </w:r>
      <w:r>
        <w:t>with</w:t>
      </w:r>
      <w:r>
        <w:rPr>
          <w:spacing w:val="-2"/>
        </w:rPr>
        <w:t xml:space="preserve"> </w:t>
      </w:r>
      <w:r>
        <w:t>the</w:t>
      </w:r>
      <w:r>
        <w:rPr>
          <w:spacing w:val="-4"/>
        </w:rPr>
        <w:t xml:space="preserve"> </w:t>
      </w:r>
      <w:r>
        <w:t>duty</w:t>
      </w:r>
      <w:r>
        <w:rPr>
          <w:spacing w:val="-4"/>
        </w:rPr>
        <w:t xml:space="preserve"> </w:t>
      </w:r>
      <w:r>
        <w:t>to</w:t>
      </w:r>
      <w:r>
        <w:rPr>
          <w:spacing w:val="-2"/>
        </w:rPr>
        <w:t xml:space="preserve"> </w:t>
      </w:r>
      <w:r>
        <w:t>shape</w:t>
      </w:r>
      <w:r>
        <w:rPr>
          <w:spacing w:val="-4"/>
        </w:rPr>
        <w:t xml:space="preserve"> </w:t>
      </w:r>
      <w:r>
        <w:t>their</w:t>
      </w:r>
      <w:r>
        <w:rPr>
          <w:spacing w:val="-4"/>
        </w:rPr>
        <w:t xml:space="preserve"> </w:t>
      </w:r>
      <w:r>
        <w:t>care</w:t>
      </w:r>
      <w:r>
        <w:rPr>
          <w:spacing w:val="-4"/>
        </w:rPr>
        <w:t xml:space="preserve"> </w:t>
      </w:r>
      <w:r>
        <w:t>market</w:t>
      </w:r>
      <w:r>
        <w:rPr>
          <w:spacing w:val="-2"/>
        </w:rPr>
        <w:t xml:space="preserve"> </w:t>
      </w:r>
      <w:r>
        <w:t>and</w:t>
      </w:r>
      <w:r>
        <w:rPr>
          <w:spacing w:val="-4"/>
        </w:rPr>
        <w:t xml:space="preserve"> </w:t>
      </w:r>
      <w:r>
        <w:t>to</w:t>
      </w:r>
      <w:r>
        <w:rPr>
          <w:spacing w:val="-4"/>
        </w:rPr>
        <w:t xml:space="preserve"> </w:t>
      </w:r>
      <w:r>
        <w:t>commission a range</w:t>
      </w:r>
      <w:r>
        <w:rPr>
          <w:spacing w:val="-2"/>
        </w:rPr>
        <w:t xml:space="preserve"> </w:t>
      </w:r>
      <w:r>
        <w:t>of</w:t>
      </w:r>
      <w:r>
        <w:rPr>
          <w:spacing w:val="-3"/>
        </w:rPr>
        <w:t xml:space="preserve"> </w:t>
      </w:r>
      <w:r>
        <w:t>high-quality,</w:t>
      </w:r>
      <w:r>
        <w:rPr>
          <w:spacing w:val="-2"/>
        </w:rPr>
        <w:t xml:space="preserve"> </w:t>
      </w:r>
      <w:r>
        <w:t>sustainable,</w:t>
      </w:r>
      <w:r>
        <w:rPr>
          <w:spacing w:val="-3"/>
        </w:rPr>
        <w:t xml:space="preserve"> </w:t>
      </w:r>
      <w:r>
        <w:t>and person-</w:t>
      </w:r>
      <w:r>
        <w:t>centred</w:t>
      </w:r>
      <w:r>
        <w:t xml:space="preserve"> care</w:t>
      </w:r>
      <w:r>
        <w:rPr>
          <w:spacing w:val="-3"/>
        </w:rPr>
        <w:t xml:space="preserve"> </w:t>
      </w:r>
      <w:r>
        <w:t>and support</w:t>
      </w:r>
      <w:r>
        <w:rPr>
          <w:spacing w:val="-1"/>
        </w:rPr>
        <w:t xml:space="preserve"> </w:t>
      </w:r>
      <w:r>
        <w:t>services</w:t>
      </w:r>
      <w:r>
        <w:rPr>
          <w:spacing w:val="-3"/>
        </w:rPr>
        <w:t xml:space="preserve"> </w:t>
      </w:r>
      <w:r>
        <w:t>to</w:t>
      </w:r>
      <w:r>
        <w:rPr>
          <w:spacing w:val="-4"/>
        </w:rPr>
        <w:t xml:space="preserve"> </w:t>
      </w:r>
      <w:r>
        <w:t>meet the diverse needs of all local people. In performing that duty, a local authority must have regard to current and likely future demand for services (section 5(2)(b)) – including those transitioning into ASC – and consider how providers might meet that demand to prevent delays and ensure no gap in care and support is experienced (section 5(8)).</w:t>
      </w:r>
    </w:p>
    <w:p w:rsidR="00612801">
      <w:pPr>
        <w:pStyle w:val="BodyText"/>
        <w:ind w:left="0"/>
        <w:rPr>
          <w:sz w:val="20"/>
        </w:rPr>
      </w:pPr>
    </w:p>
    <w:p w:rsidR="00612801">
      <w:pPr>
        <w:pStyle w:val="BodyText"/>
        <w:ind w:left="0"/>
        <w:rPr>
          <w:sz w:val="20"/>
        </w:rPr>
      </w:pPr>
    </w:p>
    <w:p w:rsidR="00612801">
      <w:pPr>
        <w:pStyle w:val="BodyText"/>
        <w:spacing w:before="104"/>
        <w:ind w:left="0"/>
        <w:rPr>
          <w:sz w:val="20"/>
        </w:rPr>
      </w:pPr>
      <w:r>
        <w:rPr>
          <w:noProof/>
          <w:sz w:val="20"/>
        </w:rPr>
        <mc:AlternateContent>
          <mc:Choice Requires="wps">
            <w:drawing>
              <wp:anchor distT="0" distB="0" distL="0" distR="0" simplePos="0" relativeHeight="251659264" behindDoc="1" locked="0" layoutInCell="1" allowOverlap="1">
                <wp:simplePos x="0" y="0"/>
                <wp:positionH relativeFrom="page">
                  <wp:posOffset>719327</wp:posOffset>
                </wp:positionH>
                <wp:positionV relativeFrom="paragraph">
                  <wp:posOffset>227796</wp:posOffset>
                </wp:positionV>
                <wp:extent cx="1829435" cy="9525"/>
                <wp:effectExtent l="0" t="0" r="0" b="0"/>
                <wp:wrapTopAndBottom/>
                <wp:docPr id="3" name="Graphic 3"/>
                <wp:cNvGraphicFramePr/>
                <a:graphic xmlns:a="http://schemas.openxmlformats.org/drawingml/2006/main">
                  <a:graphicData uri="http://schemas.microsoft.com/office/word/2010/wordprocessingShape">
                    <wps:wsp xmlns:wps="http://schemas.microsoft.com/office/word/2010/wordprocessingShape">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3" o:spid="_x0000_s1025" style="height:0.75pt;margin-left:56.65pt;margin-top:17.95pt;mso-position-horizontal-relative:page;mso-wrap-distance-bottom:0;mso-wrap-distance-left:0;mso-wrap-distance-right:0;mso-wrap-distance-top:0;mso-wrap-style:square;position:absolute;v-text-anchor:top;visibility:visible;width:144.05pt;z-index:-251656192" coordsize="1829435,9525" path="m1829435,l,,,9143l1829435,9143l1829435,xe" fillcolor="black" stroked="f">
                <v:path arrowok="t"/>
                <w10:wrap type="topAndBottom"/>
              </v:shape>
            </w:pict>
          </mc:Fallback>
        </mc:AlternateContent>
      </w:r>
    </w:p>
    <w:p w:rsidR="00612801">
      <w:pPr>
        <w:spacing w:before="98"/>
        <w:ind w:left="140"/>
        <w:rPr>
          <w:sz w:val="20"/>
        </w:rPr>
      </w:pPr>
      <w:bookmarkStart w:id="0" w:name="_bookmark0"/>
      <w:bookmarkEnd w:id="0"/>
      <w:r>
        <w:rPr>
          <w:position w:val="6"/>
          <w:sz w:val="13"/>
        </w:rPr>
        <w:t>1</w:t>
      </w:r>
      <w:r>
        <w:rPr>
          <w:spacing w:val="12"/>
          <w:position w:val="6"/>
          <w:sz w:val="13"/>
        </w:rPr>
        <w:t xml:space="preserve"> </w:t>
      </w:r>
      <w:r>
        <w:fldChar w:fldCharType="begin"/>
      </w:r>
      <w:r>
        <w:instrText xml:space="preserve"> HYPERLINK "https://www.england.nhs.uk/long-read/supporting-young-people-to-transition-into-adolescent-and-adult-services/" </w:instrText>
      </w:r>
      <w:r>
        <w:fldChar w:fldCharType="separate"/>
      </w:r>
      <w:r>
        <w:rPr>
          <w:color w:val="0462C1"/>
          <w:sz w:val="20"/>
          <w:u w:val="single" w:color="0462C1"/>
        </w:rPr>
        <w:t>NHS</w:t>
      </w:r>
      <w:r>
        <w:rPr>
          <w:color w:val="0462C1"/>
          <w:spacing w:val="-5"/>
          <w:sz w:val="20"/>
          <w:u w:val="single" w:color="0462C1"/>
        </w:rPr>
        <w:t xml:space="preserve"> </w:t>
      </w:r>
      <w:r>
        <w:rPr>
          <w:color w:val="0462C1"/>
          <w:sz w:val="20"/>
          <w:u w:val="single" w:color="0462C1"/>
        </w:rPr>
        <w:t>England</w:t>
      </w:r>
      <w:r>
        <w:rPr>
          <w:color w:val="0462C1"/>
          <w:spacing w:val="-7"/>
          <w:sz w:val="20"/>
          <w:u w:val="single" w:color="0462C1"/>
        </w:rPr>
        <w:t xml:space="preserve"> </w:t>
      </w:r>
      <w:r>
        <w:rPr>
          <w:color w:val="0462C1"/>
          <w:sz w:val="20"/>
          <w:u w:val="single" w:color="0462C1"/>
        </w:rPr>
        <w:t>»</w:t>
      </w:r>
      <w:r>
        <w:rPr>
          <w:color w:val="0462C1"/>
          <w:spacing w:val="-7"/>
          <w:sz w:val="20"/>
          <w:u w:val="single" w:color="0462C1"/>
        </w:rPr>
        <w:t xml:space="preserve"> </w:t>
      </w:r>
      <w:r>
        <w:rPr>
          <w:color w:val="0462C1"/>
          <w:sz w:val="20"/>
          <w:u w:val="single" w:color="0462C1"/>
        </w:rPr>
        <w:t>Supporting</w:t>
      </w:r>
      <w:r>
        <w:rPr>
          <w:color w:val="0462C1"/>
          <w:spacing w:val="-7"/>
          <w:sz w:val="20"/>
          <w:u w:val="single" w:color="0462C1"/>
        </w:rPr>
        <w:t xml:space="preserve"> </w:t>
      </w:r>
      <w:r>
        <w:rPr>
          <w:color w:val="0462C1"/>
          <w:sz w:val="20"/>
          <w:u w:val="single" w:color="0462C1"/>
        </w:rPr>
        <w:t>young</w:t>
      </w:r>
      <w:r>
        <w:rPr>
          <w:color w:val="0462C1"/>
          <w:spacing w:val="-8"/>
          <w:sz w:val="20"/>
          <w:u w:val="single" w:color="0462C1"/>
        </w:rPr>
        <w:t xml:space="preserve"> </w:t>
      </w:r>
      <w:r>
        <w:rPr>
          <w:color w:val="0462C1"/>
          <w:sz w:val="20"/>
          <w:u w:val="single" w:color="0462C1"/>
        </w:rPr>
        <w:t>people</w:t>
      </w:r>
      <w:r>
        <w:rPr>
          <w:color w:val="0462C1"/>
          <w:spacing w:val="-7"/>
          <w:sz w:val="20"/>
          <w:u w:val="single" w:color="0462C1"/>
        </w:rPr>
        <w:t xml:space="preserve"> </w:t>
      </w:r>
      <w:r>
        <w:rPr>
          <w:color w:val="0462C1"/>
          <w:sz w:val="20"/>
          <w:u w:val="single" w:color="0462C1"/>
        </w:rPr>
        <w:t>to</w:t>
      </w:r>
      <w:r>
        <w:rPr>
          <w:color w:val="0462C1"/>
          <w:spacing w:val="-7"/>
          <w:sz w:val="20"/>
          <w:u w:val="single" w:color="0462C1"/>
        </w:rPr>
        <w:t xml:space="preserve"> </w:t>
      </w:r>
      <w:r>
        <w:rPr>
          <w:color w:val="0462C1"/>
          <w:sz w:val="20"/>
          <w:u w:val="single" w:color="0462C1"/>
        </w:rPr>
        <w:t>transition</w:t>
      </w:r>
      <w:r>
        <w:rPr>
          <w:color w:val="0462C1"/>
          <w:spacing w:val="-8"/>
          <w:sz w:val="20"/>
          <w:u w:val="single" w:color="0462C1"/>
        </w:rPr>
        <w:t xml:space="preserve"> </w:t>
      </w:r>
      <w:r>
        <w:rPr>
          <w:color w:val="0462C1"/>
          <w:sz w:val="20"/>
          <w:u w:val="single" w:color="0462C1"/>
        </w:rPr>
        <w:t>into</w:t>
      </w:r>
      <w:r>
        <w:rPr>
          <w:color w:val="0462C1"/>
          <w:spacing w:val="-8"/>
          <w:sz w:val="20"/>
          <w:u w:val="single" w:color="0462C1"/>
        </w:rPr>
        <w:t xml:space="preserve"> </w:t>
      </w:r>
      <w:r>
        <w:rPr>
          <w:color w:val="0462C1"/>
          <w:sz w:val="20"/>
          <w:u w:val="single" w:color="0462C1"/>
        </w:rPr>
        <w:t>adolescent</w:t>
      </w:r>
      <w:r>
        <w:rPr>
          <w:color w:val="0462C1"/>
          <w:spacing w:val="-5"/>
          <w:sz w:val="20"/>
          <w:u w:val="single" w:color="0462C1"/>
        </w:rPr>
        <w:t xml:space="preserve"> </w:t>
      </w:r>
      <w:r>
        <w:rPr>
          <w:color w:val="0462C1"/>
          <w:sz w:val="20"/>
          <w:u w:val="single" w:color="0462C1"/>
        </w:rPr>
        <w:t>and</w:t>
      </w:r>
      <w:r>
        <w:rPr>
          <w:color w:val="0462C1"/>
          <w:spacing w:val="-6"/>
          <w:sz w:val="20"/>
          <w:u w:val="single" w:color="0462C1"/>
        </w:rPr>
        <w:t xml:space="preserve"> </w:t>
      </w:r>
      <w:r>
        <w:rPr>
          <w:color w:val="0462C1"/>
          <w:sz w:val="20"/>
          <w:u w:val="single" w:color="0462C1"/>
        </w:rPr>
        <w:t>adult</w:t>
      </w:r>
      <w:r>
        <w:rPr>
          <w:color w:val="0462C1"/>
          <w:spacing w:val="-5"/>
          <w:sz w:val="20"/>
          <w:u w:val="single" w:color="0462C1"/>
        </w:rPr>
        <w:t xml:space="preserve"> </w:t>
      </w:r>
      <w:r>
        <w:rPr>
          <w:color w:val="0462C1"/>
          <w:spacing w:val="-2"/>
          <w:sz w:val="20"/>
          <w:u w:val="single" w:color="0462C1"/>
        </w:rPr>
        <w:t>services</w:t>
      </w:r>
      <w:r>
        <w:fldChar w:fldCharType="end"/>
      </w:r>
    </w:p>
    <w:p w:rsidR="00612801">
      <w:pPr>
        <w:ind w:left="140"/>
        <w:rPr>
          <w:sz w:val="20"/>
        </w:rPr>
      </w:pPr>
      <w:bookmarkStart w:id="1" w:name="_bookmark1"/>
      <w:bookmarkEnd w:id="1"/>
      <w:r>
        <w:rPr>
          <w:position w:val="6"/>
          <w:sz w:val="13"/>
        </w:rPr>
        <w:t>2</w:t>
      </w:r>
      <w:r>
        <w:rPr>
          <w:spacing w:val="13"/>
          <w:position w:val="6"/>
          <w:sz w:val="13"/>
        </w:rPr>
        <w:t xml:space="preserve"> </w:t>
      </w:r>
      <w:r>
        <w:fldChar w:fldCharType="begin"/>
      </w:r>
      <w:r>
        <w:instrText xml:space="preserve"> HYPERLINK "https://www.gov.uk/government/consultations/send-reform-putting-children-and-young-people-first" </w:instrText>
      </w:r>
      <w:r>
        <w:fldChar w:fldCharType="separate"/>
      </w:r>
      <w:r>
        <w:rPr>
          <w:color w:val="0462C1"/>
          <w:sz w:val="20"/>
          <w:u w:val="single" w:color="0462C1"/>
        </w:rPr>
        <w:t>SEND</w:t>
      </w:r>
      <w:r>
        <w:rPr>
          <w:color w:val="0462C1"/>
          <w:spacing w:val="-6"/>
          <w:sz w:val="20"/>
          <w:u w:val="single" w:color="0462C1"/>
        </w:rPr>
        <w:t xml:space="preserve"> </w:t>
      </w:r>
      <w:r>
        <w:rPr>
          <w:color w:val="0462C1"/>
          <w:sz w:val="20"/>
          <w:u w:val="single" w:color="0462C1"/>
        </w:rPr>
        <w:t>reform:</w:t>
      </w:r>
      <w:r>
        <w:rPr>
          <w:color w:val="0462C1"/>
          <w:spacing w:val="-6"/>
          <w:sz w:val="20"/>
          <w:u w:val="single" w:color="0462C1"/>
        </w:rPr>
        <w:t xml:space="preserve"> </w:t>
      </w:r>
      <w:r>
        <w:rPr>
          <w:color w:val="0462C1"/>
          <w:sz w:val="20"/>
          <w:u w:val="single" w:color="0462C1"/>
        </w:rPr>
        <w:t>putting</w:t>
      </w:r>
      <w:r>
        <w:rPr>
          <w:color w:val="0462C1"/>
          <w:spacing w:val="-7"/>
          <w:sz w:val="20"/>
          <w:u w:val="single" w:color="0462C1"/>
        </w:rPr>
        <w:t xml:space="preserve"> </w:t>
      </w:r>
      <w:r>
        <w:rPr>
          <w:color w:val="0462C1"/>
          <w:sz w:val="20"/>
          <w:u w:val="single" w:color="0462C1"/>
        </w:rPr>
        <w:t>children</w:t>
      </w:r>
      <w:r>
        <w:rPr>
          <w:color w:val="0462C1"/>
          <w:spacing w:val="-7"/>
          <w:sz w:val="20"/>
          <w:u w:val="single" w:color="0462C1"/>
        </w:rPr>
        <w:t xml:space="preserve"> </w:t>
      </w:r>
      <w:r>
        <w:rPr>
          <w:color w:val="0462C1"/>
          <w:sz w:val="20"/>
          <w:u w:val="single" w:color="0462C1"/>
        </w:rPr>
        <w:t>and</w:t>
      </w:r>
      <w:r>
        <w:rPr>
          <w:color w:val="0462C1"/>
          <w:spacing w:val="-6"/>
          <w:sz w:val="20"/>
          <w:u w:val="single" w:color="0462C1"/>
        </w:rPr>
        <w:t xml:space="preserve"> </w:t>
      </w:r>
      <w:r>
        <w:rPr>
          <w:color w:val="0462C1"/>
          <w:sz w:val="20"/>
          <w:u w:val="single" w:color="0462C1"/>
        </w:rPr>
        <w:t>young</w:t>
      </w:r>
      <w:r>
        <w:rPr>
          <w:color w:val="0462C1"/>
          <w:spacing w:val="-7"/>
          <w:sz w:val="20"/>
          <w:u w:val="single" w:color="0462C1"/>
        </w:rPr>
        <w:t xml:space="preserve"> </w:t>
      </w:r>
      <w:r>
        <w:rPr>
          <w:color w:val="0462C1"/>
          <w:sz w:val="20"/>
          <w:u w:val="single" w:color="0462C1"/>
        </w:rPr>
        <w:t>people</w:t>
      </w:r>
      <w:r>
        <w:rPr>
          <w:color w:val="0462C1"/>
          <w:spacing w:val="-4"/>
          <w:sz w:val="20"/>
          <w:u w:val="single" w:color="0462C1"/>
        </w:rPr>
        <w:t xml:space="preserve"> </w:t>
      </w:r>
      <w:r>
        <w:rPr>
          <w:color w:val="0462C1"/>
          <w:sz w:val="20"/>
          <w:u w:val="single" w:color="0462C1"/>
        </w:rPr>
        <w:t>first</w:t>
      </w:r>
      <w:r>
        <w:rPr>
          <w:color w:val="0462C1"/>
          <w:spacing w:val="-1"/>
          <w:sz w:val="20"/>
          <w:u w:val="single" w:color="0462C1"/>
        </w:rPr>
        <w:t xml:space="preserve"> </w:t>
      </w:r>
      <w:r>
        <w:rPr>
          <w:color w:val="0462C1"/>
          <w:sz w:val="20"/>
          <w:u w:val="single" w:color="0462C1"/>
        </w:rPr>
        <w:t>-</w:t>
      </w:r>
      <w:r>
        <w:rPr>
          <w:color w:val="0462C1"/>
          <w:spacing w:val="-4"/>
          <w:sz w:val="20"/>
          <w:u w:val="single" w:color="0462C1"/>
        </w:rPr>
        <w:t xml:space="preserve"> </w:t>
      </w:r>
      <w:r>
        <w:rPr>
          <w:color w:val="0462C1"/>
          <w:spacing w:val="-2"/>
          <w:sz w:val="20"/>
          <w:u w:val="single" w:color="0462C1"/>
        </w:rPr>
        <w:t>GOV.UK</w:t>
      </w:r>
      <w:r>
        <w:fldChar w:fldCharType="end"/>
      </w:r>
    </w:p>
    <w:p w:rsidR="00612801">
      <w:pPr>
        <w:ind w:left="140"/>
        <w:rPr>
          <w:sz w:val="20"/>
        </w:rPr>
      </w:pPr>
      <w:bookmarkStart w:id="2" w:name="_bookmark2"/>
      <w:bookmarkEnd w:id="2"/>
      <w:r>
        <w:rPr>
          <w:position w:val="6"/>
          <w:sz w:val="13"/>
        </w:rPr>
        <w:t>3</w:t>
      </w:r>
      <w:r>
        <w:rPr>
          <w:spacing w:val="16"/>
          <w:position w:val="6"/>
          <w:sz w:val="13"/>
        </w:rPr>
        <w:t xml:space="preserve"> </w:t>
      </w:r>
      <w:r>
        <w:fldChar w:fldCharType="begin"/>
      </w:r>
      <w:r>
        <w:instrText xml:space="preserve"> HYPERLINK "https://www.legislation.gov.uk/ukpga/2014/23/part/1" </w:instrText>
      </w:r>
      <w:r>
        <w:fldChar w:fldCharType="separate"/>
      </w:r>
      <w:r>
        <w:rPr>
          <w:color w:val="0462C1"/>
          <w:sz w:val="20"/>
          <w:u w:val="single" w:color="0462C1"/>
        </w:rPr>
        <w:t>Care</w:t>
      </w:r>
      <w:r>
        <w:rPr>
          <w:color w:val="0462C1"/>
          <w:spacing w:val="-2"/>
          <w:sz w:val="20"/>
          <w:u w:val="single" w:color="0462C1"/>
        </w:rPr>
        <w:t xml:space="preserve"> </w:t>
      </w:r>
      <w:r>
        <w:rPr>
          <w:color w:val="0462C1"/>
          <w:sz w:val="20"/>
          <w:u w:val="single" w:color="0462C1"/>
        </w:rPr>
        <w:t>Act</w:t>
      </w:r>
      <w:r>
        <w:rPr>
          <w:color w:val="0462C1"/>
          <w:spacing w:val="-3"/>
          <w:sz w:val="20"/>
          <w:u w:val="single" w:color="0462C1"/>
        </w:rPr>
        <w:t xml:space="preserve"> </w:t>
      </w:r>
      <w:r>
        <w:rPr>
          <w:color w:val="0462C1"/>
          <w:spacing w:val="-4"/>
          <w:sz w:val="20"/>
          <w:u w:val="single" w:color="0462C1"/>
        </w:rPr>
        <w:t>2014</w:t>
      </w:r>
      <w:r>
        <w:fldChar w:fldCharType="end"/>
      </w:r>
    </w:p>
    <w:p w:rsidR="00612801">
      <w:pPr>
        <w:rPr>
          <w:sz w:val="20"/>
        </w:rPr>
        <w:sectPr>
          <w:pgSz w:w="11910" w:h="16840"/>
          <w:pgMar w:top="1300" w:right="992" w:bottom="280" w:left="992" w:header="720" w:footer="720" w:gutter="0"/>
          <w:cols w:space="720"/>
        </w:sectPr>
      </w:pPr>
    </w:p>
    <w:p w:rsidR="00612801">
      <w:pPr>
        <w:pStyle w:val="BodyText"/>
        <w:spacing w:before="76"/>
        <w:ind w:right="140"/>
        <w:jc w:val="both"/>
      </w:pPr>
      <w:r>
        <w:t>Effective commissioning to improve transitions requires strong shared leadership across ICBs and local authorities, with agreement on shared outcomes and potentially supported by joint commissioning arrangements and pooled budgets. However, approaches to planning and commissioning services vary across local areas – and our recently launched project on transitions is designed</w:t>
      </w:r>
      <w:r>
        <w:rPr>
          <w:spacing w:val="-2"/>
        </w:rPr>
        <w:t xml:space="preserve"> </w:t>
      </w:r>
      <w:r>
        <w:t>to</w:t>
      </w:r>
      <w:r>
        <w:rPr>
          <w:spacing w:val="-2"/>
        </w:rPr>
        <w:t xml:space="preserve"> </w:t>
      </w:r>
      <w:r>
        <w:t>produce</w:t>
      </w:r>
      <w:r>
        <w:rPr>
          <w:spacing w:val="-2"/>
        </w:rPr>
        <w:t xml:space="preserve"> </w:t>
      </w:r>
      <w:r>
        <w:t>practical guidance and</w:t>
      </w:r>
      <w:r>
        <w:rPr>
          <w:spacing w:val="-1"/>
        </w:rPr>
        <w:t xml:space="preserve"> </w:t>
      </w:r>
      <w:r>
        <w:t>training</w:t>
      </w:r>
      <w:r>
        <w:rPr>
          <w:spacing w:val="-2"/>
        </w:rPr>
        <w:t xml:space="preserve"> </w:t>
      </w:r>
      <w:r>
        <w:t>to</w:t>
      </w:r>
      <w:r>
        <w:rPr>
          <w:spacing w:val="-2"/>
        </w:rPr>
        <w:t xml:space="preserve"> </w:t>
      </w:r>
      <w:r>
        <w:t>help</w:t>
      </w:r>
      <w:r>
        <w:rPr>
          <w:spacing w:val="-2"/>
        </w:rPr>
        <w:t xml:space="preserve"> </w:t>
      </w:r>
      <w:r>
        <w:t>embed more consistent good practice.</w:t>
      </w:r>
    </w:p>
    <w:p w:rsidR="00612801">
      <w:pPr>
        <w:pStyle w:val="BodyText"/>
        <w:spacing w:before="121"/>
        <w:ind w:right="137"/>
        <w:jc w:val="both"/>
      </w:pPr>
      <w:r>
        <w:t xml:space="preserve">MHCLG’s </w:t>
      </w:r>
      <w:r>
        <w:t>programme</w:t>
      </w:r>
      <w:r>
        <w:t xml:space="preserve"> of local government reform will replace two-tier</w:t>
      </w:r>
      <w:r>
        <w:rPr>
          <w:spacing w:val="-3"/>
        </w:rPr>
        <w:t xml:space="preserve"> </w:t>
      </w:r>
      <w:r>
        <w:t>authorities of district and county councils with single-tier, unitary authorities. One of the intended benefits is to improve integration between adult and children’s social care and housing services and simplify partnership working arrangements, including with the NHS.</w:t>
      </w:r>
      <w:r>
        <w:rPr>
          <w:spacing w:val="-2"/>
        </w:rPr>
        <w:t xml:space="preserve"> </w:t>
      </w:r>
      <w:r>
        <w:t>Where</w:t>
      </w:r>
      <w:r>
        <w:rPr>
          <w:spacing w:val="-2"/>
        </w:rPr>
        <w:t xml:space="preserve"> </w:t>
      </w:r>
      <w:r>
        <w:t>the</w:t>
      </w:r>
      <w:r>
        <w:rPr>
          <w:spacing w:val="-2"/>
        </w:rPr>
        <w:t xml:space="preserve"> </w:t>
      </w:r>
      <w:r>
        <w:t>transition to new unitary authorities involves aggregating or disaggregating services, MHCLG has put robust safeguards in place to identify</w:t>
      </w:r>
      <w:r>
        <w:rPr>
          <w:spacing w:val="-3"/>
        </w:rPr>
        <w:t xml:space="preserve"> </w:t>
      </w:r>
      <w:r>
        <w:t>and, where necessary, escalate a</w:t>
      </w:r>
      <w:r>
        <w:t xml:space="preserve">ny risks early. We also </w:t>
      </w:r>
      <w:r>
        <w:t>recognise</w:t>
      </w:r>
      <w:r>
        <w:t xml:space="preserve"> that effective cross-government </w:t>
      </w:r>
      <w:r>
        <w:t>working</w:t>
      </w:r>
      <w:r>
        <w:t xml:space="preserve"> is essential, and MHCLG are working very closely with DfE and DHSC on these issues and will continue to ensure the approach to local government reform is grounded in feedback from sector experts.</w:t>
      </w:r>
    </w:p>
    <w:p w:rsidR="00612801">
      <w:pPr>
        <w:pStyle w:val="BodyText"/>
        <w:spacing w:before="121"/>
        <w:ind w:right="141"/>
        <w:jc w:val="both"/>
      </w:pPr>
      <w:r>
        <w:t>Joined-up approaches create a clearer and more reliable transition journey. While some transition pathways work well and deliver seamless care, we know this is currently not the experience for all young people with care needs.</w:t>
      </w:r>
      <w:r>
        <w:rPr>
          <w:spacing w:val="40"/>
        </w:rPr>
        <w:t xml:space="preserve"> </w:t>
      </w:r>
      <w:r>
        <w:t xml:space="preserve">When this happens, young people may </w:t>
      </w:r>
      <w:r>
        <w:rPr>
          <w:spacing w:val="-2"/>
        </w:rPr>
        <w:t>experience:</w:t>
      </w:r>
    </w:p>
    <w:p w:rsidR="00612801">
      <w:pPr>
        <w:pStyle w:val="ListParagraph"/>
        <w:numPr>
          <w:ilvl w:val="0"/>
          <w:numId w:val="1"/>
        </w:numPr>
        <w:tabs>
          <w:tab w:val="left" w:pos="1221"/>
        </w:tabs>
        <w:spacing w:before="120"/>
        <w:ind w:left="1221"/>
        <w:rPr>
          <w:sz w:val="24"/>
        </w:rPr>
      </w:pPr>
      <w:r>
        <w:rPr>
          <w:sz w:val="24"/>
        </w:rPr>
        <w:t>Cliff</w:t>
      </w:r>
      <w:r>
        <w:rPr>
          <w:spacing w:val="-2"/>
          <w:sz w:val="24"/>
        </w:rPr>
        <w:t xml:space="preserve"> </w:t>
      </w:r>
      <w:r>
        <w:rPr>
          <w:sz w:val="24"/>
        </w:rPr>
        <w:t>edges</w:t>
      </w:r>
      <w:r>
        <w:rPr>
          <w:spacing w:val="-1"/>
          <w:sz w:val="24"/>
        </w:rPr>
        <w:t xml:space="preserve"> </w:t>
      </w:r>
      <w:r>
        <w:rPr>
          <w:sz w:val="24"/>
        </w:rPr>
        <w:t>at</w:t>
      </w:r>
      <w:r>
        <w:rPr>
          <w:spacing w:val="-2"/>
          <w:sz w:val="24"/>
        </w:rPr>
        <w:t xml:space="preserve"> </w:t>
      </w:r>
      <w:r>
        <w:rPr>
          <w:spacing w:val="-5"/>
          <w:sz w:val="24"/>
        </w:rPr>
        <w:t>18</w:t>
      </w:r>
    </w:p>
    <w:p w:rsidR="00612801">
      <w:pPr>
        <w:pStyle w:val="ListParagraph"/>
        <w:numPr>
          <w:ilvl w:val="0"/>
          <w:numId w:val="1"/>
        </w:numPr>
        <w:tabs>
          <w:tab w:val="left" w:pos="1221"/>
        </w:tabs>
        <w:ind w:left="1221"/>
        <w:rPr>
          <w:sz w:val="24"/>
        </w:rPr>
      </w:pPr>
      <w:r>
        <w:rPr>
          <w:sz w:val="24"/>
        </w:rPr>
        <w:t>Poor</w:t>
      </w:r>
      <w:r>
        <w:rPr>
          <w:spacing w:val="-3"/>
          <w:sz w:val="24"/>
        </w:rPr>
        <w:t xml:space="preserve"> </w:t>
      </w:r>
      <w:r>
        <w:rPr>
          <w:sz w:val="24"/>
        </w:rPr>
        <w:t>health</w:t>
      </w:r>
      <w:r>
        <w:rPr>
          <w:spacing w:val="-3"/>
          <w:sz w:val="24"/>
        </w:rPr>
        <w:t xml:space="preserve"> </w:t>
      </w:r>
      <w:r>
        <w:rPr>
          <w:spacing w:val="-2"/>
          <w:sz w:val="24"/>
        </w:rPr>
        <w:t>outcomes</w:t>
      </w:r>
    </w:p>
    <w:p w:rsidR="00612801">
      <w:pPr>
        <w:pStyle w:val="ListParagraph"/>
        <w:numPr>
          <w:ilvl w:val="0"/>
          <w:numId w:val="1"/>
        </w:numPr>
        <w:tabs>
          <w:tab w:val="left" w:pos="1221"/>
        </w:tabs>
        <w:spacing w:before="116"/>
        <w:ind w:left="1221"/>
        <w:rPr>
          <w:sz w:val="24"/>
        </w:rPr>
      </w:pPr>
      <w:r>
        <w:rPr>
          <w:sz w:val="24"/>
        </w:rPr>
        <w:t>Disengagement</w:t>
      </w:r>
      <w:r>
        <w:rPr>
          <w:spacing w:val="-6"/>
          <w:sz w:val="24"/>
        </w:rPr>
        <w:t xml:space="preserve"> </w:t>
      </w:r>
      <w:r>
        <w:rPr>
          <w:sz w:val="24"/>
        </w:rPr>
        <w:t>from</w:t>
      </w:r>
      <w:r>
        <w:rPr>
          <w:spacing w:val="-5"/>
          <w:sz w:val="24"/>
        </w:rPr>
        <w:t xml:space="preserve"> </w:t>
      </w:r>
      <w:r>
        <w:rPr>
          <w:spacing w:val="-2"/>
          <w:sz w:val="24"/>
        </w:rPr>
        <w:t>services</w:t>
      </w:r>
    </w:p>
    <w:p w:rsidR="00612801">
      <w:pPr>
        <w:pStyle w:val="ListParagraph"/>
        <w:numPr>
          <w:ilvl w:val="0"/>
          <w:numId w:val="1"/>
        </w:numPr>
        <w:tabs>
          <w:tab w:val="left" w:pos="1221"/>
        </w:tabs>
        <w:ind w:left="1221"/>
        <w:rPr>
          <w:sz w:val="24"/>
        </w:rPr>
      </w:pPr>
      <w:r>
        <w:rPr>
          <w:sz w:val="24"/>
        </w:rPr>
        <w:t>Increased</w:t>
      </w:r>
      <w:r>
        <w:rPr>
          <w:spacing w:val="-4"/>
          <w:sz w:val="24"/>
        </w:rPr>
        <w:t xml:space="preserve"> </w:t>
      </w:r>
      <w:r>
        <w:rPr>
          <w:sz w:val="24"/>
        </w:rPr>
        <w:t>escalation</w:t>
      </w:r>
      <w:r>
        <w:rPr>
          <w:spacing w:val="-3"/>
          <w:sz w:val="24"/>
        </w:rPr>
        <w:t xml:space="preserve"> </w:t>
      </w:r>
      <w:r>
        <w:rPr>
          <w:sz w:val="24"/>
        </w:rPr>
        <w:t>of</w:t>
      </w:r>
      <w:r>
        <w:rPr>
          <w:spacing w:val="-3"/>
          <w:sz w:val="24"/>
        </w:rPr>
        <w:t xml:space="preserve"> </w:t>
      </w:r>
      <w:r>
        <w:rPr>
          <w:sz w:val="24"/>
        </w:rPr>
        <w:t>needs</w:t>
      </w:r>
      <w:r>
        <w:rPr>
          <w:spacing w:val="-5"/>
          <w:sz w:val="24"/>
        </w:rPr>
        <w:t xml:space="preserve"> </w:t>
      </w:r>
      <w:r>
        <w:rPr>
          <w:sz w:val="24"/>
        </w:rPr>
        <w:t>and</w:t>
      </w:r>
      <w:r>
        <w:rPr>
          <w:spacing w:val="-5"/>
          <w:sz w:val="24"/>
        </w:rPr>
        <w:t xml:space="preserve"> </w:t>
      </w:r>
      <w:r>
        <w:rPr>
          <w:sz w:val="24"/>
        </w:rPr>
        <w:t>unplanned</w:t>
      </w:r>
      <w:r>
        <w:rPr>
          <w:spacing w:val="-4"/>
          <w:sz w:val="24"/>
        </w:rPr>
        <w:t xml:space="preserve"> </w:t>
      </w:r>
      <w:r>
        <w:rPr>
          <w:spacing w:val="-2"/>
          <w:sz w:val="24"/>
        </w:rPr>
        <w:t>admissions</w:t>
      </w:r>
    </w:p>
    <w:p w:rsidR="00612801">
      <w:pPr>
        <w:pStyle w:val="ListParagraph"/>
        <w:numPr>
          <w:ilvl w:val="0"/>
          <w:numId w:val="1"/>
        </w:numPr>
        <w:tabs>
          <w:tab w:val="left" w:pos="1221"/>
        </w:tabs>
        <w:ind w:left="1221"/>
        <w:rPr>
          <w:sz w:val="24"/>
        </w:rPr>
      </w:pPr>
      <w:r>
        <w:rPr>
          <w:sz w:val="24"/>
        </w:rPr>
        <w:t>Reduced</w:t>
      </w:r>
      <w:r>
        <w:rPr>
          <w:spacing w:val="-3"/>
          <w:sz w:val="24"/>
        </w:rPr>
        <w:t xml:space="preserve"> </w:t>
      </w:r>
      <w:r>
        <w:rPr>
          <w:sz w:val="24"/>
        </w:rPr>
        <w:t>access</w:t>
      </w:r>
      <w:r>
        <w:rPr>
          <w:spacing w:val="-2"/>
          <w:sz w:val="24"/>
        </w:rPr>
        <w:t xml:space="preserve"> </w:t>
      </w:r>
      <w:r>
        <w:rPr>
          <w:sz w:val="24"/>
        </w:rPr>
        <w:t>to</w:t>
      </w:r>
      <w:r>
        <w:rPr>
          <w:spacing w:val="-4"/>
          <w:sz w:val="24"/>
        </w:rPr>
        <w:t xml:space="preserve"> </w:t>
      </w:r>
      <w:r>
        <w:rPr>
          <w:sz w:val="24"/>
        </w:rPr>
        <w:t>wider</w:t>
      </w:r>
      <w:r>
        <w:rPr>
          <w:spacing w:val="-2"/>
          <w:sz w:val="24"/>
        </w:rPr>
        <w:t xml:space="preserve"> </w:t>
      </w:r>
      <w:r>
        <w:rPr>
          <w:sz w:val="24"/>
        </w:rPr>
        <w:t>support</w:t>
      </w:r>
      <w:r>
        <w:rPr>
          <w:spacing w:val="-2"/>
          <w:sz w:val="24"/>
        </w:rPr>
        <w:t xml:space="preserve"> services</w:t>
      </w:r>
    </w:p>
    <w:p w:rsidR="00612801">
      <w:pPr>
        <w:pStyle w:val="ListParagraph"/>
        <w:numPr>
          <w:ilvl w:val="0"/>
          <w:numId w:val="1"/>
        </w:numPr>
        <w:tabs>
          <w:tab w:val="left" w:pos="1221"/>
        </w:tabs>
        <w:ind w:left="1221"/>
        <w:rPr>
          <w:sz w:val="24"/>
        </w:rPr>
      </w:pPr>
      <w:r>
        <w:rPr>
          <w:sz w:val="24"/>
        </w:rPr>
        <w:t>Adverse</w:t>
      </w:r>
      <w:r>
        <w:rPr>
          <w:spacing w:val="-7"/>
          <w:sz w:val="24"/>
        </w:rPr>
        <w:t xml:space="preserve"> </w:t>
      </w:r>
      <w:r>
        <w:rPr>
          <w:sz w:val="24"/>
        </w:rPr>
        <w:t>impacts</w:t>
      </w:r>
      <w:r>
        <w:rPr>
          <w:spacing w:val="-4"/>
          <w:sz w:val="24"/>
        </w:rPr>
        <w:t xml:space="preserve"> </w:t>
      </w:r>
      <w:r>
        <w:rPr>
          <w:sz w:val="24"/>
        </w:rPr>
        <w:t>on</w:t>
      </w:r>
      <w:r>
        <w:rPr>
          <w:spacing w:val="-4"/>
          <w:sz w:val="24"/>
        </w:rPr>
        <w:t xml:space="preserve"> </w:t>
      </w:r>
      <w:r>
        <w:rPr>
          <w:sz w:val="24"/>
        </w:rPr>
        <w:t>education,</w:t>
      </w:r>
      <w:r>
        <w:rPr>
          <w:spacing w:val="-4"/>
          <w:sz w:val="24"/>
        </w:rPr>
        <w:t xml:space="preserve"> </w:t>
      </w:r>
      <w:r>
        <w:rPr>
          <w:sz w:val="24"/>
        </w:rPr>
        <w:t>employment</w:t>
      </w:r>
      <w:r>
        <w:rPr>
          <w:spacing w:val="-5"/>
          <w:sz w:val="24"/>
        </w:rPr>
        <w:t xml:space="preserve"> </w:t>
      </w:r>
      <w:r>
        <w:rPr>
          <w:sz w:val="24"/>
        </w:rPr>
        <w:t>and</w:t>
      </w:r>
      <w:r>
        <w:rPr>
          <w:spacing w:val="-4"/>
          <w:sz w:val="24"/>
        </w:rPr>
        <w:t xml:space="preserve"> </w:t>
      </w:r>
      <w:r>
        <w:rPr>
          <w:spacing w:val="-2"/>
          <w:sz w:val="24"/>
        </w:rPr>
        <w:t>independence</w:t>
      </w:r>
    </w:p>
    <w:p w:rsidR="00612801">
      <w:pPr>
        <w:pStyle w:val="BodyText"/>
        <w:spacing w:before="120" w:line="235" w:lineRule="auto"/>
      </w:pPr>
      <w:r>
        <w:t>This can have a particularly detrimental impact for children and young people in complex situations with multiple needs and care leavers</w:t>
      </w:r>
      <w:r>
        <w:fldChar w:fldCharType="begin"/>
      </w:r>
      <w:r>
        <w:instrText xml:space="preserve"> HYPERLINK \l "_bookmark3" </w:instrText>
      </w:r>
      <w:r>
        <w:fldChar w:fldCharType="separate"/>
      </w:r>
      <w:r>
        <w:rPr>
          <w:position w:val="8"/>
          <w:sz w:val="16"/>
        </w:rPr>
        <w:t>4</w:t>
      </w:r>
      <w:r>
        <w:fldChar w:fldCharType="end"/>
      </w:r>
      <w:r>
        <w:t>,</w:t>
      </w:r>
      <w:r>
        <w:fldChar w:fldCharType="begin"/>
      </w:r>
      <w:r>
        <w:instrText xml:space="preserve"> HYPERLINK \l "_bookmark4" </w:instrText>
      </w:r>
      <w:r>
        <w:fldChar w:fldCharType="separate"/>
      </w:r>
      <w:r>
        <w:rPr>
          <w:position w:val="8"/>
          <w:sz w:val="16"/>
        </w:rPr>
        <w:t>5</w:t>
      </w:r>
      <w:r>
        <w:fldChar w:fldCharType="end"/>
      </w:r>
      <w:r>
        <w:t>.</w:t>
      </w:r>
    </w:p>
    <w:p w:rsidR="00612801">
      <w:pPr>
        <w:pStyle w:val="BodyText"/>
        <w:spacing w:before="242"/>
        <w:ind w:left="0"/>
      </w:pPr>
    </w:p>
    <w:p w:rsidR="00612801">
      <w:pPr>
        <w:pStyle w:val="Heading1"/>
      </w:pPr>
      <w:r>
        <w:t>Drawing</w:t>
      </w:r>
      <w:r>
        <w:rPr>
          <w:spacing w:val="75"/>
        </w:rPr>
        <w:t xml:space="preserve"> </w:t>
      </w:r>
      <w:r>
        <w:t>on</w:t>
      </w:r>
      <w:r>
        <w:rPr>
          <w:spacing w:val="72"/>
        </w:rPr>
        <w:t xml:space="preserve"> </w:t>
      </w:r>
      <w:r>
        <w:t>clinical</w:t>
      </w:r>
      <w:r>
        <w:rPr>
          <w:spacing w:val="73"/>
        </w:rPr>
        <w:t xml:space="preserve"> </w:t>
      </w:r>
      <w:r>
        <w:t>insight,</w:t>
      </w:r>
      <w:r>
        <w:rPr>
          <w:spacing w:val="73"/>
        </w:rPr>
        <w:t xml:space="preserve"> </w:t>
      </w:r>
      <w:r>
        <w:t>young</w:t>
      </w:r>
      <w:r>
        <w:rPr>
          <w:spacing w:val="74"/>
        </w:rPr>
        <w:t xml:space="preserve"> </w:t>
      </w:r>
      <w:r>
        <w:t>people’s</w:t>
      </w:r>
      <w:r>
        <w:rPr>
          <w:spacing w:val="74"/>
        </w:rPr>
        <w:t xml:space="preserve"> </w:t>
      </w:r>
      <w:r>
        <w:t>voices</w:t>
      </w:r>
      <w:r>
        <w:rPr>
          <w:spacing w:val="74"/>
        </w:rPr>
        <w:t xml:space="preserve"> </w:t>
      </w:r>
      <w:r>
        <w:t>and</w:t>
      </w:r>
      <w:r>
        <w:rPr>
          <w:spacing w:val="72"/>
        </w:rPr>
        <w:t xml:space="preserve"> </w:t>
      </w:r>
      <w:r>
        <w:t>the</w:t>
      </w:r>
      <w:r>
        <w:rPr>
          <w:spacing w:val="76"/>
        </w:rPr>
        <w:t xml:space="preserve"> </w:t>
      </w:r>
      <w:r>
        <w:t>recently</w:t>
      </w:r>
      <w:r>
        <w:rPr>
          <w:spacing w:val="74"/>
        </w:rPr>
        <w:t xml:space="preserve"> </w:t>
      </w:r>
      <w:r>
        <w:t>published guidance, NHSE has set out what “good” healthcare transition looks like:</w:t>
      </w:r>
    </w:p>
    <w:p w:rsidR="00612801">
      <w:pPr>
        <w:pStyle w:val="BodyText"/>
        <w:ind w:left="0"/>
        <w:rPr>
          <w:rFonts w:ascii="Arial"/>
          <w:b/>
        </w:rPr>
      </w:pPr>
    </w:p>
    <w:p w:rsidR="00612801">
      <w:pPr>
        <w:pStyle w:val="BodyText"/>
      </w:pPr>
      <w:r>
        <w:t>Outcomes</w:t>
      </w:r>
      <w:r>
        <w:rPr>
          <w:spacing w:val="-4"/>
        </w:rPr>
        <w:t xml:space="preserve"> </w:t>
      </w:r>
      <w:r>
        <w:t>for</w:t>
      </w:r>
      <w:r>
        <w:rPr>
          <w:spacing w:val="-2"/>
        </w:rPr>
        <w:t xml:space="preserve"> </w:t>
      </w:r>
      <w:r>
        <w:t>young</w:t>
      </w:r>
      <w:r>
        <w:rPr>
          <w:spacing w:val="-3"/>
        </w:rPr>
        <w:t xml:space="preserve"> </w:t>
      </w:r>
      <w:r>
        <w:rPr>
          <w:spacing w:val="-2"/>
        </w:rPr>
        <w:t>people:</w:t>
      </w:r>
    </w:p>
    <w:p w:rsidR="00612801">
      <w:pPr>
        <w:pStyle w:val="ListParagraph"/>
        <w:numPr>
          <w:ilvl w:val="0"/>
          <w:numId w:val="1"/>
        </w:numPr>
        <w:tabs>
          <w:tab w:val="left" w:pos="1221"/>
        </w:tabs>
        <w:spacing w:before="121"/>
        <w:ind w:left="1221"/>
        <w:rPr>
          <w:sz w:val="24"/>
        </w:rPr>
      </w:pPr>
      <w:r>
        <w:rPr>
          <w:sz w:val="24"/>
        </w:rPr>
        <w:t>Feel</w:t>
      </w:r>
      <w:r>
        <w:rPr>
          <w:spacing w:val="-6"/>
          <w:sz w:val="24"/>
        </w:rPr>
        <w:t xml:space="preserve"> </w:t>
      </w:r>
      <w:r>
        <w:rPr>
          <w:sz w:val="24"/>
        </w:rPr>
        <w:t>prepared,</w:t>
      </w:r>
      <w:r>
        <w:rPr>
          <w:spacing w:val="-5"/>
          <w:sz w:val="24"/>
        </w:rPr>
        <w:t xml:space="preserve"> </w:t>
      </w:r>
      <w:r>
        <w:rPr>
          <w:sz w:val="24"/>
        </w:rPr>
        <w:t>confident</w:t>
      </w:r>
      <w:r>
        <w:rPr>
          <w:spacing w:val="-6"/>
          <w:sz w:val="24"/>
        </w:rPr>
        <w:t xml:space="preserve"> </w:t>
      </w:r>
      <w:r>
        <w:rPr>
          <w:sz w:val="24"/>
        </w:rPr>
        <w:t>and</w:t>
      </w:r>
      <w:r>
        <w:rPr>
          <w:spacing w:val="-5"/>
          <w:sz w:val="24"/>
        </w:rPr>
        <w:t xml:space="preserve"> </w:t>
      </w:r>
      <w:r>
        <w:rPr>
          <w:sz w:val="24"/>
        </w:rPr>
        <w:t>supported</w:t>
      </w:r>
      <w:r>
        <w:rPr>
          <w:spacing w:val="-7"/>
          <w:sz w:val="24"/>
        </w:rPr>
        <w:t xml:space="preserve"> </w:t>
      </w:r>
      <w:r>
        <w:rPr>
          <w:sz w:val="24"/>
        </w:rPr>
        <w:t>throughout</w:t>
      </w:r>
      <w:r>
        <w:rPr>
          <w:spacing w:val="-5"/>
          <w:sz w:val="24"/>
        </w:rPr>
        <w:t xml:space="preserve"> </w:t>
      </w:r>
      <w:r>
        <w:rPr>
          <w:spacing w:val="-2"/>
          <w:sz w:val="24"/>
        </w:rPr>
        <w:t>transition</w:t>
      </w:r>
    </w:p>
    <w:p w:rsidR="00612801">
      <w:pPr>
        <w:pStyle w:val="ListParagraph"/>
        <w:numPr>
          <w:ilvl w:val="0"/>
          <w:numId w:val="1"/>
        </w:numPr>
        <w:tabs>
          <w:tab w:val="left" w:pos="1221"/>
        </w:tabs>
        <w:ind w:left="1221"/>
        <w:rPr>
          <w:sz w:val="24"/>
        </w:rPr>
      </w:pPr>
      <w:r>
        <w:rPr>
          <w:sz w:val="24"/>
        </w:rPr>
        <w:t>Understand</w:t>
      </w:r>
      <w:r>
        <w:rPr>
          <w:spacing w:val="-5"/>
          <w:sz w:val="24"/>
        </w:rPr>
        <w:t xml:space="preserve"> </w:t>
      </w:r>
      <w:r>
        <w:rPr>
          <w:sz w:val="24"/>
        </w:rPr>
        <w:t>who</w:t>
      </w:r>
      <w:r>
        <w:rPr>
          <w:spacing w:val="-3"/>
          <w:sz w:val="24"/>
        </w:rPr>
        <w:t xml:space="preserve"> </w:t>
      </w:r>
      <w:r>
        <w:rPr>
          <w:sz w:val="24"/>
        </w:rPr>
        <w:t>is</w:t>
      </w:r>
      <w:r>
        <w:rPr>
          <w:spacing w:val="-3"/>
          <w:sz w:val="24"/>
        </w:rPr>
        <w:t xml:space="preserve"> </w:t>
      </w:r>
      <w:r>
        <w:rPr>
          <w:sz w:val="24"/>
        </w:rPr>
        <w:t>responsible</w:t>
      </w:r>
      <w:r>
        <w:rPr>
          <w:spacing w:val="-4"/>
          <w:sz w:val="24"/>
        </w:rPr>
        <w:t xml:space="preserve"> </w:t>
      </w:r>
      <w:r>
        <w:rPr>
          <w:sz w:val="24"/>
        </w:rPr>
        <w:t>for</w:t>
      </w:r>
      <w:r>
        <w:rPr>
          <w:spacing w:val="-3"/>
          <w:sz w:val="24"/>
        </w:rPr>
        <w:t xml:space="preserve"> </w:t>
      </w:r>
      <w:r>
        <w:rPr>
          <w:sz w:val="24"/>
        </w:rPr>
        <w:t>their</w:t>
      </w:r>
      <w:r>
        <w:rPr>
          <w:spacing w:val="-5"/>
          <w:sz w:val="24"/>
        </w:rPr>
        <w:t xml:space="preserve"> </w:t>
      </w:r>
      <w:r>
        <w:rPr>
          <w:sz w:val="24"/>
        </w:rPr>
        <w:t>care</w:t>
      </w:r>
      <w:r>
        <w:rPr>
          <w:spacing w:val="-7"/>
          <w:sz w:val="24"/>
        </w:rPr>
        <w:t xml:space="preserve"> </w:t>
      </w:r>
      <w:r>
        <w:rPr>
          <w:sz w:val="24"/>
        </w:rPr>
        <w:t>at</w:t>
      </w:r>
      <w:r>
        <w:rPr>
          <w:spacing w:val="-3"/>
          <w:sz w:val="24"/>
        </w:rPr>
        <w:t xml:space="preserve"> </w:t>
      </w:r>
      <w:r>
        <w:rPr>
          <w:sz w:val="24"/>
        </w:rPr>
        <w:t>each</w:t>
      </w:r>
      <w:r>
        <w:rPr>
          <w:spacing w:val="-2"/>
          <w:sz w:val="24"/>
        </w:rPr>
        <w:t xml:space="preserve"> stage</w:t>
      </w:r>
    </w:p>
    <w:p w:rsidR="00612801">
      <w:pPr>
        <w:pStyle w:val="ListParagraph"/>
        <w:numPr>
          <w:ilvl w:val="0"/>
          <w:numId w:val="1"/>
        </w:numPr>
        <w:tabs>
          <w:tab w:val="left" w:pos="1221"/>
        </w:tabs>
        <w:spacing w:before="118" w:line="336" w:lineRule="auto"/>
        <w:ind w:right="3593" w:firstLine="720"/>
        <w:rPr>
          <w:sz w:val="24"/>
        </w:rPr>
      </w:pPr>
      <w:r>
        <w:rPr>
          <w:sz w:val="24"/>
        </w:rPr>
        <w:t>Experience</w:t>
      </w:r>
      <w:r>
        <w:rPr>
          <w:spacing w:val="-8"/>
          <w:sz w:val="24"/>
        </w:rPr>
        <w:t xml:space="preserve"> </w:t>
      </w:r>
      <w:r>
        <w:rPr>
          <w:sz w:val="24"/>
        </w:rPr>
        <w:t>continuity</w:t>
      </w:r>
      <w:r>
        <w:rPr>
          <w:spacing w:val="-10"/>
          <w:sz w:val="24"/>
        </w:rPr>
        <w:t xml:space="preserve"> </w:t>
      </w:r>
      <w:r>
        <w:rPr>
          <w:sz w:val="24"/>
        </w:rPr>
        <w:t>rather</w:t>
      </w:r>
      <w:r>
        <w:rPr>
          <w:spacing w:val="-8"/>
          <w:sz w:val="24"/>
        </w:rPr>
        <w:t xml:space="preserve"> </w:t>
      </w:r>
      <w:r>
        <w:rPr>
          <w:sz w:val="24"/>
        </w:rPr>
        <w:t>than</w:t>
      </w:r>
      <w:r>
        <w:rPr>
          <w:spacing w:val="-8"/>
          <w:sz w:val="24"/>
        </w:rPr>
        <w:t xml:space="preserve"> </w:t>
      </w:r>
      <w:r>
        <w:rPr>
          <w:sz w:val="24"/>
        </w:rPr>
        <w:t>abrupt</w:t>
      </w:r>
      <w:r>
        <w:rPr>
          <w:spacing w:val="-8"/>
          <w:sz w:val="24"/>
        </w:rPr>
        <w:t xml:space="preserve"> </w:t>
      </w:r>
      <w:r>
        <w:rPr>
          <w:sz w:val="24"/>
        </w:rPr>
        <w:t>change Outcomes for families and carers</w:t>
      </w:r>
    </w:p>
    <w:p w:rsidR="00612801">
      <w:pPr>
        <w:pStyle w:val="ListParagraph"/>
        <w:numPr>
          <w:ilvl w:val="0"/>
          <w:numId w:val="1"/>
        </w:numPr>
        <w:tabs>
          <w:tab w:val="left" w:pos="1221"/>
        </w:tabs>
        <w:spacing w:before="9"/>
        <w:ind w:left="1221"/>
        <w:rPr>
          <w:sz w:val="24"/>
        </w:rPr>
      </w:pPr>
      <w:r>
        <w:rPr>
          <w:sz w:val="24"/>
        </w:rPr>
        <w:t>Understand</w:t>
      </w:r>
      <w:r>
        <w:rPr>
          <w:spacing w:val="-4"/>
          <w:sz w:val="24"/>
        </w:rPr>
        <w:t xml:space="preserve"> </w:t>
      </w:r>
      <w:r>
        <w:rPr>
          <w:sz w:val="24"/>
        </w:rPr>
        <w:t>changes</w:t>
      </w:r>
      <w:r>
        <w:rPr>
          <w:spacing w:val="-3"/>
          <w:sz w:val="24"/>
        </w:rPr>
        <w:t xml:space="preserve"> </w:t>
      </w:r>
      <w:r>
        <w:rPr>
          <w:sz w:val="24"/>
        </w:rPr>
        <w:t>in</w:t>
      </w:r>
      <w:r>
        <w:rPr>
          <w:spacing w:val="-3"/>
          <w:sz w:val="24"/>
        </w:rPr>
        <w:t xml:space="preserve"> </w:t>
      </w:r>
      <w:r>
        <w:rPr>
          <w:sz w:val="24"/>
        </w:rPr>
        <w:t>roles</w:t>
      </w:r>
      <w:r>
        <w:rPr>
          <w:spacing w:val="-3"/>
          <w:sz w:val="24"/>
        </w:rPr>
        <w:t xml:space="preserve"> </w:t>
      </w:r>
      <w:r>
        <w:rPr>
          <w:sz w:val="24"/>
        </w:rPr>
        <w:t>and</w:t>
      </w:r>
      <w:r>
        <w:rPr>
          <w:spacing w:val="-3"/>
          <w:sz w:val="24"/>
        </w:rPr>
        <w:t xml:space="preserve"> </w:t>
      </w:r>
      <w:r>
        <w:rPr>
          <w:spacing w:val="-2"/>
          <w:sz w:val="24"/>
        </w:rPr>
        <w:t>responsibilities</w:t>
      </w:r>
    </w:p>
    <w:p w:rsidR="00612801">
      <w:pPr>
        <w:pStyle w:val="BodyText"/>
        <w:ind w:left="0"/>
        <w:rPr>
          <w:sz w:val="20"/>
        </w:rPr>
      </w:pPr>
    </w:p>
    <w:p w:rsidR="00612801">
      <w:pPr>
        <w:pStyle w:val="BodyText"/>
        <w:spacing w:before="159"/>
        <w:ind w:left="0"/>
        <w:rPr>
          <w:sz w:val="20"/>
        </w:rPr>
      </w:pPr>
      <w:r>
        <w:rPr>
          <w:noProof/>
          <w:sz w:val="20"/>
        </w:rPr>
        <mc:AlternateContent>
          <mc:Choice Requires="wps">
            <w:drawing>
              <wp:anchor distT="0" distB="0" distL="0" distR="0" simplePos="0" relativeHeight="251661312" behindDoc="1" locked="0" layoutInCell="1" allowOverlap="1">
                <wp:simplePos x="0" y="0"/>
                <wp:positionH relativeFrom="page">
                  <wp:posOffset>719327</wp:posOffset>
                </wp:positionH>
                <wp:positionV relativeFrom="paragraph">
                  <wp:posOffset>262824</wp:posOffset>
                </wp:positionV>
                <wp:extent cx="1829435" cy="9525"/>
                <wp:effectExtent l="0" t="0" r="0" b="0"/>
                <wp:wrapTopAndBottom/>
                <wp:docPr id="4" name="Graphic 4"/>
                <wp:cNvGraphicFramePr/>
                <a:graphic xmlns:a="http://schemas.openxmlformats.org/drawingml/2006/main">
                  <a:graphicData uri="http://schemas.microsoft.com/office/word/2010/wordprocessingShape">
                    <wps:wsp xmlns:wps="http://schemas.microsoft.com/office/word/2010/wordprocessingShape">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4" o:spid="_x0000_s1026" style="height:0.75pt;margin-left:56.65pt;margin-top:20.7pt;mso-position-horizontal-relative:page;mso-wrap-distance-bottom:0;mso-wrap-distance-left:0;mso-wrap-distance-right:0;mso-wrap-distance-top:0;mso-wrap-style:square;position:absolute;v-text-anchor:top;visibility:visible;width:144.05pt;z-index:-251654144" coordsize="1829435,9525" path="m1829435,l,,,9143l1829435,9143l1829435,xe" fillcolor="black" stroked="f">
                <v:path arrowok="t"/>
                <w10:wrap type="topAndBottom"/>
              </v:shape>
            </w:pict>
          </mc:Fallback>
        </mc:AlternateContent>
      </w:r>
    </w:p>
    <w:p w:rsidR="00612801">
      <w:pPr>
        <w:spacing w:before="98"/>
        <w:ind w:left="140" w:right="201"/>
        <w:rPr>
          <w:sz w:val="20"/>
        </w:rPr>
      </w:pPr>
      <w:bookmarkStart w:id="3" w:name="_bookmark3"/>
      <w:bookmarkEnd w:id="3"/>
      <w:r>
        <w:rPr>
          <w:position w:val="6"/>
          <w:sz w:val="13"/>
        </w:rPr>
        <w:t>4</w:t>
      </w:r>
      <w:r>
        <w:rPr>
          <w:spacing w:val="16"/>
          <w:position w:val="6"/>
          <w:sz w:val="13"/>
        </w:rPr>
        <w:t xml:space="preserve"> </w:t>
      </w:r>
      <w:r>
        <w:fldChar w:fldCharType="begin"/>
      </w:r>
      <w:r>
        <w:instrText xml:space="preserve"> HYPERLINK "https://assets.publishing.service.gov.uk/media/68d10ccbe65dc716bfb1dbac/Improving_the_outcomes_of_looked_after_children_and_young_people_in_complex_situations_with_multiple_needs_at_risk_or_subject_to_a_deprivation_of_liberty_pdf.pdf" </w:instrText>
      </w:r>
      <w:r>
        <w:fldChar w:fldCharType="separate"/>
      </w:r>
      <w:r>
        <w:rPr>
          <w:color w:val="0462C1"/>
          <w:sz w:val="20"/>
          <w:u w:val="single" w:color="0462C1"/>
        </w:rPr>
        <w:t>Improving</w:t>
      </w:r>
      <w:r>
        <w:rPr>
          <w:color w:val="0462C1"/>
          <w:spacing w:val="-5"/>
          <w:sz w:val="20"/>
          <w:u w:val="single" w:color="0462C1"/>
        </w:rPr>
        <w:t xml:space="preserve"> </w:t>
      </w:r>
      <w:r>
        <w:rPr>
          <w:color w:val="0462C1"/>
          <w:sz w:val="20"/>
          <w:u w:val="single" w:color="0462C1"/>
        </w:rPr>
        <w:t>the</w:t>
      </w:r>
      <w:r>
        <w:rPr>
          <w:color w:val="0462C1"/>
          <w:spacing w:val="-3"/>
          <w:sz w:val="20"/>
          <w:u w:val="single" w:color="0462C1"/>
        </w:rPr>
        <w:t xml:space="preserve"> </w:t>
      </w:r>
      <w:r>
        <w:rPr>
          <w:color w:val="0462C1"/>
          <w:sz w:val="20"/>
          <w:u w:val="single" w:color="0462C1"/>
        </w:rPr>
        <w:t>outcomes</w:t>
      </w:r>
      <w:r>
        <w:rPr>
          <w:color w:val="0462C1"/>
          <w:spacing w:val="-3"/>
          <w:sz w:val="20"/>
          <w:u w:val="single" w:color="0462C1"/>
        </w:rPr>
        <w:t xml:space="preserve"> </w:t>
      </w:r>
      <w:r>
        <w:rPr>
          <w:color w:val="0462C1"/>
          <w:sz w:val="20"/>
          <w:u w:val="single" w:color="0462C1"/>
        </w:rPr>
        <w:t>of</w:t>
      </w:r>
      <w:r>
        <w:rPr>
          <w:color w:val="0462C1"/>
          <w:spacing w:val="-2"/>
          <w:sz w:val="20"/>
          <w:u w:val="single" w:color="0462C1"/>
        </w:rPr>
        <w:t xml:space="preserve"> </w:t>
      </w:r>
      <w:r>
        <w:rPr>
          <w:color w:val="0462C1"/>
          <w:sz w:val="20"/>
          <w:u w:val="single" w:color="0462C1"/>
        </w:rPr>
        <w:t>looked</w:t>
      </w:r>
      <w:r>
        <w:rPr>
          <w:color w:val="0462C1"/>
          <w:spacing w:val="-4"/>
          <w:sz w:val="20"/>
          <w:u w:val="single" w:color="0462C1"/>
        </w:rPr>
        <w:t xml:space="preserve"> </w:t>
      </w:r>
      <w:r>
        <w:rPr>
          <w:color w:val="0462C1"/>
          <w:sz w:val="20"/>
          <w:u w:val="single" w:color="0462C1"/>
        </w:rPr>
        <w:t>after</w:t>
      </w:r>
      <w:r>
        <w:rPr>
          <w:color w:val="0462C1"/>
          <w:spacing w:val="-4"/>
          <w:sz w:val="20"/>
          <w:u w:val="single" w:color="0462C1"/>
        </w:rPr>
        <w:t xml:space="preserve"> </w:t>
      </w:r>
      <w:r>
        <w:rPr>
          <w:color w:val="0462C1"/>
          <w:sz w:val="20"/>
          <w:u w:val="single" w:color="0462C1"/>
        </w:rPr>
        <w:t>children</w:t>
      </w:r>
      <w:r>
        <w:rPr>
          <w:color w:val="0462C1"/>
          <w:spacing w:val="-4"/>
          <w:sz w:val="20"/>
          <w:u w:val="single" w:color="0462C1"/>
        </w:rPr>
        <w:t xml:space="preserve"> </w:t>
      </w:r>
      <w:r>
        <w:rPr>
          <w:color w:val="0462C1"/>
          <w:sz w:val="20"/>
          <w:u w:val="single" w:color="0462C1"/>
        </w:rPr>
        <w:t>and</w:t>
      </w:r>
      <w:r>
        <w:rPr>
          <w:color w:val="0462C1"/>
          <w:spacing w:val="-5"/>
          <w:sz w:val="20"/>
          <w:u w:val="single" w:color="0462C1"/>
        </w:rPr>
        <w:t xml:space="preserve"> </w:t>
      </w:r>
      <w:r>
        <w:rPr>
          <w:color w:val="0462C1"/>
          <w:sz w:val="20"/>
          <w:u w:val="single" w:color="0462C1"/>
        </w:rPr>
        <w:t>young</w:t>
      </w:r>
      <w:r>
        <w:rPr>
          <w:color w:val="0462C1"/>
          <w:spacing w:val="-2"/>
          <w:sz w:val="20"/>
          <w:u w:val="single" w:color="0462C1"/>
        </w:rPr>
        <w:t xml:space="preserve"> </w:t>
      </w:r>
      <w:r>
        <w:rPr>
          <w:color w:val="0462C1"/>
          <w:sz w:val="20"/>
          <w:u w:val="single" w:color="0462C1"/>
        </w:rPr>
        <w:t>people</w:t>
      </w:r>
      <w:r>
        <w:rPr>
          <w:color w:val="0462C1"/>
          <w:spacing w:val="-4"/>
          <w:sz w:val="20"/>
          <w:u w:val="single" w:color="0462C1"/>
        </w:rPr>
        <w:t xml:space="preserve"> </w:t>
      </w:r>
      <w:r>
        <w:rPr>
          <w:color w:val="0462C1"/>
          <w:sz w:val="20"/>
          <w:u w:val="single" w:color="0462C1"/>
        </w:rPr>
        <w:t>in</w:t>
      </w:r>
      <w:r>
        <w:rPr>
          <w:color w:val="0462C1"/>
          <w:spacing w:val="-4"/>
          <w:sz w:val="20"/>
          <w:u w:val="single" w:color="0462C1"/>
        </w:rPr>
        <w:t xml:space="preserve"> </w:t>
      </w:r>
      <w:r>
        <w:rPr>
          <w:color w:val="0462C1"/>
          <w:sz w:val="20"/>
          <w:u w:val="single" w:color="0462C1"/>
        </w:rPr>
        <w:t>complex</w:t>
      </w:r>
      <w:r>
        <w:rPr>
          <w:color w:val="0462C1"/>
          <w:spacing w:val="-3"/>
          <w:sz w:val="20"/>
          <w:u w:val="single" w:color="0462C1"/>
        </w:rPr>
        <w:t xml:space="preserve"> </w:t>
      </w:r>
      <w:r>
        <w:rPr>
          <w:color w:val="0462C1"/>
          <w:sz w:val="20"/>
          <w:u w:val="single" w:color="0462C1"/>
        </w:rPr>
        <w:t>situations</w:t>
      </w:r>
      <w:r>
        <w:rPr>
          <w:color w:val="0462C1"/>
          <w:spacing w:val="-3"/>
          <w:sz w:val="20"/>
          <w:u w:val="single" w:color="0462C1"/>
        </w:rPr>
        <w:t xml:space="preserve"> </w:t>
      </w:r>
      <w:r>
        <w:rPr>
          <w:color w:val="0462C1"/>
          <w:sz w:val="20"/>
          <w:u w:val="single" w:color="0462C1"/>
        </w:rPr>
        <w:t>with</w:t>
      </w:r>
      <w:r>
        <w:rPr>
          <w:color w:val="0462C1"/>
          <w:spacing w:val="-2"/>
          <w:sz w:val="20"/>
          <w:u w:val="single" w:color="0462C1"/>
        </w:rPr>
        <w:t xml:space="preserve"> </w:t>
      </w:r>
      <w:r>
        <w:rPr>
          <w:color w:val="0462C1"/>
          <w:sz w:val="20"/>
          <w:u w:val="single" w:color="0462C1"/>
        </w:rPr>
        <w:t>multiple</w:t>
      </w:r>
      <w:r>
        <w:fldChar w:fldCharType="end"/>
      </w:r>
      <w:r>
        <w:rPr>
          <w:color w:val="0462C1"/>
          <w:sz w:val="20"/>
        </w:rPr>
        <w:t xml:space="preserve"> </w:t>
      </w:r>
      <w:r>
        <w:fldChar w:fldCharType="begin"/>
      </w:r>
      <w:r>
        <w:instrText xml:space="preserve"> HYPERLINK "https://assets.publishing.service.gov.uk/media/68d10ccbe65dc716bfb1dbac/Improving_the_outcomes_of_looked_after_children_and_young_people_in_complex_situations_with_multiple_needs_at_risk_or_subject_to_a_deprivation_of_liberty_pdf.pdf" </w:instrText>
      </w:r>
      <w:r>
        <w:fldChar w:fldCharType="separate"/>
      </w:r>
      <w:r>
        <w:rPr>
          <w:color w:val="0462C1"/>
          <w:sz w:val="20"/>
          <w:u w:val="single" w:color="0462C1"/>
        </w:rPr>
        <w:t>needs, at risk or subject to a Deprivation of Liberty</w:t>
      </w:r>
      <w:r>
        <w:fldChar w:fldCharType="end"/>
      </w:r>
    </w:p>
    <w:p w:rsidR="00612801">
      <w:pPr>
        <w:ind w:left="140"/>
        <w:rPr>
          <w:sz w:val="20"/>
        </w:rPr>
      </w:pPr>
      <w:bookmarkStart w:id="4" w:name="_bookmark4"/>
      <w:bookmarkEnd w:id="4"/>
      <w:r>
        <w:rPr>
          <w:spacing w:val="-2"/>
          <w:position w:val="6"/>
          <w:sz w:val="13"/>
        </w:rPr>
        <w:t>5</w:t>
      </w:r>
      <w:r>
        <w:rPr>
          <w:spacing w:val="65"/>
          <w:position w:val="6"/>
          <w:sz w:val="13"/>
        </w:rPr>
        <w:t xml:space="preserve"> </w:t>
      </w:r>
      <w:r>
        <w:fldChar w:fldCharType="begin"/>
      </w:r>
      <w:r>
        <w:instrText xml:space="preserve"> HYPERLINK "https://nationalnetwork.org.uk/2024/SSAB-SAR-Eddie-Executive-Summary-Report-August-2024.pdf" </w:instrText>
      </w:r>
      <w:r>
        <w:fldChar w:fldCharType="separate"/>
      </w:r>
      <w:r>
        <w:rPr>
          <w:color w:val="0462C1"/>
          <w:spacing w:val="-2"/>
          <w:sz w:val="20"/>
          <w:u w:val="single" w:color="0462C1"/>
        </w:rPr>
        <w:t>SSAB-SAR-Eddie-Executive-Summary-Report-August-2024.pdf</w:t>
      </w:r>
      <w:r>
        <w:fldChar w:fldCharType="end"/>
      </w:r>
    </w:p>
    <w:p w:rsidR="00612801">
      <w:pPr>
        <w:rPr>
          <w:sz w:val="20"/>
        </w:rPr>
        <w:sectPr>
          <w:pgSz w:w="11910" w:h="16840"/>
          <w:pgMar w:top="1300" w:right="992" w:bottom="280" w:left="992" w:header="720" w:footer="720" w:gutter="0"/>
          <w:cols w:space="720"/>
        </w:sectPr>
      </w:pPr>
    </w:p>
    <w:p w:rsidR="00612801">
      <w:pPr>
        <w:pStyle w:val="ListParagraph"/>
        <w:numPr>
          <w:ilvl w:val="0"/>
          <w:numId w:val="1"/>
        </w:numPr>
        <w:tabs>
          <w:tab w:val="left" w:pos="1221"/>
        </w:tabs>
        <w:spacing w:before="77" w:line="336" w:lineRule="auto"/>
        <w:ind w:right="2791" w:firstLine="720"/>
        <w:rPr>
          <w:sz w:val="24"/>
        </w:rPr>
      </w:pPr>
      <w:r>
        <w:rPr>
          <w:sz w:val="24"/>
        </w:rPr>
        <w:t>Receive</w:t>
      </w:r>
      <w:r>
        <w:rPr>
          <w:spacing w:val="-10"/>
          <w:sz w:val="24"/>
        </w:rPr>
        <w:t xml:space="preserve"> </w:t>
      </w:r>
      <w:r>
        <w:rPr>
          <w:sz w:val="24"/>
        </w:rPr>
        <w:t>appropriate</w:t>
      </w:r>
      <w:r>
        <w:rPr>
          <w:spacing w:val="-9"/>
          <w:sz w:val="24"/>
        </w:rPr>
        <w:t xml:space="preserve"> </w:t>
      </w:r>
      <w:r>
        <w:rPr>
          <w:sz w:val="24"/>
        </w:rPr>
        <w:t>support</w:t>
      </w:r>
      <w:r>
        <w:rPr>
          <w:spacing w:val="-10"/>
          <w:sz w:val="24"/>
        </w:rPr>
        <w:t xml:space="preserve"> </w:t>
      </w:r>
      <w:r>
        <w:rPr>
          <w:sz w:val="24"/>
        </w:rPr>
        <w:t>preventing</w:t>
      </w:r>
      <w:r>
        <w:rPr>
          <w:spacing w:val="-10"/>
          <w:sz w:val="24"/>
        </w:rPr>
        <w:t xml:space="preserve"> </w:t>
      </w:r>
      <w:r>
        <w:rPr>
          <w:sz w:val="24"/>
        </w:rPr>
        <w:t>disengagement Outcomes for services and system</w:t>
      </w:r>
    </w:p>
    <w:p w:rsidR="00612801">
      <w:pPr>
        <w:pStyle w:val="ListParagraph"/>
        <w:numPr>
          <w:ilvl w:val="0"/>
          <w:numId w:val="1"/>
        </w:numPr>
        <w:tabs>
          <w:tab w:val="left" w:pos="1221"/>
        </w:tabs>
        <w:spacing w:before="11"/>
        <w:ind w:left="1221"/>
        <w:rPr>
          <w:sz w:val="24"/>
        </w:rPr>
      </w:pPr>
      <w:r>
        <w:rPr>
          <w:sz w:val="24"/>
        </w:rPr>
        <w:t>Understand</w:t>
      </w:r>
      <w:r>
        <w:rPr>
          <w:spacing w:val="-7"/>
          <w:sz w:val="24"/>
        </w:rPr>
        <w:t xml:space="preserve"> </w:t>
      </w:r>
      <w:r>
        <w:rPr>
          <w:sz w:val="24"/>
        </w:rPr>
        <w:t>their</w:t>
      </w:r>
      <w:r>
        <w:rPr>
          <w:spacing w:val="-6"/>
          <w:sz w:val="24"/>
        </w:rPr>
        <w:t xml:space="preserve"> </w:t>
      </w:r>
      <w:r>
        <w:rPr>
          <w:sz w:val="24"/>
        </w:rPr>
        <w:t>role</w:t>
      </w:r>
      <w:r>
        <w:rPr>
          <w:spacing w:val="-6"/>
          <w:sz w:val="24"/>
        </w:rPr>
        <w:t xml:space="preserve"> </w:t>
      </w:r>
      <w:r>
        <w:rPr>
          <w:sz w:val="24"/>
        </w:rPr>
        <w:t>and</w:t>
      </w:r>
      <w:r>
        <w:rPr>
          <w:spacing w:val="-4"/>
          <w:sz w:val="24"/>
        </w:rPr>
        <w:t xml:space="preserve"> </w:t>
      </w:r>
      <w:r>
        <w:rPr>
          <w:sz w:val="24"/>
        </w:rPr>
        <w:t>their</w:t>
      </w:r>
      <w:r>
        <w:rPr>
          <w:spacing w:val="-6"/>
          <w:sz w:val="24"/>
        </w:rPr>
        <w:t xml:space="preserve"> </w:t>
      </w:r>
      <w:r>
        <w:rPr>
          <w:sz w:val="24"/>
        </w:rPr>
        <w:t>responsibility</w:t>
      </w:r>
      <w:r>
        <w:rPr>
          <w:spacing w:val="-6"/>
          <w:sz w:val="24"/>
        </w:rPr>
        <w:t xml:space="preserve"> </w:t>
      </w:r>
      <w:r>
        <w:rPr>
          <w:sz w:val="24"/>
        </w:rPr>
        <w:t>within</w:t>
      </w:r>
      <w:r>
        <w:rPr>
          <w:spacing w:val="-4"/>
          <w:sz w:val="24"/>
        </w:rPr>
        <w:t xml:space="preserve"> </w:t>
      </w:r>
      <w:r>
        <w:rPr>
          <w:sz w:val="24"/>
        </w:rPr>
        <w:t>the</w:t>
      </w:r>
      <w:r>
        <w:rPr>
          <w:spacing w:val="-4"/>
          <w:sz w:val="24"/>
        </w:rPr>
        <w:t xml:space="preserve"> </w:t>
      </w:r>
      <w:r>
        <w:rPr>
          <w:sz w:val="24"/>
        </w:rPr>
        <w:t>transition</w:t>
      </w:r>
      <w:r>
        <w:rPr>
          <w:spacing w:val="-6"/>
          <w:sz w:val="24"/>
        </w:rPr>
        <w:t xml:space="preserve"> </w:t>
      </w:r>
      <w:r>
        <w:rPr>
          <w:spacing w:val="-2"/>
          <w:sz w:val="24"/>
        </w:rPr>
        <w:t>process</w:t>
      </w:r>
    </w:p>
    <w:p w:rsidR="00612801">
      <w:pPr>
        <w:pStyle w:val="ListParagraph"/>
        <w:numPr>
          <w:ilvl w:val="0"/>
          <w:numId w:val="1"/>
        </w:numPr>
        <w:tabs>
          <w:tab w:val="left" w:pos="1221"/>
        </w:tabs>
        <w:ind w:left="1221"/>
        <w:rPr>
          <w:sz w:val="24"/>
        </w:rPr>
      </w:pPr>
      <w:r>
        <w:rPr>
          <w:sz w:val="24"/>
        </w:rPr>
        <w:t>Improved</w:t>
      </w:r>
      <w:r>
        <w:rPr>
          <w:spacing w:val="-5"/>
          <w:sz w:val="24"/>
        </w:rPr>
        <w:t xml:space="preserve"> </w:t>
      </w:r>
      <w:r>
        <w:rPr>
          <w:sz w:val="24"/>
        </w:rPr>
        <w:t>engagement</w:t>
      </w:r>
      <w:r>
        <w:rPr>
          <w:spacing w:val="-4"/>
          <w:sz w:val="24"/>
        </w:rPr>
        <w:t xml:space="preserve"> </w:t>
      </w:r>
      <w:r>
        <w:rPr>
          <w:sz w:val="24"/>
        </w:rPr>
        <w:t>and</w:t>
      </w:r>
      <w:r>
        <w:rPr>
          <w:spacing w:val="-5"/>
          <w:sz w:val="24"/>
        </w:rPr>
        <w:t xml:space="preserve"> </w:t>
      </w:r>
      <w:r>
        <w:rPr>
          <w:sz w:val="24"/>
        </w:rPr>
        <w:t>retention</w:t>
      </w:r>
      <w:r>
        <w:rPr>
          <w:spacing w:val="-4"/>
          <w:sz w:val="24"/>
        </w:rPr>
        <w:t xml:space="preserve"> </w:t>
      </w:r>
      <w:r>
        <w:rPr>
          <w:sz w:val="24"/>
        </w:rPr>
        <w:t>in</w:t>
      </w:r>
      <w:r>
        <w:rPr>
          <w:spacing w:val="-2"/>
          <w:sz w:val="24"/>
        </w:rPr>
        <w:t xml:space="preserve"> </w:t>
      </w:r>
      <w:r>
        <w:rPr>
          <w:spacing w:val="-4"/>
          <w:sz w:val="24"/>
        </w:rPr>
        <w:t>care</w:t>
      </w:r>
    </w:p>
    <w:p w:rsidR="00612801">
      <w:pPr>
        <w:pStyle w:val="ListParagraph"/>
        <w:numPr>
          <w:ilvl w:val="0"/>
          <w:numId w:val="1"/>
        </w:numPr>
        <w:tabs>
          <w:tab w:val="left" w:pos="1221"/>
        </w:tabs>
        <w:spacing w:before="116"/>
        <w:ind w:left="1221"/>
        <w:rPr>
          <w:sz w:val="24"/>
        </w:rPr>
      </w:pPr>
      <w:r>
        <w:rPr>
          <w:sz w:val="24"/>
        </w:rPr>
        <w:t>Better</w:t>
      </w:r>
      <w:r>
        <w:rPr>
          <w:spacing w:val="-5"/>
          <w:sz w:val="24"/>
        </w:rPr>
        <w:t xml:space="preserve"> </w:t>
      </w:r>
      <w:r>
        <w:rPr>
          <w:sz w:val="24"/>
        </w:rPr>
        <w:t>outcomes</w:t>
      </w:r>
      <w:r>
        <w:rPr>
          <w:spacing w:val="-2"/>
          <w:sz w:val="24"/>
        </w:rPr>
        <w:t xml:space="preserve"> </w:t>
      </w:r>
      <w:r>
        <w:rPr>
          <w:sz w:val="24"/>
        </w:rPr>
        <w:t>for</w:t>
      </w:r>
      <w:r>
        <w:rPr>
          <w:spacing w:val="-3"/>
          <w:sz w:val="24"/>
        </w:rPr>
        <w:t xml:space="preserve"> </w:t>
      </w:r>
      <w:r>
        <w:rPr>
          <w:sz w:val="24"/>
        </w:rPr>
        <w:t>young</w:t>
      </w:r>
      <w:r>
        <w:rPr>
          <w:spacing w:val="-3"/>
          <w:sz w:val="24"/>
        </w:rPr>
        <w:t xml:space="preserve"> </w:t>
      </w:r>
      <w:r>
        <w:rPr>
          <w:spacing w:val="-2"/>
          <w:sz w:val="24"/>
        </w:rPr>
        <w:t>people</w:t>
      </w:r>
    </w:p>
    <w:p w:rsidR="00612801">
      <w:pPr>
        <w:pStyle w:val="ListParagraph"/>
        <w:numPr>
          <w:ilvl w:val="0"/>
          <w:numId w:val="1"/>
        </w:numPr>
        <w:tabs>
          <w:tab w:val="left" w:pos="1221"/>
        </w:tabs>
        <w:ind w:left="1221"/>
        <w:rPr>
          <w:sz w:val="24"/>
        </w:rPr>
      </w:pPr>
      <w:r>
        <w:rPr>
          <w:sz w:val="24"/>
        </w:rPr>
        <w:t>Reduced</w:t>
      </w:r>
      <w:r>
        <w:rPr>
          <w:spacing w:val="-4"/>
          <w:sz w:val="24"/>
        </w:rPr>
        <w:t xml:space="preserve"> </w:t>
      </w:r>
      <w:r>
        <w:rPr>
          <w:sz w:val="24"/>
        </w:rPr>
        <w:t>crisis</w:t>
      </w:r>
      <w:r>
        <w:rPr>
          <w:spacing w:val="-4"/>
          <w:sz w:val="24"/>
        </w:rPr>
        <w:t xml:space="preserve"> </w:t>
      </w:r>
      <w:r>
        <w:rPr>
          <w:sz w:val="24"/>
        </w:rPr>
        <w:t>escalation</w:t>
      </w:r>
      <w:r>
        <w:rPr>
          <w:spacing w:val="-3"/>
          <w:sz w:val="24"/>
        </w:rPr>
        <w:t xml:space="preserve"> </w:t>
      </w:r>
      <w:r>
        <w:rPr>
          <w:sz w:val="24"/>
        </w:rPr>
        <w:t>and</w:t>
      </w:r>
      <w:r>
        <w:rPr>
          <w:spacing w:val="-6"/>
          <w:sz w:val="24"/>
        </w:rPr>
        <w:t xml:space="preserve"> </w:t>
      </w:r>
      <w:r>
        <w:rPr>
          <w:sz w:val="24"/>
        </w:rPr>
        <w:t>unplanned</w:t>
      </w:r>
      <w:r>
        <w:rPr>
          <w:spacing w:val="-5"/>
          <w:sz w:val="24"/>
        </w:rPr>
        <w:t xml:space="preserve"> </w:t>
      </w:r>
      <w:r>
        <w:rPr>
          <w:spacing w:val="-2"/>
          <w:sz w:val="24"/>
        </w:rPr>
        <w:t>admissions</w:t>
      </w:r>
    </w:p>
    <w:p w:rsidR="00612801">
      <w:pPr>
        <w:pStyle w:val="BodyText"/>
        <w:spacing w:before="118"/>
        <w:ind w:right="142"/>
        <w:jc w:val="both"/>
      </w:pPr>
      <w:r>
        <w:t>In a health context, a young person’s transition journey varies depending on local hospital policy.</w:t>
      </w:r>
      <w:r>
        <w:rPr>
          <w:spacing w:val="-2"/>
        </w:rPr>
        <w:t xml:space="preserve"> </w:t>
      </w:r>
      <w:r>
        <w:t>These</w:t>
      </w:r>
      <w:r>
        <w:rPr>
          <w:spacing w:val="-2"/>
        </w:rPr>
        <w:t xml:space="preserve"> </w:t>
      </w:r>
      <w:r>
        <w:t>policies</w:t>
      </w:r>
      <w:r>
        <w:rPr>
          <w:spacing w:val="-2"/>
        </w:rPr>
        <w:t xml:space="preserve"> </w:t>
      </w:r>
      <w:r>
        <w:t>are</w:t>
      </w:r>
      <w:r>
        <w:rPr>
          <w:spacing w:val="-2"/>
        </w:rPr>
        <w:t xml:space="preserve"> </w:t>
      </w:r>
      <w:r>
        <w:t>often</w:t>
      </w:r>
      <w:r>
        <w:rPr>
          <w:spacing w:val="-2"/>
        </w:rPr>
        <w:t xml:space="preserve"> </w:t>
      </w:r>
      <w:r>
        <w:t>based</w:t>
      </w:r>
      <w:r>
        <w:rPr>
          <w:spacing w:val="-2"/>
        </w:rPr>
        <w:t xml:space="preserve"> </w:t>
      </w:r>
      <w:r>
        <w:t>on</w:t>
      </w:r>
      <w:r>
        <w:rPr>
          <w:spacing w:val="-4"/>
        </w:rPr>
        <w:t xml:space="preserve"> </w:t>
      </w:r>
      <w:r>
        <w:t>age</w:t>
      </w:r>
      <w:r>
        <w:rPr>
          <w:spacing w:val="-2"/>
        </w:rPr>
        <w:t xml:space="preserve"> </w:t>
      </w:r>
      <w:r>
        <w:t>cut</w:t>
      </w:r>
      <w:r>
        <w:rPr>
          <w:spacing w:val="-2"/>
        </w:rPr>
        <w:t xml:space="preserve"> </w:t>
      </w:r>
      <w:r>
        <w:t>offs</w:t>
      </w:r>
      <w:r>
        <w:t xml:space="preserve"> at</w:t>
      </w:r>
      <w:r>
        <w:rPr>
          <w:spacing w:val="-2"/>
        </w:rPr>
        <w:t xml:space="preserve"> </w:t>
      </w:r>
      <w:r>
        <w:t>16</w:t>
      </w:r>
      <w:r>
        <w:rPr>
          <w:spacing w:val="-2"/>
        </w:rPr>
        <w:t xml:space="preserve"> </w:t>
      </w:r>
      <w:r>
        <w:t>and</w:t>
      </w:r>
      <w:r>
        <w:rPr>
          <w:spacing w:val="-2"/>
        </w:rPr>
        <w:t xml:space="preserve"> </w:t>
      </w:r>
      <w:r>
        <w:t>18,</w:t>
      </w:r>
      <w:r>
        <w:rPr>
          <w:spacing w:val="-4"/>
        </w:rPr>
        <w:t xml:space="preserve"> </w:t>
      </w:r>
      <w:r>
        <w:t>rather</w:t>
      </w:r>
      <w:r>
        <w:rPr>
          <w:spacing w:val="-2"/>
        </w:rPr>
        <w:t xml:space="preserve"> </w:t>
      </w:r>
      <w:r>
        <w:t>than</w:t>
      </w:r>
      <w:r>
        <w:rPr>
          <w:spacing w:val="-2"/>
        </w:rPr>
        <w:t xml:space="preserve"> </w:t>
      </w:r>
      <w:r>
        <w:t>necessarily reflecting individual needs. Where there are capacity constraints in adult health services, this can result in delayed access to care and disruptions in continuity of care. NHSE’s updated</w:t>
      </w:r>
      <w:r>
        <w:rPr>
          <w:spacing w:val="-11"/>
        </w:rPr>
        <w:t xml:space="preserve"> </w:t>
      </w:r>
      <w:r>
        <w:t>guidance</w:t>
      </w:r>
      <w:r>
        <w:rPr>
          <w:spacing w:val="-8"/>
        </w:rPr>
        <w:t xml:space="preserve"> </w:t>
      </w:r>
      <w:r>
        <w:t>is</w:t>
      </w:r>
      <w:r>
        <w:rPr>
          <w:spacing w:val="-10"/>
        </w:rPr>
        <w:t xml:space="preserve"> </w:t>
      </w:r>
      <w:r>
        <w:t>designed</w:t>
      </w:r>
      <w:r>
        <w:rPr>
          <w:spacing w:val="-8"/>
        </w:rPr>
        <w:t xml:space="preserve"> </w:t>
      </w:r>
      <w:r>
        <w:t>to</w:t>
      </w:r>
      <w:r>
        <w:rPr>
          <w:spacing w:val="-8"/>
        </w:rPr>
        <w:t xml:space="preserve"> </w:t>
      </w:r>
      <w:r>
        <w:t>help</w:t>
      </w:r>
      <w:r>
        <w:rPr>
          <w:spacing w:val="-9"/>
        </w:rPr>
        <w:t xml:space="preserve"> </w:t>
      </w:r>
      <w:r>
        <w:t>drive</w:t>
      </w:r>
      <w:r>
        <w:rPr>
          <w:spacing w:val="-11"/>
        </w:rPr>
        <w:t xml:space="preserve"> </w:t>
      </w:r>
      <w:r>
        <w:t>more</w:t>
      </w:r>
      <w:r>
        <w:rPr>
          <w:spacing w:val="-9"/>
        </w:rPr>
        <w:t xml:space="preserve"> </w:t>
      </w:r>
      <w:r>
        <w:t>consistent</w:t>
      </w:r>
      <w:r>
        <w:rPr>
          <w:spacing w:val="-11"/>
        </w:rPr>
        <w:t xml:space="preserve"> </w:t>
      </w:r>
      <w:r>
        <w:t>good</w:t>
      </w:r>
      <w:r>
        <w:rPr>
          <w:spacing w:val="-8"/>
        </w:rPr>
        <w:t xml:space="preserve"> </w:t>
      </w:r>
      <w:r>
        <w:t>practice</w:t>
      </w:r>
      <w:r>
        <w:rPr>
          <w:spacing w:val="-6"/>
        </w:rPr>
        <w:t xml:space="preserve"> </w:t>
      </w:r>
      <w:r>
        <w:t>in</w:t>
      </w:r>
      <w:r>
        <w:rPr>
          <w:spacing w:val="-8"/>
        </w:rPr>
        <w:t xml:space="preserve"> </w:t>
      </w:r>
      <w:r>
        <w:t>planning</w:t>
      </w:r>
      <w:r>
        <w:rPr>
          <w:spacing w:val="-8"/>
        </w:rPr>
        <w:t xml:space="preserve"> </w:t>
      </w:r>
      <w:r>
        <w:t xml:space="preserve">these </w:t>
      </w:r>
      <w:r>
        <w:rPr>
          <w:spacing w:val="-2"/>
        </w:rPr>
        <w:t>transitions.</w:t>
      </w:r>
    </w:p>
    <w:p w:rsidR="00612801">
      <w:pPr>
        <w:pStyle w:val="BodyText"/>
        <w:spacing w:before="121"/>
        <w:ind w:right="152"/>
        <w:jc w:val="both"/>
      </w:pPr>
      <w:r>
        <w:t>Examples</w:t>
      </w:r>
      <w:r>
        <w:rPr>
          <w:spacing w:val="-3"/>
        </w:rPr>
        <w:t xml:space="preserve"> </w:t>
      </w:r>
      <w:r>
        <w:t>of</w:t>
      </w:r>
      <w:r>
        <w:rPr>
          <w:spacing w:val="-3"/>
        </w:rPr>
        <w:t xml:space="preserve"> </w:t>
      </w:r>
      <w:r>
        <w:t>current</w:t>
      </w:r>
      <w:r>
        <w:rPr>
          <w:spacing w:val="-3"/>
        </w:rPr>
        <w:t xml:space="preserve"> </w:t>
      </w:r>
      <w:r>
        <w:t>service models</w:t>
      </w:r>
      <w:r>
        <w:rPr>
          <w:spacing w:val="-1"/>
        </w:rPr>
        <w:t xml:space="preserve"> </w:t>
      </w:r>
      <w:r>
        <w:t>that</w:t>
      </w:r>
      <w:r>
        <w:rPr>
          <w:spacing w:val="-3"/>
        </w:rPr>
        <w:t xml:space="preserve"> </w:t>
      </w:r>
      <w:r>
        <w:t>are</w:t>
      </w:r>
      <w:r>
        <w:rPr>
          <w:spacing w:val="-6"/>
        </w:rPr>
        <w:t xml:space="preserve"> </w:t>
      </w:r>
      <w:r>
        <w:t>delivering</w:t>
      </w:r>
      <w:r>
        <w:rPr>
          <w:spacing w:val="-3"/>
        </w:rPr>
        <w:t xml:space="preserve"> </w:t>
      </w:r>
      <w:r>
        <w:t>positive</w:t>
      </w:r>
      <w:r>
        <w:rPr>
          <w:spacing w:val="-3"/>
        </w:rPr>
        <w:t xml:space="preserve"> </w:t>
      </w:r>
      <w:r>
        <w:t>outcomes</w:t>
      </w:r>
      <w:r>
        <w:rPr>
          <w:spacing w:val="-3"/>
        </w:rPr>
        <w:t xml:space="preserve"> </w:t>
      </w:r>
      <w:r>
        <w:t>for</w:t>
      </w:r>
      <w:r>
        <w:rPr>
          <w:spacing w:val="-2"/>
        </w:rPr>
        <w:t xml:space="preserve"> </w:t>
      </w:r>
      <w:r>
        <w:t>young</w:t>
      </w:r>
      <w:r>
        <w:rPr>
          <w:spacing w:val="-2"/>
        </w:rPr>
        <w:t xml:space="preserve"> </w:t>
      </w:r>
      <w:r>
        <w:t xml:space="preserve">people </w:t>
      </w:r>
      <w:r>
        <w:rPr>
          <w:spacing w:val="-2"/>
        </w:rPr>
        <w:t>include:</w:t>
      </w:r>
    </w:p>
    <w:p w:rsidR="00612801">
      <w:pPr>
        <w:pStyle w:val="ListParagraph"/>
        <w:numPr>
          <w:ilvl w:val="1"/>
          <w:numId w:val="2"/>
        </w:numPr>
        <w:tabs>
          <w:tab w:val="left" w:pos="861"/>
        </w:tabs>
        <w:spacing w:before="1" w:line="276" w:lineRule="auto"/>
        <w:ind w:right="143"/>
        <w:jc w:val="both"/>
        <w:rPr>
          <w:rFonts w:ascii="Symbol" w:hAnsi="Symbol"/>
          <w:sz w:val="24"/>
        </w:rPr>
      </w:pPr>
      <w:r>
        <w:rPr>
          <w:sz w:val="24"/>
        </w:rPr>
        <w:t>Birmingham Children’s Hospital has introduced a Standard Operating Procedure to support the care of 16–17-year-olds admitted to hospital, providing clarity on care arrangements</w:t>
      </w:r>
      <w:r>
        <w:rPr>
          <w:spacing w:val="80"/>
          <w:sz w:val="24"/>
        </w:rPr>
        <w:t xml:space="preserve"> </w:t>
      </w:r>
      <w:r>
        <w:rPr>
          <w:sz w:val="24"/>
        </w:rPr>
        <w:t>and</w:t>
      </w:r>
      <w:r>
        <w:rPr>
          <w:spacing w:val="80"/>
          <w:sz w:val="24"/>
        </w:rPr>
        <w:t xml:space="preserve"> </w:t>
      </w:r>
      <w:r>
        <w:rPr>
          <w:sz w:val="24"/>
        </w:rPr>
        <w:t>oversight</w:t>
      </w:r>
      <w:r>
        <w:rPr>
          <w:spacing w:val="80"/>
          <w:sz w:val="24"/>
        </w:rPr>
        <w:t xml:space="preserve"> </w:t>
      </w:r>
      <w:r>
        <w:rPr>
          <w:sz w:val="24"/>
        </w:rPr>
        <w:t>of</w:t>
      </w:r>
      <w:r>
        <w:rPr>
          <w:spacing w:val="80"/>
          <w:sz w:val="24"/>
        </w:rPr>
        <w:t xml:space="preserve"> </w:t>
      </w:r>
      <w:r>
        <w:rPr>
          <w:sz w:val="24"/>
        </w:rPr>
        <w:t>where</w:t>
      </w:r>
      <w:r>
        <w:rPr>
          <w:spacing w:val="80"/>
          <w:sz w:val="24"/>
        </w:rPr>
        <w:t xml:space="preserve"> </w:t>
      </w:r>
      <w:r>
        <w:rPr>
          <w:sz w:val="24"/>
        </w:rPr>
        <w:t>young</w:t>
      </w:r>
      <w:r>
        <w:rPr>
          <w:spacing w:val="80"/>
          <w:sz w:val="24"/>
        </w:rPr>
        <w:t xml:space="preserve"> </w:t>
      </w:r>
      <w:r>
        <w:rPr>
          <w:sz w:val="24"/>
        </w:rPr>
        <w:t>people</w:t>
      </w:r>
      <w:r>
        <w:rPr>
          <w:spacing w:val="80"/>
          <w:sz w:val="24"/>
        </w:rPr>
        <w:t xml:space="preserve"> </w:t>
      </w:r>
      <w:r>
        <w:rPr>
          <w:sz w:val="24"/>
        </w:rPr>
        <w:t>are</w:t>
      </w:r>
      <w:r>
        <w:rPr>
          <w:spacing w:val="80"/>
          <w:sz w:val="24"/>
        </w:rPr>
        <w:t xml:space="preserve"> </w:t>
      </w:r>
      <w:r>
        <w:rPr>
          <w:sz w:val="24"/>
        </w:rPr>
        <w:t>treated,</w:t>
      </w:r>
      <w:r>
        <w:rPr>
          <w:spacing w:val="80"/>
          <w:sz w:val="24"/>
        </w:rPr>
        <w:t xml:space="preserve"> </w:t>
      </w:r>
      <w:r>
        <w:rPr>
          <w:sz w:val="24"/>
        </w:rPr>
        <w:t>to</w:t>
      </w:r>
      <w:r>
        <w:rPr>
          <w:spacing w:val="80"/>
          <w:sz w:val="24"/>
        </w:rPr>
        <w:t xml:space="preserve"> </w:t>
      </w:r>
      <w:r>
        <w:rPr>
          <w:sz w:val="24"/>
        </w:rPr>
        <w:t>ensure age-appropriate care and effective safeguarding.</w:t>
      </w:r>
    </w:p>
    <w:p w:rsidR="00612801">
      <w:pPr>
        <w:pStyle w:val="ListParagraph"/>
        <w:numPr>
          <w:ilvl w:val="1"/>
          <w:numId w:val="2"/>
        </w:numPr>
        <w:tabs>
          <w:tab w:val="left" w:pos="861"/>
        </w:tabs>
        <w:spacing w:before="3" w:line="278" w:lineRule="auto"/>
        <w:ind w:right="139"/>
        <w:jc w:val="both"/>
        <w:rPr>
          <w:rFonts w:ascii="Symbol" w:hAnsi="Symbol"/>
          <w:sz w:val="24"/>
        </w:rPr>
      </w:pPr>
      <w:r>
        <w:rPr>
          <w:sz w:val="24"/>
        </w:rPr>
        <w:t>Leeds Teaching Hospitals NHS Trust operates a Youth Service providing specialist and advocacy support for young people aged 13–25, with youth workers embedded across</w:t>
      </w:r>
      <w:r>
        <w:rPr>
          <w:spacing w:val="-9"/>
          <w:sz w:val="24"/>
        </w:rPr>
        <w:t xml:space="preserve"> </w:t>
      </w:r>
      <w:r>
        <w:rPr>
          <w:sz w:val="24"/>
        </w:rPr>
        <w:t>a</w:t>
      </w:r>
      <w:r>
        <w:rPr>
          <w:spacing w:val="-8"/>
          <w:sz w:val="24"/>
        </w:rPr>
        <w:t xml:space="preserve"> </w:t>
      </w:r>
      <w:r>
        <w:rPr>
          <w:sz w:val="24"/>
        </w:rPr>
        <w:t>range</w:t>
      </w:r>
      <w:r>
        <w:rPr>
          <w:spacing w:val="-11"/>
          <w:sz w:val="24"/>
        </w:rPr>
        <w:t xml:space="preserve"> </w:t>
      </w:r>
      <w:r>
        <w:rPr>
          <w:sz w:val="24"/>
        </w:rPr>
        <w:t>of</w:t>
      </w:r>
      <w:r>
        <w:rPr>
          <w:spacing w:val="-9"/>
          <w:sz w:val="24"/>
        </w:rPr>
        <w:t xml:space="preserve"> </w:t>
      </w:r>
      <w:r>
        <w:rPr>
          <w:sz w:val="24"/>
        </w:rPr>
        <w:t>specialties</w:t>
      </w:r>
      <w:r>
        <w:rPr>
          <w:spacing w:val="-9"/>
          <w:sz w:val="24"/>
        </w:rPr>
        <w:t xml:space="preserve"> </w:t>
      </w:r>
      <w:r>
        <w:rPr>
          <w:sz w:val="24"/>
        </w:rPr>
        <w:t>and</w:t>
      </w:r>
      <w:r>
        <w:rPr>
          <w:spacing w:val="-8"/>
          <w:sz w:val="24"/>
        </w:rPr>
        <w:t xml:space="preserve"> </w:t>
      </w:r>
      <w:r>
        <w:rPr>
          <w:sz w:val="24"/>
        </w:rPr>
        <w:t>emergency</w:t>
      </w:r>
      <w:r>
        <w:rPr>
          <w:spacing w:val="-12"/>
          <w:sz w:val="24"/>
        </w:rPr>
        <w:t xml:space="preserve"> </w:t>
      </w:r>
      <w:r>
        <w:rPr>
          <w:sz w:val="24"/>
        </w:rPr>
        <w:t>care.</w:t>
      </w:r>
      <w:r>
        <w:rPr>
          <w:spacing w:val="-8"/>
          <w:sz w:val="24"/>
        </w:rPr>
        <w:t xml:space="preserve"> </w:t>
      </w:r>
      <w:r>
        <w:rPr>
          <w:sz w:val="24"/>
        </w:rPr>
        <w:t>As</w:t>
      </w:r>
      <w:r>
        <w:rPr>
          <w:spacing w:val="-12"/>
          <w:sz w:val="24"/>
        </w:rPr>
        <w:t xml:space="preserve"> </w:t>
      </w:r>
      <w:r>
        <w:rPr>
          <w:sz w:val="24"/>
        </w:rPr>
        <w:t>part</w:t>
      </w:r>
      <w:r>
        <w:rPr>
          <w:spacing w:val="-12"/>
          <w:sz w:val="24"/>
        </w:rPr>
        <w:t xml:space="preserve"> </w:t>
      </w:r>
      <w:r>
        <w:rPr>
          <w:sz w:val="24"/>
        </w:rPr>
        <w:t>of</w:t>
      </w:r>
      <w:r>
        <w:rPr>
          <w:spacing w:val="-11"/>
          <w:sz w:val="24"/>
        </w:rPr>
        <w:t xml:space="preserve"> </w:t>
      </w:r>
      <w:r>
        <w:rPr>
          <w:sz w:val="24"/>
        </w:rPr>
        <w:t>multidisciplinary</w:t>
      </w:r>
      <w:r>
        <w:rPr>
          <w:spacing w:val="-10"/>
          <w:sz w:val="24"/>
        </w:rPr>
        <w:t xml:space="preserve"> </w:t>
      </w:r>
      <w:r>
        <w:rPr>
          <w:sz w:val="24"/>
        </w:rPr>
        <w:t>teams, youth workers support inpatient and outpatient care and play a key role in transition planning, helping young people and families prepare for adult services and manage risk safely.</w:t>
      </w:r>
    </w:p>
    <w:p w:rsidR="00612801">
      <w:pPr>
        <w:pStyle w:val="BodyText"/>
        <w:spacing w:before="112"/>
        <w:ind w:right="142"/>
        <w:jc w:val="both"/>
      </w:pPr>
      <w:r>
        <w:t>The recently launched project to improve transitions into ASC will explore how far similar challenges</w:t>
      </w:r>
      <w:r>
        <w:rPr>
          <w:spacing w:val="-8"/>
        </w:rPr>
        <w:t xml:space="preserve"> </w:t>
      </w:r>
      <w:r>
        <w:t>arise</w:t>
      </w:r>
      <w:r>
        <w:rPr>
          <w:spacing w:val="-5"/>
        </w:rPr>
        <w:t xml:space="preserve"> </w:t>
      </w:r>
      <w:r>
        <w:t>in</w:t>
      </w:r>
      <w:r>
        <w:rPr>
          <w:spacing w:val="-7"/>
        </w:rPr>
        <w:t xml:space="preserve"> </w:t>
      </w:r>
      <w:r>
        <w:t>relation</w:t>
      </w:r>
      <w:r>
        <w:rPr>
          <w:spacing w:val="-7"/>
        </w:rPr>
        <w:t xml:space="preserve"> </w:t>
      </w:r>
      <w:r>
        <w:t>to</w:t>
      </w:r>
      <w:r>
        <w:rPr>
          <w:spacing w:val="-6"/>
        </w:rPr>
        <w:t xml:space="preserve"> </w:t>
      </w:r>
      <w:r>
        <w:t>social</w:t>
      </w:r>
      <w:r>
        <w:rPr>
          <w:spacing w:val="-8"/>
        </w:rPr>
        <w:t xml:space="preserve"> </w:t>
      </w:r>
      <w:r>
        <w:t>care</w:t>
      </w:r>
      <w:r>
        <w:rPr>
          <w:spacing w:val="-8"/>
        </w:rPr>
        <w:t xml:space="preserve"> </w:t>
      </w:r>
      <w:r>
        <w:t>and</w:t>
      </w:r>
      <w:r>
        <w:rPr>
          <w:spacing w:val="-7"/>
        </w:rPr>
        <w:t xml:space="preserve"> </w:t>
      </w:r>
      <w:r>
        <w:t>what</w:t>
      </w:r>
      <w:r>
        <w:rPr>
          <w:spacing w:val="-7"/>
        </w:rPr>
        <w:t xml:space="preserve"> </w:t>
      </w:r>
      <w:r>
        <w:t>good</w:t>
      </w:r>
      <w:r>
        <w:rPr>
          <w:spacing w:val="-7"/>
        </w:rPr>
        <w:t xml:space="preserve"> </w:t>
      </w:r>
      <w:r>
        <w:t>practice</w:t>
      </w:r>
      <w:r>
        <w:rPr>
          <w:spacing w:val="-7"/>
        </w:rPr>
        <w:t xml:space="preserve"> </w:t>
      </w:r>
      <w:r>
        <w:t>looks</w:t>
      </w:r>
      <w:r>
        <w:rPr>
          <w:spacing w:val="-5"/>
        </w:rPr>
        <w:t xml:space="preserve"> </w:t>
      </w:r>
      <w:r>
        <w:t>like,</w:t>
      </w:r>
      <w:r>
        <w:rPr>
          <w:spacing w:val="-5"/>
        </w:rPr>
        <w:t xml:space="preserve"> </w:t>
      </w:r>
      <w:r>
        <w:t>working</w:t>
      </w:r>
      <w:r>
        <w:rPr>
          <w:spacing w:val="-5"/>
        </w:rPr>
        <w:t xml:space="preserve"> </w:t>
      </w:r>
      <w:r>
        <w:t>closely with those who deliver and receive care.</w:t>
      </w:r>
    </w:p>
    <w:p w:rsidR="00612801">
      <w:pPr>
        <w:pStyle w:val="BodyText"/>
        <w:spacing w:before="240"/>
        <w:ind w:left="0"/>
      </w:pPr>
    </w:p>
    <w:p w:rsidR="00612801">
      <w:pPr>
        <w:ind w:left="140" w:right="143"/>
        <w:jc w:val="both"/>
        <w:rPr>
          <w:sz w:val="24"/>
        </w:rPr>
      </w:pPr>
      <w:r>
        <w:rPr>
          <w:rFonts w:ascii="Arial"/>
          <w:b/>
          <w:sz w:val="24"/>
        </w:rPr>
        <w:t xml:space="preserve">The data picture in transitions is limited </w:t>
      </w:r>
      <w:r>
        <w:rPr>
          <w:sz w:val="24"/>
        </w:rPr>
        <w:t>and there is a lack of quality data to draw on. This can make it hard for us to understand at the national level the experiences of people moving through the system.</w:t>
      </w:r>
    </w:p>
    <w:p w:rsidR="00612801">
      <w:pPr>
        <w:spacing w:before="120"/>
        <w:ind w:left="140"/>
        <w:jc w:val="both"/>
        <w:rPr>
          <w:sz w:val="24"/>
        </w:rPr>
      </w:pPr>
      <w:r>
        <w:rPr>
          <w:rFonts w:ascii="Arial"/>
          <w:b/>
          <w:sz w:val="24"/>
        </w:rPr>
        <w:t>Within</w:t>
      </w:r>
      <w:r>
        <w:rPr>
          <w:rFonts w:ascii="Arial"/>
          <w:b/>
          <w:spacing w:val="-5"/>
          <w:sz w:val="24"/>
        </w:rPr>
        <w:t xml:space="preserve"> </w:t>
      </w:r>
      <w:r>
        <w:rPr>
          <w:rFonts w:ascii="Arial"/>
          <w:b/>
          <w:sz w:val="24"/>
        </w:rPr>
        <w:t>social</w:t>
      </w:r>
      <w:r>
        <w:rPr>
          <w:rFonts w:ascii="Arial"/>
          <w:b/>
          <w:spacing w:val="-4"/>
          <w:sz w:val="24"/>
        </w:rPr>
        <w:t xml:space="preserve"> </w:t>
      </w:r>
      <w:r>
        <w:rPr>
          <w:rFonts w:ascii="Arial"/>
          <w:b/>
          <w:sz w:val="24"/>
        </w:rPr>
        <w:t>care</w:t>
      </w:r>
      <w:r>
        <w:rPr>
          <w:sz w:val="24"/>
        </w:rPr>
        <w:t>,</w:t>
      </w:r>
      <w:r>
        <w:rPr>
          <w:spacing w:val="-3"/>
          <w:sz w:val="24"/>
        </w:rPr>
        <w:t xml:space="preserve"> </w:t>
      </w:r>
      <w:r>
        <w:rPr>
          <w:sz w:val="24"/>
        </w:rPr>
        <w:t>this</w:t>
      </w:r>
      <w:r>
        <w:rPr>
          <w:spacing w:val="-3"/>
          <w:sz w:val="24"/>
        </w:rPr>
        <w:t xml:space="preserve"> </w:t>
      </w:r>
      <w:r>
        <w:rPr>
          <w:sz w:val="24"/>
        </w:rPr>
        <w:t>is</w:t>
      </w:r>
      <w:r>
        <w:rPr>
          <w:spacing w:val="-2"/>
          <w:sz w:val="24"/>
        </w:rPr>
        <w:t xml:space="preserve"> </w:t>
      </w:r>
      <w:r>
        <w:rPr>
          <w:sz w:val="24"/>
        </w:rPr>
        <w:t>because</w:t>
      </w:r>
      <w:r>
        <w:rPr>
          <w:spacing w:val="-4"/>
          <w:sz w:val="24"/>
        </w:rPr>
        <w:t xml:space="preserve"> </w:t>
      </w:r>
      <w:r>
        <w:rPr>
          <w:sz w:val="24"/>
        </w:rPr>
        <w:t>of</w:t>
      </w:r>
      <w:r>
        <w:rPr>
          <w:spacing w:val="-3"/>
          <w:sz w:val="24"/>
        </w:rPr>
        <w:t xml:space="preserve"> </w:t>
      </w:r>
      <w:r>
        <w:rPr>
          <w:sz w:val="24"/>
        </w:rPr>
        <w:t>issues</w:t>
      </w:r>
      <w:r>
        <w:rPr>
          <w:spacing w:val="-4"/>
          <w:sz w:val="24"/>
        </w:rPr>
        <w:t xml:space="preserve"> </w:t>
      </w:r>
      <w:r>
        <w:rPr>
          <w:sz w:val="24"/>
        </w:rPr>
        <w:t>with</w:t>
      </w:r>
      <w:r>
        <w:rPr>
          <w:spacing w:val="-2"/>
          <w:sz w:val="24"/>
        </w:rPr>
        <w:t xml:space="preserve"> </w:t>
      </w:r>
      <w:r>
        <w:rPr>
          <w:sz w:val="24"/>
        </w:rPr>
        <w:t>data</w:t>
      </w:r>
      <w:r>
        <w:rPr>
          <w:spacing w:val="-3"/>
          <w:sz w:val="24"/>
        </w:rPr>
        <w:t xml:space="preserve"> </w:t>
      </w:r>
      <w:r>
        <w:rPr>
          <w:sz w:val="24"/>
        </w:rPr>
        <w:t>collection</w:t>
      </w:r>
      <w:r>
        <w:rPr>
          <w:spacing w:val="-2"/>
          <w:sz w:val="24"/>
        </w:rPr>
        <w:t xml:space="preserve"> </w:t>
      </w:r>
      <w:r>
        <w:rPr>
          <w:sz w:val="24"/>
        </w:rPr>
        <w:t>caused</w:t>
      </w:r>
      <w:r>
        <w:rPr>
          <w:spacing w:val="-4"/>
          <w:sz w:val="24"/>
        </w:rPr>
        <w:t xml:space="preserve"> </w:t>
      </w:r>
      <w:r>
        <w:rPr>
          <w:spacing w:val="-5"/>
          <w:sz w:val="24"/>
        </w:rPr>
        <w:t>by:</w:t>
      </w:r>
    </w:p>
    <w:p w:rsidR="00612801">
      <w:pPr>
        <w:pStyle w:val="ListParagraph"/>
        <w:numPr>
          <w:ilvl w:val="2"/>
          <w:numId w:val="2"/>
        </w:numPr>
        <w:tabs>
          <w:tab w:val="left" w:pos="1220"/>
        </w:tabs>
        <w:spacing w:before="121"/>
        <w:ind w:left="1220" w:hanging="359"/>
        <w:jc w:val="both"/>
        <w:rPr>
          <w:sz w:val="24"/>
        </w:rPr>
      </w:pPr>
      <w:r>
        <w:rPr>
          <w:sz w:val="24"/>
        </w:rPr>
        <w:t>Variation</w:t>
      </w:r>
      <w:r>
        <w:rPr>
          <w:spacing w:val="-8"/>
          <w:sz w:val="24"/>
        </w:rPr>
        <w:t xml:space="preserve"> </w:t>
      </w:r>
      <w:r>
        <w:rPr>
          <w:sz w:val="24"/>
        </w:rPr>
        <w:t>in</w:t>
      </w:r>
      <w:r>
        <w:rPr>
          <w:spacing w:val="-3"/>
          <w:sz w:val="24"/>
        </w:rPr>
        <w:t xml:space="preserve"> </w:t>
      </w:r>
      <w:r>
        <w:rPr>
          <w:sz w:val="24"/>
        </w:rPr>
        <w:t>how</w:t>
      </w:r>
      <w:r>
        <w:rPr>
          <w:spacing w:val="-3"/>
          <w:sz w:val="24"/>
        </w:rPr>
        <w:t xml:space="preserve"> </w:t>
      </w:r>
      <w:r>
        <w:rPr>
          <w:sz w:val="24"/>
        </w:rPr>
        <w:t>LAs</w:t>
      </w:r>
      <w:r>
        <w:rPr>
          <w:spacing w:val="-6"/>
          <w:sz w:val="24"/>
        </w:rPr>
        <w:t xml:space="preserve"> </w:t>
      </w:r>
      <w:r>
        <w:rPr>
          <w:sz w:val="24"/>
        </w:rPr>
        <w:t>capture</w:t>
      </w:r>
      <w:r>
        <w:rPr>
          <w:spacing w:val="-6"/>
          <w:sz w:val="24"/>
        </w:rPr>
        <w:t xml:space="preserve"> </w:t>
      </w:r>
      <w:r>
        <w:rPr>
          <w:sz w:val="24"/>
        </w:rPr>
        <w:t>and</w:t>
      </w:r>
      <w:r>
        <w:rPr>
          <w:spacing w:val="-3"/>
          <w:sz w:val="24"/>
        </w:rPr>
        <w:t xml:space="preserve"> </w:t>
      </w:r>
      <w:r>
        <w:rPr>
          <w:sz w:val="24"/>
        </w:rPr>
        <w:t>record</w:t>
      </w:r>
      <w:r>
        <w:rPr>
          <w:spacing w:val="-3"/>
          <w:sz w:val="24"/>
        </w:rPr>
        <w:t xml:space="preserve"> </w:t>
      </w:r>
      <w:r>
        <w:rPr>
          <w:sz w:val="24"/>
        </w:rPr>
        <w:t>transitions</w:t>
      </w:r>
      <w:r>
        <w:rPr>
          <w:spacing w:val="-3"/>
          <w:sz w:val="24"/>
        </w:rPr>
        <w:t xml:space="preserve"> </w:t>
      </w:r>
      <w:r>
        <w:rPr>
          <w:spacing w:val="-2"/>
          <w:sz w:val="24"/>
        </w:rPr>
        <w:t>information</w:t>
      </w:r>
    </w:p>
    <w:p w:rsidR="00612801">
      <w:pPr>
        <w:pStyle w:val="ListParagraph"/>
        <w:numPr>
          <w:ilvl w:val="2"/>
          <w:numId w:val="2"/>
        </w:numPr>
        <w:tabs>
          <w:tab w:val="left" w:pos="1221"/>
        </w:tabs>
        <w:spacing w:before="116"/>
        <w:ind w:right="146"/>
        <w:jc w:val="both"/>
        <w:rPr>
          <w:sz w:val="24"/>
        </w:rPr>
      </w:pPr>
      <w:r>
        <w:rPr>
          <w:sz w:val="24"/>
        </w:rPr>
        <w:t>Inconsistent recording on local case management systems (CMS) (for example where there is joint responsibility between children’s and adults’ teams)</w:t>
      </w:r>
    </w:p>
    <w:p w:rsidR="00612801">
      <w:pPr>
        <w:pStyle w:val="ListParagraph"/>
        <w:numPr>
          <w:ilvl w:val="2"/>
          <w:numId w:val="2"/>
        </w:numPr>
        <w:tabs>
          <w:tab w:val="left" w:pos="1221"/>
        </w:tabs>
        <w:spacing w:before="120"/>
        <w:ind w:right="150"/>
        <w:jc w:val="both"/>
        <w:rPr>
          <w:sz w:val="24"/>
        </w:rPr>
      </w:pPr>
      <w:r>
        <w:rPr>
          <w:sz w:val="24"/>
        </w:rPr>
        <w:t xml:space="preserve">The difficulty of linking individual records in the absence of </w:t>
      </w:r>
      <w:r>
        <w:rPr>
          <w:sz w:val="24"/>
        </w:rPr>
        <w:t>standardised</w:t>
      </w:r>
      <w:r>
        <w:rPr>
          <w:sz w:val="24"/>
        </w:rPr>
        <w:t xml:space="preserve"> person identifiers in children’s data collections</w:t>
      </w:r>
    </w:p>
    <w:p w:rsidR="00612801">
      <w:pPr>
        <w:pStyle w:val="ListParagraph"/>
        <w:numPr>
          <w:ilvl w:val="2"/>
          <w:numId w:val="2"/>
        </w:numPr>
        <w:tabs>
          <w:tab w:val="left" w:pos="1220"/>
        </w:tabs>
        <w:ind w:left="1220" w:hanging="359"/>
        <w:jc w:val="both"/>
        <w:rPr>
          <w:sz w:val="24"/>
        </w:rPr>
      </w:pPr>
      <w:r>
        <w:rPr>
          <w:sz w:val="24"/>
        </w:rPr>
        <w:t>the</w:t>
      </w:r>
      <w:r>
        <w:rPr>
          <w:spacing w:val="-5"/>
          <w:sz w:val="24"/>
        </w:rPr>
        <w:t xml:space="preserve"> </w:t>
      </w:r>
      <w:r>
        <w:rPr>
          <w:sz w:val="24"/>
        </w:rPr>
        <w:t>lack</w:t>
      </w:r>
      <w:r>
        <w:rPr>
          <w:spacing w:val="-6"/>
          <w:sz w:val="24"/>
        </w:rPr>
        <w:t xml:space="preserve"> </w:t>
      </w:r>
      <w:r>
        <w:rPr>
          <w:sz w:val="24"/>
        </w:rPr>
        <w:t>of</w:t>
      </w:r>
      <w:r>
        <w:rPr>
          <w:spacing w:val="-3"/>
          <w:sz w:val="24"/>
        </w:rPr>
        <w:t xml:space="preserve"> </w:t>
      </w:r>
      <w:r>
        <w:rPr>
          <w:sz w:val="24"/>
        </w:rPr>
        <w:t>specific</w:t>
      </w:r>
      <w:r>
        <w:rPr>
          <w:spacing w:val="-3"/>
          <w:sz w:val="24"/>
        </w:rPr>
        <w:t xml:space="preserve"> </w:t>
      </w:r>
      <w:r>
        <w:rPr>
          <w:sz w:val="24"/>
        </w:rPr>
        <w:t>national</w:t>
      </w:r>
      <w:r>
        <w:rPr>
          <w:spacing w:val="-6"/>
          <w:sz w:val="24"/>
        </w:rPr>
        <w:t xml:space="preserve"> </w:t>
      </w:r>
      <w:r>
        <w:rPr>
          <w:sz w:val="24"/>
        </w:rPr>
        <w:t>data</w:t>
      </w:r>
      <w:r>
        <w:rPr>
          <w:spacing w:val="-4"/>
          <w:sz w:val="24"/>
        </w:rPr>
        <w:t xml:space="preserve"> </w:t>
      </w:r>
      <w:r>
        <w:rPr>
          <w:sz w:val="24"/>
        </w:rPr>
        <w:t>collections</w:t>
      </w:r>
      <w:r>
        <w:rPr>
          <w:spacing w:val="-3"/>
          <w:sz w:val="24"/>
        </w:rPr>
        <w:t xml:space="preserve"> </w:t>
      </w:r>
      <w:r>
        <w:rPr>
          <w:sz w:val="24"/>
        </w:rPr>
        <w:t>on</w:t>
      </w:r>
      <w:r>
        <w:rPr>
          <w:spacing w:val="-3"/>
          <w:sz w:val="24"/>
        </w:rPr>
        <w:t xml:space="preserve"> </w:t>
      </w:r>
      <w:r>
        <w:rPr>
          <w:sz w:val="24"/>
        </w:rPr>
        <w:t>transitional</w:t>
      </w:r>
      <w:r>
        <w:rPr>
          <w:spacing w:val="-2"/>
          <w:sz w:val="24"/>
        </w:rPr>
        <w:t xml:space="preserve"> services</w:t>
      </w:r>
    </w:p>
    <w:p w:rsidR="00612801">
      <w:pPr>
        <w:pStyle w:val="BodyText"/>
        <w:spacing w:before="118"/>
        <w:ind w:right="145"/>
        <w:jc w:val="both"/>
      </w:pPr>
      <w:r>
        <w:rPr>
          <w:rFonts w:ascii="Arial"/>
          <w:b/>
        </w:rPr>
        <w:t>Within</w:t>
      </w:r>
      <w:r>
        <w:rPr>
          <w:rFonts w:ascii="Arial"/>
          <w:b/>
          <w:spacing w:val="-8"/>
        </w:rPr>
        <w:t xml:space="preserve"> </w:t>
      </w:r>
      <w:r>
        <w:rPr>
          <w:rFonts w:ascii="Arial"/>
          <w:b/>
        </w:rPr>
        <w:t>health</w:t>
      </w:r>
      <w:r>
        <w:t>,</w:t>
      </w:r>
      <w:r>
        <w:rPr>
          <w:spacing w:val="-7"/>
        </w:rPr>
        <w:t xml:space="preserve"> </w:t>
      </w:r>
      <w:r>
        <w:t>there</w:t>
      </w:r>
      <w:r>
        <w:rPr>
          <w:spacing w:val="-8"/>
        </w:rPr>
        <w:t xml:space="preserve"> </w:t>
      </w:r>
      <w:r>
        <w:t>is</w:t>
      </w:r>
      <w:r>
        <w:rPr>
          <w:spacing w:val="-8"/>
        </w:rPr>
        <w:t xml:space="preserve"> </w:t>
      </w:r>
      <w:r>
        <w:t>no</w:t>
      </w:r>
      <w:r>
        <w:rPr>
          <w:spacing w:val="-7"/>
        </w:rPr>
        <w:t xml:space="preserve"> </w:t>
      </w:r>
      <w:r>
        <w:t>formal</w:t>
      </w:r>
      <w:r>
        <w:rPr>
          <w:spacing w:val="-11"/>
        </w:rPr>
        <w:t xml:space="preserve"> </w:t>
      </w:r>
      <w:r>
        <w:t>dataset</w:t>
      </w:r>
      <w:r>
        <w:rPr>
          <w:spacing w:val="-10"/>
        </w:rPr>
        <w:t xml:space="preserve"> </w:t>
      </w:r>
      <w:r>
        <w:t>available</w:t>
      </w:r>
      <w:r>
        <w:rPr>
          <w:spacing w:val="-7"/>
        </w:rPr>
        <w:t xml:space="preserve"> </w:t>
      </w:r>
      <w:r>
        <w:t>to</w:t>
      </w:r>
      <w:r>
        <w:rPr>
          <w:spacing w:val="-9"/>
        </w:rPr>
        <w:t xml:space="preserve"> </w:t>
      </w:r>
      <w:r>
        <w:t>facilitate</w:t>
      </w:r>
      <w:r>
        <w:rPr>
          <w:spacing w:val="-7"/>
        </w:rPr>
        <w:t xml:space="preserve"> </w:t>
      </w:r>
      <w:r>
        <w:t>national</w:t>
      </w:r>
      <w:r>
        <w:rPr>
          <w:spacing w:val="-8"/>
        </w:rPr>
        <w:t xml:space="preserve"> </w:t>
      </w:r>
      <w:r>
        <w:t>or</w:t>
      </w:r>
      <w:r>
        <w:rPr>
          <w:spacing w:val="-8"/>
        </w:rPr>
        <w:t xml:space="preserve"> </w:t>
      </w:r>
      <w:r>
        <w:t>regional</w:t>
      </w:r>
      <w:r>
        <w:rPr>
          <w:spacing w:val="-8"/>
        </w:rPr>
        <w:t xml:space="preserve"> </w:t>
      </w:r>
      <w:r>
        <w:t>reporting of</w:t>
      </w:r>
      <w:r>
        <w:rPr>
          <w:spacing w:val="-17"/>
        </w:rPr>
        <w:t xml:space="preserve"> </w:t>
      </w:r>
      <w:r>
        <w:t>integrated</w:t>
      </w:r>
      <w:r>
        <w:rPr>
          <w:spacing w:val="-17"/>
        </w:rPr>
        <w:t xml:space="preserve"> </w:t>
      </w:r>
      <w:r>
        <w:t>care</w:t>
      </w:r>
      <w:r>
        <w:rPr>
          <w:spacing w:val="-17"/>
        </w:rPr>
        <w:t xml:space="preserve"> </w:t>
      </w:r>
      <w:r>
        <w:t>board</w:t>
      </w:r>
      <w:r>
        <w:rPr>
          <w:spacing w:val="-16"/>
        </w:rPr>
        <w:t xml:space="preserve"> </w:t>
      </w:r>
      <w:r>
        <w:t>(ICB)</w:t>
      </w:r>
      <w:r>
        <w:rPr>
          <w:spacing w:val="-17"/>
        </w:rPr>
        <w:t xml:space="preserve"> </w:t>
      </w:r>
      <w:r>
        <w:t>activities</w:t>
      </w:r>
      <w:r>
        <w:rPr>
          <w:spacing w:val="-17"/>
        </w:rPr>
        <w:t xml:space="preserve"> </w:t>
      </w:r>
      <w:r>
        <w:t>in</w:t>
      </w:r>
      <w:r>
        <w:rPr>
          <w:spacing w:val="-17"/>
        </w:rPr>
        <w:t xml:space="preserve"> </w:t>
      </w:r>
      <w:r>
        <w:t>relation</w:t>
      </w:r>
      <w:r>
        <w:rPr>
          <w:spacing w:val="-17"/>
        </w:rPr>
        <w:t xml:space="preserve"> </w:t>
      </w:r>
      <w:r>
        <w:t>to</w:t>
      </w:r>
      <w:r>
        <w:rPr>
          <w:spacing w:val="-16"/>
        </w:rPr>
        <w:t xml:space="preserve"> </w:t>
      </w:r>
      <w:r>
        <w:t>CYPCC</w:t>
      </w:r>
      <w:r>
        <w:rPr>
          <w:spacing w:val="-18"/>
        </w:rPr>
        <w:t xml:space="preserve"> </w:t>
      </w:r>
      <w:r>
        <w:t>transition</w:t>
      </w:r>
      <w:r>
        <w:rPr>
          <w:spacing w:val="-17"/>
        </w:rPr>
        <w:t xml:space="preserve"> </w:t>
      </w:r>
      <w:r>
        <w:t>planning.</w:t>
      </w:r>
      <w:r>
        <w:rPr>
          <w:spacing w:val="-19"/>
        </w:rPr>
        <w:t xml:space="preserve"> </w:t>
      </w:r>
      <w:r>
        <w:t>While</w:t>
      </w:r>
      <w:r>
        <w:rPr>
          <w:spacing w:val="-17"/>
        </w:rPr>
        <w:t xml:space="preserve"> </w:t>
      </w:r>
      <w:r>
        <w:t>some</w:t>
      </w:r>
    </w:p>
    <w:p w:rsidR="00612801">
      <w:pPr>
        <w:pStyle w:val="BodyText"/>
        <w:jc w:val="both"/>
        <w:sectPr>
          <w:pgSz w:w="11910" w:h="16840"/>
          <w:pgMar w:top="1300" w:right="992" w:bottom="280" w:left="992" w:header="720" w:footer="720" w:gutter="0"/>
          <w:cols w:space="720"/>
        </w:sectPr>
      </w:pPr>
    </w:p>
    <w:p w:rsidR="00612801">
      <w:pPr>
        <w:pStyle w:val="BodyText"/>
        <w:spacing w:before="76"/>
        <w:ind w:right="149"/>
        <w:jc w:val="both"/>
      </w:pPr>
      <w:r>
        <w:t xml:space="preserve">ICBs do monitor and track their involvement in the transition process, these instances are </w:t>
      </w:r>
      <w:r>
        <w:rPr>
          <w:spacing w:val="-2"/>
        </w:rPr>
        <w:t>rare.</w:t>
      </w:r>
    </w:p>
    <w:p w:rsidR="00612801">
      <w:pPr>
        <w:pStyle w:val="BodyText"/>
        <w:spacing w:before="240"/>
        <w:ind w:left="0"/>
      </w:pPr>
    </w:p>
    <w:p w:rsidR="00612801">
      <w:pPr>
        <w:pStyle w:val="Heading1"/>
        <w:spacing w:before="1"/>
        <w:ind w:right="144"/>
        <w:jc w:val="both"/>
      </w:pPr>
      <w:r>
        <w:t>Across the health and care system we are working to improve care data for children and young people transitioning into adult services, by:</w:t>
      </w:r>
    </w:p>
    <w:p w:rsidR="00612801">
      <w:pPr>
        <w:pStyle w:val="ListParagraph"/>
        <w:numPr>
          <w:ilvl w:val="1"/>
          <w:numId w:val="2"/>
        </w:numPr>
        <w:tabs>
          <w:tab w:val="left" w:pos="861"/>
        </w:tabs>
        <w:spacing w:before="120"/>
        <w:ind w:right="138"/>
        <w:jc w:val="both"/>
        <w:rPr>
          <w:rFonts w:ascii="Symbol" w:hAnsi="Symbol"/>
          <w:sz w:val="20"/>
        </w:rPr>
      </w:pPr>
      <w:r>
        <w:rPr>
          <w:sz w:val="24"/>
        </w:rPr>
        <w:t>Introducing</w:t>
      </w:r>
      <w:r>
        <w:rPr>
          <w:spacing w:val="-1"/>
          <w:sz w:val="24"/>
        </w:rPr>
        <w:t xml:space="preserve"> </w:t>
      </w:r>
      <w:r>
        <w:rPr>
          <w:sz w:val="24"/>
        </w:rPr>
        <w:t>a</w:t>
      </w:r>
      <w:r>
        <w:rPr>
          <w:spacing w:val="-2"/>
          <w:sz w:val="24"/>
        </w:rPr>
        <w:t xml:space="preserve"> </w:t>
      </w:r>
      <w:r>
        <w:rPr>
          <w:sz w:val="24"/>
        </w:rPr>
        <w:t>single</w:t>
      </w:r>
      <w:r>
        <w:rPr>
          <w:spacing w:val="-2"/>
          <w:sz w:val="24"/>
        </w:rPr>
        <w:t xml:space="preserve"> </w:t>
      </w:r>
      <w:r>
        <w:rPr>
          <w:sz w:val="24"/>
        </w:rPr>
        <w:t>unique identifier</w:t>
      </w:r>
      <w:r>
        <w:rPr>
          <w:spacing w:val="-1"/>
          <w:sz w:val="24"/>
        </w:rPr>
        <w:t xml:space="preserve"> </w:t>
      </w:r>
      <w:r>
        <w:rPr>
          <w:sz w:val="24"/>
        </w:rPr>
        <w:t>for</w:t>
      </w:r>
      <w:r>
        <w:rPr>
          <w:spacing w:val="-3"/>
          <w:sz w:val="24"/>
        </w:rPr>
        <w:t xml:space="preserve"> </w:t>
      </w:r>
      <w:r>
        <w:rPr>
          <w:sz w:val="24"/>
        </w:rPr>
        <w:t>every</w:t>
      </w:r>
      <w:r>
        <w:rPr>
          <w:spacing w:val="-3"/>
          <w:sz w:val="24"/>
        </w:rPr>
        <w:t xml:space="preserve"> </w:t>
      </w:r>
      <w:r>
        <w:rPr>
          <w:sz w:val="24"/>
        </w:rPr>
        <w:t>child,</w:t>
      </w:r>
      <w:r>
        <w:rPr>
          <w:spacing w:val="-2"/>
          <w:sz w:val="24"/>
        </w:rPr>
        <w:t xml:space="preserve"> </w:t>
      </w:r>
      <w:r>
        <w:rPr>
          <w:sz w:val="24"/>
        </w:rPr>
        <w:t>including children on</w:t>
      </w:r>
      <w:r>
        <w:rPr>
          <w:spacing w:val="-2"/>
          <w:sz w:val="24"/>
        </w:rPr>
        <w:t xml:space="preserve"> </w:t>
      </w:r>
      <w:r>
        <w:rPr>
          <w:sz w:val="24"/>
        </w:rPr>
        <w:t>education, health</w:t>
      </w:r>
      <w:r>
        <w:rPr>
          <w:spacing w:val="-4"/>
          <w:sz w:val="24"/>
        </w:rPr>
        <w:t xml:space="preserve"> </w:t>
      </w:r>
      <w:r>
        <w:rPr>
          <w:sz w:val="24"/>
        </w:rPr>
        <w:t>and</w:t>
      </w:r>
      <w:r>
        <w:rPr>
          <w:spacing w:val="-4"/>
          <w:sz w:val="24"/>
        </w:rPr>
        <w:t xml:space="preserve"> </w:t>
      </w:r>
      <w:r>
        <w:rPr>
          <w:sz w:val="24"/>
        </w:rPr>
        <w:t>care</w:t>
      </w:r>
      <w:r>
        <w:rPr>
          <w:spacing w:val="-5"/>
          <w:sz w:val="24"/>
        </w:rPr>
        <w:t xml:space="preserve"> </w:t>
      </w:r>
      <w:r>
        <w:rPr>
          <w:sz w:val="24"/>
        </w:rPr>
        <w:t>plans</w:t>
      </w:r>
      <w:r>
        <w:rPr>
          <w:spacing w:val="-4"/>
          <w:sz w:val="24"/>
        </w:rPr>
        <w:t xml:space="preserve"> </w:t>
      </w:r>
      <w:r>
        <w:rPr>
          <w:sz w:val="24"/>
        </w:rPr>
        <w:t>(EHCPs),</w:t>
      </w:r>
      <w:r>
        <w:rPr>
          <w:spacing w:val="-5"/>
          <w:sz w:val="24"/>
        </w:rPr>
        <w:t xml:space="preserve"> </w:t>
      </w:r>
      <w:r>
        <w:rPr>
          <w:sz w:val="24"/>
        </w:rPr>
        <w:t>children</w:t>
      </w:r>
      <w:r>
        <w:rPr>
          <w:spacing w:val="-4"/>
          <w:sz w:val="24"/>
        </w:rPr>
        <w:t xml:space="preserve"> </w:t>
      </w:r>
      <w:r>
        <w:rPr>
          <w:sz w:val="24"/>
        </w:rPr>
        <w:t>with</w:t>
      </w:r>
      <w:r>
        <w:rPr>
          <w:spacing w:val="-6"/>
          <w:sz w:val="24"/>
        </w:rPr>
        <w:t xml:space="preserve"> </w:t>
      </w:r>
      <w:r>
        <w:rPr>
          <w:sz w:val="24"/>
        </w:rPr>
        <w:t>special</w:t>
      </w:r>
      <w:r>
        <w:rPr>
          <w:spacing w:val="-4"/>
          <w:sz w:val="24"/>
        </w:rPr>
        <w:t xml:space="preserve"> </w:t>
      </w:r>
      <w:r>
        <w:rPr>
          <w:sz w:val="24"/>
        </w:rPr>
        <w:t>educational</w:t>
      </w:r>
      <w:r>
        <w:rPr>
          <w:spacing w:val="-7"/>
          <w:sz w:val="24"/>
        </w:rPr>
        <w:t xml:space="preserve"> </w:t>
      </w:r>
      <w:r>
        <w:rPr>
          <w:sz w:val="24"/>
        </w:rPr>
        <w:t>needs</w:t>
      </w:r>
      <w:r>
        <w:rPr>
          <w:spacing w:val="-4"/>
          <w:sz w:val="24"/>
        </w:rPr>
        <w:t xml:space="preserve"> </w:t>
      </w:r>
      <w:r>
        <w:rPr>
          <w:sz w:val="24"/>
        </w:rPr>
        <w:t>support</w:t>
      </w:r>
      <w:r>
        <w:rPr>
          <w:spacing w:val="-7"/>
          <w:sz w:val="24"/>
        </w:rPr>
        <w:t xml:space="preserve"> </w:t>
      </w:r>
      <w:r>
        <w:rPr>
          <w:sz w:val="24"/>
        </w:rPr>
        <w:t>and those</w:t>
      </w:r>
      <w:r>
        <w:rPr>
          <w:spacing w:val="-8"/>
          <w:sz w:val="24"/>
        </w:rPr>
        <w:t xml:space="preserve"> </w:t>
      </w:r>
      <w:r>
        <w:rPr>
          <w:sz w:val="24"/>
        </w:rPr>
        <w:t>known</w:t>
      </w:r>
      <w:r>
        <w:rPr>
          <w:spacing w:val="-9"/>
          <w:sz w:val="24"/>
        </w:rPr>
        <w:t xml:space="preserve"> </w:t>
      </w:r>
      <w:r>
        <w:rPr>
          <w:sz w:val="24"/>
        </w:rPr>
        <w:t>to</w:t>
      </w:r>
      <w:r>
        <w:rPr>
          <w:spacing w:val="-8"/>
          <w:sz w:val="24"/>
        </w:rPr>
        <w:t xml:space="preserve"> </w:t>
      </w:r>
      <w:r>
        <w:rPr>
          <w:sz w:val="24"/>
        </w:rPr>
        <w:t>children’s</w:t>
      </w:r>
      <w:r>
        <w:rPr>
          <w:spacing w:val="-10"/>
          <w:sz w:val="24"/>
        </w:rPr>
        <w:t xml:space="preserve"> </w:t>
      </w:r>
      <w:r>
        <w:rPr>
          <w:sz w:val="24"/>
        </w:rPr>
        <w:t>social</w:t>
      </w:r>
      <w:r>
        <w:rPr>
          <w:spacing w:val="-9"/>
          <w:sz w:val="24"/>
        </w:rPr>
        <w:t xml:space="preserve"> </w:t>
      </w:r>
      <w:r>
        <w:rPr>
          <w:sz w:val="24"/>
        </w:rPr>
        <w:t>care.</w:t>
      </w:r>
      <w:r>
        <w:rPr>
          <w:spacing w:val="-8"/>
          <w:sz w:val="24"/>
        </w:rPr>
        <w:t xml:space="preserve"> </w:t>
      </w:r>
      <w:r>
        <w:rPr>
          <w:sz w:val="24"/>
        </w:rPr>
        <w:t>Piloting</w:t>
      </w:r>
      <w:r>
        <w:rPr>
          <w:spacing w:val="-11"/>
          <w:sz w:val="24"/>
        </w:rPr>
        <w:t xml:space="preserve"> </w:t>
      </w:r>
      <w:r>
        <w:rPr>
          <w:sz w:val="24"/>
        </w:rPr>
        <w:t>is</w:t>
      </w:r>
      <w:r>
        <w:rPr>
          <w:spacing w:val="-10"/>
          <w:sz w:val="24"/>
        </w:rPr>
        <w:t xml:space="preserve"> </w:t>
      </w:r>
      <w:r>
        <w:rPr>
          <w:sz w:val="24"/>
        </w:rPr>
        <w:t>already</w:t>
      </w:r>
      <w:r>
        <w:rPr>
          <w:spacing w:val="-9"/>
          <w:sz w:val="24"/>
        </w:rPr>
        <w:t xml:space="preserve"> </w:t>
      </w:r>
      <w:r>
        <w:rPr>
          <w:sz w:val="24"/>
        </w:rPr>
        <w:t>underway,</w:t>
      </w:r>
      <w:r>
        <w:rPr>
          <w:spacing w:val="-9"/>
          <w:sz w:val="24"/>
        </w:rPr>
        <w:t xml:space="preserve"> </w:t>
      </w:r>
      <w:r>
        <w:rPr>
          <w:sz w:val="24"/>
        </w:rPr>
        <w:t>with</w:t>
      </w:r>
      <w:r>
        <w:rPr>
          <w:spacing w:val="-8"/>
          <w:sz w:val="24"/>
        </w:rPr>
        <w:t xml:space="preserve"> </w:t>
      </w:r>
      <w:r>
        <w:rPr>
          <w:sz w:val="24"/>
        </w:rPr>
        <w:t>joint</w:t>
      </w:r>
      <w:r>
        <w:rPr>
          <w:spacing w:val="-9"/>
          <w:sz w:val="24"/>
        </w:rPr>
        <w:t xml:space="preserve"> </w:t>
      </w:r>
      <w:r>
        <w:rPr>
          <w:sz w:val="24"/>
        </w:rPr>
        <w:t>working between DfE, DHSC and NHSE.</w:t>
      </w:r>
    </w:p>
    <w:p w:rsidR="00612801">
      <w:pPr>
        <w:pStyle w:val="ListParagraph"/>
        <w:numPr>
          <w:ilvl w:val="1"/>
          <w:numId w:val="2"/>
        </w:numPr>
        <w:tabs>
          <w:tab w:val="left" w:pos="861"/>
        </w:tabs>
        <w:spacing w:before="120"/>
        <w:ind w:right="145"/>
        <w:jc w:val="both"/>
        <w:rPr>
          <w:rFonts w:ascii="Symbol" w:hAnsi="Symbol"/>
          <w:sz w:val="20"/>
        </w:rPr>
      </w:pPr>
      <w:r>
        <w:rPr>
          <w:sz w:val="24"/>
        </w:rPr>
        <w:t xml:space="preserve">Promoting interoperability of local systems through our case management systems (CMS) data standards </w:t>
      </w:r>
      <w:r>
        <w:rPr>
          <w:sz w:val="24"/>
        </w:rPr>
        <w:t>programme</w:t>
      </w:r>
      <w:r>
        <w:rPr>
          <w:sz w:val="24"/>
        </w:rPr>
        <w:t xml:space="preserve"> (joint with DfE’s </w:t>
      </w:r>
      <w:r>
        <w:rPr>
          <w:sz w:val="24"/>
        </w:rPr>
        <w:t>programme</w:t>
      </w:r>
      <w:r>
        <w:rPr>
          <w:sz w:val="24"/>
        </w:rPr>
        <w:t xml:space="preserve">) which aims to promote data </w:t>
      </w:r>
      <w:r>
        <w:rPr>
          <w:sz w:val="24"/>
        </w:rPr>
        <w:t>standardisation</w:t>
      </w:r>
      <w:r>
        <w:rPr>
          <w:sz w:val="24"/>
        </w:rPr>
        <w:t xml:space="preserve"> and interoperability across local authority digital </w:t>
      </w:r>
      <w:r>
        <w:rPr>
          <w:spacing w:val="-2"/>
          <w:sz w:val="24"/>
        </w:rPr>
        <w:t>systems.</w:t>
      </w:r>
    </w:p>
    <w:p w:rsidR="00612801">
      <w:pPr>
        <w:pStyle w:val="ListParagraph"/>
        <w:numPr>
          <w:ilvl w:val="1"/>
          <w:numId w:val="2"/>
        </w:numPr>
        <w:tabs>
          <w:tab w:val="left" w:pos="861"/>
        </w:tabs>
        <w:spacing w:before="120"/>
        <w:ind w:right="147"/>
        <w:jc w:val="both"/>
        <w:rPr>
          <w:rFonts w:ascii="Symbol" w:hAnsi="Symbol"/>
          <w:sz w:val="20"/>
        </w:rPr>
      </w:pPr>
      <w:r>
        <w:rPr>
          <w:sz w:val="24"/>
        </w:rPr>
        <w:t>Improving national reporting via our client level data (CLD) collection for ASC. CLD records every</w:t>
      </w:r>
      <w:r>
        <w:rPr>
          <w:spacing w:val="-1"/>
          <w:sz w:val="24"/>
        </w:rPr>
        <w:t xml:space="preserve"> </w:t>
      </w:r>
      <w:r>
        <w:rPr>
          <w:sz w:val="24"/>
        </w:rPr>
        <w:t>ASC event that takes place in</w:t>
      </w:r>
      <w:r>
        <w:rPr>
          <w:spacing w:val="-2"/>
          <w:sz w:val="24"/>
        </w:rPr>
        <w:t xml:space="preserve"> </w:t>
      </w:r>
      <w:r>
        <w:rPr>
          <w:sz w:val="24"/>
        </w:rPr>
        <w:t>local authorities. In January</w:t>
      </w:r>
      <w:r>
        <w:rPr>
          <w:spacing w:val="-1"/>
          <w:sz w:val="24"/>
        </w:rPr>
        <w:t xml:space="preserve"> </w:t>
      </w:r>
      <w:r>
        <w:rPr>
          <w:sz w:val="24"/>
        </w:rPr>
        <w:t>2025, CLD guidance</w:t>
      </w:r>
      <w:r>
        <w:rPr>
          <w:spacing w:val="-4"/>
          <w:sz w:val="24"/>
        </w:rPr>
        <w:t xml:space="preserve"> </w:t>
      </w:r>
      <w:r>
        <w:rPr>
          <w:sz w:val="24"/>
        </w:rPr>
        <w:t>was</w:t>
      </w:r>
      <w:r>
        <w:rPr>
          <w:spacing w:val="-4"/>
          <w:sz w:val="24"/>
        </w:rPr>
        <w:t xml:space="preserve"> </w:t>
      </w:r>
      <w:r>
        <w:rPr>
          <w:sz w:val="24"/>
        </w:rPr>
        <w:t>updated</w:t>
      </w:r>
      <w:r>
        <w:rPr>
          <w:spacing w:val="-6"/>
          <w:sz w:val="24"/>
        </w:rPr>
        <w:t xml:space="preserve"> </w:t>
      </w:r>
      <w:r>
        <w:rPr>
          <w:sz w:val="24"/>
        </w:rPr>
        <w:t>to</w:t>
      </w:r>
      <w:r>
        <w:rPr>
          <w:spacing w:val="-4"/>
          <w:sz w:val="24"/>
        </w:rPr>
        <w:t xml:space="preserve"> </w:t>
      </w:r>
      <w:r>
        <w:rPr>
          <w:sz w:val="24"/>
        </w:rPr>
        <w:t>better</w:t>
      </w:r>
      <w:r>
        <w:rPr>
          <w:spacing w:val="-4"/>
          <w:sz w:val="24"/>
        </w:rPr>
        <w:t xml:space="preserve"> </w:t>
      </w:r>
      <w:r>
        <w:rPr>
          <w:sz w:val="24"/>
        </w:rPr>
        <w:t>capture</w:t>
      </w:r>
      <w:r>
        <w:rPr>
          <w:spacing w:val="-4"/>
          <w:sz w:val="24"/>
        </w:rPr>
        <w:t xml:space="preserve"> </w:t>
      </w:r>
      <w:r>
        <w:rPr>
          <w:sz w:val="24"/>
        </w:rPr>
        <w:t>“planned</w:t>
      </w:r>
      <w:r>
        <w:rPr>
          <w:spacing w:val="-4"/>
          <w:sz w:val="24"/>
        </w:rPr>
        <w:t xml:space="preserve"> </w:t>
      </w:r>
      <w:r>
        <w:rPr>
          <w:sz w:val="24"/>
        </w:rPr>
        <w:t>transition</w:t>
      </w:r>
      <w:r>
        <w:rPr>
          <w:spacing w:val="-3"/>
          <w:sz w:val="24"/>
        </w:rPr>
        <w:t xml:space="preserve"> </w:t>
      </w:r>
      <w:r>
        <w:rPr>
          <w:sz w:val="24"/>
        </w:rPr>
        <w:t>from</w:t>
      </w:r>
      <w:r>
        <w:rPr>
          <w:spacing w:val="-3"/>
          <w:sz w:val="24"/>
        </w:rPr>
        <w:t xml:space="preserve"> </w:t>
      </w:r>
      <w:r>
        <w:rPr>
          <w:sz w:val="24"/>
        </w:rPr>
        <w:t>children’s</w:t>
      </w:r>
      <w:r>
        <w:rPr>
          <w:spacing w:val="-4"/>
          <w:sz w:val="24"/>
        </w:rPr>
        <w:t xml:space="preserve"> </w:t>
      </w:r>
      <w:r>
        <w:rPr>
          <w:sz w:val="24"/>
        </w:rPr>
        <w:t>services” as part of the mandatory collection, including requests from young people with learning disabilities who had completed courses at residential colleges.</w:t>
      </w:r>
    </w:p>
    <w:p w:rsidR="00612801">
      <w:pPr>
        <w:pStyle w:val="ListParagraph"/>
        <w:numPr>
          <w:ilvl w:val="1"/>
          <w:numId w:val="2"/>
        </w:numPr>
        <w:tabs>
          <w:tab w:val="left" w:pos="861"/>
        </w:tabs>
        <w:spacing w:before="121"/>
        <w:ind w:right="147"/>
        <w:jc w:val="both"/>
        <w:rPr>
          <w:rFonts w:ascii="Symbol" w:hAnsi="Symbol"/>
          <w:sz w:val="20"/>
        </w:rPr>
      </w:pPr>
      <w:r>
        <w:rPr>
          <w:sz w:val="24"/>
        </w:rPr>
        <w:t>Exploring the feasibility of linking adults’ and children’s records at the national level, including those held by DfE and DHSC</w:t>
      </w:r>
    </w:p>
    <w:p w:rsidR="00612801">
      <w:pPr>
        <w:pStyle w:val="ListParagraph"/>
        <w:numPr>
          <w:ilvl w:val="1"/>
          <w:numId w:val="2"/>
        </w:numPr>
        <w:tabs>
          <w:tab w:val="left" w:pos="861"/>
        </w:tabs>
        <w:spacing w:before="120"/>
        <w:ind w:right="145"/>
        <w:jc w:val="both"/>
        <w:rPr>
          <w:rFonts w:ascii="Symbol" w:hAnsi="Symbol"/>
          <w:sz w:val="20"/>
        </w:rPr>
      </w:pPr>
      <w:r>
        <w:rPr>
          <w:sz w:val="24"/>
        </w:rPr>
        <w:t>Specifying</w:t>
      </w:r>
      <w:r>
        <w:rPr>
          <w:spacing w:val="-6"/>
          <w:sz w:val="24"/>
        </w:rPr>
        <w:t xml:space="preserve"> </w:t>
      </w:r>
      <w:r>
        <w:rPr>
          <w:sz w:val="24"/>
        </w:rPr>
        <w:t>required</w:t>
      </w:r>
      <w:r>
        <w:rPr>
          <w:spacing w:val="-6"/>
          <w:sz w:val="24"/>
        </w:rPr>
        <w:t xml:space="preserve"> </w:t>
      </w:r>
      <w:r>
        <w:rPr>
          <w:sz w:val="24"/>
        </w:rPr>
        <w:t>improvements</w:t>
      </w:r>
      <w:r>
        <w:rPr>
          <w:spacing w:val="-6"/>
          <w:sz w:val="24"/>
        </w:rPr>
        <w:t xml:space="preserve"> </w:t>
      </w:r>
      <w:r>
        <w:rPr>
          <w:sz w:val="24"/>
        </w:rPr>
        <w:t>to</w:t>
      </w:r>
      <w:r>
        <w:rPr>
          <w:spacing w:val="-5"/>
          <w:sz w:val="24"/>
        </w:rPr>
        <w:t xml:space="preserve"> </w:t>
      </w:r>
      <w:r>
        <w:rPr>
          <w:sz w:val="24"/>
        </w:rPr>
        <w:t>recording</w:t>
      </w:r>
      <w:r>
        <w:rPr>
          <w:spacing w:val="-6"/>
          <w:sz w:val="24"/>
        </w:rPr>
        <w:t xml:space="preserve"> </w:t>
      </w:r>
      <w:r>
        <w:rPr>
          <w:sz w:val="24"/>
        </w:rPr>
        <w:t>and</w:t>
      </w:r>
      <w:r>
        <w:rPr>
          <w:spacing w:val="-6"/>
          <w:sz w:val="24"/>
        </w:rPr>
        <w:t xml:space="preserve"> </w:t>
      </w:r>
      <w:r>
        <w:rPr>
          <w:sz w:val="24"/>
        </w:rPr>
        <w:t>reporting</w:t>
      </w:r>
      <w:r>
        <w:rPr>
          <w:spacing w:val="-6"/>
          <w:sz w:val="24"/>
        </w:rPr>
        <w:t xml:space="preserve"> </w:t>
      </w:r>
      <w:r>
        <w:rPr>
          <w:sz w:val="24"/>
        </w:rPr>
        <w:t>as</w:t>
      </w:r>
      <w:r>
        <w:rPr>
          <w:spacing w:val="-6"/>
          <w:sz w:val="24"/>
        </w:rPr>
        <w:t xml:space="preserve"> </w:t>
      </w:r>
      <w:r>
        <w:rPr>
          <w:sz w:val="24"/>
        </w:rPr>
        <w:t>part</w:t>
      </w:r>
      <w:r>
        <w:rPr>
          <w:spacing w:val="-8"/>
          <w:sz w:val="24"/>
        </w:rPr>
        <w:t xml:space="preserve"> </w:t>
      </w:r>
      <w:r>
        <w:rPr>
          <w:sz w:val="24"/>
        </w:rPr>
        <w:t>of</w:t>
      </w:r>
      <w:r>
        <w:rPr>
          <w:spacing w:val="-6"/>
          <w:sz w:val="24"/>
        </w:rPr>
        <w:t xml:space="preserve"> </w:t>
      </w:r>
      <w:r>
        <w:rPr>
          <w:sz w:val="24"/>
        </w:rPr>
        <w:t>best</w:t>
      </w:r>
      <w:r>
        <w:rPr>
          <w:spacing w:val="-6"/>
          <w:sz w:val="24"/>
        </w:rPr>
        <w:t xml:space="preserve"> </w:t>
      </w:r>
      <w:r>
        <w:rPr>
          <w:sz w:val="24"/>
        </w:rPr>
        <w:t>practice guidance and training materials for local authorities</w:t>
      </w:r>
    </w:p>
    <w:p w:rsidR="00612801">
      <w:pPr>
        <w:pStyle w:val="BodyText"/>
        <w:spacing w:before="240"/>
        <w:ind w:left="0"/>
      </w:pPr>
    </w:p>
    <w:p w:rsidR="00612801">
      <w:pPr>
        <w:pStyle w:val="Heading1"/>
        <w:jc w:val="both"/>
      </w:pPr>
      <w:r>
        <w:t>Inspection</w:t>
      </w:r>
      <w:r>
        <w:rPr>
          <w:spacing w:val="-10"/>
        </w:rPr>
        <w:t xml:space="preserve"> </w:t>
      </w:r>
      <w:r>
        <w:t>and</w:t>
      </w:r>
      <w:r>
        <w:rPr>
          <w:spacing w:val="-4"/>
        </w:rPr>
        <w:t xml:space="preserve"> </w:t>
      </w:r>
      <w:r>
        <w:t>assurance</w:t>
      </w:r>
      <w:r>
        <w:rPr>
          <w:spacing w:val="-5"/>
        </w:rPr>
        <w:t xml:space="preserve"> </w:t>
      </w:r>
      <w:r>
        <w:t>of</w:t>
      </w:r>
      <w:r>
        <w:rPr>
          <w:spacing w:val="-7"/>
        </w:rPr>
        <w:t xml:space="preserve"> </w:t>
      </w:r>
      <w:r>
        <w:t>transitions</w:t>
      </w:r>
      <w:r>
        <w:rPr>
          <w:spacing w:val="-7"/>
        </w:rPr>
        <w:t xml:space="preserve"> </w:t>
      </w:r>
      <w:r>
        <w:t>guidance</w:t>
      </w:r>
      <w:r>
        <w:rPr>
          <w:spacing w:val="-6"/>
        </w:rPr>
        <w:t xml:space="preserve"> </w:t>
      </w:r>
      <w:r>
        <w:t>operates</w:t>
      </w:r>
      <w:r>
        <w:rPr>
          <w:spacing w:val="-5"/>
        </w:rPr>
        <w:t xml:space="preserve"> </w:t>
      </w:r>
      <w:r>
        <w:t>across</w:t>
      </w:r>
      <w:r>
        <w:rPr>
          <w:spacing w:val="-4"/>
        </w:rPr>
        <w:t xml:space="preserve"> </w:t>
      </w:r>
      <w:r>
        <w:t>multiple</w:t>
      </w:r>
      <w:r>
        <w:rPr>
          <w:spacing w:val="-6"/>
        </w:rPr>
        <w:t xml:space="preserve"> </w:t>
      </w:r>
      <w:r>
        <w:rPr>
          <w:spacing w:val="-2"/>
        </w:rPr>
        <w:t>systems.</w:t>
      </w:r>
    </w:p>
    <w:p w:rsidR="00612801">
      <w:pPr>
        <w:pStyle w:val="BodyText"/>
        <w:spacing w:before="122" w:line="237" w:lineRule="auto"/>
        <w:ind w:right="138"/>
        <w:jc w:val="both"/>
      </w:pPr>
      <w:r>
        <w:t>Ofsted oversees transitions primarily through the children’s system, focusing on how effectively children’s services and local partnerships prepare and support young people as they</w:t>
      </w:r>
      <w:r>
        <w:rPr>
          <w:spacing w:val="-17"/>
        </w:rPr>
        <w:t xml:space="preserve"> </w:t>
      </w:r>
      <w:r>
        <w:t>approach</w:t>
      </w:r>
      <w:r>
        <w:rPr>
          <w:spacing w:val="-17"/>
        </w:rPr>
        <w:t xml:space="preserve"> </w:t>
      </w:r>
      <w:r>
        <w:t>adulthood</w:t>
      </w:r>
      <w:r>
        <w:rPr>
          <w:spacing w:val="-16"/>
        </w:rPr>
        <w:t xml:space="preserve"> </w:t>
      </w:r>
      <w:r>
        <w:t>through</w:t>
      </w:r>
      <w:r>
        <w:rPr>
          <w:spacing w:val="-17"/>
        </w:rPr>
        <w:t xml:space="preserve"> </w:t>
      </w:r>
      <w:r>
        <w:t>the</w:t>
      </w:r>
      <w:r>
        <w:rPr>
          <w:spacing w:val="-17"/>
        </w:rPr>
        <w:t xml:space="preserve"> </w:t>
      </w:r>
      <w:r>
        <w:t>Inspecting</w:t>
      </w:r>
      <w:r>
        <w:rPr>
          <w:spacing w:val="-17"/>
        </w:rPr>
        <w:t xml:space="preserve"> </w:t>
      </w:r>
      <w:r>
        <w:t>Local</w:t>
      </w:r>
      <w:r>
        <w:rPr>
          <w:spacing w:val="-16"/>
        </w:rPr>
        <w:t xml:space="preserve"> </w:t>
      </w:r>
      <w:r>
        <w:t>Authority</w:t>
      </w:r>
      <w:r>
        <w:rPr>
          <w:spacing w:val="-17"/>
        </w:rPr>
        <w:t xml:space="preserve"> </w:t>
      </w:r>
      <w:r>
        <w:t>Children’s</w:t>
      </w:r>
      <w:r>
        <w:rPr>
          <w:spacing w:val="-17"/>
        </w:rPr>
        <w:t xml:space="preserve"> </w:t>
      </w:r>
      <w:r>
        <w:t>Services</w:t>
      </w:r>
      <w:r>
        <w:rPr>
          <w:spacing w:val="-16"/>
        </w:rPr>
        <w:t xml:space="preserve"> </w:t>
      </w:r>
      <w:r>
        <w:t>(ILACS) inspection framework</w:t>
      </w:r>
      <w:r>
        <w:fldChar w:fldCharType="begin"/>
      </w:r>
      <w:r>
        <w:instrText xml:space="preserve"> HYPERLINK \l "_bookmark5" </w:instrText>
      </w:r>
      <w:r>
        <w:fldChar w:fldCharType="separate"/>
      </w:r>
      <w:r>
        <w:rPr>
          <w:position w:val="8"/>
          <w:sz w:val="16"/>
        </w:rPr>
        <w:t>6</w:t>
      </w:r>
      <w:r>
        <w:fldChar w:fldCharType="end"/>
      </w:r>
      <w:r>
        <w:rPr>
          <w:position w:val="8"/>
          <w:sz w:val="16"/>
        </w:rPr>
        <w:t xml:space="preserve"> </w:t>
      </w:r>
      <w:r>
        <w:t>and joint Area SEND inspections. Its scrutiny is rooted in children’s legislation</w:t>
      </w:r>
      <w:r>
        <w:rPr>
          <w:spacing w:val="-17"/>
        </w:rPr>
        <w:t xml:space="preserve"> </w:t>
      </w:r>
      <w:r>
        <w:t>and</w:t>
      </w:r>
      <w:r>
        <w:rPr>
          <w:spacing w:val="-17"/>
        </w:rPr>
        <w:t xml:space="preserve"> </w:t>
      </w:r>
      <w:r>
        <w:t>statutory</w:t>
      </w:r>
      <w:r>
        <w:rPr>
          <w:spacing w:val="-16"/>
        </w:rPr>
        <w:t xml:space="preserve"> </w:t>
      </w:r>
      <w:r>
        <w:t>guidance,</w:t>
      </w:r>
      <w:r>
        <w:rPr>
          <w:spacing w:val="-17"/>
        </w:rPr>
        <w:t xml:space="preserve"> </w:t>
      </w:r>
      <w:r>
        <w:t>including</w:t>
      </w:r>
      <w:r>
        <w:rPr>
          <w:spacing w:val="-16"/>
        </w:rPr>
        <w:t xml:space="preserve"> </w:t>
      </w:r>
      <w:r>
        <w:t>the</w:t>
      </w:r>
      <w:r>
        <w:rPr>
          <w:spacing w:val="-16"/>
        </w:rPr>
        <w:t xml:space="preserve"> </w:t>
      </w:r>
      <w:r>
        <w:t>Children</w:t>
      </w:r>
      <w:r>
        <w:rPr>
          <w:spacing w:val="-17"/>
        </w:rPr>
        <w:t xml:space="preserve"> </w:t>
      </w:r>
      <w:r>
        <w:t>Act</w:t>
      </w:r>
      <w:r>
        <w:rPr>
          <w:spacing w:val="-16"/>
        </w:rPr>
        <w:t xml:space="preserve"> </w:t>
      </w:r>
      <w:r>
        <w:t>1989</w:t>
      </w:r>
      <w:r>
        <w:fldChar w:fldCharType="begin"/>
      </w:r>
      <w:r>
        <w:instrText xml:space="preserve"> HYPERLINK \l "_bookmark6" </w:instrText>
      </w:r>
      <w:r>
        <w:fldChar w:fldCharType="separate"/>
      </w:r>
      <w:r>
        <w:rPr>
          <w:position w:val="8"/>
          <w:sz w:val="16"/>
        </w:rPr>
        <w:t>7</w:t>
      </w:r>
      <w:r>
        <w:fldChar w:fldCharType="end"/>
      </w:r>
      <w:r>
        <w:t>,</w:t>
      </w:r>
      <w:r>
        <w:rPr>
          <w:spacing w:val="-17"/>
        </w:rPr>
        <w:t xml:space="preserve"> </w:t>
      </w:r>
      <w:r>
        <w:t>Children</w:t>
      </w:r>
      <w:r>
        <w:rPr>
          <w:spacing w:val="-16"/>
        </w:rPr>
        <w:t xml:space="preserve"> </w:t>
      </w:r>
      <w:r>
        <w:t>(Leaving</w:t>
      </w:r>
      <w:r>
        <w:rPr>
          <w:spacing w:val="-17"/>
        </w:rPr>
        <w:t xml:space="preserve"> </w:t>
      </w:r>
      <w:r>
        <w:t>Care) Act 2000</w:t>
      </w:r>
      <w:r>
        <w:fldChar w:fldCharType="begin"/>
      </w:r>
      <w:r>
        <w:instrText xml:space="preserve"> HYPERLINK \l "_bookmark7" </w:instrText>
      </w:r>
      <w:r>
        <w:fldChar w:fldCharType="separate"/>
      </w:r>
      <w:r>
        <w:rPr>
          <w:position w:val="8"/>
          <w:sz w:val="16"/>
        </w:rPr>
        <w:t>8</w:t>
      </w:r>
      <w:r>
        <w:fldChar w:fldCharType="end"/>
      </w:r>
      <w:r>
        <w:t>, Working Together to Safeguard Children statutory guidance</w:t>
      </w:r>
      <w:r>
        <w:fldChar w:fldCharType="begin"/>
      </w:r>
      <w:r>
        <w:instrText xml:space="preserve"> HYPERLINK \l "_bookmark8" </w:instrText>
      </w:r>
      <w:r>
        <w:fldChar w:fldCharType="separate"/>
      </w:r>
      <w:r>
        <w:rPr>
          <w:position w:val="8"/>
          <w:sz w:val="16"/>
        </w:rPr>
        <w:t>9</w:t>
      </w:r>
      <w:r>
        <w:fldChar w:fldCharType="end"/>
      </w:r>
      <w:r>
        <w:t>, Children’s Social Care National Framework</w:t>
      </w:r>
      <w:r>
        <w:fldChar w:fldCharType="begin"/>
      </w:r>
      <w:r>
        <w:instrText xml:space="preserve"> HYPERLINK \l "_bookmark9" </w:instrText>
      </w:r>
      <w:r>
        <w:fldChar w:fldCharType="separate"/>
      </w:r>
      <w:r>
        <w:rPr>
          <w:position w:val="8"/>
          <w:sz w:val="16"/>
        </w:rPr>
        <w:t>10</w:t>
      </w:r>
      <w:r>
        <w:fldChar w:fldCharType="end"/>
      </w:r>
      <w:r>
        <w:rPr>
          <w:spacing w:val="20"/>
          <w:position w:val="8"/>
          <w:sz w:val="16"/>
        </w:rPr>
        <w:t xml:space="preserve"> </w:t>
      </w:r>
      <w:r>
        <w:t>and</w:t>
      </w:r>
      <w:r>
        <w:rPr>
          <w:spacing w:val="-1"/>
        </w:rPr>
        <w:t xml:space="preserve"> </w:t>
      </w:r>
      <w:r>
        <w:t>SEND</w:t>
      </w:r>
      <w:r>
        <w:rPr>
          <w:spacing w:val="-1"/>
        </w:rPr>
        <w:t xml:space="preserve"> </w:t>
      </w:r>
      <w:r>
        <w:t>Code</w:t>
      </w:r>
      <w:r>
        <w:rPr>
          <w:spacing w:val="-1"/>
        </w:rPr>
        <w:t xml:space="preserve"> </w:t>
      </w:r>
      <w:r>
        <w:t>of</w:t>
      </w:r>
      <w:r>
        <w:rPr>
          <w:spacing w:val="-2"/>
        </w:rPr>
        <w:t xml:space="preserve"> </w:t>
      </w:r>
      <w:r>
        <w:t>Practice (0–25)</w:t>
      </w:r>
      <w:r>
        <w:fldChar w:fldCharType="begin"/>
      </w:r>
      <w:r>
        <w:instrText xml:space="preserve"> HYPERLINK \l "_bookmark10" </w:instrText>
      </w:r>
      <w:r>
        <w:fldChar w:fldCharType="separate"/>
      </w:r>
      <w:r>
        <w:rPr>
          <w:position w:val="8"/>
          <w:sz w:val="16"/>
        </w:rPr>
        <w:t>11</w:t>
      </w:r>
      <w:r>
        <w:fldChar w:fldCharType="end"/>
      </w:r>
      <w:r>
        <w:t>, rather</w:t>
      </w:r>
      <w:r>
        <w:rPr>
          <w:spacing w:val="-1"/>
        </w:rPr>
        <w:t xml:space="preserve"> </w:t>
      </w:r>
      <w:r>
        <w:t>than</w:t>
      </w:r>
      <w:r>
        <w:rPr>
          <w:spacing w:val="-1"/>
        </w:rPr>
        <w:t xml:space="preserve"> </w:t>
      </w:r>
      <w:r>
        <w:t>the</w:t>
      </w:r>
      <w:r>
        <w:rPr>
          <w:spacing w:val="-2"/>
        </w:rPr>
        <w:t xml:space="preserve"> </w:t>
      </w:r>
      <w:r>
        <w:t>quality</w:t>
      </w:r>
      <w:r>
        <w:rPr>
          <w:spacing w:val="-2"/>
        </w:rPr>
        <w:t xml:space="preserve"> </w:t>
      </w:r>
      <w:r>
        <w:t>of adult services once a transition has occurred. Through Area SEND inspections, Ofsted examines transition activity across education, health and social care, with children’s social care</w:t>
      </w:r>
      <w:r>
        <w:rPr>
          <w:spacing w:val="-9"/>
        </w:rPr>
        <w:t xml:space="preserve"> </w:t>
      </w:r>
      <w:r>
        <w:t>judgements</w:t>
      </w:r>
      <w:r>
        <w:rPr>
          <w:spacing w:val="-9"/>
        </w:rPr>
        <w:t xml:space="preserve"> </w:t>
      </w:r>
      <w:r>
        <w:t>giving</w:t>
      </w:r>
      <w:r>
        <w:rPr>
          <w:spacing w:val="-11"/>
        </w:rPr>
        <w:t xml:space="preserve"> </w:t>
      </w:r>
      <w:r>
        <w:t>particular</w:t>
      </w:r>
      <w:r>
        <w:rPr>
          <w:spacing w:val="-9"/>
        </w:rPr>
        <w:t xml:space="preserve"> </w:t>
      </w:r>
      <w:r>
        <w:t>attention</w:t>
      </w:r>
      <w:r>
        <w:rPr>
          <w:spacing w:val="-8"/>
        </w:rPr>
        <w:t xml:space="preserve"> </w:t>
      </w:r>
      <w:r>
        <w:t>to</w:t>
      </w:r>
      <w:r>
        <w:rPr>
          <w:spacing w:val="-8"/>
        </w:rPr>
        <w:t xml:space="preserve"> </w:t>
      </w:r>
      <w:r>
        <w:t>the</w:t>
      </w:r>
      <w:r>
        <w:rPr>
          <w:spacing w:val="-8"/>
        </w:rPr>
        <w:t xml:space="preserve"> </w:t>
      </w:r>
      <w:r>
        <w:t>experiences</w:t>
      </w:r>
      <w:r>
        <w:rPr>
          <w:spacing w:val="-9"/>
        </w:rPr>
        <w:t xml:space="preserve"> </w:t>
      </w:r>
      <w:r>
        <w:t>and</w:t>
      </w:r>
      <w:r>
        <w:rPr>
          <w:spacing w:val="-8"/>
        </w:rPr>
        <w:t xml:space="preserve"> </w:t>
      </w:r>
      <w:r>
        <w:t>progress</w:t>
      </w:r>
      <w:r>
        <w:rPr>
          <w:spacing w:val="-9"/>
        </w:rPr>
        <w:t xml:space="preserve"> </w:t>
      </w:r>
      <w:r>
        <w:t>of</w:t>
      </w:r>
      <w:r>
        <w:rPr>
          <w:spacing w:val="-9"/>
        </w:rPr>
        <w:t xml:space="preserve"> </w:t>
      </w:r>
      <w:r>
        <w:t>care</w:t>
      </w:r>
      <w:r>
        <w:rPr>
          <w:spacing w:val="-9"/>
        </w:rPr>
        <w:t xml:space="preserve"> </w:t>
      </w:r>
      <w:r>
        <w:t>leavers, including the small cohort moving into adult social care.</w:t>
      </w:r>
    </w:p>
    <w:p w:rsidR="00612801">
      <w:pPr>
        <w:pStyle w:val="BodyText"/>
        <w:spacing w:before="131" w:line="237" w:lineRule="auto"/>
        <w:ind w:right="146"/>
        <w:jc w:val="both"/>
      </w:pPr>
      <w:r>
        <w:t>The Care Quality Commission (CQC) provides assurance from the adult social care perspective, assessing how well local authorities are meeting their duties under Part 1 of the</w:t>
      </w:r>
      <w:r>
        <w:rPr>
          <w:spacing w:val="31"/>
        </w:rPr>
        <w:t xml:space="preserve"> </w:t>
      </w:r>
      <w:r>
        <w:t>Care</w:t>
      </w:r>
      <w:r>
        <w:rPr>
          <w:spacing w:val="30"/>
        </w:rPr>
        <w:t xml:space="preserve"> </w:t>
      </w:r>
      <w:r>
        <w:t>Act</w:t>
      </w:r>
      <w:r>
        <w:rPr>
          <w:spacing w:val="30"/>
        </w:rPr>
        <w:t xml:space="preserve"> </w:t>
      </w:r>
      <w:r>
        <w:t>2014</w:t>
      </w:r>
      <w:r>
        <w:fldChar w:fldCharType="begin"/>
      </w:r>
      <w:r>
        <w:instrText xml:space="preserve"> HYPERLINK \l "_bookmark11" </w:instrText>
      </w:r>
      <w:r>
        <w:fldChar w:fldCharType="separate"/>
      </w:r>
      <w:r>
        <w:rPr>
          <w:position w:val="8"/>
          <w:sz w:val="16"/>
        </w:rPr>
        <w:t>12</w:t>
      </w:r>
      <w:r>
        <w:fldChar w:fldCharType="end"/>
      </w:r>
      <w:r>
        <w:t>.</w:t>
      </w:r>
      <w:r>
        <w:rPr>
          <w:spacing w:val="31"/>
        </w:rPr>
        <w:t xml:space="preserve"> </w:t>
      </w:r>
      <w:r>
        <w:t>These</w:t>
      </w:r>
      <w:r>
        <w:rPr>
          <w:spacing w:val="30"/>
        </w:rPr>
        <w:t xml:space="preserve"> </w:t>
      </w:r>
      <w:r>
        <w:t>assessments</w:t>
      </w:r>
      <w:r>
        <w:rPr>
          <w:spacing w:val="31"/>
        </w:rPr>
        <w:t xml:space="preserve"> </w:t>
      </w:r>
      <w:r>
        <w:t>identify</w:t>
      </w:r>
      <w:r>
        <w:rPr>
          <w:spacing w:val="31"/>
        </w:rPr>
        <w:t xml:space="preserve"> </w:t>
      </w:r>
      <w:r>
        <w:t>strengths</w:t>
      </w:r>
      <w:r>
        <w:rPr>
          <w:spacing w:val="29"/>
        </w:rPr>
        <w:t xml:space="preserve"> </w:t>
      </w:r>
      <w:r>
        <w:t>and</w:t>
      </w:r>
      <w:r>
        <w:rPr>
          <w:spacing w:val="30"/>
        </w:rPr>
        <w:t xml:space="preserve"> </w:t>
      </w:r>
      <w:r>
        <w:t>areas</w:t>
      </w:r>
      <w:r>
        <w:rPr>
          <w:spacing w:val="31"/>
        </w:rPr>
        <w:t xml:space="preserve"> </w:t>
      </w:r>
      <w:r>
        <w:t>for</w:t>
      </w:r>
      <w:r>
        <w:rPr>
          <w:spacing w:val="31"/>
        </w:rPr>
        <w:t xml:space="preserve"> </w:t>
      </w:r>
      <w:r>
        <w:t>improvement,</w:t>
      </w:r>
    </w:p>
    <w:p w:rsidR="00612801">
      <w:pPr>
        <w:pStyle w:val="BodyText"/>
        <w:spacing w:before="2"/>
        <w:ind w:left="0"/>
        <w:rPr>
          <w:sz w:val="16"/>
        </w:rPr>
      </w:pPr>
      <w:r>
        <w:rPr>
          <w:noProof/>
          <w:sz w:val="16"/>
        </w:rPr>
        <mc:AlternateContent>
          <mc:Choice Requires="wps">
            <w:drawing>
              <wp:anchor distT="0" distB="0" distL="0" distR="0" simplePos="0" relativeHeight="251663360" behindDoc="1" locked="0" layoutInCell="1" allowOverlap="1">
                <wp:simplePos x="0" y="0"/>
                <wp:positionH relativeFrom="page">
                  <wp:posOffset>719327</wp:posOffset>
                </wp:positionH>
                <wp:positionV relativeFrom="paragraph">
                  <wp:posOffset>133682</wp:posOffset>
                </wp:positionV>
                <wp:extent cx="1829435" cy="9525"/>
                <wp:effectExtent l="0" t="0" r="0" b="0"/>
                <wp:wrapTopAndBottom/>
                <wp:docPr id="5" name="Graphic 5"/>
                <wp:cNvGraphicFramePr/>
                <a:graphic xmlns:a="http://schemas.openxmlformats.org/drawingml/2006/main">
                  <a:graphicData uri="http://schemas.microsoft.com/office/word/2010/wordprocessingShape">
                    <wps:wsp xmlns:wps="http://schemas.microsoft.com/office/word/2010/wordprocessingShape">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5" o:spid="_x0000_s1027" style="height:0.75pt;margin-left:56.65pt;margin-top:10.55pt;mso-position-horizontal-relative:page;mso-wrap-distance-bottom:0;mso-wrap-distance-left:0;mso-wrap-distance-right:0;mso-wrap-distance-top:0;mso-wrap-style:square;position:absolute;v-text-anchor:top;visibility:visible;width:144.05pt;z-index:-251652096" coordsize="1829435,9525" path="m1829435,l,,,9143l1829435,9143l1829435,xe" fillcolor="black" stroked="f">
                <v:path arrowok="t"/>
                <w10:wrap type="topAndBottom"/>
              </v:shape>
            </w:pict>
          </mc:Fallback>
        </mc:AlternateContent>
      </w:r>
    </w:p>
    <w:p w:rsidR="00612801">
      <w:pPr>
        <w:spacing w:before="100"/>
        <w:ind w:left="140"/>
        <w:rPr>
          <w:sz w:val="20"/>
        </w:rPr>
      </w:pPr>
      <w:bookmarkStart w:id="5" w:name="_bookmark5"/>
      <w:bookmarkEnd w:id="5"/>
      <w:r>
        <w:rPr>
          <w:position w:val="6"/>
          <w:sz w:val="13"/>
        </w:rPr>
        <w:t>6</w:t>
      </w:r>
      <w:r>
        <w:rPr>
          <w:spacing w:val="11"/>
          <w:position w:val="6"/>
          <w:sz w:val="13"/>
        </w:rPr>
        <w:t xml:space="preserve"> </w:t>
      </w:r>
      <w:r>
        <w:fldChar w:fldCharType="begin"/>
      </w:r>
      <w:r>
        <w:instrText xml:space="preserve"> HYPERLINK "https://www.gov.uk/government/publications/inspecting-local-authority-childrens-services/inspecting-local-authority-childrens-services" </w:instrText>
      </w:r>
      <w:r>
        <w:fldChar w:fldCharType="separate"/>
      </w:r>
      <w:r>
        <w:rPr>
          <w:color w:val="0462C1"/>
          <w:sz w:val="20"/>
          <w:u w:val="single" w:color="0462C1"/>
        </w:rPr>
        <w:t>Inspecting</w:t>
      </w:r>
      <w:r>
        <w:rPr>
          <w:color w:val="0462C1"/>
          <w:spacing w:val="-7"/>
          <w:sz w:val="20"/>
          <w:u w:val="single" w:color="0462C1"/>
        </w:rPr>
        <w:t xml:space="preserve"> </w:t>
      </w:r>
      <w:r>
        <w:rPr>
          <w:color w:val="0462C1"/>
          <w:sz w:val="20"/>
          <w:u w:val="single" w:color="0462C1"/>
        </w:rPr>
        <w:t>local</w:t>
      </w:r>
      <w:r>
        <w:rPr>
          <w:color w:val="0462C1"/>
          <w:spacing w:val="-9"/>
          <w:sz w:val="20"/>
          <w:u w:val="single" w:color="0462C1"/>
        </w:rPr>
        <w:t xml:space="preserve"> </w:t>
      </w:r>
      <w:r>
        <w:rPr>
          <w:color w:val="0462C1"/>
          <w:sz w:val="20"/>
          <w:u w:val="single" w:color="0462C1"/>
        </w:rPr>
        <w:t>authority</w:t>
      </w:r>
      <w:r>
        <w:rPr>
          <w:color w:val="0462C1"/>
          <w:spacing w:val="-7"/>
          <w:sz w:val="20"/>
          <w:u w:val="single" w:color="0462C1"/>
        </w:rPr>
        <w:t xml:space="preserve"> </w:t>
      </w:r>
      <w:r>
        <w:rPr>
          <w:color w:val="0462C1"/>
          <w:sz w:val="20"/>
          <w:u w:val="single" w:color="0462C1"/>
        </w:rPr>
        <w:t>children’s</w:t>
      </w:r>
      <w:r>
        <w:rPr>
          <w:color w:val="0462C1"/>
          <w:spacing w:val="-8"/>
          <w:sz w:val="20"/>
          <w:u w:val="single" w:color="0462C1"/>
        </w:rPr>
        <w:t xml:space="preserve"> </w:t>
      </w:r>
      <w:r>
        <w:rPr>
          <w:color w:val="0462C1"/>
          <w:sz w:val="20"/>
          <w:u w:val="single" w:color="0462C1"/>
        </w:rPr>
        <w:t>services</w:t>
      </w:r>
      <w:r>
        <w:rPr>
          <w:color w:val="0462C1"/>
          <w:spacing w:val="-3"/>
          <w:sz w:val="20"/>
          <w:u w:val="single" w:color="0462C1"/>
        </w:rPr>
        <w:t xml:space="preserve"> </w:t>
      </w:r>
      <w:r>
        <w:rPr>
          <w:color w:val="0462C1"/>
          <w:sz w:val="20"/>
          <w:u w:val="single" w:color="0462C1"/>
        </w:rPr>
        <w:t>-</w:t>
      </w:r>
      <w:r>
        <w:rPr>
          <w:color w:val="0462C1"/>
          <w:spacing w:val="-8"/>
          <w:sz w:val="20"/>
          <w:u w:val="single" w:color="0462C1"/>
        </w:rPr>
        <w:t xml:space="preserve"> </w:t>
      </w:r>
      <w:r>
        <w:rPr>
          <w:color w:val="0462C1"/>
          <w:spacing w:val="-2"/>
          <w:sz w:val="20"/>
          <w:u w:val="single" w:color="0462C1"/>
        </w:rPr>
        <w:t>GOV.UK</w:t>
      </w:r>
      <w:r>
        <w:fldChar w:fldCharType="end"/>
      </w:r>
    </w:p>
    <w:p w:rsidR="00612801">
      <w:pPr>
        <w:spacing w:before="1"/>
        <w:ind w:left="140"/>
        <w:rPr>
          <w:sz w:val="20"/>
        </w:rPr>
      </w:pPr>
      <w:bookmarkStart w:id="6" w:name="_bookmark6"/>
      <w:bookmarkEnd w:id="6"/>
      <w:r>
        <w:rPr>
          <w:position w:val="6"/>
          <w:sz w:val="13"/>
        </w:rPr>
        <w:t>7</w:t>
      </w:r>
      <w:r>
        <w:rPr>
          <w:spacing w:val="13"/>
          <w:position w:val="6"/>
          <w:sz w:val="13"/>
        </w:rPr>
        <w:t xml:space="preserve"> </w:t>
      </w:r>
      <w:r>
        <w:fldChar w:fldCharType="begin"/>
      </w:r>
      <w:r>
        <w:instrText xml:space="preserve"> HYPERLINK "https://www.legislation.gov.uk/ukpga/1989/41/contents" </w:instrText>
      </w:r>
      <w:r>
        <w:fldChar w:fldCharType="separate"/>
      </w:r>
      <w:r>
        <w:rPr>
          <w:color w:val="0462C1"/>
          <w:sz w:val="20"/>
          <w:u w:val="single" w:color="0462C1"/>
        </w:rPr>
        <w:t>Children</w:t>
      </w:r>
      <w:r>
        <w:rPr>
          <w:color w:val="0462C1"/>
          <w:spacing w:val="-6"/>
          <w:sz w:val="20"/>
          <w:u w:val="single" w:color="0462C1"/>
        </w:rPr>
        <w:t xml:space="preserve"> </w:t>
      </w:r>
      <w:r>
        <w:rPr>
          <w:color w:val="0462C1"/>
          <w:sz w:val="20"/>
          <w:u w:val="single" w:color="0462C1"/>
        </w:rPr>
        <w:t>Act</w:t>
      </w:r>
      <w:r>
        <w:rPr>
          <w:color w:val="0462C1"/>
          <w:spacing w:val="-5"/>
          <w:sz w:val="20"/>
          <w:u w:val="single" w:color="0462C1"/>
        </w:rPr>
        <w:t xml:space="preserve"> </w:t>
      </w:r>
      <w:r>
        <w:rPr>
          <w:color w:val="0462C1"/>
          <w:spacing w:val="-4"/>
          <w:sz w:val="20"/>
          <w:u w:val="single" w:color="0462C1"/>
        </w:rPr>
        <w:t>1989</w:t>
      </w:r>
      <w:r>
        <w:fldChar w:fldCharType="end"/>
      </w:r>
    </w:p>
    <w:p w:rsidR="00612801">
      <w:pPr>
        <w:ind w:left="140"/>
        <w:rPr>
          <w:sz w:val="20"/>
        </w:rPr>
      </w:pPr>
      <w:bookmarkStart w:id="7" w:name="_bookmark7"/>
      <w:bookmarkEnd w:id="7"/>
      <w:r>
        <w:rPr>
          <w:position w:val="6"/>
          <w:sz w:val="13"/>
        </w:rPr>
        <w:t>8</w:t>
      </w:r>
      <w:r>
        <w:rPr>
          <w:spacing w:val="13"/>
          <w:position w:val="6"/>
          <w:sz w:val="13"/>
        </w:rPr>
        <w:t xml:space="preserve"> </w:t>
      </w:r>
      <w:bookmarkStart w:id="8" w:name="_bookmark8"/>
      <w:bookmarkEnd w:id="8"/>
      <w:r>
        <w:fldChar w:fldCharType="begin"/>
      </w:r>
      <w:r>
        <w:instrText>HYPERLINK "https://www.legislation.gov.uk/ukpga/2000/35/contents" \h</w:instrText>
      </w:r>
      <w:r>
        <w:fldChar w:fldCharType="separate"/>
      </w:r>
      <w:r>
        <w:rPr>
          <w:color w:val="0462C1"/>
          <w:sz w:val="20"/>
          <w:u w:val="single" w:color="0462C1"/>
        </w:rPr>
        <w:t>Children</w:t>
      </w:r>
      <w:r>
        <w:rPr>
          <w:color w:val="0462C1"/>
          <w:spacing w:val="-7"/>
          <w:sz w:val="20"/>
          <w:u w:val="single" w:color="0462C1"/>
        </w:rPr>
        <w:t xml:space="preserve"> </w:t>
      </w:r>
      <w:r>
        <w:rPr>
          <w:color w:val="0462C1"/>
          <w:sz w:val="20"/>
          <w:u w:val="single" w:color="0462C1"/>
        </w:rPr>
        <w:t>(Leaving</w:t>
      </w:r>
      <w:r>
        <w:rPr>
          <w:color w:val="0462C1"/>
          <w:spacing w:val="-5"/>
          <w:sz w:val="20"/>
          <w:u w:val="single" w:color="0462C1"/>
        </w:rPr>
        <w:t xml:space="preserve"> </w:t>
      </w:r>
      <w:r>
        <w:rPr>
          <w:color w:val="0462C1"/>
          <w:sz w:val="20"/>
          <w:u w:val="single" w:color="0462C1"/>
        </w:rPr>
        <w:t>Care)</w:t>
      </w:r>
      <w:r>
        <w:rPr>
          <w:color w:val="0462C1"/>
          <w:spacing w:val="-4"/>
          <w:sz w:val="20"/>
          <w:u w:val="single" w:color="0462C1"/>
        </w:rPr>
        <w:t xml:space="preserve"> </w:t>
      </w:r>
      <w:r>
        <w:rPr>
          <w:color w:val="0462C1"/>
          <w:sz w:val="20"/>
          <w:u w:val="single" w:color="0462C1"/>
        </w:rPr>
        <w:t>Act</w:t>
      </w:r>
      <w:r>
        <w:rPr>
          <w:color w:val="0462C1"/>
          <w:spacing w:val="-7"/>
          <w:sz w:val="20"/>
          <w:u w:val="single" w:color="0462C1"/>
        </w:rPr>
        <w:t xml:space="preserve"> </w:t>
      </w:r>
      <w:r>
        <w:rPr>
          <w:color w:val="0462C1"/>
          <w:spacing w:val="-4"/>
          <w:sz w:val="20"/>
          <w:u w:val="single" w:color="0462C1"/>
        </w:rPr>
        <w:t>2000</w:t>
      </w:r>
      <w:r>
        <w:fldChar w:fldCharType="end"/>
      </w:r>
    </w:p>
    <w:p w:rsidR="00612801">
      <w:pPr>
        <w:spacing w:line="229" w:lineRule="exact"/>
        <w:ind w:left="140"/>
        <w:rPr>
          <w:sz w:val="20"/>
        </w:rPr>
      </w:pPr>
      <w:r>
        <w:rPr>
          <w:position w:val="6"/>
          <w:sz w:val="13"/>
        </w:rPr>
        <w:t>9</w:t>
      </w:r>
      <w:r>
        <w:rPr>
          <w:spacing w:val="12"/>
          <w:position w:val="6"/>
          <w:sz w:val="13"/>
        </w:rPr>
        <w:t xml:space="preserve"> </w:t>
      </w:r>
      <w:r>
        <w:fldChar w:fldCharType="begin"/>
      </w:r>
      <w:r>
        <w:instrText xml:space="preserve"> HYPERLINK "https://www.gov.uk/government/publications/working-together-to-safeguard-children--2" </w:instrText>
      </w:r>
      <w:r>
        <w:fldChar w:fldCharType="separate"/>
      </w:r>
      <w:r>
        <w:rPr>
          <w:color w:val="0462C1"/>
          <w:sz w:val="20"/>
          <w:u w:val="single" w:color="0462C1"/>
        </w:rPr>
        <w:t>Working</w:t>
      </w:r>
      <w:r>
        <w:rPr>
          <w:color w:val="0462C1"/>
          <w:spacing w:val="-7"/>
          <w:sz w:val="20"/>
          <w:u w:val="single" w:color="0462C1"/>
        </w:rPr>
        <w:t xml:space="preserve"> </w:t>
      </w:r>
      <w:r>
        <w:rPr>
          <w:color w:val="0462C1"/>
          <w:sz w:val="20"/>
          <w:u w:val="single" w:color="0462C1"/>
        </w:rPr>
        <w:t>together</w:t>
      </w:r>
      <w:r>
        <w:rPr>
          <w:color w:val="0462C1"/>
          <w:spacing w:val="-6"/>
          <w:sz w:val="20"/>
          <w:u w:val="single" w:color="0462C1"/>
        </w:rPr>
        <w:t xml:space="preserve"> </w:t>
      </w:r>
      <w:r>
        <w:rPr>
          <w:color w:val="0462C1"/>
          <w:sz w:val="20"/>
          <w:u w:val="single" w:color="0462C1"/>
        </w:rPr>
        <w:t>to</w:t>
      </w:r>
      <w:r>
        <w:rPr>
          <w:color w:val="0462C1"/>
          <w:spacing w:val="-6"/>
          <w:sz w:val="20"/>
          <w:u w:val="single" w:color="0462C1"/>
        </w:rPr>
        <w:t xml:space="preserve"> </w:t>
      </w:r>
      <w:r>
        <w:rPr>
          <w:color w:val="0462C1"/>
          <w:sz w:val="20"/>
          <w:u w:val="single" w:color="0462C1"/>
        </w:rPr>
        <w:t>safeguard</w:t>
      </w:r>
      <w:r>
        <w:rPr>
          <w:color w:val="0462C1"/>
          <w:spacing w:val="-7"/>
          <w:sz w:val="20"/>
          <w:u w:val="single" w:color="0462C1"/>
        </w:rPr>
        <w:t xml:space="preserve"> </w:t>
      </w:r>
      <w:r>
        <w:rPr>
          <w:color w:val="0462C1"/>
          <w:sz w:val="20"/>
          <w:u w:val="single" w:color="0462C1"/>
        </w:rPr>
        <w:t>children</w:t>
      </w:r>
      <w:r>
        <w:rPr>
          <w:color w:val="0462C1"/>
          <w:spacing w:val="-5"/>
          <w:sz w:val="20"/>
          <w:u w:val="single" w:color="0462C1"/>
        </w:rPr>
        <w:t xml:space="preserve"> </w:t>
      </w:r>
      <w:r>
        <w:rPr>
          <w:color w:val="0462C1"/>
          <w:sz w:val="20"/>
          <w:u w:val="single" w:color="0462C1"/>
        </w:rPr>
        <w:t>-</w:t>
      </w:r>
      <w:r>
        <w:rPr>
          <w:color w:val="0462C1"/>
          <w:spacing w:val="-6"/>
          <w:sz w:val="20"/>
          <w:u w:val="single" w:color="0462C1"/>
        </w:rPr>
        <w:t xml:space="preserve"> </w:t>
      </w:r>
      <w:r>
        <w:rPr>
          <w:color w:val="0462C1"/>
          <w:spacing w:val="-2"/>
          <w:sz w:val="20"/>
          <w:u w:val="single" w:color="0462C1"/>
        </w:rPr>
        <w:t>GOV.UK</w:t>
      </w:r>
      <w:r>
        <w:fldChar w:fldCharType="end"/>
      </w:r>
    </w:p>
    <w:p w:rsidR="00612801">
      <w:pPr>
        <w:spacing w:line="229" w:lineRule="exact"/>
        <w:ind w:left="140"/>
        <w:rPr>
          <w:sz w:val="20"/>
        </w:rPr>
      </w:pPr>
      <w:bookmarkStart w:id="9" w:name="_bookmark9"/>
      <w:bookmarkEnd w:id="9"/>
      <w:r>
        <w:rPr>
          <w:position w:val="6"/>
          <w:sz w:val="13"/>
        </w:rPr>
        <w:t>10</w:t>
      </w:r>
      <w:r>
        <w:rPr>
          <w:spacing w:val="11"/>
          <w:position w:val="6"/>
          <w:sz w:val="13"/>
        </w:rPr>
        <w:t xml:space="preserve"> </w:t>
      </w:r>
      <w:r>
        <w:fldChar w:fldCharType="begin"/>
      </w:r>
      <w:r>
        <w:instrText xml:space="preserve"> HYPERLINK "https://www.gov.uk/government/publications/childrens-social-care-national-framework" </w:instrText>
      </w:r>
      <w:r>
        <w:fldChar w:fldCharType="separate"/>
      </w:r>
      <w:r>
        <w:rPr>
          <w:color w:val="0462C1"/>
          <w:sz w:val="20"/>
          <w:u w:val="single" w:color="0462C1"/>
        </w:rPr>
        <w:t>Children’s</w:t>
      </w:r>
      <w:r>
        <w:rPr>
          <w:color w:val="0462C1"/>
          <w:spacing w:val="-7"/>
          <w:sz w:val="20"/>
          <w:u w:val="single" w:color="0462C1"/>
        </w:rPr>
        <w:t xml:space="preserve"> </w:t>
      </w:r>
      <w:r>
        <w:rPr>
          <w:color w:val="0462C1"/>
          <w:sz w:val="20"/>
          <w:u w:val="single" w:color="0462C1"/>
        </w:rPr>
        <w:t>social</w:t>
      </w:r>
      <w:r>
        <w:rPr>
          <w:color w:val="0462C1"/>
          <w:spacing w:val="-9"/>
          <w:sz w:val="20"/>
          <w:u w:val="single" w:color="0462C1"/>
        </w:rPr>
        <w:t xml:space="preserve"> </w:t>
      </w:r>
      <w:r>
        <w:rPr>
          <w:color w:val="0462C1"/>
          <w:sz w:val="20"/>
          <w:u w:val="single" w:color="0462C1"/>
        </w:rPr>
        <w:t>care</w:t>
      </w:r>
      <w:r>
        <w:rPr>
          <w:color w:val="0462C1"/>
          <w:spacing w:val="-6"/>
          <w:sz w:val="20"/>
          <w:u w:val="single" w:color="0462C1"/>
        </w:rPr>
        <w:t xml:space="preserve"> </w:t>
      </w:r>
      <w:r>
        <w:rPr>
          <w:color w:val="0462C1"/>
          <w:sz w:val="20"/>
          <w:u w:val="single" w:color="0462C1"/>
        </w:rPr>
        <w:t>national</w:t>
      </w:r>
      <w:r>
        <w:rPr>
          <w:color w:val="0462C1"/>
          <w:spacing w:val="-7"/>
          <w:sz w:val="20"/>
          <w:u w:val="single" w:color="0462C1"/>
        </w:rPr>
        <w:t xml:space="preserve"> </w:t>
      </w:r>
      <w:r>
        <w:rPr>
          <w:color w:val="0462C1"/>
          <w:sz w:val="20"/>
          <w:u w:val="single" w:color="0462C1"/>
        </w:rPr>
        <w:t>framework</w:t>
      </w:r>
      <w:r>
        <w:rPr>
          <w:color w:val="0462C1"/>
          <w:spacing w:val="-4"/>
          <w:sz w:val="20"/>
          <w:u w:val="single" w:color="0462C1"/>
        </w:rPr>
        <w:t xml:space="preserve"> </w:t>
      </w:r>
      <w:r>
        <w:rPr>
          <w:color w:val="0462C1"/>
          <w:sz w:val="20"/>
          <w:u w:val="single" w:color="0462C1"/>
        </w:rPr>
        <w:t>-</w:t>
      </w:r>
      <w:r>
        <w:rPr>
          <w:color w:val="0462C1"/>
          <w:spacing w:val="-7"/>
          <w:sz w:val="20"/>
          <w:u w:val="single" w:color="0462C1"/>
        </w:rPr>
        <w:t xml:space="preserve"> </w:t>
      </w:r>
      <w:r>
        <w:rPr>
          <w:color w:val="0462C1"/>
          <w:spacing w:val="-2"/>
          <w:sz w:val="20"/>
          <w:u w:val="single" w:color="0462C1"/>
        </w:rPr>
        <w:t>GOV.UK</w:t>
      </w:r>
      <w:r>
        <w:fldChar w:fldCharType="end"/>
      </w:r>
    </w:p>
    <w:p w:rsidR="00612801">
      <w:pPr>
        <w:spacing w:before="1"/>
        <w:ind w:left="140"/>
        <w:rPr>
          <w:sz w:val="20"/>
        </w:rPr>
      </w:pPr>
      <w:bookmarkStart w:id="10" w:name="_bookmark10"/>
      <w:bookmarkEnd w:id="10"/>
      <w:r>
        <w:rPr>
          <w:position w:val="6"/>
          <w:sz w:val="13"/>
        </w:rPr>
        <w:t>11</w:t>
      </w:r>
      <w:r>
        <w:rPr>
          <w:spacing w:val="15"/>
          <w:position w:val="6"/>
          <w:sz w:val="13"/>
        </w:rPr>
        <w:t xml:space="preserve"> </w:t>
      </w:r>
      <w:r>
        <w:fldChar w:fldCharType="begin"/>
      </w:r>
      <w:r>
        <w:instrText xml:space="preserve"> HYPERLINK "https://www.gov.uk/government/publications/send-code-of-practice-0-to-25" </w:instrText>
      </w:r>
      <w:r>
        <w:fldChar w:fldCharType="separate"/>
      </w:r>
      <w:r>
        <w:rPr>
          <w:color w:val="0462C1"/>
          <w:sz w:val="20"/>
          <w:u w:val="single" w:color="0462C1"/>
        </w:rPr>
        <w:t>SEND</w:t>
      </w:r>
      <w:r>
        <w:rPr>
          <w:color w:val="0462C1"/>
          <w:spacing w:val="-4"/>
          <w:sz w:val="20"/>
          <w:u w:val="single" w:color="0462C1"/>
        </w:rPr>
        <w:t xml:space="preserve"> </w:t>
      </w:r>
      <w:r>
        <w:rPr>
          <w:color w:val="0462C1"/>
          <w:sz w:val="20"/>
          <w:u w:val="single" w:color="0462C1"/>
        </w:rPr>
        <w:t>code</w:t>
      </w:r>
      <w:r>
        <w:rPr>
          <w:color w:val="0462C1"/>
          <w:spacing w:val="-4"/>
          <w:sz w:val="20"/>
          <w:u w:val="single" w:color="0462C1"/>
        </w:rPr>
        <w:t xml:space="preserve"> </w:t>
      </w:r>
      <w:r>
        <w:rPr>
          <w:color w:val="0462C1"/>
          <w:sz w:val="20"/>
          <w:u w:val="single" w:color="0462C1"/>
        </w:rPr>
        <w:t>of</w:t>
      </w:r>
      <w:r>
        <w:rPr>
          <w:color w:val="0462C1"/>
          <w:spacing w:val="-2"/>
          <w:sz w:val="20"/>
          <w:u w:val="single" w:color="0462C1"/>
        </w:rPr>
        <w:t xml:space="preserve"> </w:t>
      </w:r>
      <w:r>
        <w:rPr>
          <w:color w:val="0462C1"/>
          <w:sz w:val="20"/>
          <w:u w:val="single" w:color="0462C1"/>
        </w:rPr>
        <w:t>practice:</w:t>
      </w:r>
      <w:r>
        <w:rPr>
          <w:color w:val="0462C1"/>
          <w:spacing w:val="-3"/>
          <w:sz w:val="20"/>
          <w:u w:val="single" w:color="0462C1"/>
        </w:rPr>
        <w:t xml:space="preserve"> </w:t>
      </w:r>
      <w:r>
        <w:rPr>
          <w:color w:val="0462C1"/>
          <w:sz w:val="20"/>
          <w:u w:val="single" w:color="0462C1"/>
        </w:rPr>
        <w:t>0</w:t>
      </w:r>
      <w:r>
        <w:rPr>
          <w:color w:val="0462C1"/>
          <w:spacing w:val="-5"/>
          <w:sz w:val="20"/>
          <w:u w:val="single" w:color="0462C1"/>
        </w:rPr>
        <w:t xml:space="preserve"> </w:t>
      </w:r>
      <w:r>
        <w:rPr>
          <w:color w:val="0462C1"/>
          <w:sz w:val="20"/>
          <w:u w:val="single" w:color="0462C1"/>
        </w:rPr>
        <w:t>to</w:t>
      </w:r>
      <w:r>
        <w:rPr>
          <w:color w:val="0462C1"/>
          <w:spacing w:val="-4"/>
          <w:sz w:val="20"/>
          <w:u w:val="single" w:color="0462C1"/>
        </w:rPr>
        <w:t xml:space="preserve"> </w:t>
      </w:r>
      <w:r>
        <w:rPr>
          <w:color w:val="0462C1"/>
          <w:sz w:val="20"/>
          <w:u w:val="single" w:color="0462C1"/>
        </w:rPr>
        <w:t>25</w:t>
      </w:r>
      <w:r>
        <w:rPr>
          <w:color w:val="0462C1"/>
          <w:spacing w:val="-4"/>
          <w:sz w:val="20"/>
          <w:u w:val="single" w:color="0462C1"/>
        </w:rPr>
        <w:t xml:space="preserve"> </w:t>
      </w:r>
      <w:r>
        <w:rPr>
          <w:color w:val="0462C1"/>
          <w:sz w:val="20"/>
          <w:u w:val="single" w:color="0462C1"/>
        </w:rPr>
        <w:t>years -</w:t>
      </w:r>
      <w:r>
        <w:rPr>
          <w:color w:val="0462C1"/>
          <w:spacing w:val="-4"/>
          <w:sz w:val="20"/>
          <w:u w:val="single" w:color="0462C1"/>
        </w:rPr>
        <w:t xml:space="preserve"> </w:t>
      </w:r>
      <w:r>
        <w:rPr>
          <w:color w:val="0462C1"/>
          <w:spacing w:val="-2"/>
          <w:sz w:val="20"/>
          <w:u w:val="single" w:color="0462C1"/>
        </w:rPr>
        <w:t>GOV.UK</w:t>
      </w:r>
      <w:r>
        <w:fldChar w:fldCharType="end"/>
      </w:r>
    </w:p>
    <w:p w:rsidR="00612801">
      <w:pPr>
        <w:ind w:left="140"/>
        <w:rPr>
          <w:sz w:val="20"/>
        </w:rPr>
      </w:pPr>
      <w:bookmarkStart w:id="11" w:name="_bookmark11"/>
      <w:bookmarkEnd w:id="11"/>
      <w:r>
        <w:rPr>
          <w:position w:val="6"/>
          <w:sz w:val="13"/>
        </w:rPr>
        <w:t>12</w:t>
      </w:r>
      <w:r>
        <w:rPr>
          <w:spacing w:val="15"/>
          <w:position w:val="6"/>
          <w:sz w:val="13"/>
        </w:rPr>
        <w:t xml:space="preserve"> </w:t>
      </w:r>
      <w:r>
        <w:fldChar w:fldCharType="begin"/>
      </w:r>
      <w:r>
        <w:instrText xml:space="preserve"> HYPERLINK "https://www.legislation.gov.uk/ukpga/2014/23/part/1" </w:instrText>
      </w:r>
      <w:r>
        <w:fldChar w:fldCharType="separate"/>
      </w:r>
      <w:r>
        <w:rPr>
          <w:color w:val="0462C1"/>
          <w:sz w:val="20"/>
          <w:u w:val="single" w:color="0462C1"/>
        </w:rPr>
        <w:t>Care</w:t>
      </w:r>
      <w:r>
        <w:rPr>
          <w:color w:val="0462C1"/>
          <w:spacing w:val="-2"/>
          <w:sz w:val="20"/>
          <w:u w:val="single" w:color="0462C1"/>
        </w:rPr>
        <w:t xml:space="preserve"> </w:t>
      </w:r>
      <w:r>
        <w:rPr>
          <w:color w:val="0462C1"/>
          <w:sz w:val="20"/>
          <w:u w:val="single" w:color="0462C1"/>
        </w:rPr>
        <w:t>Act</w:t>
      </w:r>
      <w:r>
        <w:rPr>
          <w:color w:val="0462C1"/>
          <w:spacing w:val="-4"/>
          <w:sz w:val="20"/>
          <w:u w:val="single" w:color="0462C1"/>
        </w:rPr>
        <w:t xml:space="preserve"> 2014</w:t>
      </w:r>
      <w:r>
        <w:fldChar w:fldCharType="end"/>
      </w:r>
    </w:p>
    <w:p w:rsidR="00612801">
      <w:pPr>
        <w:rPr>
          <w:sz w:val="20"/>
        </w:rPr>
        <w:sectPr>
          <w:pgSz w:w="11910" w:h="16840"/>
          <w:pgMar w:top="1300" w:right="992" w:bottom="280" w:left="992" w:header="720" w:footer="720" w:gutter="0"/>
          <w:cols w:space="720"/>
        </w:sectPr>
      </w:pPr>
    </w:p>
    <w:p w:rsidR="00612801">
      <w:pPr>
        <w:pStyle w:val="BodyText"/>
        <w:spacing w:before="76"/>
        <w:ind w:right="139"/>
        <w:jc w:val="both"/>
      </w:pPr>
      <w:r>
        <w:t>support</w:t>
      </w:r>
      <w:r>
        <w:rPr>
          <w:spacing w:val="-6"/>
        </w:rPr>
        <w:t xml:space="preserve"> </w:t>
      </w:r>
      <w:r>
        <w:t>sector-led</w:t>
      </w:r>
      <w:r>
        <w:rPr>
          <w:spacing w:val="-4"/>
        </w:rPr>
        <w:t xml:space="preserve"> </w:t>
      </w:r>
      <w:r>
        <w:t>improvement</w:t>
      </w:r>
      <w:r>
        <w:rPr>
          <w:spacing w:val="-7"/>
        </w:rPr>
        <w:t xml:space="preserve"> </w:t>
      </w:r>
      <w:r>
        <w:t>and</w:t>
      </w:r>
      <w:r>
        <w:rPr>
          <w:spacing w:val="-5"/>
        </w:rPr>
        <w:t xml:space="preserve"> </w:t>
      </w:r>
      <w:r>
        <w:t>enable</w:t>
      </w:r>
      <w:r>
        <w:rPr>
          <w:spacing w:val="-7"/>
        </w:rPr>
        <w:t xml:space="preserve"> </w:t>
      </w:r>
      <w:r>
        <w:t>government</w:t>
      </w:r>
      <w:r>
        <w:rPr>
          <w:spacing w:val="-5"/>
        </w:rPr>
        <w:t xml:space="preserve"> </w:t>
      </w:r>
      <w:r>
        <w:t>to</w:t>
      </w:r>
      <w:r>
        <w:rPr>
          <w:spacing w:val="-4"/>
        </w:rPr>
        <w:t xml:space="preserve"> </w:t>
      </w:r>
      <w:r>
        <w:t>target</w:t>
      </w:r>
      <w:r>
        <w:rPr>
          <w:spacing w:val="-5"/>
        </w:rPr>
        <w:t xml:space="preserve"> </w:t>
      </w:r>
      <w:r>
        <w:t>support.</w:t>
      </w:r>
      <w:r>
        <w:rPr>
          <w:spacing w:val="-5"/>
        </w:rPr>
        <w:t xml:space="preserve"> </w:t>
      </w:r>
      <w:r>
        <w:t>If</w:t>
      </w:r>
      <w:r>
        <w:rPr>
          <w:spacing w:val="-5"/>
        </w:rPr>
        <w:t xml:space="preserve"> </w:t>
      </w:r>
      <w:r>
        <w:t>CQC</w:t>
      </w:r>
      <w:r>
        <w:rPr>
          <w:spacing w:val="-6"/>
        </w:rPr>
        <w:t xml:space="preserve"> </w:t>
      </w:r>
      <w:r>
        <w:t>identifies a local authority has failed or is failing to discharge its duties under the Care Act to an acceptable standard, the Secretary of State has powers to intervene. Transitions between children’s</w:t>
      </w:r>
      <w:r>
        <w:rPr>
          <w:spacing w:val="-2"/>
        </w:rPr>
        <w:t xml:space="preserve"> </w:t>
      </w:r>
      <w:r>
        <w:t>and</w:t>
      </w:r>
      <w:r>
        <w:rPr>
          <w:spacing w:val="-1"/>
        </w:rPr>
        <w:t xml:space="preserve"> </w:t>
      </w:r>
      <w:r>
        <w:t>adult</w:t>
      </w:r>
      <w:r>
        <w:rPr>
          <w:spacing w:val="-2"/>
        </w:rPr>
        <w:t xml:space="preserve"> </w:t>
      </w:r>
      <w:r>
        <w:t>social care</w:t>
      </w:r>
      <w:r>
        <w:rPr>
          <w:spacing w:val="-2"/>
        </w:rPr>
        <w:t xml:space="preserve"> </w:t>
      </w:r>
      <w:r>
        <w:t>are</w:t>
      </w:r>
      <w:r>
        <w:rPr>
          <w:spacing w:val="-2"/>
        </w:rPr>
        <w:t xml:space="preserve"> </w:t>
      </w:r>
      <w:r>
        <w:t>considered within</w:t>
      </w:r>
      <w:r>
        <w:rPr>
          <w:spacing w:val="-2"/>
        </w:rPr>
        <w:t xml:space="preserve"> </w:t>
      </w:r>
      <w:r>
        <w:t>the CQC</w:t>
      </w:r>
      <w:r>
        <w:rPr>
          <w:spacing w:val="-3"/>
        </w:rPr>
        <w:t xml:space="preserve"> </w:t>
      </w:r>
      <w:r>
        <w:t>framework under</w:t>
      </w:r>
      <w:r>
        <w:rPr>
          <w:spacing w:val="-3"/>
        </w:rPr>
        <w:t xml:space="preserve"> </w:t>
      </w:r>
      <w:r>
        <w:t>the theme “How the local authority ensures safety within the system”, through the quality statement “Safe</w:t>
      </w:r>
      <w:r>
        <w:rPr>
          <w:spacing w:val="-9"/>
        </w:rPr>
        <w:t xml:space="preserve"> </w:t>
      </w:r>
      <w:r>
        <w:t>pathways,</w:t>
      </w:r>
      <w:r>
        <w:rPr>
          <w:spacing w:val="-10"/>
        </w:rPr>
        <w:t xml:space="preserve"> </w:t>
      </w:r>
      <w:r>
        <w:t>systems,</w:t>
      </w:r>
      <w:r>
        <w:rPr>
          <w:spacing w:val="-10"/>
        </w:rPr>
        <w:t xml:space="preserve"> </w:t>
      </w:r>
      <w:r>
        <w:t>and</w:t>
      </w:r>
      <w:r>
        <w:rPr>
          <w:spacing w:val="-9"/>
        </w:rPr>
        <w:t xml:space="preserve"> </w:t>
      </w:r>
      <w:r>
        <w:t>transitions”.</w:t>
      </w:r>
      <w:r>
        <w:rPr>
          <w:spacing w:val="-10"/>
        </w:rPr>
        <w:t xml:space="preserve"> </w:t>
      </w:r>
      <w:r>
        <w:t>CQC</w:t>
      </w:r>
      <w:r>
        <w:rPr>
          <w:spacing w:val="-10"/>
        </w:rPr>
        <w:t xml:space="preserve"> </w:t>
      </w:r>
      <w:r>
        <w:t>focuses</w:t>
      </w:r>
      <w:r>
        <w:rPr>
          <w:spacing w:val="-13"/>
        </w:rPr>
        <w:t xml:space="preserve"> </w:t>
      </w:r>
      <w:r>
        <w:t>on</w:t>
      </w:r>
      <w:r>
        <w:rPr>
          <w:spacing w:val="-9"/>
        </w:rPr>
        <w:t xml:space="preserve"> </w:t>
      </w:r>
      <w:r>
        <w:t>how</w:t>
      </w:r>
      <w:r>
        <w:rPr>
          <w:spacing w:val="-5"/>
        </w:rPr>
        <w:t xml:space="preserve"> </w:t>
      </w:r>
      <w:r>
        <w:t>effectively</w:t>
      </w:r>
      <w:r>
        <w:rPr>
          <w:spacing w:val="-11"/>
        </w:rPr>
        <w:t xml:space="preserve"> </w:t>
      </w:r>
      <w:r>
        <w:t>local</w:t>
      </w:r>
      <w:r>
        <w:rPr>
          <w:spacing w:val="-11"/>
        </w:rPr>
        <w:t xml:space="preserve"> </w:t>
      </w:r>
      <w:r>
        <w:t>authorities identify, plan and manage transition pathways int</w:t>
      </w:r>
      <w:r>
        <w:t>o adult social care, drawing on lived experience,</w:t>
      </w:r>
      <w:r>
        <w:rPr>
          <w:spacing w:val="-10"/>
        </w:rPr>
        <w:t xml:space="preserve"> </w:t>
      </w:r>
      <w:r>
        <w:t>transition</w:t>
      </w:r>
      <w:r>
        <w:rPr>
          <w:spacing w:val="-9"/>
        </w:rPr>
        <w:t xml:space="preserve"> </w:t>
      </w:r>
      <w:r>
        <w:t>planning</w:t>
      </w:r>
      <w:r>
        <w:rPr>
          <w:spacing w:val="-9"/>
        </w:rPr>
        <w:t xml:space="preserve"> </w:t>
      </w:r>
      <w:r>
        <w:t>evidence</w:t>
      </w:r>
      <w:r>
        <w:rPr>
          <w:spacing w:val="-9"/>
        </w:rPr>
        <w:t xml:space="preserve"> </w:t>
      </w:r>
      <w:r>
        <w:t>and</w:t>
      </w:r>
      <w:r>
        <w:rPr>
          <w:spacing w:val="-9"/>
        </w:rPr>
        <w:t xml:space="preserve"> </w:t>
      </w:r>
      <w:r>
        <w:t>joint</w:t>
      </w:r>
      <w:r>
        <w:rPr>
          <w:spacing w:val="-7"/>
        </w:rPr>
        <w:t xml:space="preserve"> </w:t>
      </w:r>
      <w:r>
        <w:t>working</w:t>
      </w:r>
      <w:r>
        <w:rPr>
          <w:spacing w:val="-9"/>
        </w:rPr>
        <w:t xml:space="preserve"> </w:t>
      </w:r>
      <w:r>
        <w:t>with</w:t>
      </w:r>
      <w:r>
        <w:rPr>
          <w:spacing w:val="-9"/>
        </w:rPr>
        <w:t xml:space="preserve"> </w:t>
      </w:r>
      <w:r>
        <w:t>health</w:t>
      </w:r>
      <w:r>
        <w:rPr>
          <w:spacing w:val="-7"/>
        </w:rPr>
        <w:t xml:space="preserve"> </w:t>
      </w:r>
      <w:r>
        <w:t>partners,</w:t>
      </w:r>
      <w:r>
        <w:rPr>
          <w:spacing w:val="-10"/>
        </w:rPr>
        <w:t xml:space="preserve"> </w:t>
      </w:r>
      <w:r>
        <w:t>informed</w:t>
      </w:r>
      <w:r>
        <w:rPr>
          <w:spacing w:val="-9"/>
        </w:rPr>
        <w:t xml:space="preserve"> </w:t>
      </w:r>
      <w:r>
        <w:t>by Care</w:t>
      </w:r>
      <w:r>
        <w:rPr>
          <w:spacing w:val="-5"/>
        </w:rPr>
        <w:t xml:space="preserve"> </w:t>
      </w:r>
      <w:r>
        <w:t>Act</w:t>
      </w:r>
      <w:r>
        <w:rPr>
          <w:spacing w:val="-7"/>
        </w:rPr>
        <w:t xml:space="preserve"> </w:t>
      </w:r>
      <w:r>
        <w:t>statutory</w:t>
      </w:r>
      <w:r>
        <w:rPr>
          <w:spacing w:val="-8"/>
        </w:rPr>
        <w:t xml:space="preserve"> </w:t>
      </w:r>
      <w:r>
        <w:t>guidance</w:t>
      </w:r>
      <w:r>
        <w:rPr>
          <w:spacing w:val="-7"/>
        </w:rPr>
        <w:t xml:space="preserve"> </w:t>
      </w:r>
      <w:r>
        <w:t>(chapters</w:t>
      </w:r>
      <w:r>
        <w:rPr>
          <w:spacing w:val="-8"/>
        </w:rPr>
        <w:t xml:space="preserve"> </w:t>
      </w:r>
      <w:r>
        <w:t>15–16)</w:t>
      </w:r>
      <w:r>
        <w:fldChar w:fldCharType="begin"/>
      </w:r>
      <w:r>
        <w:instrText xml:space="preserve"> HYPERLINK \l "_bookmark12" </w:instrText>
      </w:r>
      <w:r>
        <w:fldChar w:fldCharType="separate"/>
      </w:r>
      <w:r>
        <w:rPr>
          <w:position w:val="8"/>
          <w:sz w:val="16"/>
        </w:rPr>
        <w:t>13</w:t>
      </w:r>
      <w:r>
        <w:fldChar w:fldCharType="end"/>
      </w:r>
      <w:r>
        <w:t>,</w:t>
      </w:r>
      <w:r>
        <w:rPr>
          <w:spacing w:val="-5"/>
        </w:rPr>
        <w:t xml:space="preserve"> </w:t>
      </w:r>
      <w:r>
        <w:t>NICE</w:t>
      </w:r>
      <w:r>
        <w:rPr>
          <w:spacing w:val="-5"/>
        </w:rPr>
        <w:t xml:space="preserve"> </w:t>
      </w:r>
      <w:r>
        <w:t>NG43</w:t>
      </w:r>
      <w:r>
        <w:fldChar w:fldCharType="begin"/>
      </w:r>
      <w:r>
        <w:instrText xml:space="preserve"> HYPERLINK \l "_bookmark13" </w:instrText>
      </w:r>
      <w:r>
        <w:fldChar w:fldCharType="separate"/>
      </w:r>
      <w:r>
        <w:rPr>
          <w:position w:val="8"/>
          <w:sz w:val="16"/>
        </w:rPr>
        <w:t>14</w:t>
      </w:r>
      <w:r>
        <w:fldChar w:fldCharType="end"/>
      </w:r>
      <w:r>
        <w:rPr>
          <w:spacing w:val="19"/>
          <w:position w:val="8"/>
          <w:sz w:val="16"/>
        </w:rPr>
        <w:t xml:space="preserve"> </w:t>
      </w:r>
      <w:r>
        <w:t>and</w:t>
      </w:r>
      <w:r>
        <w:rPr>
          <w:spacing w:val="-7"/>
        </w:rPr>
        <w:t xml:space="preserve"> </w:t>
      </w:r>
      <w:r>
        <w:t>Preparing</w:t>
      </w:r>
      <w:r>
        <w:rPr>
          <w:spacing w:val="-5"/>
        </w:rPr>
        <w:t xml:space="preserve"> </w:t>
      </w:r>
      <w:r>
        <w:t>for</w:t>
      </w:r>
      <w:r>
        <w:rPr>
          <w:spacing w:val="-6"/>
        </w:rPr>
        <w:t xml:space="preserve"> </w:t>
      </w:r>
      <w:r>
        <w:t xml:space="preserve">Adulthood </w:t>
      </w:r>
      <w:r>
        <w:rPr>
          <w:spacing w:val="-2"/>
        </w:rPr>
        <w:t>resources</w:t>
      </w:r>
      <w:r>
        <w:fldChar w:fldCharType="begin"/>
      </w:r>
      <w:r>
        <w:instrText xml:space="preserve"> HYPERLINK \l "_bookmark14" </w:instrText>
      </w:r>
      <w:r>
        <w:fldChar w:fldCharType="separate"/>
      </w:r>
      <w:r>
        <w:rPr>
          <w:spacing w:val="-2"/>
          <w:position w:val="8"/>
          <w:sz w:val="16"/>
        </w:rPr>
        <w:t>15</w:t>
      </w:r>
      <w:r>
        <w:fldChar w:fldCharType="end"/>
      </w:r>
      <w:r>
        <w:rPr>
          <w:spacing w:val="-2"/>
        </w:rPr>
        <w:t>.</w:t>
      </w:r>
    </w:p>
    <w:p w:rsidR="00612801">
      <w:pPr>
        <w:pStyle w:val="BodyText"/>
        <w:spacing w:before="111"/>
        <w:ind w:right="137"/>
        <w:jc w:val="both"/>
      </w:pPr>
      <w:r>
        <w:t>Oversight</w:t>
      </w:r>
      <w:r>
        <w:rPr>
          <w:spacing w:val="-2"/>
        </w:rPr>
        <w:t xml:space="preserve"> </w:t>
      </w:r>
      <w:r>
        <w:t>of</w:t>
      </w:r>
      <w:r>
        <w:rPr>
          <w:spacing w:val="-2"/>
        </w:rPr>
        <w:t xml:space="preserve"> </w:t>
      </w:r>
      <w:r>
        <w:t>health-related</w:t>
      </w:r>
      <w:r>
        <w:rPr>
          <w:spacing w:val="-4"/>
        </w:rPr>
        <w:t xml:space="preserve"> </w:t>
      </w:r>
      <w:r>
        <w:t>transition</w:t>
      </w:r>
      <w:r>
        <w:rPr>
          <w:spacing w:val="-2"/>
        </w:rPr>
        <w:t xml:space="preserve"> </w:t>
      </w:r>
      <w:r>
        <w:t>guidance</w:t>
      </w:r>
      <w:r>
        <w:rPr>
          <w:spacing w:val="-2"/>
        </w:rPr>
        <w:t xml:space="preserve"> </w:t>
      </w:r>
      <w:r>
        <w:t>is</w:t>
      </w:r>
      <w:r>
        <w:rPr>
          <w:spacing w:val="-2"/>
        </w:rPr>
        <w:t xml:space="preserve"> </w:t>
      </w:r>
      <w:r>
        <w:t>primarily</w:t>
      </w:r>
      <w:r>
        <w:rPr>
          <w:spacing w:val="-2"/>
        </w:rPr>
        <w:t xml:space="preserve"> </w:t>
      </w:r>
      <w:r>
        <w:t>delivered</w:t>
      </w:r>
      <w:r>
        <w:rPr>
          <w:spacing w:val="-4"/>
        </w:rPr>
        <w:t xml:space="preserve"> </w:t>
      </w:r>
      <w:r>
        <w:t>through</w:t>
      </w:r>
      <w:r>
        <w:rPr>
          <w:spacing w:val="-2"/>
        </w:rPr>
        <w:t xml:space="preserve"> </w:t>
      </w:r>
      <w:r>
        <w:t>NHS</w:t>
      </w:r>
      <w:r>
        <w:rPr>
          <w:spacing w:val="-2"/>
        </w:rPr>
        <w:t xml:space="preserve"> </w:t>
      </w:r>
      <w:r>
        <w:t xml:space="preserve">England, which sets out national expectations for good transitions and relies on regional teams and Integrated Care Boards to assure local implementation and address variation. This is reinforced by inspection and assessment activity, including CQC local authority assessments and provider-level inspections, helping to ensure transition pathways across health and care are safe, coordinated and </w:t>
      </w:r>
      <w:r>
        <w:t>centred</w:t>
      </w:r>
      <w:r>
        <w:t xml:space="preserve"> on the needs of young people.</w:t>
      </w:r>
    </w:p>
    <w:p w:rsidR="00612801">
      <w:pPr>
        <w:pStyle w:val="BodyText"/>
        <w:spacing w:before="240"/>
        <w:ind w:left="0"/>
      </w:pPr>
    </w:p>
    <w:p w:rsidR="00612801">
      <w:pPr>
        <w:pStyle w:val="Heading1"/>
        <w:spacing w:before="1"/>
        <w:jc w:val="both"/>
      </w:pPr>
      <w:r>
        <w:rPr>
          <w:u w:val="single"/>
        </w:rPr>
        <w:t>Focus</w:t>
      </w:r>
      <w:r>
        <w:rPr>
          <w:spacing w:val="-3"/>
          <w:u w:val="single"/>
        </w:rPr>
        <w:t xml:space="preserve"> </w:t>
      </w:r>
      <w:r>
        <w:rPr>
          <w:u w:val="single"/>
        </w:rPr>
        <w:t>area</w:t>
      </w:r>
      <w:r>
        <w:rPr>
          <w:spacing w:val="-4"/>
          <w:u w:val="single"/>
        </w:rPr>
        <w:t xml:space="preserve"> </w:t>
      </w:r>
      <w:r>
        <w:rPr>
          <w:u w:val="single"/>
        </w:rPr>
        <w:t>4:</w:t>
      </w:r>
      <w:r>
        <w:rPr>
          <w:spacing w:val="-2"/>
          <w:u w:val="single"/>
        </w:rPr>
        <w:t xml:space="preserve"> </w:t>
      </w:r>
      <w:r>
        <w:rPr>
          <w:u w:val="single"/>
        </w:rPr>
        <w:t>Workforce</w:t>
      </w:r>
      <w:r>
        <w:rPr>
          <w:spacing w:val="-2"/>
          <w:u w:val="single"/>
        </w:rPr>
        <w:t xml:space="preserve"> </w:t>
      </w:r>
      <w:r>
        <w:rPr>
          <w:u w:val="single"/>
        </w:rPr>
        <w:t>and</w:t>
      </w:r>
      <w:r>
        <w:rPr>
          <w:spacing w:val="-2"/>
          <w:u w:val="single"/>
        </w:rPr>
        <w:t xml:space="preserve"> training</w:t>
      </w:r>
    </w:p>
    <w:p w:rsidR="00612801">
      <w:pPr>
        <w:pStyle w:val="BodyText"/>
        <w:spacing w:before="117" w:line="237" w:lineRule="auto"/>
        <w:ind w:right="140"/>
        <w:jc w:val="both"/>
      </w:pPr>
      <w:r>
        <w:t>Roles</w:t>
      </w:r>
      <w:r>
        <w:rPr>
          <w:spacing w:val="-17"/>
        </w:rPr>
        <w:t xml:space="preserve"> </w:t>
      </w:r>
      <w:r>
        <w:t>and</w:t>
      </w:r>
      <w:r>
        <w:rPr>
          <w:spacing w:val="-17"/>
        </w:rPr>
        <w:t xml:space="preserve"> </w:t>
      </w:r>
      <w:r>
        <w:t>responsibilities</w:t>
      </w:r>
      <w:r>
        <w:rPr>
          <w:spacing w:val="-16"/>
        </w:rPr>
        <w:t xml:space="preserve"> </w:t>
      </w:r>
      <w:r>
        <w:t>for</w:t>
      </w:r>
      <w:r>
        <w:rPr>
          <w:spacing w:val="-17"/>
        </w:rPr>
        <w:t xml:space="preserve"> </w:t>
      </w:r>
      <w:r>
        <w:t>transitions</w:t>
      </w:r>
      <w:r>
        <w:rPr>
          <w:spacing w:val="-17"/>
        </w:rPr>
        <w:t xml:space="preserve"> </w:t>
      </w:r>
      <w:r>
        <w:t>are</w:t>
      </w:r>
      <w:r>
        <w:rPr>
          <w:spacing w:val="-17"/>
        </w:rPr>
        <w:t xml:space="preserve"> </w:t>
      </w:r>
      <w:r>
        <w:t>defined</w:t>
      </w:r>
      <w:r>
        <w:rPr>
          <w:spacing w:val="-16"/>
        </w:rPr>
        <w:t xml:space="preserve"> </w:t>
      </w:r>
      <w:r>
        <w:t>most</w:t>
      </w:r>
      <w:r>
        <w:rPr>
          <w:spacing w:val="-17"/>
        </w:rPr>
        <w:t xml:space="preserve"> </w:t>
      </w:r>
      <w:r>
        <w:t>clearly</w:t>
      </w:r>
      <w:r>
        <w:rPr>
          <w:spacing w:val="-17"/>
        </w:rPr>
        <w:t xml:space="preserve"> </w:t>
      </w:r>
      <w:r>
        <w:t>in</w:t>
      </w:r>
      <w:r>
        <w:rPr>
          <w:spacing w:val="-16"/>
        </w:rPr>
        <w:t xml:space="preserve"> </w:t>
      </w:r>
      <w:r>
        <w:t>NICE</w:t>
      </w:r>
      <w:r>
        <w:rPr>
          <w:spacing w:val="-17"/>
        </w:rPr>
        <w:t xml:space="preserve"> </w:t>
      </w:r>
      <w:r>
        <w:t>NG43</w:t>
      </w:r>
      <w:r>
        <w:fldChar w:fldCharType="begin"/>
      </w:r>
      <w:r>
        <w:instrText xml:space="preserve"> HYPERLINK \l "_bookmark15" </w:instrText>
      </w:r>
      <w:r>
        <w:fldChar w:fldCharType="separate"/>
      </w:r>
      <w:r>
        <w:rPr>
          <w:position w:val="8"/>
          <w:sz w:val="16"/>
        </w:rPr>
        <w:t>16</w:t>
      </w:r>
      <w:r>
        <w:fldChar w:fldCharType="end"/>
      </w:r>
      <w:r>
        <w:rPr>
          <w:spacing w:val="3"/>
          <w:position w:val="8"/>
          <w:sz w:val="16"/>
        </w:rPr>
        <w:t xml:space="preserve"> </w:t>
      </w:r>
      <w:r>
        <w:t>(Transition from Children’s</w:t>
      </w:r>
      <w:r>
        <w:rPr>
          <w:spacing w:val="-1"/>
        </w:rPr>
        <w:t xml:space="preserve"> </w:t>
      </w:r>
      <w:r>
        <w:t>to Adults’ Services)</w:t>
      </w:r>
      <w:r>
        <w:rPr>
          <w:position w:val="8"/>
          <w:sz w:val="16"/>
        </w:rPr>
        <w:t>17</w:t>
      </w:r>
      <w:r>
        <w:rPr>
          <w:spacing w:val="19"/>
          <w:position w:val="8"/>
          <w:sz w:val="16"/>
        </w:rPr>
        <w:t xml:space="preserve"> </w:t>
      </w:r>
      <w:r>
        <w:t>and NICE</w:t>
      </w:r>
      <w:r>
        <w:rPr>
          <w:spacing w:val="-1"/>
        </w:rPr>
        <w:t xml:space="preserve"> </w:t>
      </w:r>
      <w:r>
        <w:t>Quality Standard</w:t>
      </w:r>
      <w:r>
        <w:rPr>
          <w:spacing w:val="-1"/>
        </w:rPr>
        <w:t xml:space="preserve"> </w:t>
      </w:r>
      <w:r>
        <w:t>QS140</w:t>
      </w:r>
      <w:r>
        <w:fldChar w:fldCharType="begin"/>
      </w:r>
      <w:r>
        <w:instrText xml:space="preserve"> HYPERLINK \l "_bookmark16" </w:instrText>
      </w:r>
      <w:r>
        <w:fldChar w:fldCharType="separate"/>
      </w:r>
      <w:r>
        <w:rPr>
          <w:position w:val="8"/>
          <w:sz w:val="16"/>
        </w:rPr>
        <w:t>17</w:t>
      </w:r>
      <w:r>
        <w:fldChar w:fldCharType="end"/>
      </w:r>
      <w:r>
        <w:rPr>
          <w:spacing w:val="19"/>
          <w:position w:val="8"/>
          <w:sz w:val="16"/>
        </w:rPr>
        <w:t xml:space="preserve"> </w:t>
      </w:r>
      <w:r>
        <w:t>(Transition from Children’s to Adults’ Services, updated December</w:t>
      </w:r>
      <w:r>
        <w:rPr>
          <w:spacing w:val="-1"/>
        </w:rPr>
        <w:t xml:space="preserve"> </w:t>
      </w:r>
      <w:r>
        <w:t>2023</w:t>
      </w:r>
      <w:r>
        <w:t>)</w:t>
      </w:r>
      <w:r>
        <w:rPr>
          <w:position w:val="8"/>
          <w:sz w:val="16"/>
        </w:rPr>
        <w:t>,</w:t>
      </w:r>
      <w:r>
        <w:t>and</w:t>
      </w:r>
      <w:r>
        <w:t xml:space="preserve"> reinforced through NHSE transition guidance</w:t>
      </w:r>
      <w:r>
        <w:fldChar w:fldCharType="begin"/>
      </w:r>
      <w:r>
        <w:instrText xml:space="preserve"> HYPERLINK \l "_bookmark17" </w:instrText>
      </w:r>
      <w:r>
        <w:fldChar w:fldCharType="separate"/>
      </w:r>
      <w:r>
        <w:rPr>
          <w:position w:val="8"/>
          <w:sz w:val="16"/>
        </w:rPr>
        <w:t>18</w:t>
      </w:r>
      <w:r>
        <w:fldChar w:fldCharType="end"/>
      </w:r>
      <w:r>
        <w:rPr>
          <w:position w:val="8"/>
          <w:sz w:val="16"/>
        </w:rPr>
        <w:t xml:space="preserve"> </w:t>
      </w:r>
      <w:r>
        <w:t>and SEND statutory guidance</w:t>
      </w:r>
      <w:r>
        <w:fldChar w:fldCharType="begin"/>
      </w:r>
      <w:r>
        <w:instrText xml:space="preserve"> HYPERLINK \l "_bookmark18" </w:instrText>
      </w:r>
      <w:r>
        <w:fldChar w:fldCharType="separate"/>
      </w:r>
      <w:r>
        <w:rPr>
          <w:position w:val="8"/>
          <w:sz w:val="16"/>
        </w:rPr>
        <w:t>19</w:t>
      </w:r>
      <w:r>
        <w:fldChar w:fldCharType="end"/>
      </w:r>
      <w:r>
        <w:t>. This guidance sets expectations for early planning, but resourcing decisions sit locally.</w:t>
      </w:r>
    </w:p>
    <w:p w:rsidR="00612801">
      <w:pPr>
        <w:pStyle w:val="BodyText"/>
        <w:spacing w:before="117"/>
        <w:ind w:right="146"/>
        <w:jc w:val="both"/>
      </w:pPr>
      <w:r>
        <w:t>Local systems require sufficient workforce capacity across children’s and adults’ services, including social workers, health professionals and SEND teams, alongside clear local transition pathways, shared data systems, and protected time for early, joint planning.</w:t>
      </w:r>
    </w:p>
    <w:p w:rsidR="00612801">
      <w:pPr>
        <w:pStyle w:val="BodyText"/>
        <w:spacing w:before="120"/>
        <w:ind w:right="138"/>
        <w:jc w:val="both"/>
      </w:pPr>
      <w:r>
        <w:t>The transitions into ASC project we recently launched will deliver a set of best practice principles for good transitions, together with bespoke training materials for social workers and social care leaders to help ensure they have the knowledge and tools to provide high-quality support to young people as they transition into adulthood.</w:t>
      </w:r>
    </w:p>
    <w:p w:rsidR="00612801">
      <w:pPr>
        <w:pStyle w:val="BodyText"/>
        <w:spacing w:before="120"/>
        <w:ind w:right="139"/>
        <w:jc w:val="both"/>
      </w:pPr>
      <w:r>
        <w:t>National</w:t>
      </w:r>
      <w:r>
        <w:rPr>
          <w:spacing w:val="-5"/>
        </w:rPr>
        <w:t xml:space="preserve"> </w:t>
      </w:r>
      <w:r>
        <w:t>NHSE</w:t>
      </w:r>
      <w:r>
        <w:rPr>
          <w:spacing w:val="-4"/>
        </w:rPr>
        <w:t xml:space="preserve"> </w:t>
      </w:r>
      <w:r>
        <w:t>guidance</w:t>
      </w:r>
      <w:r>
        <w:rPr>
          <w:spacing w:val="-4"/>
        </w:rPr>
        <w:t xml:space="preserve"> </w:t>
      </w:r>
      <w:r>
        <w:t>identifies</w:t>
      </w:r>
      <w:r>
        <w:rPr>
          <w:spacing w:val="-4"/>
        </w:rPr>
        <w:t xml:space="preserve"> </w:t>
      </w:r>
      <w:r>
        <w:t>the</w:t>
      </w:r>
      <w:r>
        <w:rPr>
          <w:spacing w:val="-4"/>
        </w:rPr>
        <w:t xml:space="preserve"> </w:t>
      </w:r>
      <w:r>
        <w:t>use</w:t>
      </w:r>
      <w:r>
        <w:rPr>
          <w:spacing w:val="-4"/>
        </w:rPr>
        <w:t xml:space="preserve"> </w:t>
      </w:r>
      <w:r>
        <w:t>of</w:t>
      </w:r>
      <w:r>
        <w:rPr>
          <w:spacing w:val="-6"/>
        </w:rPr>
        <w:t xml:space="preserve"> </w:t>
      </w:r>
      <w:r>
        <w:t>a named</w:t>
      </w:r>
      <w:r>
        <w:rPr>
          <w:spacing w:val="-4"/>
        </w:rPr>
        <w:t xml:space="preserve"> </w:t>
      </w:r>
      <w:r>
        <w:t>key</w:t>
      </w:r>
      <w:r>
        <w:rPr>
          <w:spacing w:val="-4"/>
        </w:rPr>
        <w:t xml:space="preserve"> </w:t>
      </w:r>
      <w:r>
        <w:t>worker</w:t>
      </w:r>
      <w:r>
        <w:rPr>
          <w:spacing w:val="-5"/>
        </w:rPr>
        <w:t xml:space="preserve"> </w:t>
      </w:r>
      <w:r>
        <w:t>as</w:t>
      </w:r>
      <w:r>
        <w:rPr>
          <w:spacing w:val="-4"/>
        </w:rPr>
        <w:t xml:space="preserve"> </w:t>
      </w:r>
      <w:r>
        <w:t>an</w:t>
      </w:r>
      <w:r>
        <w:rPr>
          <w:spacing w:val="-4"/>
        </w:rPr>
        <w:t xml:space="preserve"> </w:t>
      </w:r>
      <w:r>
        <w:t>important</w:t>
      </w:r>
      <w:r>
        <w:rPr>
          <w:spacing w:val="-4"/>
        </w:rPr>
        <w:t xml:space="preserve"> </w:t>
      </w:r>
      <w:r>
        <w:t>factor</w:t>
      </w:r>
      <w:r>
        <w:rPr>
          <w:spacing w:val="-5"/>
        </w:rPr>
        <w:t xml:space="preserve"> </w:t>
      </w:r>
      <w:r>
        <w:t>in improving the experience of healthcare transition. Having a consistent point of contact provides familiarity for</w:t>
      </w:r>
      <w:r>
        <w:rPr>
          <w:spacing w:val="-1"/>
        </w:rPr>
        <w:t xml:space="preserve"> </w:t>
      </w:r>
      <w:r>
        <w:t>the young person, supports coordination across services, and helps maintain</w:t>
      </w:r>
      <w:r>
        <w:rPr>
          <w:spacing w:val="-12"/>
        </w:rPr>
        <w:t xml:space="preserve"> </w:t>
      </w:r>
      <w:r>
        <w:t>continuity</w:t>
      </w:r>
      <w:r>
        <w:rPr>
          <w:spacing w:val="-13"/>
        </w:rPr>
        <w:t xml:space="preserve"> </w:t>
      </w:r>
      <w:r>
        <w:t>throughout</w:t>
      </w:r>
      <w:r>
        <w:rPr>
          <w:spacing w:val="-12"/>
        </w:rPr>
        <w:t xml:space="preserve"> </w:t>
      </w:r>
      <w:r>
        <w:t>the</w:t>
      </w:r>
      <w:r>
        <w:rPr>
          <w:spacing w:val="-9"/>
        </w:rPr>
        <w:t xml:space="preserve"> </w:t>
      </w:r>
      <w:r>
        <w:t>transition</w:t>
      </w:r>
      <w:r>
        <w:rPr>
          <w:spacing w:val="-11"/>
        </w:rPr>
        <w:t xml:space="preserve"> </w:t>
      </w:r>
      <w:r>
        <w:t>journey.</w:t>
      </w:r>
      <w:r>
        <w:rPr>
          <w:spacing w:val="-12"/>
        </w:rPr>
        <w:t xml:space="preserve"> </w:t>
      </w:r>
      <w:r>
        <w:t>In</w:t>
      </w:r>
      <w:r>
        <w:rPr>
          <w:spacing w:val="-11"/>
        </w:rPr>
        <w:t xml:space="preserve"> </w:t>
      </w:r>
      <w:r>
        <w:t>addition,</w:t>
      </w:r>
      <w:r>
        <w:rPr>
          <w:spacing w:val="-10"/>
        </w:rPr>
        <w:t xml:space="preserve"> </w:t>
      </w:r>
      <w:r>
        <w:t>clear</w:t>
      </w:r>
      <w:r>
        <w:rPr>
          <w:spacing w:val="-11"/>
        </w:rPr>
        <w:t xml:space="preserve"> </w:t>
      </w:r>
      <w:r>
        <w:t>clinical</w:t>
      </w:r>
      <w:r>
        <w:rPr>
          <w:spacing w:val="-10"/>
        </w:rPr>
        <w:t xml:space="preserve"> </w:t>
      </w:r>
      <w:r>
        <w:t>and</w:t>
      </w:r>
      <w:r>
        <w:rPr>
          <w:spacing w:val="-12"/>
        </w:rPr>
        <w:t xml:space="preserve"> </w:t>
      </w:r>
      <w:r>
        <w:t>executive leadership supports effective oversight, ensuring that once local transition policies are developed</w:t>
      </w:r>
      <w:r>
        <w:rPr>
          <w:spacing w:val="-5"/>
        </w:rPr>
        <w:t xml:space="preserve"> </w:t>
      </w:r>
      <w:r>
        <w:t>and</w:t>
      </w:r>
      <w:r>
        <w:rPr>
          <w:spacing w:val="-5"/>
        </w:rPr>
        <w:t xml:space="preserve"> </w:t>
      </w:r>
      <w:r>
        <w:t>implemented,</w:t>
      </w:r>
      <w:r>
        <w:rPr>
          <w:spacing w:val="-3"/>
        </w:rPr>
        <w:t xml:space="preserve"> </w:t>
      </w:r>
      <w:r>
        <w:t>services</w:t>
      </w:r>
      <w:r>
        <w:rPr>
          <w:spacing w:val="-5"/>
        </w:rPr>
        <w:t xml:space="preserve"> </w:t>
      </w:r>
      <w:r>
        <w:t>are</w:t>
      </w:r>
      <w:r>
        <w:rPr>
          <w:spacing w:val="-3"/>
        </w:rPr>
        <w:t xml:space="preserve"> </w:t>
      </w:r>
      <w:r>
        <w:t>consistently</w:t>
      </w:r>
      <w:r>
        <w:rPr>
          <w:spacing w:val="-6"/>
        </w:rPr>
        <w:t xml:space="preserve"> </w:t>
      </w:r>
      <w:r>
        <w:t>monitored,</w:t>
      </w:r>
      <w:r>
        <w:rPr>
          <w:spacing w:val="-5"/>
        </w:rPr>
        <w:t xml:space="preserve"> </w:t>
      </w:r>
      <w:r>
        <w:t>reviewed,</w:t>
      </w:r>
      <w:r>
        <w:rPr>
          <w:spacing w:val="-5"/>
        </w:rPr>
        <w:t xml:space="preserve"> </w:t>
      </w:r>
      <w:r>
        <w:t>and</w:t>
      </w:r>
      <w:r>
        <w:rPr>
          <w:spacing w:val="-5"/>
        </w:rPr>
        <w:t xml:space="preserve"> </w:t>
      </w:r>
      <w:r>
        <w:t>improved.</w:t>
      </w:r>
    </w:p>
    <w:p w:rsidR="00612801">
      <w:pPr>
        <w:pStyle w:val="BodyText"/>
        <w:ind w:left="0"/>
        <w:rPr>
          <w:sz w:val="20"/>
        </w:rPr>
      </w:pPr>
    </w:p>
    <w:p w:rsidR="00612801">
      <w:pPr>
        <w:pStyle w:val="BodyText"/>
        <w:ind w:left="0"/>
        <w:rPr>
          <w:sz w:val="20"/>
        </w:rPr>
      </w:pPr>
    </w:p>
    <w:p w:rsidR="00612801">
      <w:pPr>
        <w:pStyle w:val="BodyText"/>
        <w:spacing w:before="68"/>
        <w:ind w:left="0"/>
        <w:rPr>
          <w:sz w:val="20"/>
        </w:rPr>
      </w:pPr>
      <w:r>
        <w:rPr>
          <w:noProof/>
          <w:sz w:val="20"/>
        </w:rPr>
        <mc:AlternateContent>
          <mc:Choice Requires="wps">
            <w:drawing>
              <wp:anchor distT="0" distB="0" distL="0" distR="0" simplePos="0" relativeHeight="251665408" behindDoc="1" locked="0" layoutInCell="1" allowOverlap="1">
                <wp:simplePos x="0" y="0"/>
                <wp:positionH relativeFrom="page">
                  <wp:posOffset>719327</wp:posOffset>
                </wp:positionH>
                <wp:positionV relativeFrom="paragraph">
                  <wp:posOffset>204925</wp:posOffset>
                </wp:positionV>
                <wp:extent cx="1829435" cy="9525"/>
                <wp:effectExtent l="0" t="0" r="0" b="0"/>
                <wp:wrapTopAndBottom/>
                <wp:docPr id="6" name="Graphic 6"/>
                <wp:cNvGraphicFramePr/>
                <a:graphic xmlns:a="http://schemas.openxmlformats.org/drawingml/2006/main">
                  <a:graphicData uri="http://schemas.microsoft.com/office/word/2010/wordprocessingShape">
                    <wps:wsp xmlns:wps="http://schemas.microsoft.com/office/word/2010/wordprocessingShape">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6" o:spid="_x0000_s1028" style="height:0.75pt;margin-left:56.65pt;margin-top:16.15pt;mso-position-horizontal-relative:page;mso-wrap-distance-bottom:0;mso-wrap-distance-left:0;mso-wrap-distance-right:0;mso-wrap-distance-top:0;mso-wrap-style:square;position:absolute;v-text-anchor:top;visibility:visible;width:144.05pt;z-index:-251650048" coordsize="1829435,9525" path="m1829435,l,,,9143l1829435,9143l1829435,xe" fillcolor="black" stroked="f">
                <v:path arrowok="t"/>
                <w10:wrap type="topAndBottom"/>
              </v:shape>
            </w:pict>
          </mc:Fallback>
        </mc:AlternateContent>
      </w:r>
    </w:p>
    <w:p w:rsidR="00612801">
      <w:pPr>
        <w:spacing w:before="98"/>
        <w:ind w:left="140"/>
        <w:rPr>
          <w:sz w:val="20"/>
        </w:rPr>
      </w:pPr>
      <w:bookmarkStart w:id="12" w:name="_bookmark12"/>
      <w:bookmarkEnd w:id="12"/>
      <w:r>
        <w:rPr>
          <w:position w:val="6"/>
          <w:sz w:val="13"/>
        </w:rPr>
        <w:t>13</w:t>
      </w:r>
      <w:r>
        <w:rPr>
          <w:spacing w:val="13"/>
          <w:position w:val="6"/>
          <w:sz w:val="13"/>
        </w:rPr>
        <w:t xml:space="preserve"> </w:t>
      </w:r>
      <w:r>
        <w:fldChar w:fldCharType="begin"/>
      </w:r>
      <w:r>
        <w:instrText xml:space="preserve"> HYPERLINK "https://www.gov.uk/government/publications/care-act-statutory-guidance/care-and-support-statutory-guidance" \l "integration-and-partnership-working" </w:instrText>
      </w:r>
      <w:r>
        <w:fldChar w:fldCharType="separate"/>
      </w:r>
      <w:r>
        <w:rPr>
          <w:color w:val="0462C1"/>
          <w:sz w:val="20"/>
          <w:u w:val="single" w:color="0462C1"/>
        </w:rPr>
        <w:t>Care</w:t>
      </w:r>
      <w:r>
        <w:rPr>
          <w:color w:val="0462C1"/>
          <w:spacing w:val="-6"/>
          <w:sz w:val="20"/>
          <w:u w:val="single" w:color="0462C1"/>
        </w:rPr>
        <w:t xml:space="preserve"> </w:t>
      </w:r>
      <w:r>
        <w:rPr>
          <w:color w:val="0462C1"/>
          <w:sz w:val="20"/>
          <w:u w:val="single" w:color="0462C1"/>
        </w:rPr>
        <w:t>and</w:t>
      </w:r>
      <w:r>
        <w:rPr>
          <w:color w:val="0462C1"/>
          <w:spacing w:val="-7"/>
          <w:sz w:val="20"/>
          <w:u w:val="single" w:color="0462C1"/>
        </w:rPr>
        <w:t xml:space="preserve"> </w:t>
      </w:r>
      <w:r>
        <w:rPr>
          <w:color w:val="0462C1"/>
          <w:sz w:val="20"/>
          <w:u w:val="single" w:color="0462C1"/>
        </w:rPr>
        <w:t>support</w:t>
      </w:r>
      <w:r>
        <w:rPr>
          <w:color w:val="0462C1"/>
          <w:spacing w:val="-6"/>
          <w:sz w:val="20"/>
          <w:u w:val="single" w:color="0462C1"/>
        </w:rPr>
        <w:t xml:space="preserve"> </w:t>
      </w:r>
      <w:r>
        <w:rPr>
          <w:color w:val="0462C1"/>
          <w:sz w:val="20"/>
          <w:u w:val="single" w:color="0462C1"/>
        </w:rPr>
        <w:t>statutory</w:t>
      </w:r>
      <w:r>
        <w:rPr>
          <w:color w:val="0462C1"/>
          <w:spacing w:val="-3"/>
          <w:sz w:val="20"/>
          <w:u w:val="single" w:color="0462C1"/>
        </w:rPr>
        <w:t xml:space="preserve"> </w:t>
      </w:r>
      <w:r>
        <w:rPr>
          <w:color w:val="0462C1"/>
          <w:sz w:val="20"/>
          <w:u w:val="single" w:color="0462C1"/>
        </w:rPr>
        <w:t>guidance</w:t>
      </w:r>
      <w:r>
        <w:rPr>
          <w:color w:val="0462C1"/>
          <w:spacing w:val="-1"/>
          <w:sz w:val="20"/>
          <w:u w:val="single" w:color="0462C1"/>
        </w:rPr>
        <w:t xml:space="preserve"> </w:t>
      </w:r>
      <w:r>
        <w:rPr>
          <w:color w:val="0462C1"/>
          <w:sz w:val="20"/>
          <w:u w:val="single" w:color="0462C1"/>
        </w:rPr>
        <w:t>-</w:t>
      </w:r>
      <w:r>
        <w:rPr>
          <w:color w:val="0462C1"/>
          <w:spacing w:val="-6"/>
          <w:sz w:val="20"/>
          <w:u w:val="single" w:color="0462C1"/>
        </w:rPr>
        <w:t xml:space="preserve"> </w:t>
      </w:r>
      <w:r>
        <w:rPr>
          <w:color w:val="0462C1"/>
          <w:spacing w:val="-2"/>
          <w:sz w:val="20"/>
          <w:u w:val="single" w:color="0462C1"/>
        </w:rPr>
        <w:t>GOV.UK</w:t>
      </w:r>
      <w:r>
        <w:fldChar w:fldCharType="end"/>
      </w:r>
    </w:p>
    <w:p w:rsidR="00612801">
      <w:pPr>
        <w:spacing w:before="1"/>
        <w:ind w:left="140" w:right="201"/>
        <w:rPr>
          <w:sz w:val="20"/>
        </w:rPr>
      </w:pPr>
      <w:bookmarkStart w:id="13" w:name="_bookmark13"/>
      <w:bookmarkEnd w:id="13"/>
      <w:r>
        <w:rPr>
          <w:position w:val="6"/>
          <w:sz w:val="13"/>
        </w:rPr>
        <w:t>14</w:t>
      </w:r>
      <w:r>
        <w:rPr>
          <w:spacing w:val="16"/>
          <w:position w:val="6"/>
          <w:sz w:val="13"/>
        </w:rPr>
        <w:t xml:space="preserve"> </w:t>
      </w:r>
      <w:r>
        <w:fldChar w:fldCharType="begin"/>
      </w:r>
      <w:r>
        <w:instrText xml:space="preserve"> HYPERLINK "https://www.nice.org.uk/guidance/ng43" </w:instrText>
      </w:r>
      <w:r>
        <w:fldChar w:fldCharType="separate"/>
      </w:r>
      <w:r>
        <w:rPr>
          <w:color w:val="0462C1"/>
          <w:sz w:val="20"/>
          <w:u w:val="single" w:color="0462C1"/>
        </w:rPr>
        <w:t>Overview</w:t>
      </w:r>
      <w:r>
        <w:rPr>
          <w:color w:val="0462C1"/>
          <w:spacing w:val="-4"/>
          <w:sz w:val="20"/>
          <w:u w:val="single" w:color="0462C1"/>
        </w:rPr>
        <w:t xml:space="preserve"> </w:t>
      </w:r>
      <w:r>
        <w:rPr>
          <w:color w:val="0462C1"/>
          <w:sz w:val="20"/>
          <w:u w:val="single" w:color="0462C1"/>
        </w:rPr>
        <w:t>|</w:t>
      </w:r>
      <w:r>
        <w:rPr>
          <w:color w:val="0462C1"/>
          <w:spacing w:val="-5"/>
          <w:sz w:val="20"/>
          <w:u w:val="single" w:color="0462C1"/>
        </w:rPr>
        <w:t xml:space="preserve"> </w:t>
      </w:r>
      <w:r>
        <w:rPr>
          <w:color w:val="0462C1"/>
          <w:sz w:val="20"/>
          <w:u w:val="single" w:color="0462C1"/>
        </w:rPr>
        <w:t>Transition</w:t>
      </w:r>
      <w:r>
        <w:rPr>
          <w:color w:val="0462C1"/>
          <w:spacing w:val="-3"/>
          <w:sz w:val="20"/>
          <w:u w:val="single" w:color="0462C1"/>
        </w:rPr>
        <w:t xml:space="preserve"> </w:t>
      </w:r>
      <w:r>
        <w:rPr>
          <w:color w:val="0462C1"/>
          <w:sz w:val="20"/>
          <w:u w:val="single" w:color="0462C1"/>
        </w:rPr>
        <w:t>from</w:t>
      </w:r>
      <w:r>
        <w:rPr>
          <w:color w:val="0462C1"/>
          <w:spacing w:val="-2"/>
          <w:sz w:val="20"/>
          <w:u w:val="single" w:color="0462C1"/>
        </w:rPr>
        <w:t xml:space="preserve"> </w:t>
      </w:r>
      <w:r>
        <w:rPr>
          <w:color w:val="0462C1"/>
          <w:sz w:val="20"/>
          <w:u w:val="single" w:color="0462C1"/>
        </w:rPr>
        <w:t>children’s</w:t>
      </w:r>
      <w:r>
        <w:rPr>
          <w:color w:val="0462C1"/>
          <w:spacing w:val="-3"/>
          <w:sz w:val="20"/>
          <w:u w:val="single" w:color="0462C1"/>
        </w:rPr>
        <w:t xml:space="preserve"> </w:t>
      </w:r>
      <w:r>
        <w:rPr>
          <w:color w:val="0462C1"/>
          <w:sz w:val="20"/>
          <w:u w:val="single" w:color="0462C1"/>
        </w:rPr>
        <w:t>to</w:t>
      </w:r>
      <w:r>
        <w:rPr>
          <w:color w:val="0462C1"/>
          <w:spacing w:val="-4"/>
          <w:sz w:val="20"/>
          <w:u w:val="single" w:color="0462C1"/>
        </w:rPr>
        <w:t xml:space="preserve"> </w:t>
      </w:r>
      <w:r>
        <w:rPr>
          <w:color w:val="0462C1"/>
          <w:sz w:val="20"/>
          <w:u w:val="single" w:color="0462C1"/>
        </w:rPr>
        <w:t>adults’</w:t>
      </w:r>
      <w:r>
        <w:rPr>
          <w:color w:val="0462C1"/>
          <w:spacing w:val="-5"/>
          <w:sz w:val="20"/>
          <w:u w:val="single" w:color="0462C1"/>
        </w:rPr>
        <w:t xml:space="preserve"> </w:t>
      </w:r>
      <w:r>
        <w:rPr>
          <w:color w:val="0462C1"/>
          <w:sz w:val="20"/>
          <w:u w:val="single" w:color="0462C1"/>
        </w:rPr>
        <w:t>services</w:t>
      </w:r>
      <w:r>
        <w:rPr>
          <w:color w:val="0462C1"/>
          <w:spacing w:val="-3"/>
          <w:sz w:val="20"/>
          <w:u w:val="single" w:color="0462C1"/>
        </w:rPr>
        <w:t xml:space="preserve"> </w:t>
      </w:r>
      <w:r>
        <w:rPr>
          <w:color w:val="0462C1"/>
          <w:sz w:val="20"/>
          <w:u w:val="single" w:color="0462C1"/>
        </w:rPr>
        <w:t>for</w:t>
      </w:r>
      <w:r>
        <w:rPr>
          <w:color w:val="0462C1"/>
          <w:spacing w:val="-3"/>
          <w:sz w:val="20"/>
          <w:u w:val="single" w:color="0462C1"/>
        </w:rPr>
        <w:t xml:space="preserve"> </w:t>
      </w:r>
      <w:r>
        <w:rPr>
          <w:color w:val="0462C1"/>
          <w:sz w:val="20"/>
          <w:u w:val="single" w:color="0462C1"/>
        </w:rPr>
        <w:t>young</w:t>
      </w:r>
      <w:r>
        <w:rPr>
          <w:color w:val="0462C1"/>
          <w:spacing w:val="-3"/>
          <w:sz w:val="20"/>
          <w:u w:val="single" w:color="0462C1"/>
        </w:rPr>
        <w:t xml:space="preserve"> </w:t>
      </w:r>
      <w:r>
        <w:rPr>
          <w:color w:val="0462C1"/>
          <w:sz w:val="20"/>
          <w:u w:val="single" w:color="0462C1"/>
        </w:rPr>
        <w:t>people</w:t>
      </w:r>
      <w:r>
        <w:rPr>
          <w:color w:val="0462C1"/>
          <w:spacing w:val="-4"/>
          <w:sz w:val="20"/>
          <w:u w:val="single" w:color="0462C1"/>
        </w:rPr>
        <w:t xml:space="preserve"> </w:t>
      </w:r>
      <w:r>
        <w:rPr>
          <w:color w:val="0462C1"/>
          <w:sz w:val="20"/>
          <w:u w:val="single" w:color="0462C1"/>
        </w:rPr>
        <w:t>using</w:t>
      </w:r>
      <w:r>
        <w:rPr>
          <w:color w:val="0462C1"/>
          <w:spacing w:val="-3"/>
          <w:sz w:val="20"/>
          <w:u w:val="single" w:color="0462C1"/>
        </w:rPr>
        <w:t xml:space="preserve"> </w:t>
      </w:r>
      <w:r>
        <w:rPr>
          <w:color w:val="0462C1"/>
          <w:sz w:val="20"/>
          <w:u w:val="single" w:color="0462C1"/>
        </w:rPr>
        <w:t>health</w:t>
      </w:r>
      <w:r>
        <w:rPr>
          <w:color w:val="0462C1"/>
          <w:spacing w:val="-4"/>
          <w:sz w:val="20"/>
          <w:u w:val="single" w:color="0462C1"/>
        </w:rPr>
        <w:t xml:space="preserve"> </w:t>
      </w:r>
      <w:r>
        <w:rPr>
          <w:color w:val="0462C1"/>
          <w:sz w:val="20"/>
          <w:u w:val="single" w:color="0462C1"/>
        </w:rPr>
        <w:t>or</w:t>
      </w:r>
      <w:r>
        <w:rPr>
          <w:color w:val="0462C1"/>
          <w:spacing w:val="-3"/>
          <w:sz w:val="20"/>
          <w:u w:val="single" w:color="0462C1"/>
        </w:rPr>
        <w:t xml:space="preserve"> </w:t>
      </w:r>
      <w:r>
        <w:rPr>
          <w:color w:val="0462C1"/>
          <w:sz w:val="20"/>
          <w:u w:val="single" w:color="0462C1"/>
        </w:rPr>
        <w:t>social</w:t>
      </w:r>
      <w:r>
        <w:rPr>
          <w:color w:val="0462C1"/>
          <w:spacing w:val="-5"/>
          <w:sz w:val="20"/>
          <w:u w:val="single" w:color="0462C1"/>
        </w:rPr>
        <w:t xml:space="preserve"> </w:t>
      </w:r>
      <w:r>
        <w:rPr>
          <w:color w:val="0462C1"/>
          <w:sz w:val="20"/>
          <w:u w:val="single" w:color="0462C1"/>
        </w:rPr>
        <w:t>care</w:t>
      </w:r>
      <w:r>
        <w:fldChar w:fldCharType="end"/>
      </w:r>
      <w:r>
        <w:rPr>
          <w:color w:val="0462C1"/>
          <w:sz w:val="20"/>
        </w:rPr>
        <w:t xml:space="preserve"> </w:t>
      </w:r>
      <w:r>
        <w:fldChar w:fldCharType="begin"/>
      </w:r>
      <w:r>
        <w:instrText xml:space="preserve"> HYPERLINK "https://www.nice.org.uk/guidance/ng43" </w:instrText>
      </w:r>
      <w:r>
        <w:fldChar w:fldCharType="separate"/>
      </w:r>
      <w:r>
        <w:rPr>
          <w:color w:val="0462C1"/>
          <w:sz w:val="20"/>
          <w:u w:val="single" w:color="0462C1"/>
        </w:rPr>
        <w:t>services | Guidance | NICE</w:t>
      </w:r>
      <w:r>
        <w:fldChar w:fldCharType="end"/>
      </w:r>
    </w:p>
    <w:p w:rsidR="00612801">
      <w:pPr>
        <w:spacing w:before="1"/>
        <w:ind w:left="140"/>
        <w:rPr>
          <w:sz w:val="20"/>
        </w:rPr>
      </w:pPr>
      <w:bookmarkStart w:id="14" w:name="_bookmark14"/>
      <w:bookmarkEnd w:id="14"/>
      <w:r>
        <w:rPr>
          <w:position w:val="6"/>
          <w:sz w:val="13"/>
        </w:rPr>
        <w:t>15</w:t>
      </w:r>
      <w:r>
        <w:rPr>
          <w:spacing w:val="12"/>
          <w:position w:val="6"/>
          <w:sz w:val="13"/>
        </w:rPr>
        <w:t xml:space="preserve"> </w:t>
      </w:r>
      <w:r>
        <w:fldChar w:fldCharType="begin"/>
      </w:r>
      <w:r>
        <w:instrText xml:space="preserve"> HYPERLINK "https://www.ndti.org.uk/programme/preparing-for-adulthood/" </w:instrText>
      </w:r>
      <w:r>
        <w:fldChar w:fldCharType="separate"/>
      </w:r>
      <w:r>
        <w:rPr>
          <w:color w:val="0462C1"/>
          <w:sz w:val="20"/>
          <w:u w:val="single" w:color="0462C1"/>
        </w:rPr>
        <w:t>Preparing</w:t>
      </w:r>
      <w:r>
        <w:rPr>
          <w:color w:val="0462C1"/>
          <w:spacing w:val="-7"/>
          <w:sz w:val="20"/>
          <w:u w:val="single" w:color="0462C1"/>
        </w:rPr>
        <w:t xml:space="preserve"> </w:t>
      </w:r>
      <w:r>
        <w:rPr>
          <w:color w:val="0462C1"/>
          <w:sz w:val="20"/>
          <w:u w:val="single" w:color="0462C1"/>
        </w:rPr>
        <w:t>for</w:t>
      </w:r>
      <w:r>
        <w:rPr>
          <w:color w:val="0462C1"/>
          <w:spacing w:val="-5"/>
          <w:sz w:val="20"/>
          <w:u w:val="single" w:color="0462C1"/>
        </w:rPr>
        <w:t xml:space="preserve"> </w:t>
      </w:r>
      <w:r>
        <w:rPr>
          <w:color w:val="0462C1"/>
          <w:sz w:val="20"/>
          <w:u w:val="single" w:color="0462C1"/>
        </w:rPr>
        <w:t>Adulthood</w:t>
      </w:r>
      <w:r>
        <w:rPr>
          <w:color w:val="0462C1"/>
          <w:spacing w:val="-5"/>
          <w:sz w:val="20"/>
          <w:u w:val="single" w:color="0462C1"/>
        </w:rPr>
        <w:t xml:space="preserve"> </w:t>
      </w:r>
      <w:r>
        <w:rPr>
          <w:color w:val="0462C1"/>
          <w:sz w:val="20"/>
          <w:u w:val="single" w:color="0462C1"/>
        </w:rPr>
        <w:t>|</w:t>
      </w:r>
      <w:r>
        <w:rPr>
          <w:color w:val="0462C1"/>
          <w:spacing w:val="-6"/>
          <w:sz w:val="20"/>
          <w:u w:val="single" w:color="0462C1"/>
        </w:rPr>
        <w:t xml:space="preserve"> </w:t>
      </w:r>
      <w:r>
        <w:rPr>
          <w:color w:val="0462C1"/>
          <w:spacing w:val="-4"/>
          <w:sz w:val="20"/>
          <w:u w:val="single" w:color="0462C1"/>
        </w:rPr>
        <w:t>NDTi</w:t>
      </w:r>
      <w:r>
        <w:fldChar w:fldCharType="end"/>
      </w:r>
    </w:p>
    <w:p w:rsidR="00612801">
      <w:pPr>
        <w:ind w:left="140" w:right="201"/>
        <w:rPr>
          <w:sz w:val="20"/>
        </w:rPr>
      </w:pPr>
      <w:bookmarkStart w:id="15" w:name="_bookmark15"/>
      <w:bookmarkEnd w:id="15"/>
      <w:r>
        <w:rPr>
          <w:position w:val="6"/>
          <w:sz w:val="13"/>
        </w:rPr>
        <w:t>16</w:t>
      </w:r>
      <w:r>
        <w:rPr>
          <w:spacing w:val="16"/>
          <w:position w:val="6"/>
          <w:sz w:val="13"/>
        </w:rPr>
        <w:t xml:space="preserve"> </w:t>
      </w:r>
      <w:r>
        <w:fldChar w:fldCharType="begin"/>
      </w:r>
      <w:r>
        <w:instrText xml:space="preserve"> HYPERLINK "https://www.nice.org.uk/guidance/ng43" </w:instrText>
      </w:r>
      <w:r>
        <w:fldChar w:fldCharType="separate"/>
      </w:r>
      <w:r>
        <w:rPr>
          <w:color w:val="0462C1"/>
          <w:sz w:val="20"/>
          <w:u w:val="single" w:color="0462C1"/>
        </w:rPr>
        <w:t>Overview</w:t>
      </w:r>
      <w:r>
        <w:rPr>
          <w:color w:val="0462C1"/>
          <w:spacing w:val="-4"/>
          <w:sz w:val="20"/>
          <w:u w:val="single" w:color="0462C1"/>
        </w:rPr>
        <w:t xml:space="preserve"> </w:t>
      </w:r>
      <w:r>
        <w:rPr>
          <w:color w:val="0462C1"/>
          <w:sz w:val="20"/>
          <w:u w:val="single" w:color="0462C1"/>
        </w:rPr>
        <w:t>|</w:t>
      </w:r>
      <w:r>
        <w:rPr>
          <w:color w:val="0462C1"/>
          <w:spacing w:val="-5"/>
          <w:sz w:val="20"/>
          <w:u w:val="single" w:color="0462C1"/>
        </w:rPr>
        <w:t xml:space="preserve"> </w:t>
      </w:r>
      <w:r>
        <w:rPr>
          <w:color w:val="0462C1"/>
          <w:sz w:val="20"/>
          <w:u w:val="single" w:color="0462C1"/>
        </w:rPr>
        <w:t>Transition</w:t>
      </w:r>
      <w:r>
        <w:rPr>
          <w:color w:val="0462C1"/>
          <w:spacing w:val="-3"/>
          <w:sz w:val="20"/>
          <w:u w:val="single" w:color="0462C1"/>
        </w:rPr>
        <w:t xml:space="preserve"> </w:t>
      </w:r>
      <w:r>
        <w:rPr>
          <w:color w:val="0462C1"/>
          <w:sz w:val="20"/>
          <w:u w:val="single" w:color="0462C1"/>
        </w:rPr>
        <w:t>from</w:t>
      </w:r>
      <w:r>
        <w:rPr>
          <w:color w:val="0462C1"/>
          <w:spacing w:val="-2"/>
          <w:sz w:val="20"/>
          <w:u w:val="single" w:color="0462C1"/>
        </w:rPr>
        <w:t xml:space="preserve"> </w:t>
      </w:r>
      <w:r>
        <w:rPr>
          <w:color w:val="0462C1"/>
          <w:sz w:val="20"/>
          <w:u w:val="single" w:color="0462C1"/>
        </w:rPr>
        <w:t>children’s</w:t>
      </w:r>
      <w:r>
        <w:rPr>
          <w:color w:val="0462C1"/>
          <w:spacing w:val="-3"/>
          <w:sz w:val="20"/>
          <w:u w:val="single" w:color="0462C1"/>
        </w:rPr>
        <w:t xml:space="preserve"> </w:t>
      </w:r>
      <w:r>
        <w:rPr>
          <w:color w:val="0462C1"/>
          <w:sz w:val="20"/>
          <w:u w:val="single" w:color="0462C1"/>
        </w:rPr>
        <w:t>to</w:t>
      </w:r>
      <w:r>
        <w:rPr>
          <w:color w:val="0462C1"/>
          <w:spacing w:val="-4"/>
          <w:sz w:val="20"/>
          <w:u w:val="single" w:color="0462C1"/>
        </w:rPr>
        <w:t xml:space="preserve"> </w:t>
      </w:r>
      <w:r>
        <w:rPr>
          <w:color w:val="0462C1"/>
          <w:sz w:val="20"/>
          <w:u w:val="single" w:color="0462C1"/>
        </w:rPr>
        <w:t>adults’</w:t>
      </w:r>
      <w:r>
        <w:rPr>
          <w:color w:val="0462C1"/>
          <w:spacing w:val="-5"/>
          <w:sz w:val="20"/>
          <w:u w:val="single" w:color="0462C1"/>
        </w:rPr>
        <w:t xml:space="preserve"> </w:t>
      </w:r>
      <w:r>
        <w:rPr>
          <w:color w:val="0462C1"/>
          <w:sz w:val="20"/>
          <w:u w:val="single" w:color="0462C1"/>
        </w:rPr>
        <w:t>services</w:t>
      </w:r>
      <w:r>
        <w:rPr>
          <w:color w:val="0462C1"/>
          <w:spacing w:val="-3"/>
          <w:sz w:val="20"/>
          <w:u w:val="single" w:color="0462C1"/>
        </w:rPr>
        <w:t xml:space="preserve"> </w:t>
      </w:r>
      <w:r>
        <w:rPr>
          <w:color w:val="0462C1"/>
          <w:sz w:val="20"/>
          <w:u w:val="single" w:color="0462C1"/>
        </w:rPr>
        <w:t>for</w:t>
      </w:r>
      <w:r>
        <w:rPr>
          <w:color w:val="0462C1"/>
          <w:spacing w:val="-3"/>
          <w:sz w:val="20"/>
          <w:u w:val="single" w:color="0462C1"/>
        </w:rPr>
        <w:t xml:space="preserve"> </w:t>
      </w:r>
      <w:r>
        <w:rPr>
          <w:color w:val="0462C1"/>
          <w:sz w:val="20"/>
          <w:u w:val="single" w:color="0462C1"/>
        </w:rPr>
        <w:t>young</w:t>
      </w:r>
      <w:r>
        <w:rPr>
          <w:color w:val="0462C1"/>
          <w:spacing w:val="-3"/>
          <w:sz w:val="20"/>
          <w:u w:val="single" w:color="0462C1"/>
        </w:rPr>
        <w:t xml:space="preserve"> </w:t>
      </w:r>
      <w:r>
        <w:rPr>
          <w:color w:val="0462C1"/>
          <w:sz w:val="20"/>
          <w:u w:val="single" w:color="0462C1"/>
        </w:rPr>
        <w:t>people</w:t>
      </w:r>
      <w:r>
        <w:rPr>
          <w:color w:val="0462C1"/>
          <w:spacing w:val="-4"/>
          <w:sz w:val="20"/>
          <w:u w:val="single" w:color="0462C1"/>
        </w:rPr>
        <w:t xml:space="preserve"> </w:t>
      </w:r>
      <w:r>
        <w:rPr>
          <w:color w:val="0462C1"/>
          <w:sz w:val="20"/>
          <w:u w:val="single" w:color="0462C1"/>
        </w:rPr>
        <w:t>using</w:t>
      </w:r>
      <w:r>
        <w:rPr>
          <w:color w:val="0462C1"/>
          <w:spacing w:val="-3"/>
          <w:sz w:val="20"/>
          <w:u w:val="single" w:color="0462C1"/>
        </w:rPr>
        <w:t xml:space="preserve"> </w:t>
      </w:r>
      <w:r>
        <w:rPr>
          <w:color w:val="0462C1"/>
          <w:sz w:val="20"/>
          <w:u w:val="single" w:color="0462C1"/>
        </w:rPr>
        <w:t>health</w:t>
      </w:r>
      <w:r>
        <w:rPr>
          <w:color w:val="0462C1"/>
          <w:spacing w:val="-4"/>
          <w:sz w:val="20"/>
          <w:u w:val="single" w:color="0462C1"/>
        </w:rPr>
        <w:t xml:space="preserve"> </w:t>
      </w:r>
      <w:r>
        <w:rPr>
          <w:color w:val="0462C1"/>
          <w:sz w:val="20"/>
          <w:u w:val="single" w:color="0462C1"/>
        </w:rPr>
        <w:t>or</w:t>
      </w:r>
      <w:r>
        <w:rPr>
          <w:color w:val="0462C1"/>
          <w:spacing w:val="-3"/>
          <w:sz w:val="20"/>
          <w:u w:val="single" w:color="0462C1"/>
        </w:rPr>
        <w:t xml:space="preserve"> </w:t>
      </w:r>
      <w:r>
        <w:rPr>
          <w:color w:val="0462C1"/>
          <w:sz w:val="20"/>
          <w:u w:val="single" w:color="0462C1"/>
        </w:rPr>
        <w:t>social</w:t>
      </w:r>
      <w:r>
        <w:rPr>
          <w:color w:val="0462C1"/>
          <w:spacing w:val="-5"/>
          <w:sz w:val="20"/>
          <w:u w:val="single" w:color="0462C1"/>
        </w:rPr>
        <w:t xml:space="preserve"> </w:t>
      </w:r>
      <w:r>
        <w:rPr>
          <w:color w:val="0462C1"/>
          <w:sz w:val="20"/>
          <w:u w:val="single" w:color="0462C1"/>
        </w:rPr>
        <w:t>care</w:t>
      </w:r>
      <w:r>
        <w:fldChar w:fldCharType="end"/>
      </w:r>
      <w:r>
        <w:rPr>
          <w:color w:val="0462C1"/>
          <w:sz w:val="20"/>
        </w:rPr>
        <w:t xml:space="preserve"> </w:t>
      </w:r>
      <w:r>
        <w:fldChar w:fldCharType="begin"/>
      </w:r>
      <w:r>
        <w:instrText xml:space="preserve"> HYPERLINK "https://www.nice.org.uk/guidance/ng43" </w:instrText>
      </w:r>
      <w:r>
        <w:fldChar w:fldCharType="separate"/>
      </w:r>
      <w:r>
        <w:rPr>
          <w:color w:val="0462C1"/>
          <w:sz w:val="20"/>
          <w:u w:val="single" w:color="0462C1"/>
        </w:rPr>
        <w:t>services | Guidance | NICE</w:t>
      </w:r>
      <w:r>
        <w:fldChar w:fldCharType="end"/>
      </w:r>
    </w:p>
    <w:p w:rsidR="00612801">
      <w:pPr>
        <w:spacing w:line="228" w:lineRule="exact"/>
        <w:ind w:left="140"/>
        <w:rPr>
          <w:sz w:val="20"/>
        </w:rPr>
      </w:pPr>
      <w:bookmarkStart w:id="16" w:name="_bookmark16"/>
      <w:bookmarkEnd w:id="16"/>
      <w:r>
        <w:rPr>
          <w:position w:val="6"/>
          <w:sz w:val="13"/>
        </w:rPr>
        <w:t>17</w:t>
      </w:r>
      <w:r>
        <w:rPr>
          <w:spacing w:val="13"/>
          <w:position w:val="6"/>
          <w:sz w:val="13"/>
        </w:rPr>
        <w:t xml:space="preserve"> </w:t>
      </w:r>
      <w:r>
        <w:fldChar w:fldCharType="begin"/>
      </w:r>
      <w:r>
        <w:instrText xml:space="preserve"> HYPERLINK "https://www.nice.org.uk/guidance/qs140" </w:instrText>
      </w:r>
      <w:r>
        <w:fldChar w:fldCharType="separate"/>
      </w:r>
      <w:r>
        <w:rPr>
          <w:color w:val="0462C1"/>
          <w:sz w:val="20"/>
          <w:u w:val="single" w:color="0462C1"/>
        </w:rPr>
        <w:t>Overview</w:t>
      </w:r>
      <w:r>
        <w:rPr>
          <w:color w:val="0462C1"/>
          <w:spacing w:val="-7"/>
          <w:sz w:val="20"/>
          <w:u w:val="single" w:color="0462C1"/>
        </w:rPr>
        <w:t xml:space="preserve"> </w:t>
      </w:r>
      <w:r>
        <w:rPr>
          <w:color w:val="0462C1"/>
          <w:sz w:val="20"/>
          <w:u w:val="single" w:color="0462C1"/>
        </w:rPr>
        <w:t>|</w:t>
      </w:r>
      <w:r>
        <w:rPr>
          <w:color w:val="0462C1"/>
          <w:spacing w:val="-8"/>
          <w:sz w:val="20"/>
          <w:u w:val="single" w:color="0462C1"/>
        </w:rPr>
        <w:t xml:space="preserve"> </w:t>
      </w:r>
      <w:r>
        <w:rPr>
          <w:color w:val="0462C1"/>
          <w:sz w:val="20"/>
          <w:u w:val="single" w:color="0462C1"/>
        </w:rPr>
        <w:t>Transition</w:t>
      </w:r>
      <w:r>
        <w:rPr>
          <w:color w:val="0462C1"/>
          <w:spacing w:val="-6"/>
          <w:sz w:val="20"/>
          <w:u w:val="single" w:color="0462C1"/>
        </w:rPr>
        <w:t xml:space="preserve"> </w:t>
      </w:r>
      <w:r>
        <w:rPr>
          <w:color w:val="0462C1"/>
          <w:sz w:val="20"/>
          <w:u w:val="single" w:color="0462C1"/>
        </w:rPr>
        <w:t>from</w:t>
      </w:r>
      <w:r>
        <w:rPr>
          <w:color w:val="0462C1"/>
          <w:spacing w:val="-4"/>
          <w:sz w:val="20"/>
          <w:u w:val="single" w:color="0462C1"/>
        </w:rPr>
        <w:t xml:space="preserve"> </w:t>
      </w:r>
      <w:r>
        <w:rPr>
          <w:color w:val="0462C1"/>
          <w:sz w:val="20"/>
          <w:u w:val="single" w:color="0462C1"/>
        </w:rPr>
        <w:t>children’s</w:t>
      </w:r>
      <w:r>
        <w:rPr>
          <w:color w:val="0462C1"/>
          <w:spacing w:val="-6"/>
          <w:sz w:val="20"/>
          <w:u w:val="single" w:color="0462C1"/>
        </w:rPr>
        <w:t xml:space="preserve"> </w:t>
      </w:r>
      <w:r>
        <w:rPr>
          <w:color w:val="0462C1"/>
          <w:sz w:val="20"/>
          <w:u w:val="single" w:color="0462C1"/>
        </w:rPr>
        <w:t>to</w:t>
      </w:r>
      <w:r>
        <w:rPr>
          <w:color w:val="0462C1"/>
          <w:spacing w:val="-7"/>
          <w:sz w:val="20"/>
          <w:u w:val="single" w:color="0462C1"/>
        </w:rPr>
        <w:t xml:space="preserve"> </w:t>
      </w:r>
      <w:r>
        <w:rPr>
          <w:color w:val="0462C1"/>
          <w:sz w:val="20"/>
          <w:u w:val="single" w:color="0462C1"/>
        </w:rPr>
        <w:t>adults’</w:t>
      </w:r>
      <w:r>
        <w:rPr>
          <w:color w:val="0462C1"/>
          <w:spacing w:val="-8"/>
          <w:sz w:val="20"/>
          <w:u w:val="single" w:color="0462C1"/>
        </w:rPr>
        <w:t xml:space="preserve"> </w:t>
      </w:r>
      <w:r>
        <w:rPr>
          <w:color w:val="0462C1"/>
          <w:sz w:val="20"/>
          <w:u w:val="single" w:color="0462C1"/>
        </w:rPr>
        <w:t>services</w:t>
      </w:r>
      <w:r>
        <w:rPr>
          <w:color w:val="0462C1"/>
          <w:spacing w:val="-6"/>
          <w:sz w:val="20"/>
          <w:u w:val="single" w:color="0462C1"/>
        </w:rPr>
        <w:t xml:space="preserve"> </w:t>
      </w:r>
      <w:r>
        <w:rPr>
          <w:color w:val="0462C1"/>
          <w:sz w:val="20"/>
          <w:u w:val="single" w:color="0462C1"/>
        </w:rPr>
        <w:t>|</w:t>
      </w:r>
      <w:r>
        <w:rPr>
          <w:color w:val="0462C1"/>
          <w:spacing w:val="-7"/>
          <w:sz w:val="20"/>
          <w:u w:val="single" w:color="0462C1"/>
        </w:rPr>
        <w:t xml:space="preserve"> </w:t>
      </w:r>
      <w:r>
        <w:rPr>
          <w:color w:val="0462C1"/>
          <w:sz w:val="20"/>
          <w:u w:val="single" w:color="0462C1"/>
        </w:rPr>
        <w:t>Quality</w:t>
      </w:r>
      <w:r>
        <w:rPr>
          <w:color w:val="0462C1"/>
          <w:spacing w:val="-6"/>
          <w:sz w:val="20"/>
          <w:u w:val="single" w:color="0462C1"/>
        </w:rPr>
        <w:t xml:space="preserve"> </w:t>
      </w:r>
      <w:r>
        <w:rPr>
          <w:color w:val="0462C1"/>
          <w:sz w:val="20"/>
          <w:u w:val="single" w:color="0462C1"/>
        </w:rPr>
        <w:t>standards</w:t>
      </w:r>
      <w:r>
        <w:rPr>
          <w:color w:val="0462C1"/>
          <w:spacing w:val="-3"/>
          <w:sz w:val="20"/>
          <w:u w:val="single" w:color="0462C1"/>
        </w:rPr>
        <w:t xml:space="preserve"> </w:t>
      </w:r>
      <w:r>
        <w:rPr>
          <w:color w:val="0462C1"/>
          <w:sz w:val="20"/>
          <w:u w:val="single" w:color="0462C1"/>
        </w:rPr>
        <w:t>|</w:t>
      </w:r>
      <w:r>
        <w:rPr>
          <w:color w:val="0462C1"/>
          <w:spacing w:val="-8"/>
          <w:sz w:val="20"/>
          <w:u w:val="single" w:color="0462C1"/>
        </w:rPr>
        <w:t xml:space="preserve"> </w:t>
      </w:r>
      <w:r>
        <w:rPr>
          <w:color w:val="0462C1"/>
          <w:spacing w:val="-4"/>
          <w:sz w:val="20"/>
          <w:u w:val="single" w:color="0462C1"/>
        </w:rPr>
        <w:t>NICE</w:t>
      </w:r>
      <w:r>
        <w:fldChar w:fldCharType="end"/>
      </w:r>
    </w:p>
    <w:p w:rsidR="00612801">
      <w:pPr>
        <w:ind w:left="140"/>
        <w:rPr>
          <w:sz w:val="20"/>
        </w:rPr>
      </w:pPr>
      <w:bookmarkStart w:id="17" w:name="_bookmark17"/>
      <w:bookmarkEnd w:id="17"/>
      <w:r>
        <w:rPr>
          <w:position w:val="6"/>
          <w:sz w:val="13"/>
        </w:rPr>
        <w:t>18</w:t>
      </w:r>
      <w:r>
        <w:rPr>
          <w:spacing w:val="12"/>
          <w:position w:val="6"/>
          <w:sz w:val="13"/>
        </w:rPr>
        <w:t xml:space="preserve"> </w:t>
      </w:r>
      <w:r>
        <w:fldChar w:fldCharType="begin"/>
      </w:r>
      <w:r>
        <w:instrText xml:space="preserve"> HYPERLINK "https://www.england.nhs.uk/long-read/supporting-young-people-to-transition-into-adolescent-and-adult-services/" </w:instrText>
      </w:r>
      <w:r>
        <w:fldChar w:fldCharType="separate"/>
      </w:r>
      <w:r>
        <w:rPr>
          <w:color w:val="0462C1"/>
          <w:sz w:val="20"/>
          <w:u w:val="single" w:color="0462C1"/>
        </w:rPr>
        <w:t>NHS</w:t>
      </w:r>
      <w:r>
        <w:rPr>
          <w:color w:val="0462C1"/>
          <w:spacing w:val="-6"/>
          <w:sz w:val="20"/>
          <w:u w:val="single" w:color="0462C1"/>
        </w:rPr>
        <w:t xml:space="preserve"> </w:t>
      </w:r>
      <w:r>
        <w:rPr>
          <w:color w:val="0462C1"/>
          <w:sz w:val="20"/>
          <w:u w:val="single" w:color="0462C1"/>
        </w:rPr>
        <w:t>England</w:t>
      </w:r>
      <w:r>
        <w:rPr>
          <w:color w:val="0462C1"/>
          <w:spacing w:val="-6"/>
          <w:sz w:val="20"/>
          <w:u w:val="single" w:color="0462C1"/>
        </w:rPr>
        <w:t xml:space="preserve"> </w:t>
      </w:r>
      <w:r>
        <w:rPr>
          <w:color w:val="0462C1"/>
          <w:sz w:val="20"/>
          <w:u w:val="single" w:color="0462C1"/>
        </w:rPr>
        <w:t>»</w:t>
      </w:r>
      <w:r>
        <w:rPr>
          <w:color w:val="0462C1"/>
          <w:spacing w:val="-8"/>
          <w:sz w:val="20"/>
          <w:u w:val="single" w:color="0462C1"/>
        </w:rPr>
        <w:t xml:space="preserve"> </w:t>
      </w:r>
      <w:r>
        <w:rPr>
          <w:color w:val="0462C1"/>
          <w:sz w:val="20"/>
          <w:u w:val="single" w:color="0462C1"/>
        </w:rPr>
        <w:t>Supporting</w:t>
      </w:r>
      <w:r>
        <w:rPr>
          <w:color w:val="0462C1"/>
          <w:spacing w:val="-7"/>
          <w:sz w:val="20"/>
          <w:u w:val="single" w:color="0462C1"/>
        </w:rPr>
        <w:t xml:space="preserve"> </w:t>
      </w:r>
      <w:r>
        <w:rPr>
          <w:color w:val="0462C1"/>
          <w:sz w:val="20"/>
          <w:u w:val="single" w:color="0462C1"/>
        </w:rPr>
        <w:t>young</w:t>
      </w:r>
      <w:r>
        <w:rPr>
          <w:color w:val="0462C1"/>
          <w:spacing w:val="-7"/>
          <w:sz w:val="20"/>
          <w:u w:val="single" w:color="0462C1"/>
        </w:rPr>
        <w:t xml:space="preserve"> </w:t>
      </w:r>
      <w:r>
        <w:rPr>
          <w:color w:val="0462C1"/>
          <w:sz w:val="20"/>
          <w:u w:val="single" w:color="0462C1"/>
        </w:rPr>
        <w:t>people</w:t>
      </w:r>
      <w:r>
        <w:rPr>
          <w:color w:val="0462C1"/>
          <w:spacing w:val="-8"/>
          <w:sz w:val="20"/>
          <w:u w:val="single" w:color="0462C1"/>
        </w:rPr>
        <w:t xml:space="preserve"> </w:t>
      </w:r>
      <w:r>
        <w:rPr>
          <w:color w:val="0462C1"/>
          <w:sz w:val="20"/>
          <w:u w:val="single" w:color="0462C1"/>
        </w:rPr>
        <w:t>to</w:t>
      </w:r>
      <w:r>
        <w:rPr>
          <w:color w:val="0462C1"/>
          <w:spacing w:val="-7"/>
          <w:sz w:val="20"/>
          <w:u w:val="single" w:color="0462C1"/>
        </w:rPr>
        <w:t xml:space="preserve"> </w:t>
      </w:r>
      <w:r>
        <w:rPr>
          <w:color w:val="0462C1"/>
          <w:sz w:val="20"/>
          <w:u w:val="single" w:color="0462C1"/>
        </w:rPr>
        <w:t>transition</w:t>
      </w:r>
      <w:r>
        <w:rPr>
          <w:color w:val="0462C1"/>
          <w:spacing w:val="-8"/>
          <w:sz w:val="20"/>
          <w:u w:val="single" w:color="0462C1"/>
        </w:rPr>
        <w:t xml:space="preserve"> </w:t>
      </w:r>
      <w:r>
        <w:rPr>
          <w:color w:val="0462C1"/>
          <w:sz w:val="20"/>
          <w:u w:val="single" w:color="0462C1"/>
        </w:rPr>
        <w:t>into</w:t>
      </w:r>
      <w:r>
        <w:rPr>
          <w:color w:val="0462C1"/>
          <w:spacing w:val="-8"/>
          <w:sz w:val="20"/>
          <w:u w:val="single" w:color="0462C1"/>
        </w:rPr>
        <w:t xml:space="preserve"> </w:t>
      </w:r>
      <w:r>
        <w:rPr>
          <w:color w:val="0462C1"/>
          <w:sz w:val="20"/>
          <w:u w:val="single" w:color="0462C1"/>
        </w:rPr>
        <w:t>adolescent</w:t>
      </w:r>
      <w:r>
        <w:rPr>
          <w:color w:val="0462C1"/>
          <w:spacing w:val="-6"/>
          <w:sz w:val="20"/>
          <w:u w:val="single" w:color="0462C1"/>
        </w:rPr>
        <w:t xml:space="preserve"> </w:t>
      </w:r>
      <w:r>
        <w:rPr>
          <w:color w:val="0462C1"/>
          <w:sz w:val="20"/>
          <w:u w:val="single" w:color="0462C1"/>
        </w:rPr>
        <w:t>and</w:t>
      </w:r>
      <w:r>
        <w:rPr>
          <w:color w:val="0462C1"/>
          <w:spacing w:val="-5"/>
          <w:sz w:val="20"/>
          <w:u w:val="single" w:color="0462C1"/>
        </w:rPr>
        <w:t xml:space="preserve"> </w:t>
      </w:r>
      <w:r>
        <w:rPr>
          <w:color w:val="0462C1"/>
          <w:sz w:val="20"/>
          <w:u w:val="single" w:color="0462C1"/>
        </w:rPr>
        <w:t>adult</w:t>
      </w:r>
      <w:r>
        <w:rPr>
          <w:color w:val="0462C1"/>
          <w:spacing w:val="-6"/>
          <w:sz w:val="20"/>
          <w:u w:val="single" w:color="0462C1"/>
        </w:rPr>
        <w:t xml:space="preserve"> </w:t>
      </w:r>
      <w:r>
        <w:rPr>
          <w:color w:val="0462C1"/>
          <w:spacing w:val="-2"/>
          <w:sz w:val="20"/>
          <w:u w:val="single" w:color="0462C1"/>
        </w:rPr>
        <w:t>services</w:t>
      </w:r>
      <w:r>
        <w:fldChar w:fldCharType="end"/>
      </w:r>
    </w:p>
    <w:p w:rsidR="00612801">
      <w:pPr>
        <w:spacing w:before="1"/>
        <w:ind w:left="140"/>
        <w:rPr>
          <w:sz w:val="20"/>
        </w:rPr>
      </w:pPr>
      <w:bookmarkStart w:id="18" w:name="_bookmark18"/>
      <w:bookmarkEnd w:id="18"/>
      <w:r>
        <w:rPr>
          <w:position w:val="6"/>
          <w:sz w:val="13"/>
        </w:rPr>
        <w:t>19</w:t>
      </w:r>
      <w:r>
        <w:rPr>
          <w:spacing w:val="15"/>
          <w:position w:val="6"/>
          <w:sz w:val="13"/>
        </w:rPr>
        <w:t xml:space="preserve"> </w:t>
      </w:r>
      <w:r>
        <w:fldChar w:fldCharType="begin"/>
      </w:r>
      <w:r>
        <w:instrText xml:space="preserve"> HYPERLINK "https://www.gov.uk/government/publications/send-code-of-practice-0-to-25" </w:instrText>
      </w:r>
      <w:r>
        <w:fldChar w:fldCharType="separate"/>
      </w:r>
      <w:r>
        <w:rPr>
          <w:color w:val="0462C1"/>
          <w:sz w:val="20"/>
          <w:u w:val="single" w:color="0462C1"/>
        </w:rPr>
        <w:t>SEND</w:t>
      </w:r>
      <w:r>
        <w:rPr>
          <w:color w:val="0462C1"/>
          <w:spacing w:val="-4"/>
          <w:sz w:val="20"/>
          <w:u w:val="single" w:color="0462C1"/>
        </w:rPr>
        <w:t xml:space="preserve"> </w:t>
      </w:r>
      <w:r>
        <w:rPr>
          <w:color w:val="0462C1"/>
          <w:sz w:val="20"/>
          <w:u w:val="single" w:color="0462C1"/>
        </w:rPr>
        <w:t>code</w:t>
      </w:r>
      <w:r>
        <w:rPr>
          <w:color w:val="0462C1"/>
          <w:spacing w:val="-4"/>
          <w:sz w:val="20"/>
          <w:u w:val="single" w:color="0462C1"/>
        </w:rPr>
        <w:t xml:space="preserve"> </w:t>
      </w:r>
      <w:r>
        <w:rPr>
          <w:color w:val="0462C1"/>
          <w:sz w:val="20"/>
          <w:u w:val="single" w:color="0462C1"/>
        </w:rPr>
        <w:t>of</w:t>
      </w:r>
      <w:r>
        <w:rPr>
          <w:color w:val="0462C1"/>
          <w:spacing w:val="-2"/>
          <w:sz w:val="20"/>
          <w:u w:val="single" w:color="0462C1"/>
        </w:rPr>
        <w:t xml:space="preserve"> </w:t>
      </w:r>
      <w:r>
        <w:rPr>
          <w:color w:val="0462C1"/>
          <w:sz w:val="20"/>
          <w:u w:val="single" w:color="0462C1"/>
        </w:rPr>
        <w:t>practice:</w:t>
      </w:r>
      <w:r>
        <w:rPr>
          <w:color w:val="0462C1"/>
          <w:spacing w:val="-3"/>
          <w:sz w:val="20"/>
          <w:u w:val="single" w:color="0462C1"/>
        </w:rPr>
        <w:t xml:space="preserve"> </w:t>
      </w:r>
      <w:r>
        <w:rPr>
          <w:color w:val="0462C1"/>
          <w:sz w:val="20"/>
          <w:u w:val="single" w:color="0462C1"/>
        </w:rPr>
        <w:t>0</w:t>
      </w:r>
      <w:r>
        <w:rPr>
          <w:color w:val="0462C1"/>
          <w:spacing w:val="-5"/>
          <w:sz w:val="20"/>
          <w:u w:val="single" w:color="0462C1"/>
        </w:rPr>
        <w:t xml:space="preserve"> </w:t>
      </w:r>
      <w:r>
        <w:rPr>
          <w:color w:val="0462C1"/>
          <w:sz w:val="20"/>
          <w:u w:val="single" w:color="0462C1"/>
        </w:rPr>
        <w:t>to</w:t>
      </w:r>
      <w:r>
        <w:rPr>
          <w:color w:val="0462C1"/>
          <w:spacing w:val="-4"/>
          <w:sz w:val="20"/>
          <w:u w:val="single" w:color="0462C1"/>
        </w:rPr>
        <w:t xml:space="preserve"> </w:t>
      </w:r>
      <w:r>
        <w:rPr>
          <w:color w:val="0462C1"/>
          <w:sz w:val="20"/>
          <w:u w:val="single" w:color="0462C1"/>
        </w:rPr>
        <w:t>25</w:t>
      </w:r>
      <w:r>
        <w:rPr>
          <w:color w:val="0462C1"/>
          <w:spacing w:val="-4"/>
          <w:sz w:val="20"/>
          <w:u w:val="single" w:color="0462C1"/>
        </w:rPr>
        <w:t xml:space="preserve"> </w:t>
      </w:r>
      <w:r>
        <w:rPr>
          <w:color w:val="0462C1"/>
          <w:sz w:val="20"/>
          <w:u w:val="single" w:color="0462C1"/>
        </w:rPr>
        <w:t>years -</w:t>
      </w:r>
      <w:r>
        <w:rPr>
          <w:color w:val="0462C1"/>
          <w:spacing w:val="-4"/>
          <w:sz w:val="20"/>
          <w:u w:val="single" w:color="0462C1"/>
        </w:rPr>
        <w:t xml:space="preserve"> </w:t>
      </w:r>
      <w:r>
        <w:rPr>
          <w:color w:val="0462C1"/>
          <w:spacing w:val="-2"/>
          <w:sz w:val="20"/>
          <w:u w:val="single" w:color="0462C1"/>
        </w:rPr>
        <w:t>GOV.UK</w:t>
      </w:r>
      <w:r>
        <w:fldChar w:fldCharType="end"/>
      </w:r>
    </w:p>
    <w:p w:rsidR="00612801">
      <w:pPr>
        <w:rPr>
          <w:sz w:val="20"/>
        </w:rPr>
        <w:sectPr>
          <w:pgSz w:w="11910" w:h="16840"/>
          <w:pgMar w:top="1300" w:right="992" w:bottom="280" w:left="992" w:header="720" w:footer="720" w:gutter="0"/>
          <w:cols w:space="720"/>
        </w:sectPr>
      </w:pPr>
    </w:p>
    <w:p w:rsidR="00612801">
      <w:pPr>
        <w:pStyle w:val="BodyText"/>
        <w:spacing w:before="76"/>
        <w:ind w:right="143"/>
        <w:jc w:val="both"/>
      </w:pPr>
      <w:r>
        <w:t>Specialist</w:t>
      </w:r>
      <w:r>
        <w:rPr>
          <w:spacing w:val="-2"/>
        </w:rPr>
        <w:t xml:space="preserve"> </w:t>
      </w:r>
      <w:r>
        <w:t>children’s</w:t>
      </w:r>
      <w:r>
        <w:rPr>
          <w:spacing w:val="-4"/>
        </w:rPr>
        <w:t xml:space="preserve"> </w:t>
      </w:r>
      <w:r>
        <w:t>hospitals</w:t>
      </w:r>
      <w:r>
        <w:rPr>
          <w:spacing w:val="-2"/>
        </w:rPr>
        <w:t xml:space="preserve"> </w:t>
      </w:r>
      <w:r>
        <w:t>and</w:t>
      </w:r>
      <w:r>
        <w:rPr>
          <w:spacing w:val="-1"/>
        </w:rPr>
        <w:t xml:space="preserve"> </w:t>
      </w:r>
      <w:r>
        <w:t>some</w:t>
      </w:r>
      <w:r>
        <w:rPr>
          <w:spacing w:val="-1"/>
        </w:rPr>
        <w:t xml:space="preserve"> </w:t>
      </w:r>
      <w:r>
        <w:t>specialist</w:t>
      </w:r>
      <w:r>
        <w:rPr>
          <w:spacing w:val="-1"/>
        </w:rPr>
        <w:t xml:space="preserve"> </w:t>
      </w:r>
      <w:r>
        <w:t>paediatric</w:t>
      </w:r>
      <w:r>
        <w:rPr>
          <w:spacing w:val="-2"/>
        </w:rPr>
        <w:t xml:space="preserve"> </w:t>
      </w:r>
      <w:r>
        <w:t>centres</w:t>
      </w:r>
      <w:r>
        <w:rPr>
          <w:spacing w:val="-4"/>
        </w:rPr>
        <w:t xml:space="preserve"> </w:t>
      </w:r>
      <w:r>
        <w:t>demonstrate</w:t>
      </w:r>
      <w:r>
        <w:rPr>
          <w:spacing w:val="-3"/>
        </w:rPr>
        <w:t xml:space="preserve"> </w:t>
      </w:r>
      <w:r>
        <w:t>effective approaches to healthcare transition. In these settings, young people and their families are engaged</w:t>
      </w:r>
      <w:r>
        <w:rPr>
          <w:spacing w:val="-9"/>
        </w:rPr>
        <w:t xml:space="preserve"> </w:t>
      </w:r>
      <w:r>
        <w:t>from</w:t>
      </w:r>
      <w:r>
        <w:rPr>
          <w:spacing w:val="-11"/>
        </w:rPr>
        <w:t xml:space="preserve"> </w:t>
      </w:r>
      <w:r>
        <w:t>an</w:t>
      </w:r>
      <w:r>
        <w:rPr>
          <w:spacing w:val="-12"/>
        </w:rPr>
        <w:t xml:space="preserve"> </w:t>
      </w:r>
      <w:r>
        <w:t>early</w:t>
      </w:r>
      <w:r>
        <w:rPr>
          <w:spacing w:val="-13"/>
        </w:rPr>
        <w:t xml:space="preserve"> </w:t>
      </w:r>
      <w:r>
        <w:t>stage,</w:t>
      </w:r>
      <w:r>
        <w:rPr>
          <w:spacing w:val="-10"/>
        </w:rPr>
        <w:t xml:space="preserve"> </w:t>
      </w:r>
      <w:r>
        <w:t>with</w:t>
      </w:r>
      <w:r>
        <w:rPr>
          <w:spacing w:val="-11"/>
        </w:rPr>
        <w:t xml:space="preserve"> </w:t>
      </w:r>
      <w:r>
        <w:t>planned</w:t>
      </w:r>
      <w:r>
        <w:rPr>
          <w:spacing w:val="-9"/>
        </w:rPr>
        <w:t xml:space="preserve"> </w:t>
      </w:r>
      <w:r>
        <w:t>involvement</w:t>
      </w:r>
      <w:r>
        <w:rPr>
          <w:spacing w:val="-12"/>
        </w:rPr>
        <w:t xml:space="preserve"> </w:t>
      </w:r>
      <w:r>
        <w:t>from</w:t>
      </w:r>
      <w:r>
        <w:rPr>
          <w:spacing w:val="-9"/>
        </w:rPr>
        <w:t xml:space="preserve"> </w:t>
      </w:r>
      <w:r>
        <w:t>adult</w:t>
      </w:r>
      <w:r>
        <w:rPr>
          <w:spacing w:val="-13"/>
        </w:rPr>
        <w:t xml:space="preserve"> </w:t>
      </w:r>
      <w:r>
        <w:t>services.</w:t>
      </w:r>
      <w:r>
        <w:rPr>
          <w:spacing w:val="-10"/>
        </w:rPr>
        <w:t xml:space="preserve"> </w:t>
      </w:r>
      <w:r>
        <w:t>Joint</w:t>
      </w:r>
      <w:r>
        <w:rPr>
          <w:spacing w:val="-12"/>
        </w:rPr>
        <w:t xml:space="preserve"> </w:t>
      </w:r>
      <w:r>
        <w:t>clinics</w:t>
      </w:r>
      <w:r>
        <w:rPr>
          <w:spacing w:val="-11"/>
        </w:rPr>
        <w:t xml:space="preserve"> </w:t>
      </w:r>
      <w:r>
        <w:t>are used</w:t>
      </w:r>
      <w:r>
        <w:rPr>
          <w:spacing w:val="-9"/>
        </w:rPr>
        <w:t xml:space="preserve"> </w:t>
      </w:r>
      <w:r>
        <w:t>to</w:t>
      </w:r>
      <w:r>
        <w:rPr>
          <w:spacing w:val="-9"/>
        </w:rPr>
        <w:t xml:space="preserve"> </w:t>
      </w:r>
      <w:r>
        <w:t>support</w:t>
      </w:r>
      <w:r>
        <w:rPr>
          <w:spacing w:val="-8"/>
        </w:rPr>
        <w:t xml:space="preserve"> </w:t>
      </w:r>
      <w:r>
        <w:t>continuity,</w:t>
      </w:r>
      <w:r>
        <w:rPr>
          <w:spacing w:val="-7"/>
        </w:rPr>
        <w:t xml:space="preserve"> </w:t>
      </w:r>
      <w:r>
        <w:t>and</w:t>
      </w:r>
      <w:r>
        <w:rPr>
          <w:spacing w:val="-9"/>
        </w:rPr>
        <w:t xml:space="preserve"> </w:t>
      </w:r>
      <w:r>
        <w:t>progress</w:t>
      </w:r>
      <w:r>
        <w:rPr>
          <w:spacing w:val="-10"/>
        </w:rPr>
        <w:t xml:space="preserve"> </w:t>
      </w:r>
      <w:r>
        <w:t>is</w:t>
      </w:r>
      <w:r>
        <w:rPr>
          <w:spacing w:val="-8"/>
        </w:rPr>
        <w:t xml:space="preserve"> </w:t>
      </w:r>
      <w:r>
        <w:t>reviewed</w:t>
      </w:r>
      <w:r>
        <w:rPr>
          <w:spacing w:val="-7"/>
        </w:rPr>
        <w:t xml:space="preserve"> </w:t>
      </w:r>
      <w:r>
        <w:t>regularly</w:t>
      </w:r>
      <w:r>
        <w:rPr>
          <w:spacing w:val="-8"/>
        </w:rPr>
        <w:t xml:space="preserve"> </w:t>
      </w:r>
      <w:r>
        <w:t>to</w:t>
      </w:r>
      <w:r>
        <w:rPr>
          <w:spacing w:val="-7"/>
        </w:rPr>
        <w:t xml:space="preserve"> </w:t>
      </w:r>
      <w:r>
        <w:t>assess</w:t>
      </w:r>
      <w:r>
        <w:rPr>
          <w:spacing w:val="-8"/>
        </w:rPr>
        <w:t xml:space="preserve"> </w:t>
      </w:r>
      <w:r>
        <w:t>how</w:t>
      </w:r>
      <w:r>
        <w:rPr>
          <w:spacing w:val="-8"/>
        </w:rPr>
        <w:t xml:space="preserve"> </w:t>
      </w:r>
      <w:r>
        <w:t>well</w:t>
      </w:r>
      <w:r>
        <w:rPr>
          <w:spacing w:val="-8"/>
        </w:rPr>
        <w:t xml:space="preserve"> </w:t>
      </w:r>
      <w:r>
        <w:t>the</w:t>
      </w:r>
      <w:r>
        <w:rPr>
          <w:spacing w:val="-7"/>
        </w:rPr>
        <w:t xml:space="preserve"> </w:t>
      </w:r>
      <w:r>
        <w:t xml:space="preserve">young person is managing and whether additional support is required. Transition planning is also adjusted to take account of key life events, such as examinations or changes in education settings, to support continuity and </w:t>
      </w:r>
      <w:r>
        <w:t>minimise</w:t>
      </w:r>
      <w:r>
        <w:t xml:space="preserve"> disruption.</w:t>
      </w:r>
    </w:p>
    <w:p w:rsidR="00612801">
      <w:pPr>
        <w:pStyle w:val="BodyText"/>
        <w:spacing w:before="121"/>
        <w:ind w:right="145"/>
        <w:jc w:val="both"/>
      </w:pPr>
      <w:r>
        <w:t xml:space="preserve">While transition training in health exists, uptake and coverage across the workforce are </w:t>
      </w:r>
      <w:r>
        <w:rPr>
          <w:spacing w:val="-2"/>
        </w:rPr>
        <w:t>unclear.</w:t>
      </w:r>
    </w:p>
    <w:p w:rsidR="00612801">
      <w:pPr>
        <w:pStyle w:val="BodyText"/>
        <w:spacing w:before="120"/>
        <w:ind w:right="147"/>
        <w:jc w:val="both"/>
      </w:pPr>
      <w:r>
        <w:t>Transition-related training for the social care workforce exists, but uptake is uneven. The transitions into ASC project will explore how to address this challenge.</w:t>
      </w:r>
    </w:p>
    <w:p w:rsidR="00612801">
      <w:pPr>
        <w:pStyle w:val="BodyText"/>
        <w:spacing w:before="240"/>
        <w:ind w:left="0"/>
      </w:pPr>
    </w:p>
    <w:p w:rsidR="00612801">
      <w:pPr>
        <w:pStyle w:val="Heading1"/>
        <w:jc w:val="both"/>
      </w:pPr>
      <w:r>
        <w:rPr>
          <w:u w:val="single"/>
        </w:rPr>
        <w:t>Focus</w:t>
      </w:r>
      <w:r>
        <w:rPr>
          <w:spacing w:val="-6"/>
          <w:u w:val="single"/>
        </w:rPr>
        <w:t xml:space="preserve"> </w:t>
      </w:r>
      <w:r>
        <w:rPr>
          <w:u w:val="single"/>
        </w:rPr>
        <w:t>area</w:t>
      </w:r>
      <w:r>
        <w:rPr>
          <w:spacing w:val="-6"/>
          <w:u w:val="single"/>
        </w:rPr>
        <w:t xml:space="preserve"> </w:t>
      </w:r>
      <w:r>
        <w:rPr>
          <w:u w:val="single"/>
        </w:rPr>
        <w:t>5:</w:t>
      </w:r>
      <w:r>
        <w:rPr>
          <w:spacing w:val="-3"/>
          <w:u w:val="single"/>
        </w:rPr>
        <w:t xml:space="preserve"> </w:t>
      </w:r>
      <w:r>
        <w:rPr>
          <w:u w:val="single"/>
        </w:rPr>
        <w:t>Enabling</w:t>
      </w:r>
      <w:r>
        <w:rPr>
          <w:spacing w:val="-4"/>
          <w:u w:val="single"/>
        </w:rPr>
        <w:t xml:space="preserve"> </w:t>
      </w:r>
      <w:r>
        <w:rPr>
          <w:u w:val="single"/>
        </w:rPr>
        <w:t>developmentally</w:t>
      </w:r>
      <w:r>
        <w:rPr>
          <w:spacing w:val="-6"/>
          <w:u w:val="single"/>
        </w:rPr>
        <w:t xml:space="preserve"> </w:t>
      </w:r>
      <w:r>
        <w:rPr>
          <w:u w:val="single"/>
        </w:rPr>
        <w:t>appropriate</w:t>
      </w:r>
      <w:r>
        <w:rPr>
          <w:spacing w:val="-3"/>
          <w:u w:val="single"/>
        </w:rPr>
        <w:t xml:space="preserve"> </w:t>
      </w:r>
      <w:r>
        <w:rPr>
          <w:spacing w:val="-2"/>
          <w:u w:val="single"/>
        </w:rPr>
        <w:t>independence</w:t>
      </w:r>
    </w:p>
    <w:p w:rsidR="00612801">
      <w:pPr>
        <w:pStyle w:val="BodyText"/>
        <w:spacing w:before="120"/>
        <w:ind w:right="137"/>
        <w:jc w:val="both"/>
      </w:pPr>
      <w:r>
        <w:t xml:space="preserve">Existing national guidance, standards and frameworks provide a foundation and are appropriate for adoption within locally tailored services for children and young people. However, government </w:t>
      </w:r>
      <w:r>
        <w:t>recognises</w:t>
      </w:r>
      <w:r>
        <w:t xml:space="preserve"> that not all services consistently meet expectations and we continue to work across government to identify opportunities to better support people who are transitioning.</w:t>
      </w:r>
    </w:p>
    <w:p w:rsidR="00612801">
      <w:pPr>
        <w:pStyle w:val="BodyText"/>
        <w:spacing w:before="121"/>
        <w:ind w:right="139"/>
        <w:jc w:val="both"/>
      </w:pPr>
      <w:r>
        <w:t xml:space="preserve">Health and social care services are increasingly </w:t>
      </w:r>
      <w:r>
        <w:t>recognising</w:t>
      </w:r>
      <w:r>
        <w:t xml:space="preserve"> the importance of providing tailored care to individuals with additional needs, particularly during the transition into adolescent</w:t>
      </w:r>
      <w:r>
        <w:rPr>
          <w:spacing w:val="-13"/>
        </w:rPr>
        <w:t xml:space="preserve"> </w:t>
      </w:r>
      <w:r>
        <w:t>and</w:t>
      </w:r>
      <w:r>
        <w:rPr>
          <w:spacing w:val="-13"/>
        </w:rPr>
        <w:t xml:space="preserve"> </w:t>
      </w:r>
      <w:r>
        <w:t>adult</w:t>
      </w:r>
      <w:r>
        <w:rPr>
          <w:spacing w:val="-11"/>
        </w:rPr>
        <w:t xml:space="preserve"> </w:t>
      </w:r>
      <w:r>
        <w:t>services.</w:t>
      </w:r>
      <w:r>
        <w:rPr>
          <w:spacing w:val="-11"/>
        </w:rPr>
        <w:t xml:space="preserve"> </w:t>
      </w:r>
      <w:r>
        <w:t>Through</w:t>
      </w:r>
      <w:r>
        <w:rPr>
          <w:spacing w:val="-10"/>
        </w:rPr>
        <w:t xml:space="preserve"> </w:t>
      </w:r>
      <w:r>
        <w:t>systematic</w:t>
      </w:r>
      <w:r>
        <w:rPr>
          <w:spacing w:val="-14"/>
        </w:rPr>
        <w:t xml:space="preserve"> </w:t>
      </w:r>
      <w:r>
        <w:t>information</w:t>
      </w:r>
      <w:r>
        <w:rPr>
          <w:spacing w:val="-13"/>
        </w:rPr>
        <w:t xml:space="preserve"> </w:t>
      </w:r>
      <w:r>
        <w:t>gathering,</w:t>
      </w:r>
      <w:r>
        <w:rPr>
          <w:spacing w:val="-13"/>
        </w:rPr>
        <w:t xml:space="preserve"> </w:t>
      </w:r>
      <w:r>
        <w:t>professionals</w:t>
      </w:r>
      <w:r>
        <w:rPr>
          <w:spacing w:val="-14"/>
        </w:rPr>
        <w:t xml:space="preserve"> </w:t>
      </w:r>
      <w:r>
        <w:t xml:space="preserve">can develop </w:t>
      </w:r>
      <w:r>
        <w:t>personalised</w:t>
      </w:r>
      <w:r>
        <w:t xml:space="preserve"> support plans that address healthcare, educational, and social requirements</w:t>
      </w:r>
      <w:r>
        <w:rPr>
          <w:spacing w:val="-12"/>
        </w:rPr>
        <w:t xml:space="preserve"> </w:t>
      </w:r>
      <w:r>
        <w:t>more</w:t>
      </w:r>
      <w:r>
        <w:rPr>
          <w:spacing w:val="-10"/>
        </w:rPr>
        <w:t xml:space="preserve"> </w:t>
      </w:r>
      <w:r>
        <w:t>effectively,</w:t>
      </w:r>
      <w:r>
        <w:rPr>
          <w:spacing w:val="-10"/>
        </w:rPr>
        <w:t xml:space="preserve"> </w:t>
      </w:r>
      <w:r>
        <w:t>ensuring</w:t>
      </w:r>
      <w:r>
        <w:rPr>
          <w:spacing w:val="-7"/>
        </w:rPr>
        <w:t xml:space="preserve"> </w:t>
      </w:r>
      <w:r>
        <w:t>that</w:t>
      </w:r>
      <w:r>
        <w:rPr>
          <w:spacing w:val="-10"/>
        </w:rPr>
        <w:t xml:space="preserve"> </w:t>
      </w:r>
      <w:r>
        <w:t>the</w:t>
      </w:r>
      <w:r>
        <w:rPr>
          <w:spacing w:val="-7"/>
        </w:rPr>
        <w:t xml:space="preserve"> </w:t>
      </w:r>
      <w:r>
        <w:t>specific</w:t>
      </w:r>
      <w:r>
        <w:rPr>
          <w:spacing w:val="-11"/>
        </w:rPr>
        <w:t xml:space="preserve"> </w:t>
      </w:r>
      <w:r>
        <w:t>needs</w:t>
      </w:r>
      <w:r>
        <w:rPr>
          <w:spacing w:val="-10"/>
        </w:rPr>
        <w:t xml:space="preserve"> </w:t>
      </w:r>
      <w:r>
        <w:t>of</w:t>
      </w:r>
      <w:r>
        <w:rPr>
          <w:spacing w:val="-7"/>
        </w:rPr>
        <w:t xml:space="preserve"> </w:t>
      </w:r>
      <w:r>
        <w:t>individuals</w:t>
      </w:r>
      <w:r>
        <w:rPr>
          <w:spacing w:val="-8"/>
        </w:rPr>
        <w:t xml:space="preserve"> </w:t>
      </w:r>
      <w:r>
        <w:t>with</w:t>
      </w:r>
      <w:r>
        <w:rPr>
          <w:spacing w:val="-7"/>
        </w:rPr>
        <w:t xml:space="preserve"> </w:t>
      </w:r>
      <w:r>
        <w:t>additional needs are met.</w:t>
      </w:r>
    </w:p>
    <w:p w:rsidR="00612801">
      <w:pPr>
        <w:pStyle w:val="BodyText"/>
        <w:spacing w:before="120"/>
        <w:ind w:right="140"/>
        <w:jc w:val="both"/>
      </w:pPr>
      <w:r>
        <w:t>A key challenge in health is ensuring all services achieve a consistent baseline level of transition practice, particularly those at an early stage of development. Updated NHSE guidance is designed to help improve the effectiveness of services in addressing the individual needs of young people during transition, with an emphasis on person-</w:t>
      </w:r>
      <w:r>
        <w:t>centred</w:t>
      </w:r>
      <w:r>
        <w:t xml:space="preserve"> approaches and tailored support. The NHS approach </w:t>
      </w:r>
      <w:r>
        <w:t>recognises</w:t>
      </w:r>
      <w:r>
        <w:t xml:space="preserve"> that independence in adulthood</w:t>
      </w:r>
      <w:r>
        <w:rPr>
          <w:spacing w:val="-14"/>
        </w:rPr>
        <w:t xml:space="preserve"> </w:t>
      </w:r>
      <w:r>
        <w:t>does</w:t>
      </w:r>
      <w:r>
        <w:rPr>
          <w:spacing w:val="-17"/>
        </w:rPr>
        <w:t xml:space="preserve"> </w:t>
      </w:r>
      <w:r>
        <w:t>not</w:t>
      </w:r>
      <w:r>
        <w:rPr>
          <w:spacing w:val="-16"/>
        </w:rPr>
        <w:t xml:space="preserve"> </w:t>
      </w:r>
      <w:r>
        <w:t>always</w:t>
      </w:r>
      <w:r>
        <w:rPr>
          <w:spacing w:val="-15"/>
        </w:rPr>
        <w:t xml:space="preserve"> </w:t>
      </w:r>
      <w:r>
        <w:t>mean</w:t>
      </w:r>
      <w:r>
        <w:rPr>
          <w:spacing w:val="-16"/>
        </w:rPr>
        <w:t xml:space="preserve"> </w:t>
      </w:r>
      <w:r>
        <w:t>being</w:t>
      </w:r>
      <w:r>
        <w:rPr>
          <w:spacing w:val="-14"/>
        </w:rPr>
        <w:t xml:space="preserve"> </w:t>
      </w:r>
      <w:r>
        <w:t>entirely</w:t>
      </w:r>
      <w:r>
        <w:rPr>
          <w:spacing w:val="-15"/>
        </w:rPr>
        <w:t xml:space="preserve"> </w:t>
      </w:r>
      <w:r>
        <w:t>self-sufficient;</w:t>
      </w:r>
      <w:r>
        <w:rPr>
          <w:spacing w:val="-14"/>
        </w:rPr>
        <w:t xml:space="preserve"> </w:t>
      </w:r>
      <w:r>
        <w:t>instead,</w:t>
      </w:r>
      <w:r>
        <w:rPr>
          <w:spacing w:val="-14"/>
        </w:rPr>
        <w:t xml:space="preserve"> </w:t>
      </w:r>
      <w:r>
        <w:t>it</w:t>
      </w:r>
      <w:r>
        <w:rPr>
          <w:spacing w:val="-15"/>
        </w:rPr>
        <w:t xml:space="preserve"> </w:t>
      </w:r>
      <w:r>
        <w:t>is</w:t>
      </w:r>
      <w:r>
        <w:rPr>
          <w:spacing w:val="-15"/>
        </w:rPr>
        <w:t xml:space="preserve"> </w:t>
      </w:r>
      <w:r>
        <w:t>adapted</w:t>
      </w:r>
      <w:r>
        <w:rPr>
          <w:spacing w:val="-16"/>
        </w:rPr>
        <w:t xml:space="preserve"> </w:t>
      </w:r>
      <w:r>
        <w:t>to</w:t>
      </w:r>
      <w:r>
        <w:rPr>
          <w:spacing w:val="-14"/>
        </w:rPr>
        <w:t xml:space="preserve"> </w:t>
      </w:r>
      <w:r>
        <w:t>reflect the reality that some young people will continue to require substantial support. This adaptation</w:t>
      </w:r>
      <w:r>
        <w:rPr>
          <w:spacing w:val="-11"/>
        </w:rPr>
        <w:t xml:space="preserve"> </w:t>
      </w:r>
      <w:r>
        <w:t>ensures</w:t>
      </w:r>
      <w:r>
        <w:rPr>
          <w:spacing w:val="-9"/>
        </w:rPr>
        <w:t xml:space="preserve"> </w:t>
      </w:r>
      <w:r>
        <w:t>that</w:t>
      </w:r>
      <w:r>
        <w:rPr>
          <w:spacing w:val="-9"/>
        </w:rPr>
        <w:t xml:space="preserve"> </w:t>
      </w:r>
      <w:r>
        <w:t>care</w:t>
      </w:r>
      <w:r>
        <w:rPr>
          <w:spacing w:val="-11"/>
        </w:rPr>
        <w:t xml:space="preserve"> </w:t>
      </w:r>
      <w:r>
        <w:t>packages</w:t>
      </w:r>
      <w:r>
        <w:rPr>
          <w:spacing w:val="-12"/>
        </w:rPr>
        <w:t xml:space="preserve"> </w:t>
      </w:r>
      <w:r>
        <w:t>are</w:t>
      </w:r>
      <w:r>
        <w:rPr>
          <w:spacing w:val="-11"/>
        </w:rPr>
        <w:t xml:space="preserve"> </w:t>
      </w:r>
      <w:r>
        <w:t>tailored</w:t>
      </w:r>
      <w:r>
        <w:rPr>
          <w:spacing w:val="-11"/>
        </w:rPr>
        <w:t xml:space="preserve"> </w:t>
      </w:r>
      <w:r>
        <w:t>to</w:t>
      </w:r>
      <w:r>
        <w:rPr>
          <w:spacing w:val="-10"/>
        </w:rPr>
        <w:t xml:space="preserve"> </w:t>
      </w:r>
      <w:r>
        <w:t>promote</w:t>
      </w:r>
      <w:r>
        <w:rPr>
          <w:spacing w:val="-11"/>
        </w:rPr>
        <w:t xml:space="preserve"> </w:t>
      </w:r>
      <w:r>
        <w:t>autonomy</w:t>
      </w:r>
      <w:r>
        <w:rPr>
          <w:spacing w:val="-12"/>
        </w:rPr>
        <w:t xml:space="preserve"> </w:t>
      </w:r>
      <w:r>
        <w:t>as</w:t>
      </w:r>
      <w:r>
        <w:rPr>
          <w:spacing w:val="-12"/>
        </w:rPr>
        <w:t xml:space="preserve"> </w:t>
      </w:r>
      <w:r>
        <w:t>far</w:t>
      </w:r>
      <w:r>
        <w:rPr>
          <w:spacing w:val="-10"/>
        </w:rPr>
        <w:t xml:space="preserve"> </w:t>
      </w:r>
      <w:r>
        <w:t>as</w:t>
      </w:r>
      <w:r>
        <w:rPr>
          <w:spacing w:val="-12"/>
        </w:rPr>
        <w:t xml:space="preserve"> </w:t>
      </w:r>
      <w:r>
        <w:t>possible, while still providing the necessary assistance for daily living and complex health needs.</w:t>
      </w:r>
    </w:p>
    <w:p w:rsidR="00612801">
      <w:pPr>
        <w:pStyle w:val="BodyText"/>
        <w:spacing w:before="120"/>
        <w:ind w:right="148"/>
        <w:jc w:val="both"/>
      </w:pPr>
      <w:r>
        <w:t>Within the context of continuing healthcare, services make concerted efforts to adapt support for independence to the diverse needs and circumstances of different groups of young</w:t>
      </w:r>
      <w:r>
        <w:rPr>
          <w:spacing w:val="-12"/>
        </w:rPr>
        <w:t xml:space="preserve"> </w:t>
      </w:r>
      <w:r>
        <w:t>people.</w:t>
      </w:r>
      <w:r>
        <w:rPr>
          <w:spacing w:val="-12"/>
        </w:rPr>
        <w:t xml:space="preserve"> </w:t>
      </w:r>
      <w:r>
        <w:t>This</w:t>
      </w:r>
      <w:r>
        <w:rPr>
          <w:spacing w:val="-13"/>
        </w:rPr>
        <w:t xml:space="preserve"> </w:t>
      </w:r>
      <w:r>
        <w:t>includes</w:t>
      </w:r>
      <w:r>
        <w:rPr>
          <w:spacing w:val="-13"/>
        </w:rPr>
        <w:t xml:space="preserve"> </w:t>
      </w:r>
      <w:r>
        <w:t>tailoring</w:t>
      </w:r>
      <w:r>
        <w:rPr>
          <w:spacing w:val="-12"/>
        </w:rPr>
        <w:t xml:space="preserve"> </w:t>
      </w:r>
      <w:r>
        <w:t>care</w:t>
      </w:r>
      <w:r>
        <w:rPr>
          <w:spacing w:val="-12"/>
        </w:rPr>
        <w:t xml:space="preserve"> </w:t>
      </w:r>
      <w:r>
        <w:t>plans</w:t>
      </w:r>
      <w:r>
        <w:rPr>
          <w:spacing w:val="-13"/>
        </w:rPr>
        <w:t xml:space="preserve"> </w:t>
      </w:r>
      <w:r>
        <w:t>to</w:t>
      </w:r>
      <w:r>
        <w:rPr>
          <w:spacing w:val="-11"/>
        </w:rPr>
        <w:t xml:space="preserve"> </w:t>
      </w:r>
      <w:r>
        <w:t>reflect</w:t>
      </w:r>
      <w:r>
        <w:rPr>
          <w:spacing w:val="-12"/>
        </w:rPr>
        <w:t xml:space="preserve"> </w:t>
      </w:r>
      <w:r>
        <w:t>individual</w:t>
      </w:r>
      <w:r>
        <w:rPr>
          <w:spacing w:val="-15"/>
        </w:rPr>
        <w:t xml:space="preserve"> </w:t>
      </w:r>
      <w:r>
        <w:t>abilities,</w:t>
      </w:r>
      <w:r>
        <w:rPr>
          <w:spacing w:val="-12"/>
        </w:rPr>
        <w:t xml:space="preserve"> </w:t>
      </w:r>
      <w:r>
        <w:t>aspirations</w:t>
      </w:r>
      <w:r>
        <w:rPr>
          <w:spacing w:val="-13"/>
        </w:rPr>
        <w:t xml:space="preserve"> </w:t>
      </w:r>
      <w:r>
        <w:t xml:space="preserve">and cultural backgrounds. For example, young people transitioning from </w:t>
      </w:r>
      <w:r>
        <w:t>paediatric</w:t>
      </w:r>
      <w:r>
        <w:t xml:space="preserve"> to adult services may receive bespoke support that </w:t>
      </w:r>
      <w:r>
        <w:t>takes into account</w:t>
      </w:r>
      <w:r>
        <w:t xml:space="preserve"> their social environment, family dynamics, and educational or employment goals.</w:t>
      </w:r>
    </w:p>
    <w:p w:rsidR="00612801">
      <w:pPr>
        <w:pStyle w:val="BodyText"/>
        <w:spacing w:before="121"/>
        <w:ind w:right="135"/>
        <w:jc w:val="both"/>
      </w:pPr>
      <w:r>
        <w:t xml:space="preserve">Additionally, services </w:t>
      </w:r>
      <w:r>
        <w:t>recognise</w:t>
      </w:r>
      <w:r>
        <w:t xml:space="preserve"> that young people with complex health needs, learning disabilities, or mental health challenges may require distinct approaches to promote independence. This can involve multi-disciplinary teams working collaboratively to provide </w:t>
      </w:r>
      <w:r>
        <w:t>personalised</w:t>
      </w:r>
      <w:r>
        <w:rPr>
          <w:spacing w:val="-10"/>
        </w:rPr>
        <w:t xml:space="preserve"> </w:t>
      </w:r>
      <w:r>
        <w:t>interventions,</w:t>
      </w:r>
      <w:r>
        <w:rPr>
          <w:spacing w:val="-11"/>
        </w:rPr>
        <w:t xml:space="preserve"> </w:t>
      </w:r>
      <w:r>
        <w:t>assistive</w:t>
      </w:r>
      <w:r>
        <w:rPr>
          <w:spacing w:val="-10"/>
        </w:rPr>
        <w:t xml:space="preserve"> </w:t>
      </w:r>
      <w:r>
        <w:t>technologies,</w:t>
      </w:r>
      <w:r>
        <w:rPr>
          <w:spacing w:val="-10"/>
        </w:rPr>
        <w:t xml:space="preserve"> </w:t>
      </w:r>
      <w:r>
        <w:t>and</w:t>
      </w:r>
      <w:r>
        <w:rPr>
          <w:spacing w:val="-10"/>
        </w:rPr>
        <w:t xml:space="preserve"> </w:t>
      </w:r>
      <w:r>
        <w:t>advocacy,</w:t>
      </w:r>
      <w:r>
        <w:rPr>
          <w:spacing w:val="-11"/>
        </w:rPr>
        <w:t xml:space="preserve"> </w:t>
      </w:r>
      <w:r>
        <w:t>ensuring</w:t>
      </w:r>
      <w:r>
        <w:rPr>
          <w:spacing w:val="-10"/>
        </w:rPr>
        <w:t xml:space="preserve"> </w:t>
      </w:r>
      <w:r>
        <w:t>that</w:t>
      </w:r>
      <w:r>
        <w:rPr>
          <w:spacing w:val="-11"/>
        </w:rPr>
        <w:t xml:space="preserve"> </w:t>
      </w:r>
      <w:r>
        <w:t>each</w:t>
      </w:r>
      <w:r>
        <w:rPr>
          <w:spacing w:val="-10"/>
        </w:rPr>
        <w:t xml:space="preserve"> </w:t>
      </w:r>
      <w:r>
        <w:t>young person's</w:t>
      </w:r>
      <w:r>
        <w:rPr>
          <w:spacing w:val="22"/>
        </w:rPr>
        <w:t xml:space="preserve"> </w:t>
      </w:r>
      <w:r>
        <w:t>pathway</w:t>
      </w:r>
      <w:r>
        <w:rPr>
          <w:spacing w:val="25"/>
        </w:rPr>
        <w:t xml:space="preserve"> </w:t>
      </w:r>
      <w:r>
        <w:t>is</w:t>
      </w:r>
      <w:r>
        <w:rPr>
          <w:spacing w:val="24"/>
        </w:rPr>
        <w:t xml:space="preserve"> </w:t>
      </w:r>
      <w:r>
        <w:t>both</w:t>
      </w:r>
      <w:r>
        <w:rPr>
          <w:spacing w:val="25"/>
        </w:rPr>
        <w:t xml:space="preserve"> </w:t>
      </w:r>
      <w:r>
        <w:t>flexible</w:t>
      </w:r>
      <w:r>
        <w:rPr>
          <w:spacing w:val="25"/>
        </w:rPr>
        <w:t xml:space="preserve"> </w:t>
      </w:r>
      <w:r>
        <w:t>and</w:t>
      </w:r>
      <w:r>
        <w:rPr>
          <w:spacing w:val="25"/>
        </w:rPr>
        <w:t xml:space="preserve"> </w:t>
      </w:r>
      <w:r>
        <w:t>responsive.</w:t>
      </w:r>
      <w:r>
        <w:rPr>
          <w:spacing w:val="25"/>
        </w:rPr>
        <w:t xml:space="preserve"> </w:t>
      </w:r>
      <w:r>
        <w:t>However,</w:t>
      </w:r>
      <w:r>
        <w:rPr>
          <w:spacing w:val="24"/>
        </w:rPr>
        <w:t xml:space="preserve"> </w:t>
      </w:r>
      <w:r>
        <w:t>the</w:t>
      </w:r>
      <w:r>
        <w:rPr>
          <w:spacing w:val="25"/>
        </w:rPr>
        <w:t xml:space="preserve"> </w:t>
      </w:r>
      <w:r>
        <w:t>extent</w:t>
      </w:r>
      <w:r>
        <w:rPr>
          <w:spacing w:val="22"/>
        </w:rPr>
        <w:t xml:space="preserve"> </w:t>
      </w:r>
      <w:r>
        <w:t>of</w:t>
      </w:r>
      <w:r>
        <w:rPr>
          <w:spacing w:val="25"/>
        </w:rPr>
        <w:t xml:space="preserve"> </w:t>
      </w:r>
      <w:r>
        <w:t>adaptation</w:t>
      </w:r>
      <w:r>
        <w:rPr>
          <w:spacing w:val="25"/>
        </w:rPr>
        <w:t xml:space="preserve"> </w:t>
      </w:r>
      <w:r>
        <w:t>can</w:t>
      </w:r>
    </w:p>
    <w:p w:rsidR="00612801">
      <w:pPr>
        <w:pStyle w:val="BodyText"/>
        <w:jc w:val="both"/>
        <w:sectPr>
          <w:pgSz w:w="11910" w:h="16840"/>
          <w:pgMar w:top="1300" w:right="992" w:bottom="280" w:left="992" w:header="720" w:footer="720" w:gutter="0"/>
          <w:cols w:space="720"/>
        </w:sectPr>
      </w:pPr>
    </w:p>
    <w:p w:rsidR="00612801">
      <w:pPr>
        <w:pStyle w:val="BodyText"/>
        <w:spacing w:before="76"/>
        <w:ind w:right="141"/>
        <w:jc w:val="both"/>
      </w:pPr>
      <w:r>
        <w:t>vary depending on local resources, staff training, and inter-agency coordination, meaning that while many receive tailored support, there may still be gaps for some groups.</w:t>
      </w:r>
    </w:p>
    <w:p w:rsidR="00612801">
      <w:pPr>
        <w:pStyle w:val="BodyText"/>
        <w:spacing w:before="121"/>
        <w:ind w:right="138"/>
        <w:jc w:val="both"/>
      </w:pPr>
      <w:r>
        <w:t>For children and young people’s continuing care (CYPCC), several methods have been effective</w:t>
      </w:r>
      <w:r>
        <w:rPr>
          <w:spacing w:val="-7"/>
        </w:rPr>
        <w:t xml:space="preserve"> </w:t>
      </w:r>
      <w:r>
        <w:t>in</w:t>
      </w:r>
      <w:r>
        <w:rPr>
          <w:spacing w:val="-7"/>
        </w:rPr>
        <w:t xml:space="preserve"> </w:t>
      </w:r>
      <w:r>
        <w:t>delivering</w:t>
      </w:r>
      <w:r>
        <w:rPr>
          <w:spacing w:val="-9"/>
        </w:rPr>
        <w:t xml:space="preserve"> </w:t>
      </w:r>
      <w:r>
        <w:t>person-</w:t>
      </w:r>
      <w:r>
        <w:t>centred</w:t>
      </w:r>
      <w:r>
        <w:rPr>
          <w:spacing w:val="-7"/>
        </w:rPr>
        <w:t xml:space="preserve"> </w:t>
      </w:r>
      <w:r>
        <w:t>transition</w:t>
      </w:r>
      <w:r>
        <w:rPr>
          <w:spacing w:val="-7"/>
        </w:rPr>
        <w:t xml:space="preserve"> </w:t>
      </w:r>
      <w:r>
        <w:t>support</w:t>
      </w:r>
      <w:r>
        <w:rPr>
          <w:spacing w:val="-10"/>
        </w:rPr>
        <w:t xml:space="preserve"> </w:t>
      </w:r>
      <w:r>
        <w:t>and</w:t>
      </w:r>
      <w:r>
        <w:rPr>
          <w:spacing w:val="-7"/>
        </w:rPr>
        <w:t xml:space="preserve"> </w:t>
      </w:r>
      <w:r>
        <w:t>improving</w:t>
      </w:r>
      <w:r>
        <w:rPr>
          <w:spacing w:val="-7"/>
        </w:rPr>
        <w:t xml:space="preserve"> </w:t>
      </w:r>
      <w:r>
        <w:t>outcomes</w:t>
      </w:r>
      <w:r>
        <w:rPr>
          <w:spacing w:val="-10"/>
        </w:rPr>
        <w:t xml:space="preserve"> </w:t>
      </w:r>
      <w:r>
        <w:t>across</w:t>
      </w:r>
      <w:r>
        <w:rPr>
          <w:spacing w:val="-8"/>
        </w:rPr>
        <w:t xml:space="preserve"> </w:t>
      </w:r>
      <w:r>
        <w:t>the areas</w:t>
      </w:r>
      <w:r>
        <w:rPr>
          <w:spacing w:val="-17"/>
        </w:rPr>
        <w:t xml:space="preserve"> </w:t>
      </w:r>
      <w:r>
        <w:t>referenced</w:t>
      </w:r>
      <w:r>
        <w:rPr>
          <w:spacing w:val="-17"/>
        </w:rPr>
        <w:t xml:space="preserve"> </w:t>
      </w:r>
      <w:r>
        <w:t>in</w:t>
      </w:r>
      <w:r>
        <w:rPr>
          <w:spacing w:val="-16"/>
        </w:rPr>
        <w:t xml:space="preserve"> </w:t>
      </w:r>
      <w:r>
        <w:t>focus</w:t>
      </w:r>
      <w:r>
        <w:rPr>
          <w:spacing w:val="-17"/>
        </w:rPr>
        <w:t xml:space="preserve"> </w:t>
      </w:r>
      <w:r>
        <w:t>area</w:t>
      </w:r>
      <w:r>
        <w:rPr>
          <w:spacing w:val="-17"/>
        </w:rPr>
        <w:t xml:space="preserve"> </w:t>
      </w:r>
      <w:r>
        <w:t>5.</w:t>
      </w:r>
      <w:r>
        <w:rPr>
          <w:spacing w:val="-17"/>
        </w:rPr>
        <w:t xml:space="preserve"> </w:t>
      </w:r>
      <w:r>
        <w:t>A</w:t>
      </w:r>
      <w:r>
        <w:rPr>
          <w:spacing w:val="-16"/>
        </w:rPr>
        <w:t xml:space="preserve"> </w:t>
      </w:r>
      <w:r>
        <w:t>notable</w:t>
      </w:r>
      <w:r>
        <w:rPr>
          <w:spacing w:val="-17"/>
        </w:rPr>
        <w:t xml:space="preserve"> </w:t>
      </w:r>
      <w:r>
        <w:t>approach</w:t>
      </w:r>
      <w:r>
        <w:rPr>
          <w:spacing w:val="-17"/>
        </w:rPr>
        <w:t xml:space="preserve"> </w:t>
      </w:r>
      <w:r>
        <w:t>has</w:t>
      </w:r>
      <w:r>
        <w:rPr>
          <w:spacing w:val="-16"/>
        </w:rPr>
        <w:t xml:space="preserve"> </w:t>
      </w:r>
      <w:r>
        <w:t>been</w:t>
      </w:r>
      <w:r>
        <w:rPr>
          <w:spacing w:val="-17"/>
        </w:rPr>
        <w:t xml:space="preserve"> </w:t>
      </w:r>
      <w:r>
        <w:t>the</w:t>
      </w:r>
      <w:r>
        <w:rPr>
          <w:spacing w:val="-17"/>
        </w:rPr>
        <w:t xml:space="preserve"> </w:t>
      </w:r>
      <w:r>
        <w:t>involvement</w:t>
      </w:r>
      <w:r>
        <w:rPr>
          <w:spacing w:val="-16"/>
        </w:rPr>
        <w:t xml:space="preserve"> </w:t>
      </w:r>
      <w:r>
        <w:t>of</w:t>
      </w:r>
      <w:r>
        <w:rPr>
          <w:spacing w:val="-17"/>
        </w:rPr>
        <w:t xml:space="preserve"> </w:t>
      </w:r>
      <w:r>
        <w:t>the</w:t>
      </w:r>
      <w:r>
        <w:rPr>
          <w:spacing w:val="-17"/>
        </w:rPr>
        <w:t xml:space="preserve"> </w:t>
      </w:r>
      <w:r>
        <w:t>young person</w:t>
      </w:r>
      <w:r>
        <w:rPr>
          <w:spacing w:val="-8"/>
        </w:rPr>
        <w:t xml:space="preserve"> </w:t>
      </w:r>
      <w:r>
        <w:t>through</w:t>
      </w:r>
      <w:r>
        <w:rPr>
          <w:spacing w:val="-8"/>
        </w:rPr>
        <w:t xml:space="preserve"> </w:t>
      </w:r>
      <w:r>
        <w:t>section</w:t>
      </w:r>
      <w:r>
        <w:rPr>
          <w:spacing w:val="-11"/>
        </w:rPr>
        <w:t xml:space="preserve"> </w:t>
      </w:r>
      <w:r>
        <w:t>C</w:t>
      </w:r>
      <w:r>
        <w:rPr>
          <w:spacing w:val="-10"/>
        </w:rPr>
        <w:t xml:space="preserve"> </w:t>
      </w:r>
      <w:r>
        <w:t>of</w:t>
      </w:r>
      <w:r>
        <w:rPr>
          <w:spacing w:val="-9"/>
        </w:rPr>
        <w:t xml:space="preserve"> </w:t>
      </w:r>
      <w:r>
        <w:t>the</w:t>
      </w:r>
      <w:r>
        <w:rPr>
          <w:spacing w:val="-8"/>
        </w:rPr>
        <w:t xml:space="preserve"> </w:t>
      </w:r>
      <w:r>
        <w:t>CYPCC</w:t>
      </w:r>
      <w:r>
        <w:rPr>
          <w:spacing w:val="-10"/>
        </w:rPr>
        <w:t xml:space="preserve"> </w:t>
      </w:r>
      <w:r>
        <w:t>decision</w:t>
      </w:r>
      <w:r>
        <w:rPr>
          <w:spacing w:val="-8"/>
        </w:rPr>
        <w:t xml:space="preserve"> </w:t>
      </w:r>
      <w:r>
        <w:t>support</w:t>
      </w:r>
      <w:r>
        <w:rPr>
          <w:spacing w:val="-9"/>
        </w:rPr>
        <w:t xml:space="preserve"> </w:t>
      </w:r>
      <w:r>
        <w:t>tool,</w:t>
      </w:r>
      <w:r>
        <w:rPr>
          <w:spacing w:val="-9"/>
        </w:rPr>
        <w:t xml:space="preserve"> </w:t>
      </w:r>
      <w:r>
        <w:t>which</w:t>
      </w:r>
      <w:r>
        <w:rPr>
          <w:spacing w:val="-11"/>
        </w:rPr>
        <w:t xml:space="preserve"> </w:t>
      </w:r>
      <w:r>
        <w:t>specifically</w:t>
      </w:r>
      <w:r>
        <w:rPr>
          <w:spacing w:val="-10"/>
        </w:rPr>
        <w:t xml:space="preserve"> </w:t>
      </w:r>
      <w:r>
        <w:t>seeks</w:t>
      </w:r>
      <w:r>
        <w:rPr>
          <w:spacing w:val="-9"/>
        </w:rPr>
        <w:t xml:space="preserve"> </w:t>
      </w:r>
      <w:r>
        <w:t xml:space="preserve">their views and links these to EHCP aspirations. This process ensures that reviews are tailored to include education where appropriate, aligning support with the individual's goals and needs. Outcome-based commissioning and </w:t>
      </w:r>
      <w:r>
        <w:t>personalised</w:t>
      </w:r>
      <w:r>
        <w:t xml:space="preserve"> care and support planning have proven beneficial, as they focus on achieving specific, meaningful outcomes for the individual.</w:t>
      </w:r>
      <w:r>
        <w:rPr>
          <w:spacing w:val="-9"/>
        </w:rPr>
        <w:t xml:space="preserve"> </w:t>
      </w:r>
      <w:r>
        <w:t>Mentorship</w:t>
      </w:r>
      <w:r>
        <w:rPr>
          <w:spacing w:val="-10"/>
        </w:rPr>
        <w:t xml:space="preserve"> </w:t>
      </w:r>
      <w:r>
        <w:t>schemes</w:t>
      </w:r>
      <w:r>
        <w:rPr>
          <w:spacing w:val="-9"/>
        </w:rPr>
        <w:t xml:space="preserve"> </w:t>
      </w:r>
      <w:r>
        <w:t>and</w:t>
      </w:r>
      <w:r>
        <w:rPr>
          <w:spacing w:val="-9"/>
        </w:rPr>
        <w:t xml:space="preserve"> </w:t>
      </w:r>
      <w:r>
        <w:t>peer</w:t>
      </w:r>
      <w:r>
        <w:rPr>
          <w:spacing w:val="-9"/>
        </w:rPr>
        <w:t xml:space="preserve"> </w:t>
      </w:r>
      <w:r>
        <w:t>support</w:t>
      </w:r>
      <w:r>
        <w:rPr>
          <w:spacing w:val="-9"/>
        </w:rPr>
        <w:t xml:space="preserve"> </w:t>
      </w:r>
      <w:r>
        <w:t>programmes</w:t>
      </w:r>
      <w:r>
        <w:rPr>
          <w:spacing w:val="-9"/>
        </w:rPr>
        <w:t xml:space="preserve"> </w:t>
      </w:r>
      <w:r>
        <w:t>have</w:t>
      </w:r>
      <w:r>
        <w:rPr>
          <w:spacing w:val="-3"/>
        </w:rPr>
        <w:t xml:space="preserve"> </w:t>
      </w:r>
      <w:r>
        <w:t>also</w:t>
      </w:r>
      <w:r>
        <w:rPr>
          <w:spacing w:val="-8"/>
        </w:rPr>
        <w:t xml:space="preserve"> </w:t>
      </w:r>
      <w:r>
        <w:t>proven</w:t>
      </w:r>
      <w:r>
        <w:rPr>
          <w:spacing w:val="-9"/>
        </w:rPr>
        <w:t xml:space="preserve"> </w:t>
      </w:r>
      <w:r>
        <w:t>beneficial, enabling young people to learn from others who have successfully transit</w:t>
      </w:r>
      <w:r>
        <w:t>ioned.</w:t>
      </w:r>
    </w:p>
    <w:p w:rsidR="00612801">
      <w:pPr>
        <w:pStyle w:val="BodyText"/>
        <w:spacing w:before="120"/>
        <w:ind w:right="137"/>
        <w:jc w:val="both"/>
      </w:pPr>
      <w:r>
        <w:t>Children’s</w:t>
      </w:r>
      <w:r>
        <w:rPr>
          <w:spacing w:val="-10"/>
        </w:rPr>
        <w:t xml:space="preserve"> </w:t>
      </w:r>
      <w:r>
        <w:t>social</w:t>
      </w:r>
      <w:r>
        <w:rPr>
          <w:spacing w:val="-9"/>
        </w:rPr>
        <w:t xml:space="preserve"> </w:t>
      </w:r>
      <w:r>
        <w:t>care</w:t>
      </w:r>
      <w:r>
        <w:rPr>
          <w:spacing w:val="-9"/>
        </w:rPr>
        <w:t xml:space="preserve"> </w:t>
      </w:r>
      <w:r>
        <w:t>reform</w:t>
      </w:r>
      <w:r>
        <w:rPr>
          <w:spacing w:val="-8"/>
        </w:rPr>
        <w:t xml:space="preserve"> </w:t>
      </w:r>
      <w:r>
        <w:t>is</w:t>
      </w:r>
      <w:r>
        <w:rPr>
          <w:spacing w:val="-10"/>
        </w:rPr>
        <w:t xml:space="preserve"> </w:t>
      </w:r>
      <w:r>
        <w:t>already</w:t>
      </w:r>
      <w:r>
        <w:rPr>
          <w:spacing w:val="-9"/>
        </w:rPr>
        <w:t xml:space="preserve"> </w:t>
      </w:r>
      <w:r>
        <w:t>being</w:t>
      </w:r>
      <w:r>
        <w:rPr>
          <w:spacing w:val="-8"/>
        </w:rPr>
        <w:t xml:space="preserve"> </w:t>
      </w:r>
      <w:r>
        <w:t>delivered</w:t>
      </w:r>
      <w:r>
        <w:rPr>
          <w:spacing w:val="-8"/>
        </w:rPr>
        <w:t xml:space="preserve"> </w:t>
      </w:r>
      <w:r>
        <w:t>through</w:t>
      </w:r>
      <w:r>
        <w:rPr>
          <w:spacing w:val="-8"/>
        </w:rPr>
        <w:t xml:space="preserve"> </w:t>
      </w:r>
      <w:r>
        <w:t>the</w:t>
      </w:r>
      <w:r>
        <w:rPr>
          <w:spacing w:val="-8"/>
        </w:rPr>
        <w:t xml:space="preserve"> </w:t>
      </w:r>
      <w:r>
        <w:t>families</w:t>
      </w:r>
      <w:r>
        <w:rPr>
          <w:spacing w:val="-9"/>
        </w:rPr>
        <w:t xml:space="preserve"> </w:t>
      </w:r>
      <w:r>
        <w:t>first</w:t>
      </w:r>
      <w:r>
        <w:rPr>
          <w:spacing w:val="-9"/>
        </w:rPr>
        <w:t xml:space="preserve"> </w:t>
      </w:r>
      <w:r>
        <w:t xml:space="preserve">partnership </w:t>
      </w:r>
      <w:r>
        <w:t>programme</w:t>
      </w:r>
      <w:r>
        <w:t>, with full national implementation expected by March 2027. The Children’s Wellbeing and Schools Bill, introduced in December 2024, is progressing through Parliament</w:t>
      </w:r>
      <w:r>
        <w:rPr>
          <w:spacing w:val="-17"/>
        </w:rPr>
        <w:t xml:space="preserve"> </w:t>
      </w:r>
      <w:r>
        <w:t>with</w:t>
      </w:r>
      <w:r>
        <w:rPr>
          <w:spacing w:val="-17"/>
        </w:rPr>
        <w:t xml:space="preserve"> </w:t>
      </w:r>
      <w:r>
        <w:t>Royal</w:t>
      </w:r>
      <w:r>
        <w:rPr>
          <w:spacing w:val="-16"/>
        </w:rPr>
        <w:t xml:space="preserve"> </w:t>
      </w:r>
      <w:r>
        <w:t>Assent</w:t>
      </w:r>
      <w:r>
        <w:rPr>
          <w:spacing w:val="-17"/>
        </w:rPr>
        <w:t xml:space="preserve"> </w:t>
      </w:r>
      <w:r>
        <w:t>expected</w:t>
      </w:r>
      <w:r>
        <w:rPr>
          <w:spacing w:val="-17"/>
        </w:rPr>
        <w:t xml:space="preserve"> </w:t>
      </w:r>
      <w:r>
        <w:t>later</w:t>
      </w:r>
      <w:r>
        <w:rPr>
          <w:spacing w:val="-17"/>
        </w:rPr>
        <w:t xml:space="preserve"> </w:t>
      </w:r>
      <w:r>
        <w:t>in</w:t>
      </w:r>
      <w:r>
        <w:rPr>
          <w:spacing w:val="-16"/>
        </w:rPr>
        <w:t xml:space="preserve"> </w:t>
      </w:r>
      <w:r>
        <w:t>2026,</w:t>
      </w:r>
      <w:r>
        <w:rPr>
          <w:spacing w:val="-17"/>
        </w:rPr>
        <w:t xml:space="preserve"> </w:t>
      </w:r>
      <w:r>
        <w:t>and</w:t>
      </w:r>
      <w:r>
        <w:rPr>
          <w:spacing w:val="-17"/>
        </w:rPr>
        <w:t xml:space="preserve"> </w:t>
      </w:r>
      <w:r>
        <w:t>commencement</w:t>
      </w:r>
      <w:r>
        <w:rPr>
          <w:spacing w:val="-16"/>
        </w:rPr>
        <w:t xml:space="preserve"> </w:t>
      </w:r>
      <w:r>
        <w:t>of</w:t>
      </w:r>
      <w:r>
        <w:rPr>
          <w:spacing w:val="-17"/>
        </w:rPr>
        <w:t xml:space="preserve"> </w:t>
      </w:r>
      <w:r>
        <w:t>most</w:t>
      </w:r>
      <w:r>
        <w:rPr>
          <w:spacing w:val="-17"/>
        </w:rPr>
        <w:t xml:space="preserve"> </w:t>
      </w:r>
      <w:r>
        <w:t>measures likely</w:t>
      </w:r>
      <w:r>
        <w:rPr>
          <w:spacing w:val="-10"/>
        </w:rPr>
        <w:t xml:space="preserve"> </w:t>
      </w:r>
      <w:r>
        <w:t>in</w:t>
      </w:r>
      <w:r>
        <w:rPr>
          <w:spacing w:val="-9"/>
        </w:rPr>
        <w:t xml:space="preserve"> </w:t>
      </w:r>
      <w:r>
        <w:t>2026–27.</w:t>
      </w:r>
      <w:r>
        <w:rPr>
          <w:spacing w:val="-11"/>
        </w:rPr>
        <w:t xml:space="preserve"> </w:t>
      </w:r>
      <w:r>
        <w:t>Proposals</w:t>
      </w:r>
      <w:r>
        <w:rPr>
          <w:spacing w:val="-10"/>
        </w:rPr>
        <w:t xml:space="preserve"> </w:t>
      </w:r>
      <w:r>
        <w:t>to</w:t>
      </w:r>
      <w:r>
        <w:rPr>
          <w:spacing w:val="-10"/>
        </w:rPr>
        <w:t xml:space="preserve"> </w:t>
      </w:r>
      <w:r>
        <w:t>establish</w:t>
      </w:r>
      <w:r>
        <w:rPr>
          <w:spacing w:val="-11"/>
        </w:rPr>
        <w:t xml:space="preserve"> </w:t>
      </w:r>
      <w:r>
        <w:t>a</w:t>
      </w:r>
      <w:r>
        <w:rPr>
          <w:spacing w:val="-8"/>
        </w:rPr>
        <w:t xml:space="preserve"> </w:t>
      </w:r>
      <w:r>
        <w:t>national</w:t>
      </w:r>
      <w:r>
        <w:rPr>
          <w:spacing w:val="-10"/>
        </w:rPr>
        <w:t xml:space="preserve"> </w:t>
      </w:r>
      <w:r>
        <w:t>child</w:t>
      </w:r>
      <w:r>
        <w:rPr>
          <w:spacing w:val="-11"/>
        </w:rPr>
        <w:t xml:space="preserve"> </w:t>
      </w:r>
      <w:r>
        <w:t>protection</w:t>
      </w:r>
      <w:r>
        <w:rPr>
          <w:spacing w:val="-11"/>
        </w:rPr>
        <w:t xml:space="preserve"> </w:t>
      </w:r>
      <w:r>
        <w:t>authority</w:t>
      </w:r>
      <w:r>
        <w:rPr>
          <w:spacing w:val="-9"/>
        </w:rPr>
        <w:t xml:space="preserve"> </w:t>
      </w:r>
      <w:r>
        <w:t>were</w:t>
      </w:r>
      <w:r>
        <w:rPr>
          <w:spacing w:val="-8"/>
        </w:rPr>
        <w:t xml:space="preserve"> </w:t>
      </w:r>
      <w:r>
        <w:t>consulted on between December 2025 and March 2026; the government response is pending, with any new body expected to come into effect no earlier than 2026–27, subje</w:t>
      </w:r>
      <w:r>
        <w:t xml:space="preserve">ct to legislative </w:t>
      </w:r>
      <w:r>
        <w:rPr>
          <w:spacing w:val="-2"/>
        </w:rPr>
        <w:t>decisions.</w:t>
      </w:r>
    </w:p>
    <w:p w:rsidR="00612801">
      <w:pPr>
        <w:pStyle w:val="BodyText"/>
        <w:spacing w:before="121"/>
        <w:ind w:right="138"/>
        <w:jc w:val="both"/>
      </w:pPr>
      <w:r>
        <w:t xml:space="preserve">The Government has also set out our ambitions to transform outcomes for children, young people and their families through The Schools White Paper, </w:t>
      </w:r>
      <w:r>
        <w:fldChar w:fldCharType="begin"/>
      </w:r>
      <w:r>
        <w:instrText xml:space="preserve"> HYPERLINK "https://eur03.safelinks.protection.outlook.com/?url=http%3A%2F%2Fwww.gov.uk%2Fgovernment%2Fpublications%2Fevery-child-achieving-and-thriving&amp;data=05%7C02%7CGeorgina.Connolly%40dhsc.gov.uk%7C8ead482b5d6d449e10fc08de964070fe%7C61278c3091a84c318c1fef4de8973a1c%7C1%7C0%7C639113400746296561%7CUnknown%7CTWFpbGZsb3d8eyJFbXB0eU1hcGkiOnRydWUsIlYiOiIwLjAuMDAwMCIsIlAiOiJXaW4zMiIsIkFOIjoiTWFpbCIsIldUIjoyfQ%3D%3D%7C0%7C%7C%7C&amp;sdata=paekaoOoHtDpc6WIQT8uNt5ewQIK8%2FE3%2B5JB2Jm%2B%2FXs%3D&amp;reserved=0" </w:instrText>
      </w:r>
      <w:r>
        <w:fldChar w:fldCharType="separate"/>
      </w:r>
      <w:r>
        <w:t>‘</w:t>
      </w:r>
      <w:r>
        <w:rPr>
          <w:color w:val="0000FF"/>
          <w:u w:val="single" w:color="0000FF"/>
        </w:rPr>
        <w:t>Every child achieving and</w:t>
      </w:r>
      <w:r>
        <w:fldChar w:fldCharType="end"/>
      </w:r>
      <w:r>
        <w:rPr>
          <w:color w:val="0000FF"/>
        </w:rPr>
        <w:t xml:space="preserve"> </w:t>
      </w:r>
      <w:r>
        <w:fldChar w:fldCharType="begin"/>
      </w:r>
      <w:r>
        <w:instrText xml:space="preserve"> HYPERLINK "https://eur03.safelinks.protection.outlook.com/?url=http%3A%2F%2Fwww.gov.uk%2Fgovernment%2Fpublications%2Fevery-child-achieving-and-thriving&amp;data=05%7C02%7CGeorgina.Connolly%40dhsc.gov.uk%7C8ead482b5d6d449e10fc08de964070fe%7C61278c3091a84c318c1fef4de8973a1c%7C1%7C0%7C639113400746296561%7CUnknown%7CTWFpbGZsb3d8eyJFbXB0eU1hcGkiOnRydWUsIlYiOiIwLjAuMDAwMCIsIlAiOiJXaW4zMiIsIkFOIjoiTWFpbCIsIldUIjoyfQ%3D%3D%7C0%7C%7C%7C&amp;sdata=paekaoOoHtDpc6WIQT8uNt5ewQIK8%2FE3%2B5JB2Jm%2B%2FXs%3D&amp;reserved=0" </w:instrText>
      </w:r>
      <w:r>
        <w:fldChar w:fldCharType="separate"/>
      </w:r>
      <w:r>
        <w:rPr>
          <w:color w:val="0000FF"/>
          <w:u w:val="single" w:color="0000FF"/>
        </w:rPr>
        <w:t>thriving</w:t>
      </w:r>
      <w:r>
        <w:t>’</w:t>
      </w:r>
      <w:r>
        <w:fldChar w:fldCharType="end"/>
      </w:r>
      <w:r>
        <w:t xml:space="preserve">. Alongside this, DfE launched a formal SEND consultation, </w:t>
      </w:r>
      <w:r>
        <w:rPr>
          <w:rFonts w:ascii="Arial" w:hAnsi="Arial"/>
          <w:i/>
        </w:rPr>
        <w:t>Putting Children and Young People First</w:t>
      </w:r>
      <w:r>
        <w:rPr>
          <w:rFonts w:ascii="Arial" w:hAnsi="Arial"/>
          <w:i/>
          <w:spacing w:val="-17"/>
        </w:rPr>
        <w:t xml:space="preserve"> </w:t>
      </w:r>
      <w:r>
        <w:fldChar w:fldCharType="begin"/>
      </w:r>
      <w:r>
        <w:instrText xml:space="preserve"> HYPERLINK \l "_bookmark19" </w:instrText>
      </w:r>
      <w:r>
        <w:fldChar w:fldCharType="separate"/>
      </w:r>
      <w:r>
        <w:rPr>
          <w:rFonts w:ascii="Arial" w:hAnsi="Arial"/>
          <w:i/>
          <w:position w:val="7"/>
          <w:sz w:val="16"/>
        </w:rPr>
        <w:t>20</w:t>
      </w:r>
      <w:r>
        <w:fldChar w:fldCharType="end"/>
      </w:r>
      <w:r>
        <w:rPr>
          <w:rFonts w:ascii="Arial" w:hAnsi="Arial"/>
          <w:i/>
          <w:spacing w:val="-11"/>
          <w:position w:val="7"/>
          <w:sz w:val="16"/>
        </w:rPr>
        <w:t xml:space="preserve"> </w:t>
      </w:r>
      <w:r>
        <w:t>, which runs until 18 May 2026. The proposals aim to improve consistency, strengthen accountability, and ensure that children and families receive the support set out in the statutory framework.</w:t>
      </w:r>
    </w:p>
    <w:p w:rsidR="00612801">
      <w:pPr>
        <w:pStyle w:val="BodyText"/>
        <w:spacing w:before="120"/>
        <w:ind w:right="140"/>
        <w:jc w:val="both"/>
      </w:pPr>
      <w:r>
        <w:t xml:space="preserve">Early investment in </w:t>
      </w:r>
      <w:r>
        <w:t>programmes</w:t>
      </w:r>
      <w:r>
        <w:t xml:space="preserve"> such as Experts at Hand (£1.8 billion over three years, from</w:t>
      </w:r>
      <w:r>
        <w:rPr>
          <w:spacing w:val="-6"/>
        </w:rPr>
        <w:t xml:space="preserve"> </w:t>
      </w:r>
      <w:r>
        <w:t>April</w:t>
      </w:r>
      <w:r>
        <w:rPr>
          <w:spacing w:val="-8"/>
        </w:rPr>
        <w:t xml:space="preserve"> </w:t>
      </w:r>
      <w:r>
        <w:t>2026)</w:t>
      </w:r>
      <w:r>
        <w:rPr>
          <w:spacing w:val="-8"/>
        </w:rPr>
        <w:t xml:space="preserve"> </w:t>
      </w:r>
      <w:r>
        <w:t>are</w:t>
      </w:r>
      <w:r>
        <w:rPr>
          <w:spacing w:val="-5"/>
        </w:rPr>
        <w:t xml:space="preserve"> </w:t>
      </w:r>
      <w:r>
        <w:t>supporting</w:t>
      </w:r>
      <w:r>
        <w:rPr>
          <w:spacing w:val="-5"/>
        </w:rPr>
        <w:t xml:space="preserve"> </w:t>
      </w:r>
      <w:r>
        <w:t>local</w:t>
      </w:r>
      <w:r>
        <w:rPr>
          <w:spacing w:val="-6"/>
        </w:rPr>
        <w:t xml:space="preserve"> </w:t>
      </w:r>
      <w:r>
        <w:t>systems</w:t>
      </w:r>
      <w:r>
        <w:rPr>
          <w:spacing w:val="-8"/>
        </w:rPr>
        <w:t xml:space="preserve"> </w:t>
      </w:r>
      <w:r>
        <w:t>to</w:t>
      </w:r>
      <w:r>
        <w:rPr>
          <w:spacing w:val="-4"/>
        </w:rPr>
        <w:t xml:space="preserve"> </w:t>
      </w:r>
      <w:r>
        <w:t>strengthen</w:t>
      </w:r>
      <w:r>
        <w:rPr>
          <w:spacing w:val="-7"/>
        </w:rPr>
        <w:t xml:space="preserve"> </w:t>
      </w:r>
      <w:r>
        <w:t>delivery</w:t>
      </w:r>
      <w:r>
        <w:rPr>
          <w:spacing w:val="-8"/>
        </w:rPr>
        <w:t xml:space="preserve"> </w:t>
      </w:r>
      <w:r>
        <w:t>by</w:t>
      </w:r>
      <w:r>
        <w:rPr>
          <w:spacing w:val="-5"/>
        </w:rPr>
        <w:t xml:space="preserve"> </w:t>
      </w:r>
      <w:r>
        <w:t>improving</w:t>
      </w:r>
      <w:r>
        <w:rPr>
          <w:spacing w:val="-7"/>
        </w:rPr>
        <w:t xml:space="preserve"> </w:t>
      </w:r>
      <w:r>
        <w:t>access</w:t>
      </w:r>
      <w:r>
        <w:rPr>
          <w:spacing w:val="-8"/>
        </w:rPr>
        <w:t xml:space="preserve"> </w:t>
      </w:r>
      <w:r>
        <w:t>to specialist</w:t>
      </w:r>
      <w:r>
        <w:rPr>
          <w:spacing w:val="-16"/>
        </w:rPr>
        <w:t xml:space="preserve"> </w:t>
      </w:r>
      <w:r>
        <w:t>expertise</w:t>
      </w:r>
      <w:r>
        <w:rPr>
          <w:spacing w:val="-15"/>
        </w:rPr>
        <w:t xml:space="preserve"> </w:t>
      </w:r>
      <w:r>
        <w:t>(including</w:t>
      </w:r>
      <w:r>
        <w:rPr>
          <w:spacing w:val="-15"/>
        </w:rPr>
        <w:t xml:space="preserve"> </w:t>
      </w:r>
      <w:r>
        <w:t>health</w:t>
      </w:r>
      <w:r>
        <w:rPr>
          <w:spacing w:val="-15"/>
        </w:rPr>
        <w:t xml:space="preserve"> </w:t>
      </w:r>
      <w:r>
        <w:t>professionals</w:t>
      </w:r>
      <w:r>
        <w:rPr>
          <w:spacing w:val="-16"/>
        </w:rPr>
        <w:t xml:space="preserve"> </w:t>
      </w:r>
      <w:r>
        <w:t>such</w:t>
      </w:r>
      <w:r>
        <w:rPr>
          <w:spacing w:val="-15"/>
        </w:rPr>
        <w:t xml:space="preserve"> </w:t>
      </w:r>
      <w:r>
        <w:t>as</w:t>
      </w:r>
      <w:r>
        <w:rPr>
          <w:spacing w:val="-16"/>
        </w:rPr>
        <w:t xml:space="preserve"> </w:t>
      </w:r>
      <w:r>
        <w:t>speech</w:t>
      </w:r>
      <w:r>
        <w:rPr>
          <w:spacing w:val="-17"/>
        </w:rPr>
        <w:t xml:space="preserve"> </w:t>
      </w:r>
      <w:r>
        <w:t>and</w:t>
      </w:r>
      <w:r>
        <w:rPr>
          <w:spacing w:val="-14"/>
        </w:rPr>
        <w:t xml:space="preserve"> </w:t>
      </w:r>
      <w:r>
        <w:t>language</w:t>
      </w:r>
      <w:r>
        <w:rPr>
          <w:spacing w:val="-15"/>
        </w:rPr>
        <w:t xml:space="preserve"> </w:t>
      </w:r>
      <w:r>
        <w:t>therapists, occupational therapy) and building capacity and capability within local area partnerships.</w:t>
      </w:r>
    </w:p>
    <w:p w:rsidR="00612801">
      <w:pPr>
        <w:pStyle w:val="BodyText"/>
        <w:spacing w:before="120"/>
        <w:ind w:right="141"/>
        <w:jc w:val="both"/>
      </w:pPr>
      <w:r>
        <w:t>The</w:t>
      </w:r>
      <w:r>
        <w:rPr>
          <w:spacing w:val="-13"/>
        </w:rPr>
        <w:t xml:space="preserve"> </w:t>
      </w:r>
      <w:r>
        <w:t>government</w:t>
      </w:r>
      <w:r>
        <w:rPr>
          <w:spacing w:val="-13"/>
        </w:rPr>
        <w:t xml:space="preserve"> </w:t>
      </w:r>
      <w:r>
        <w:t>is</w:t>
      </w:r>
      <w:r>
        <w:rPr>
          <w:spacing w:val="-14"/>
        </w:rPr>
        <w:t xml:space="preserve"> </w:t>
      </w:r>
      <w:r>
        <w:t>also</w:t>
      </w:r>
      <w:r>
        <w:rPr>
          <w:spacing w:val="-13"/>
        </w:rPr>
        <w:t xml:space="preserve"> </w:t>
      </w:r>
      <w:r>
        <w:t>investing</w:t>
      </w:r>
      <w:r>
        <w:rPr>
          <w:spacing w:val="-16"/>
        </w:rPr>
        <w:t xml:space="preserve"> </w:t>
      </w:r>
      <w:r>
        <w:t>over</w:t>
      </w:r>
      <w:r>
        <w:rPr>
          <w:spacing w:val="-15"/>
        </w:rPr>
        <w:t xml:space="preserve"> </w:t>
      </w:r>
      <w:r>
        <w:t>£200</w:t>
      </w:r>
      <w:r>
        <w:rPr>
          <w:spacing w:val="-16"/>
        </w:rPr>
        <w:t xml:space="preserve"> </w:t>
      </w:r>
      <w:r>
        <w:t>million</w:t>
      </w:r>
      <w:r>
        <w:rPr>
          <w:spacing w:val="-13"/>
        </w:rPr>
        <w:t xml:space="preserve"> </w:t>
      </w:r>
      <w:r>
        <w:t>over</w:t>
      </w:r>
      <w:r>
        <w:rPr>
          <w:spacing w:val="-15"/>
        </w:rPr>
        <w:t xml:space="preserve"> </w:t>
      </w:r>
      <w:r>
        <w:t>three</w:t>
      </w:r>
      <w:r>
        <w:rPr>
          <w:spacing w:val="-13"/>
        </w:rPr>
        <w:t xml:space="preserve"> </w:t>
      </w:r>
      <w:r>
        <w:t>years</w:t>
      </w:r>
      <w:r>
        <w:rPr>
          <w:spacing w:val="-17"/>
        </w:rPr>
        <w:t xml:space="preserve"> </w:t>
      </w:r>
      <w:r>
        <w:t>to</w:t>
      </w:r>
      <w:r>
        <w:rPr>
          <w:spacing w:val="-12"/>
        </w:rPr>
        <w:t xml:space="preserve"> </w:t>
      </w:r>
      <w:r>
        <w:t>strengthen</w:t>
      </w:r>
      <w:r>
        <w:rPr>
          <w:spacing w:val="-13"/>
        </w:rPr>
        <w:t xml:space="preserve"> </w:t>
      </w:r>
      <w:r>
        <w:t>the</w:t>
      </w:r>
      <w:r>
        <w:rPr>
          <w:spacing w:val="-13"/>
        </w:rPr>
        <w:t xml:space="preserve"> </w:t>
      </w:r>
      <w:r>
        <w:t>SEND offer</w:t>
      </w:r>
      <w:r>
        <w:rPr>
          <w:spacing w:val="-8"/>
        </w:rPr>
        <w:t xml:space="preserve"> </w:t>
      </w:r>
      <w:r>
        <w:t>in</w:t>
      </w:r>
      <w:r>
        <w:rPr>
          <w:spacing w:val="-7"/>
        </w:rPr>
        <w:t xml:space="preserve"> </w:t>
      </w:r>
      <w:r>
        <w:t>Best</w:t>
      </w:r>
      <w:r>
        <w:rPr>
          <w:spacing w:val="-7"/>
        </w:rPr>
        <w:t xml:space="preserve"> </w:t>
      </w:r>
      <w:r>
        <w:t>Start</w:t>
      </w:r>
      <w:r>
        <w:rPr>
          <w:spacing w:val="-8"/>
        </w:rPr>
        <w:t xml:space="preserve"> </w:t>
      </w:r>
      <w:r>
        <w:t>Family</w:t>
      </w:r>
      <w:r>
        <w:rPr>
          <w:spacing w:val="-8"/>
        </w:rPr>
        <w:t xml:space="preserve"> </w:t>
      </w:r>
      <w:r>
        <w:t>Hubs,</w:t>
      </w:r>
      <w:r>
        <w:rPr>
          <w:spacing w:val="-7"/>
        </w:rPr>
        <w:t xml:space="preserve"> </w:t>
      </w:r>
      <w:r>
        <w:t>including</w:t>
      </w:r>
      <w:r>
        <w:rPr>
          <w:spacing w:val="-7"/>
        </w:rPr>
        <w:t xml:space="preserve"> </w:t>
      </w:r>
      <w:r>
        <w:t>funding</w:t>
      </w:r>
      <w:r>
        <w:rPr>
          <w:spacing w:val="-7"/>
        </w:rPr>
        <w:t xml:space="preserve"> </w:t>
      </w:r>
      <w:r>
        <w:t>a</w:t>
      </w:r>
      <w:r>
        <w:rPr>
          <w:spacing w:val="-7"/>
        </w:rPr>
        <w:t xml:space="preserve"> </w:t>
      </w:r>
      <w:r>
        <w:t>family-facing</w:t>
      </w:r>
      <w:r>
        <w:rPr>
          <w:spacing w:val="-7"/>
        </w:rPr>
        <w:t xml:space="preserve"> </w:t>
      </w:r>
      <w:r>
        <w:t>practitioner</w:t>
      </w:r>
      <w:r>
        <w:rPr>
          <w:spacing w:val="-8"/>
        </w:rPr>
        <w:t xml:space="preserve"> </w:t>
      </w:r>
      <w:r>
        <w:t>in</w:t>
      </w:r>
      <w:r>
        <w:rPr>
          <w:spacing w:val="-7"/>
        </w:rPr>
        <w:t xml:space="preserve"> </w:t>
      </w:r>
      <w:r>
        <w:t>every</w:t>
      </w:r>
      <w:r>
        <w:rPr>
          <w:spacing w:val="-8"/>
        </w:rPr>
        <w:t xml:space="preserve"> </w:t>
      </w:r>
      <w:r>
        <w:t>hub</w:t>
      </w:r>
      <w:r>
        <w:rPr>
          <w:spacing w:val="-7"/>
        </w:rPr>
        <w:t xml:space="preserve"> </w:t>
      </w:r>
      <w:r>
        <w:t>to support children with additional needs and families from the earliest stages.</w:t>
      </w:r>
    </w:p>
    <w:p w:rsidR="00612801">
      <w:pPr>
        <w:pStyle w:val="BodyText"/>
        <w:spacing w:before="240"/>
        <w:ind w:left="0"/>
      </w:pPr>
    </w:p>
    <w:p w:rsidR="00612801">
      <w:pPr>
        <w:pStyle w:val="Heading1"/>
        <w:ind w:right="150"/>
        <w:jc w:val="both"/>
      </w:pPr>
      <w:r>
        <w:rPr>
          <w:u w:val="single"/>
        </w:rPr>
        <w:t>Focus area 3 and 6: Meaningful involvement of children, young people and their</w:t>
      </w:r>
      <w:r>
        <w:t xml:space="preserve"> </w:t>
      </w:r>
      <w:r>
        <w:rPr>
          <w:u w:val="single"/>
        </w:rPr>
        <w:t>carers</w:t>
      </w:r>
      <w:r>
        <w:rPr>
          <w:u w:val="single"/>
        </w:rPr>
        <w:t>, and promoting equity</w:t>
      </w:r>
    </w:p>
    <w:p w:rsidR="00612801">
      <w:pPr>
        <w:pStyle w:val="BodyText"/>
        <w:spacing w:before="120"/>
        <w:ind w:right="143"/>
        <w:jc w:val="both"/>
      </w:pPr>
      <w:r>
        <w:t>Equality</w:t>
      </w:r>
      <w:r>
        <w:rPr>
          <w:spacing w:val="-7"/>
        </w:rPr>
        <w:t xml:space="preserve"> </w:t>
      </w:r>
      <w:r>
        <w:t>duties</w:t>
      </w:r>
      <w:r>
        <w:rPr>
          <w:spacing w:val="-5"/>
        </w:rPr>
        <w:t xml:space="preserve"> </w:t>
      </w:r>
      <w:r>
        <w:t>apply</w:t>
      </w:r>
      <w:r>
        <w:rPr>
          <w:spacing w:val="-8"/>
        </w:rPr>
        <w:t xml:space="preserve"> </w:t>
      </w:r>
      <w:r>
        <w:t>across</w:t>
      </w:r>
      <w:r>
        <w:rPr>
          <w:spacing w:val="-5"/>
        </w:rPr>
        <w:t xml:space="preserve"> </w:t>
      </w:r>
      <w:r>
        <w:t>health</w:t>
      </w:r>
      <w:r>
        <w:rPr>
          <w:spacing w:val="-7"/>
        </w:rPr>
        <w:t xml:space="preserve"> </w:t>
      </w:r>
      <w:r>
        <w:t>and</w:t>
      </w:r>
      <w:r>
        <w:rPr>
          <w:spacing w:val="-7"/>
        </w:rPr>
        <w:t xml:space="preserve"> </w:t>
      </w:r>
      <w:r>
        <w:t>social</w:t>
      </w:r>
      <w:r>
        <w:rPr>
          <w:spacing w:val="-8"/>
        </w:rPr>
        <w:t xml:space="preserve"> </w:t>
      </w:r>
      <w:r>
        <w:t>care</w:t>
      </w:r>
      <w:r>
        <w:rPr>
          <w:spacing w:val="-5"/>
        </w:rPr>
        <w:t xml:space="preserve"> </w:t>
      </w:r>
      <w:r>
        <w:t>through</w:t>
      </w:r>
      <w:r>
        <w:rPr>
          <w:spacing w:val="-5"/>
        </w:rPr>
        <w:t xml:space="preserve"> </w:t>
      </w:r>
      <w:r>
        <w:t>the</w:t>
      </w:r>
      <w:r>
        <w:rPr>
          <w:spacing w:val="-7"/>
        </w:rPr>
        <w:t xml:space="preserve"> </w:t>
      </w:r>
      <w:r>
        <w:t>Equality</w:t>
      </w:r>
      <w:r>
        <w:rPr>
          <w:spacing w:val="-5"/>
        </w:rPr>
        <w:t xml:space="preserve"> </w:t>
      </w:r>
      <w:r>
        <w:t>Act</w:t>
      </w:r>
      <w:r>
        <w:rPr>
          <w:spacing w:val="-5"/>
        </w:rPr>
        <w:t xml:space="preserve"> </w:t>
      </w:r>
      <w:r>
        <w:t>2010,</w:t>
      </w:r>
      <w:r>
        <w:rPr>
          <w:spacing w:val="-5"/>
        </w:rPr>
        <w:t xml:space="preserve"> </w:t>
      </w:r>
      <w:r>
        <w:t>including the</w:t>
      </w:r>
      <w:r>
        <w:rPr>
          <w:spacing w:val="-14"/>
        </w:rPr>
        <w:t xml:space="preserve"> </w:t>
      </w:r>
      <w:r>
        <w:t>Public</w:t>
      </w:r>
      <w:r>
        <w:rPr>
          <w:spacing w:val="-15"/>
        </w:rPr>
        <w:t xml:space="preserve"> </w:t>
      </w:r>
      <w:r>
        <w:t>Sector</w:t>
      </w:r>
      <w:r>
        <w:rPr>
          <w:spacing w:val="-16"/>
        </w:rPr>
        <w:t xml:space="preserve"> </w:t>
      </w:r>
      <w:r>
        <w:t>Equality</w:t>
      </w:r>
      <w:r>
        <w:rPr>
          <w:spacing w:val="-14"/>
        </w:rPr>
        <w:t xml:space="preserve"> </w:t>
      </w:r>
      <w:r>
        <w:t>Duty</w:t>
      </w:r>
      <w:r>
        <w:rPr>
          <w:spacing w:val="-15"/>
        </w:rPr>
        <w:t xml:space="preserve"> </w:t>
      </w:r>
      <w:r>
        <w:t>(PSED)</w:t>
      </w:r>
      <w:r>
        <w:fldChar w:fldCharType="begin"/>
      </w:r>
      <w:r>
        <w:instrText xml:space="preserve"> HYPERLINK \l "_bookmark20" </w:instrText>
      </w:r>
      <w:r>
        <w:fldChar w:fldCharType="separate"/>
      </w:r>
      <w:r>
        <w:rPr>
          <w:position w:val="8"/>
          <w:sz w:val="16"/>
        </w:rPr>
        <w:t>21</w:t>
      </w:r>
      <w:r>
        <w:fldChar w:fldCharType="end"/>
      </w:r>
      <w:r>
        <w:t>,</w:t>
      </w:r>
      <w:r>
        <w:rPr>
          <w:spacing w:val="-14"/>
        </w:rPr>
        <w:t xml:space="preserve"> </w:t>
      </w:r>
      <w:r>
        <w:t>which</w:t>
      </w:r>
      <w:r>
        <w:rPr>
          <w:spacing w:val="-14"/>
        </w:rPr>
        <w:t xml:space="preserve"> </w:t>
      </w:r>
      <w:r>
        <w:t>requires</w:t>
      </w:r>
      <w:r>
        <w:rPr>
          <w:spacing w:val="-15"/>
        </w:rPr>
        <w:t xml:space="preserve"> </w:t>
      </w:r>
      <w:r>
        <w:t>public</w:t>
      </w:r>
      <w:r>
        <w:rPr>
          <w:spacing w:val="-15"/>
        </w:rPr>
        <w:t xml:space="preserve"> </w:t>
      </w:r>
      <w:r>
        <w:t>bodies</w:t>
      </w:r>
      <w:r>
        <w:rPr>
          <w:spacing w:val="-17"/>
        </w:rPr>
        <w:t xml:space="preserve"> </w:t>
      </w:r>
      <w:r>
        <w:t>and</w:t>
      </w:r>
      <w:r>
        <w:rPr>
          <w:spacing w:val="-13"/>
        </w:rPr>
        <w:t xml:space="preserve"> </w:t>
      </w:r>
      <w:r>
        <w:t>those</w:t>
      </w:r>
      <w:r>
        <w:rPr>
          <w:spacing w:val="-14"/>
        </w:rPr>
        <w:t xml:space="preserve"> </w:t>
      </w:r>
      <w:r>
        <w:t>exercising public</w:t>
      </w:r>
      <w:r>
        <w:rPr>
          <w:spacing w:val="-13"/>
        </w:rPr>
        <w:t xml:space="preserve"> </w:t>
      </w:r>
      <w:r>
        <w:t>functions</w:t>
      </w:r>
      <w:r>
        <w:rPr>
          <w:spacing w:val="-13"/>
        </w:rPr>
        <w:t xml:space="preserve"> </w:t>
      </w:r>
      <w:r>
        <w:t>to</w:t>
      </w:r>
      <w:r>
        <w:rPr>
          <w:spacing w:val="-12"/>
        </w:rPr>
        <w:t xml:space="preserve"> </w:t>
      </w:r>
      <w:r>
        <w:t>have</w:t>
      </w:r>
      <w:r>
        <w:rPr>
          <w:spacing w:val="-12"/>
        </w:rPr>
        <w:t xml:space="preserve"> </w:t>
      </w:r>
      <w:r>
        <w:t>due</w:t>
      </w:r>
      <w:r>
        <w:rPr>
          <w:spacing w:val="-12"/>
        </w:rPr>
        <w:t xml:space="preserve"> </w:t>
      </w:r>
      <w:r>
        <w:t>regard</w:t>
      </w:r>
      <w:r>
        <w:rPr>
          <w:spacing w:val="-15"/>
        </w:rPr>
        <w:t xml:space="preserve"> </w:t>
      </w:r>
      <w:r>
        <w:t>to</w:t>
      </w:r>
      <w:r>
        <w:rPr>
          <w:spacing w:val="-14"/>
        </w:rPr>
        <w:t xml:space="preserve"> </w:t>
      </w:r>
      <w:r>
        <w:t>the</w:t>
      </w:r>
      <w:r>
        <w:rPr>
          <w:spacing w:val="-14"/>
        </w:rPr>
        <w:t xml:space="preserve"> </w:t>
      </w:r>
      <w:r>
        <w:t>need</w:t>
      </w:r>
      <w:r>
        <w:rPr>
          <w:spacing w:val="-12"/>
        </w:rPr>
        <w:t xml:space="preserve"> </w:t>
      </w:r>
      <w:r>
        <w:t>to</w:t>
      </w:r>
      <w:r>
        <w:rPr>
          <w:spacing w:val="-14"/>
        </w:rPr>
        <w:t xml:space="preserve"> </w:t>
      </w:r>
      <w:r>
        <w:t>eliminate</w:t>
      </w:r>
      <w:r>
        <w:rPr>
          <w:spacing w:val="-14"/>
        </w:rPr>
        <w:t xml:space="preserve"> </w:t>
      </w:r>
      <w:r>
        <w:t>discrimination,</w:t>
      </w:r>
      <w:r>
        <w:rPr>
          <w:spacing w:val="-14"/>
        </w:rPr>
        <w:t xml:space="preserve"> </w:t>
      </w:r>
      <w:r>
        <w:t>advance</w:t>
      </w:r>
      <w:r>
        <w:rPr>
          <w:spacing w:val="-12"/>
        </w:rPr>
        <w:t xml:space="preserve"> </w:t>
      </w:r>
      <w:r>
        <w:t xml:space="preserve">equality of opportunity and foster good relations between people with and without protected </w:t>
      </w:r>
      <w:r>
        <w:rPr>
          <w:spacing w:val="-2"/>
        </w:rPr>
        <w:t>characteristics.</w:t>
      </w:r>
    </w:p>
    <w:p w:rsidR="00612801">
      <w:pPr>
        <w:pStyle w:val="BodyText"/>
        <w:spacing w:before="116"/>
        <w:ind w:right="149"/>
        <w:jc w:val="both"/>
      </w:pPr>
      <w:r>
        <w:t xml:space="preserve">Data collection allows </w:t>
      </w:r>
      <w:r>
        <w:t>organisations</w:t>
      </w:r>
      <w:r>
        <w:t xml:space="preserve"> to identify gaps in service provision and patterns of inequality,</w:t>
      </w:r>
      <w:r>
        <w:rPr>
          <w:spacing w:val="-1"/>
        </w:rPr>
        <w:t xml:space="preserve"> </w:t>
      </w:r>
      <w:r>
        <w:t>which</w:t>
      </w:r>
      <w:r>
        <w:rPr>
          <w:spacing w:val="-1"/>
        </w:rPr>
        <w:t xml:space="preserve"> </w:t>
      </w:r>
      <w:r>
        <w:t>is</w:t>
      </w:r>
      <w:r>
        <w:rPr>
          <w:spacing w:val="-2"/>
        </w:rPr>
        <w:t xml:space="preserve"> </w:t>
      </w:r>
      <w:r>
        <w:t>essential</w:t>
      </w:r>
      <w:r>
        <w:rPr>
          <w:spacing w:val="-2"/>
        </w:rPr>
        <w:t xml:space="preserve"> </w:t>
      </w:r>
      <w:r>
        <w:t>for</w:t>
      </w:r>
      <w:r>
        <w:rPr>
          <w:spacing w:val="-2"/>
        </w:rPr>
        <w:t xml:space="preserve"> </w:t>
      </w:r>
      <w:r>
        <w:t>ensuring</w:t>
      </w:r>
      <w:r>
        <w:rPr>
          <w:spacing w:val="-1"/>
        </w:rPr>
        <w:t xml:space="preserve"> </w:t>
      </w:r>
      <w:r>
        <w:t>inclusive</w:t>
      </w:r>
      <w:r>
        <w:rPr>
          <w:spacing w:val="-1"/>
        </w:rPr>
        <w:t xml:space="preserve"> </w:t>
      </w:r>
      <w:r>
        <w:t>practices.</w:t>
      </w:r>
      <w:r>
        <w:rPr>
          <w:spacing w:val="-1"/>
        </w:rPr>
        <w:t xml:space="preserve"> </w:t>
      </w:r>
      <w:r>
        <w:t>For</w:t>
      </w:r>
      <w:r>
        <w:rPr>
          <w:spacing w:val="-2"/>
        </w:rPr>
        <w:t xml:space="preserve"> </w:t>
      </w:r>
      <w:r>
        <w:t>individuals</w:t>
      </w:r>
      <w:r>
        <w:rPr>
          <w:spacing w:val="-2"/>
        </w:rPr>
        <w:t xml:space="preserve"> </w:t>
      </w:r>
      <w:r>
        <w:t>with</w:t>
      </w:r>
      <w:r>
        <w:rPr>
          <w:spacing w:val="-1"/>
        </w:rPr>
        <w:t xml:space="preserve"> </w:t>
      </w:r>
      <w:r>
        <w:t>protected</w:t>
      </w:r>
    </w:p>
    <w:p w:rsidR="00612801">
      <w:pPr>
        <w:pStyle w:val="BodyText"/>
        <w:spacing w:before="10"/>
        <w:ind w:left="0"/>
        <w:rPr>
          <w:sz w:val="16"/>
        </w:rPr>
      </w:pPr>
      <w:r>
        <w:rPr>
          <w:noProof/>
          <w:sz w:val="16"/>
        </w:rPr>
        <mc:AlternateContent>
          <mc:Choice Requires="wps">
            <w:drawing>
              <wp:anchor distT="0" distB="0" distL="0" distR="0" simplePos="0" relativeHeight="251667456" behindDoc="1" locked="0" layoutInCell="1" allowOverlap="1">
                <wp:simplePos x="0" y="0"/>
                <wp:positionH relativeFrom="page">
                  <wp:posOffset>719327</wp:posOffset>
                </wp:positionH>
                <wp:positionV relativeFrom="paragraph">
                  <wp:posOffset>138713</wp:posOffset>
                </wp:positionV>
                <wp:extent cx="1829435" cy="9525"/>
                <wp:effectExtent l="0" t="0" r="0" b="0"/>
                <wp:wrapTopAndBottom/>
                <wp:docPr id="7" name="Graphic 7"/>
                <wp:cNvGraphicFramePr/>
                <a:graphic xmlns:a="http://schemas.openxmlformats.org/drawingml/2006/main">
                  <a:graphicData uri="http://schemas.microsoft.com/office/word/2010/wordprocessingShape">
                    <wps:wsp xmlns:wps="http://schemas.microsoft.com/office/word/2010/wordprocessingShape">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7" o:spid="_x0000_s1029" style="height:0.75pt;margin-left:56.65pt;margin-top:10.9pt;mso-position-horizontal-relative:page;mso-wrap-distance-bottom:0;mso-wrap-distance-left:0;mso-wrap-distance-right:0;mso-wrap-distance-top:0;mso-wrap-style:square;position:absolute;v-text-anchor:top;visibility:visible;width:144.05pt;z-index:-251648000" coordsize="1829435,9525" path="m1829435,l,,,9144l1829435,9144l1829435,xe" fillcolor="black" stroked="f">
                <v:path arrowok="t"/>
                <w10:wrap type="topAndBottom"/>
              </v:shape>
            </w:pict>
          </mc:Fallback>
        </mc:AlternateContent>
      </w:r>
    </w:p>
    <w:p w:rsidR="00612801">
      <w:pPr>
        <w:spacing w:before="100"/>
        <w:ind w:left="140"/>
        <w:rPr>
          <w:sz w:val="20"/>
        </w:rPr>
      </w:pPr>
      <w:bookmarkStart w:id="19" w:name="_bookmark19"/>
      <w:bookmarkEnd w:id="19"/>
      <w:r>
        <w:rPr>
          <w:position w:val="6"/>
          <w:sz w:val="13"/>
        </w:rPr>
        <w:t>20</w:t>
      </w:r>
      <w:r>
        <w:rPr>
          <w:spacing w:val="13"/>
          <w:position w:val="6"/>
          <w:sz w:val="13"/>
        </w:rPr>
        <w:t xml:space="preserve"> </w:t>
      </w:r>
      <w:r>
        <w:fldChar w:fldCharType="begin"/>
      </w:r>
      <w:r>
        <w:instrText xml:space="preserve"> HYPERLINK "https://www.gov.uk/government/consultations/send-reform-putting-children-and-young-people-first" </w:instrText>
      </w:r>
      <w:r>
        <w:fldChar w:fldCharType="separate"/>
      </w:r>
      <w:r>
        <w:rPr>
          <w:color w:val="0462C1"/>
          <w:sz w:val="20"/>
          <w:u w:val="single" w:color="0462C1"/>
        </w:rPr>
        <w:t>SEND</w:t>
      </w:r>
      <w:r>
        <w:rPr>
          <w:color w:val="0462C1"/>
          <w:spacing w:val="-6"/>
          <w:sz w:val="20"/>
          <w:u w:val="single" w:color="0462C1"/>
        </w:rPr>
        <w:t xml:space="preserve"> </w:t>
      </w:r>
      <w:r>
        <w:rPr>
          <w:color w:val="0462C1"/>
          <w:sz w:val="20"/>
          <w:u w:val="single" w:color="0462C1"/>
        </w:rPr>
        <w:t>reform:</w:t>
      </w:r>
      <w:r>
        <w:rPr>
          <w:color w:val="0462C1"/>
          <w:spacing w:val="-6"/>
          <w:sz w:val="20"/>
          <w:u w:val="single" w:color="0462C1"/>
        </w:rPr>
        <w:t xml:space="preserve"> </w:t>
      </w:r>
      <w:r>
        <w:rPr>
          <w:color w:val="0462C1"/>
          <w:sz w:val="20"/>
          <w:u w:val="single" w:color="0462C1"/>
        </w:rPr>
        <w:t>putting</w:t>
      </w:r>
      <w:r>
        <w:rPr>
          <w:color w:val="0462C1"/>
          <w:spacing w:val="-7"/>
          <w:sz w:val="20"/>
          <w:u w:val="single" w:color="0462C1"/>
        </w:rPr>
        <w:t xml:space="preserve"> </w:t>
      </w:r>
      <w:r>
        <w:rPr>
          <w:color w:val="0462C1"/>
          <w:sz w:val="20"/>
          <w:u w:val="single" w:color="0462C1"/>
        </w:rPr>
        <w:t>children</w:t>
      </w:r>
      <w:r>
        <w:rPr>
          <w:color w:val="0462C1"/>
          <w:spacing w:val="-8"/>
          <w:sz w:val="20"/>
          <w:u w:val="single" w:color="0462C1"/>
        </w:rPr>
        <w:t xml:space="preserve"> </w:t>
      </w:r>
      <w:r>
        <w:rPr>
          <w:color w:val="0462C1"/>
          <w:sz w:val="20"/>
          <w:u w:val="single" w:color="0462C1"/>
        </w:rPr>
        <w:t>and</w:t>
      </w:r>
      <w:r>
        <w:rPr>
          <w:color w:val="0462C1"/>
          <w:spacing w:val="-6"/>
          <w:sz w:val="20"/>
          <w:u w:val="single" w:color="0462C1"/>
        </w:rPr>
        <w:t xml:space="preserve"> </w:t>
      </w:r>
      <w:r>
        <w:rPr>
          <w:color w:val="0462C1"/>
          <w:sz w:val="20"/>
          <w:u w:val="single" w:color="0462C1"/>
        </w:rPr>
        <w:t>young</w:t>
      </w:r>
      <w:r>
        <w:rPr>
          <w:color w:val="0462C1"/>
          <w:spacing w:val="-7"/>
          <w:sz w:val="20"/>
          <w:u w:val="single" w:color="0462C1"/>
        </w:rPr>
        <w:t xml:space="preserve"> </w:t>
      </w:r>
      <w:r>
        <w:rPr>
          <w:color w:val="0462C1"/>
          <w:sz w:val="20"/>
          <w:u w:val="single" w:color="0462C1"/>
        </w:rPr>
        <w:t>people</w:t>
      </w:r>
      <w:r>
        <w:rPr>
          <w:color w:val="0462C1"/>
          <w:spacing w:val="-4"/>
          <w:sz w:val="20"/>
          <w:u w:val="single" w:color="0462C1"/>
        </w:rPr>
        <w:t xml:space="preserve"> </w:t>
      </w:r>
      <w:r>
        <w:rPr>
          <w:color w:val="0462C1"/>
          <w:sz w:val="20"/>
          <w:u w:val="single" w:color="0462C1"/>
        </w:rPr>
        <w:t>first</w:t>
      </w:r>
      <w:r>
        <w:rPr>
          <w:color w:val="0462C1"/>
          <w:spacing w:val="-2"/>
          <w:sz w:val="20"/>
          <w:u w:val="single" w:color="0462C1"/>
        </w:rPr>
        <w:t xml:space="preserve"> </w:t>
      </w:r>
      <w:r>
        <w:rPr>
          <w:color w:val="0462C1"/>
          <w:sz w:val="20"/>
          <w:u w:val="single" w:color="0462C1"/>
        </w:rPr>
        <w:t>-</w:t>
      </w:r>
      <w:r>
        <w:rPr>
          <w:color w:val="0462C1"/>
          <w:spacing w:val="-4"/>
          <w:sz w:val="20"/>
          <w:u w:val="single" w:color="0462C1"/>
        </w:rPr>
        <w:t xml:space="preserve"> </w:t>
      </w:r>
      <w:r>
        <w:rPr>
          <w:color w:val="0462C1"/>
          <w:spacing w:val="-2"/>
          <w:sz w:val="20"/>
          <w:u w:val="single" w:color="0462C1"/>
        </w:rPr>
        <w:t>GOV.UK</w:t>
      </w:r>
      <w:r>
        <w:fldChar w:fldCharType="end"/>
      </w:r>
    </w:p>
    <w:p w:rsidR="00612801">
      <w:pPr>
        <w:ind w:left="140"/>
        <w:rPr>
          <w:sz w:val="20"/>
        </w:rPr>
      </w:pPr>
      <w:bookmarkStart w:id="20" w:name="_bookmark20"/>
      <w:bookmarkEnd w:id="20"/>
      <w:r>
        <w:rPr>
          <w:position w:val="6"/>
          <w:sz w:val="13"/>
        </w:rPr>
        <w:t>21</w:t>
      </w:r>
      <w:r>
        <w:rPr>
          <w:spacing w:val="13"/>
          <w:position w:val="6"/>
          <w:sz w:val="13"/>
        </w:rPr>
        <w:t xml:space="preserve"> </w:t>
      </w:r>
      <w:r>
        <w:fldChar w:fldCharType="begin"/>
      </w:r>
      <w:r>
        <w:instrText xml:space="preserve"> HYPERLINK "https://www.legislation.gov.uk/ukpga/2010/15/section/149" </w:instrText>
      </w:r>
      <w:r>
        <w:fldChar w:fldCharType="separate"/>
      </w:r>
      <w:r>
        <w:rPr>
          <w:color w:val="0462C1"/>
          <w:sz w:val="20"/>
          <w:u w:val="single" w:color="0462C1"/>
        </w:rPr>
        <w:t>Equality</w:t>
      </w:r>
      <w:r>
        <w:rPr>
          <w:color w:val="0462C1"/>
          <w:spacing w:val="-5"/>
          <w:sz w:val="20"/>
          <w:u w:val="single" w:color="0462C1"/>
        </w:rPr>
        <w:t xml:space="preserve"> </w:t>
      </w:r>
      <w:r>
        <w:rPr>
          <w:color w:val="0462C1"/>
          <w:sz w:val="20"/>
          <w:u w:val="single" w:color="0462C1"/>
        </w:rPr>
        <w:t>Act</w:t>
      </w:r>
      <w:r>
        <w:rPr>
          <w:color w:val="0462C1"/>
          <w:spacing w:val="-5"/>
          <w:sz w:val="20"/>
          <w:u w:val="single" w:color="0462C1"/>
        </w:rPr>
        <w:t xml:space="preserve"> </w:t>
      </w:r>
      <w:r>
        <w:rPr>
          <w:color w:val="0462C1"/>
          <w:spacing w:val="-4"/>
          <w:sz w:val="20"/>
          <w:u w:val="single" w:color="0462C1"/>
        </w:rPr>
        <w:t>2010</w:t>
      </w:r>
      <w:r>
        <w:fldChar w:fldCharType="end"/>
      </w:r>
    </w:p>
    <w:p w:rsidR="00612801">
      <w:pPr>
        <w:rPr>
          <w:sz w:val="20"/>
        </w:rPr>
        <w:sectPr>
          <w:pgSz w:w="11910" w:h="16840"/>
          <w:pgMar w:top="1300" w:right="992" w:bottom="280" w:left="992" w:header="720" w:footer="720" w:gutter="0"/>
          <w:cols w:space="720"/>
        </w:sectPr>
      </w:pPr>
    </w:p>
    <w:p w:rsidR="00612801">
      <w:pPr>
        <w:pStyle w:val="BodyText"/>
        <w:spacing w:before="76"/>
        <w:ind w:right="142"/>
        <w:jc w:val="both"/>
      </w:pPr>
      <w:r>
        <w:t>characteristics, such as disability, ethnicity, or gender identity, accurate data helps safeguard people’s rights and avoid discriminatory practices. While progress has been made, the effectiveness of tailored care provision can vary between regions and service providers. Continuous monitoring and improvement, guided by comprehensive data, are vital for achieving greater continuity of care, enhanced independence, and improved wellbeing for those with additional needs.</w:t>
      </w:r>
    </w:p>
    <w:p w:rsidR="00612801">
      <w:pPr>
        <w:pStyle w:val="BodyText"/>
        <w:spacing w:before="116"/>
        <w:ind w:right="145"/>
        <w:jc w:val="both"/>
      </w:pPr>
      <w:r>
        <w:t>NHSE’s recently published national guidance</w:t>
      </w:r>
      <w:r>
        <w:fldChar w:fldCharType="begin"/>
      </w:r>
      <w:r>
        <w:instrText xml:space="preserve"> HYPERLINK \l "_bookmark21" </w:instrText>
      </w:r>
      <w:r>
        <w:fldChar w:fldCharType="separate"/>
      </w:r>
      <w:r>
        <w:rPr>
          <w:position w:val="8"/>
          <w:sz w:val="16"/>
        </w:rPr>
        <w:t>22</w:t>
      </w:r>
      <w:r>
        <w:fldChar w:fldCharType="end"/>
      </w:r>
      <w:r>
        <w:rPr>
          <w:position w:val="8"/>
          <w:sz w:val="16"/>
        </w:rPr>
        <w:t xml:space="preserve"> </w:t>
      </w:r>
      <w:r>
        <w:t>applies to all children and young people transitioning to adult health services, including those who are underserved, vulnerable or have additional</w:t>
      </w:r>
      <w:r>
        <w:rPr>
          <w:spacing w:val="-1"/>
        </w:rPr>
        <w:t xml:space="preserve"> </w:t>
      </w:r>
      <w:r>
        <w:t>or complex needs. Clinical insight indicates</w:t>
      </w:r>
      <w:r>
        <w:rPr>
          <w:spacing w:val="-1"/>
        </w:rPr>
        <w:t xml:space="preserve"> </w:t>
      </w:r>
      <w:r>
        <w:t>that these groups</w:t>
      </w:r>
      <w:r>
        <w:rPr>
          <w:spacing w:val="-1"/>
        </w:rPr>
        <w:t xml:space="preserve"> </w:t>
      </w:r>
      <w:r>
        <w:t>often require additional</w:t>
      </w:r>
      <w:r>
        <w:rPr>
          <w:spacing w:val="-14"/>
        </w:rPr>
        <w:t xml:space="preserve"> </w:t>
      </w:r>
      <w:r>
        <w:t>support,</w:t>
      </w:r>
      <w:r>
        <w:rPr>
          <w:spacing w:val="-16"/>
        </w:rPr>
        <w:t xml:space="preserve"> </w:t>
      </w:r>
      <w:r>
        <w:t>reinforcing</w:t>
      </w:r>
      <w:r>
        <w:rPr>
          <w:spacing w:val="-15"/>
        </w:rPr>
        <w:t xml:space="preserve"> </w:t>
      </w:r>
      <w:r>
        <w:t>the</w:t>
      </w:r>
      <w:r>
        <w:rPr>
          <w:spacing w:val="-15"/>
        </w:rPr>
        <w:t xml:space="preserve"> </w:t>
      </w:r>
      <w:r>
        <w:t>need</w:t>
      </w:r>
      <w:r>
        <w:rPr>
          <w:spacing w:val="-15"/>
        </w:rPr>
        <w:t xml:space="preserve"> </w:t>
      </w:r>
      <w:r>
        <w:t>for</w:t>
      </w:r>
      <w:r>
        <w:rPr>
          <w:spacing w:val="-14"/>
        </w:rPr>
        <w:t xml:space="preserve"> </w:t>
      </w:r>
      <w:r>
        <w:t>sustained</w:t>
      </w:r>
      <w:r>
        <w:rPr>
          <w:spacing w:val="-13"/>
        </w:rPr>
        <w:t xml:space="preserve"> </w:t>
      </w:r>
      <w:r>
        <w:t>transition</w:t>
      </w:r>
      <w:r>
        <w:rPr>
          <w:spacing w:val="-15"/>
        </w:rPr>
        <w:t xml:space="preserve"> </w:t>
      </w:r>
      <w:r>
        <w:t>planning</w:t>
      </w:r>
      <w:r>
        <w:rPr>
          <w:spacing w:val="-12"/>
        </w:rPr>
        <w:t xml:space="preserve"> </w:t>
      </w:r>
      <w:r>
        <w:t>to</w:t>
      </w:r>
      <w:r>
        <w:rPr>
          <w:spacing w:val="-15"/>
        </w:rPr>
        <w:t xml:space="preserve"> </w:t>
      </w:r>
      <w:r>
        <w:t>ensure</w:t>
      </w:r>
      <w:r>
        <w:rPr>
          <w:spacing w:val="-16"/>
        </w:rPr>
        <w:t xml:space="preserve"> </w:t>
      </w:r>
      <w:r>
        <w:t>continuity and prevent widening healthcare inequalities.</w:t>
      </w:r>
    </w:p>
    <w:p w:rsidR="00612801">
      <w:pPr>
        <w:pStyle w:val="BodyText"/>
        <w:spacing w:before="120"/>
        <w:ind w:right="140"/>
        <w:jc w:val="both"/>
      </w:pPr>
      <w:r>
        <w:t>This new guidance was developed collaboratively with individuals who have lived experience, alongside input from professionals across health, social care, and education sectors.</w:t>
      </w:r>
      <w:r>
        <w:rPr>
          <w:spacing w:val="40"/>
        </w:rPr>
        <w:t xml:space="preserve"> </w:t>
      </w:r>
      <w:r>
        <w:t>It</w:t>
      </w:r>
      <w:r>
        <w:rPr>
          <w:spacing w:val="-6"/>
        </w:rPr>
        <w:t xml:space="preserve"> </w:t>
      </w:r>
      <w:r>
        <w:t>advocates</w:t>
      </w:r>
      <w:r>
        <w:rPr>
          <w:spacing w:val="-7"/>
        </w:rPr>
        <w:t xml:space="preserve"> </w:t>
      </w:r>
      <w:r>
        <w:t>for</w:t>
      </w:r>
      <w:r>
        <w:rPr>
          <w:spacing w:val="-7"/>
        </w:rPr>
        <w:t xml:space="preserve"> </w:t>
      </w:r>
      <w:r>
        <w:t>personalised</w:t>
      </w:r>
      <w:r>
        <w:rPr>
          <w:spacing w:val="-6"/>
        </w:rPr>
        <w:t xml:space="preserve"> </w:t>
      </w:r>
      <w:r>
        <w:t>support</w:t>
      </w:r>
      <w:r>
        <w:rPr>
          <w:spacing w:val="-6"/>
        </w:rPr>
        <w:t xml:space="preserve"> </w:t>
      </w:r>
      <w:r>
        <w:t>plans</w:t>
      </w:r>
      <w:r>
        <w:rPr>
          <w:spacing w:val="-7"/>
        </w:rPr>
        <w:t xml:space="preserve"> </w:t>
      </w:r>
      <w:r>
        <w:t>which</w:t>
      </w:r>
      <w:r>
        <w:rPr>
          <w:spacing w:val="-6"/>
        </w:rPr>
        <w:t xml:space="preserve"> </w:t>
      </w:r>
      <w:r>
        <w:t>consider</w:t>
      </w:r>
      <w:r>
        <w:rPr>
          <w:spacing w:val="-10"/>
        </w:rPr>
        <w:t xml:space="preserve"> </w:t>
      </w:r>
      <w:r>
        <w:t>the</w:t>
      </w:r>
      <w:r>
        <w:rPr>
          <w:spacing w:val="-6"/>
        </w:rPr>
        <w:t xml:space="preserve"> </w:t>
      </w:r>
      <w:r>
        <w:t>specific</w:t>
      </w:r>
      <w:r>
        <w:rPr>
          <w:spacing w:val="-7"/>
        </w:rPr>
        <w:t xml:space="preserve"> </w:t>
      </w:r>
      <w:r>
        <w:t>challenges faced by these groups, such as those with learning disabilities, mental health concerns, or complex medical requirements. Collaboration between health, social care and education professionals is encouraged to identify barriers and tailor interventions, ensuring equitable access and continuity of care throughout the transition to adult services.</w:t>
      </w:r>
    </w:p>
    <w:p w:rsidR="00612801">
      <w:pPr>
        <w:pStyle w:val="BodyText"/>
        <w:spacing w:before="121"/>
        <w:ind w:right="139"/>
        <w:jc w:val="both"/>
      </w:pPr>
      <w:r>
        <w:t>The guidance highlights the importance of engaging directly with young people and their families or carers to better understand individual circumstances and preferences. This inclusive</w:t>
      </w:r>
      <w:r>
        <w:rPr>
          <w:spacing w:val="-15"/>
        </w:rPr>
        <w:t xml:space="preserve"> </w:t>
      </w:r>
      <w:r>
        <w:t>approach</w:t>
      </w:r>
      <w:r>
        <w:rPr>
          <w:spacing w:val="-16"/>
        </w:rPr>
        <w:t xml:space="preserve"> </w:t>
      </w:r>
      <w:r>
        <w:t>helps</w:t>
      </w:r>
      <w:r>
        <w:rPr>
          <w:spacing w:val="-15"/>
        </w:rPr>
        <w:t xml:space="preserve"> </w:t>
      </w:r>
      <w:r>
        <w:t>to</w:t>
      </w:r>
      <w:r>
        <w:rPr>
          <w:spacing w:val="-14"/>
        </w:rPr>
        <w:t xml:space="preserve"> </w:t>
      </w:r>
      <w:r>
        <w:t>promote</w:t>
      </w:r>
      <w:r>
        <w:rPr>
          <w:spacing w:val="-16"/>
        </w:rPr>
        <w:t xml:space="preserve"> </w:t>
      </w:r>
      <w:r>
        <w:t>positive</w:t>
      </w:r>
      <w:r>
        <w:rPr>
          <w:spacing w:val="-17"/>
        </w:rPr>
        <w:t xml:space="preserve"> </w:t>
      </w:r>
      <w:r>
        <w:t>outcomes</w:t>
      </w:r>
      <w:r>
        <w:rPr>
          <w:spacing w:val="-17"/>
        </w:rPr>
        <w:t xml:space="preserve"> </w:t>
      </w:r>
      <w:r>
        <w:t>and</w:t>
      </w:r>
      <w:r>
        <w:rPr>
          <w:spacing w:val="-15"/>
        </w:rPr>
        <w:t xml:space="preserve"> </w:t>
      </w:r>
      <w:r>
        <w:t>reduces</w:t>
      </w:r>
      <w:r>
        <w:rPr>
          <w:spacing w:val="-17"/>
        </w:rPr>
        <w:t xml:space="preserve"> </w:t>
      </w:r>
      <w:r>
        <w:t>the</w:t>
      </w:r>
      <w:r>
        <w:rPr>
          <w:spacing w:val="-14"/>
        </w:rPr>
        <w:t xml:space="preserve"> </w:t>
      </w:r>
      <w:r>
        <w:t>risk</w:t>
      </w:r>
      <w:r>
        <w:rPr>
          <w:spacing w:val="-17"/>
        </w:rPr>
        <w:t xml:space="preserve"> </w:t>
      </w:r>
      <w:r>
        <w:t>of</w:t>
      </w:r>
      <w:r>
        <w:rPr>
          <w:spacing w:val="-14"/>
        </w:rPr>
        <w:t xml:space="preserve"> </w:t>
      </w:r>
      <w:r>
        <w:t>service</w:t>
      </w:r>
      <w:r>
        <w:rPr>
          <w:spacing w:val="-15"/>
        </w:rPr>
        <w:t xml:space="preserve"> </w:t>
      </w:r>
      <w:r>
        <w:t>users falling through the gaps during periods of change.</w:t>
      </w:r>
    </w:p>
    <w:p w:rsidR="00612801">
      <w:pPr>
        <w:pStyle w:val="BodyText"/>
        <w:spacing w:before="115"/>
        <w:ind w:right="138"/>
        <w:jc w:val="both"/>
      </w:pPr>
      <w:r>
        <w:t>NHSE provides public information</w:t>
      </w:r>
      <w:r>
        <w:fldChar w:fldCharType="begin"/>
      </w:r>
      <w:r>
        <w:instrText xml:space="preserve"> HYPERLINK \l "_bookmark22" </w:instrText>
      </w:r>
      <w:r>
        <w:fldChar w:fldCharType="separate"/>
      </w:r>
      <w:r>
        <w:rPr>
          <w:position w:val="8"/>
          <w:sz w:val="16"/>
        </w:rPr>
        <w:t>23</w:t>
      </w:r>
      <w:r>
        <w:fldChar w:fldCharType="end"/>
      </w:r>
      <w:r>
        <w:rPr>
          <w:position w:val="8"/>
          <w:sz w:val="16"/>
        </w:rPr>
        <w:t xml:space="preserve"> </w:t>
      </w:r>
      <w:r>
        <w:t>focused on the transition of young people to adult continuing healthcare (CHC) services. These materials are designed to be accessible to everyone, including those with or without disabilities, and are often available in different languages</w:t>
      </w:r>
      <w:r>
        <w:rPr>
          <w:spacing w:val="-11"/>
        </w:rPr>
        <w:t xml:space="preserve"> </w:t>
      </w:r>
      <w:r>
        <w:t>to</w:t>
      </w:r>
      <w:r>
        <w:rPr>
          <w:spacing w:val="-10"/>
        </w:rPr>
        <w:t xml:space="preserve"> </w:t>
      </w:r>
      <w:r>
        <w:t>ensure</w:t>
      </w:r>
      <w:r>
        <w:rPr>
          <w:spacing w:val="-9"/>
        </w:rPr>
        <w:t xml:space="preserve"> </w:t>
      </w:r>
      <w:r>
        <w:t>inclusiveness.</w:t>
      </w:r>
      <w:r>
        <w:rPr>
          <w:spacing w:val="-11"/>
        </w:rPr>
        <w:t xml:space="preserve"> </w:t>
      </w:r>
      <w:r>
        <w:t>The</w:t>
      </w:r>
      <w:r>
        <w:rPr>
          <w:spacing w:val="-10"/>
        </w:rPr>
        <w:t xml:space="preserve"> </w:t>
      </w:r>
      <w:r>
        <w:t>information</w:t>
      </w:r>
      <w:r>
        <w:rPr>
          <w:spacing w:val="-8"/>
        </w:rPr>
        <w:t xml:space="preserve"> </w:t>
      </w:r>
      <w:r>
        <w:t>is</w:t>
      </w:r>
      <w:r>
        <w:rPr>
          <w:spacing w:val="-9"/>
        </w:rPr>
        <w:t xml:space="preserve"> </w:t>
      </w:r>
      <w:r>
        <w:t>youth-friendly,</w:t>
      </w:r>
      <w:r>
        <w:rPr>
          <w:spacing w:val="-8"/>
        </w:rPr>
        <w:t xml:space="preserve"> </w:t>
      </w:r>
      <w:r>
        <w:t>using</w:t>
      </w:r>
      <w:r>
        <w:rPr>
          <w:spacing w:val="-8"/>
        </w:rPr>
        <w:t xml:space="preserve"> </w:t>
      </w:r>
      <w:r>
        <w:t>age-appropriate language and images tailored to the age and ability of the young person, supporting a smooth and informed transition to adult services. Ongoing evaluation and adaptation of these resources</w:t>
      </w:r>
      <w:r>
        <w:t xml:space="preserve"> are central to NHSE’s mission to provide a supportive, empowering, and seamless experience for all children and young people transitioning to adult CHC.</w:t>
      </w:r>
    </w:p>
    <w:p w:rsidR="00612801">
      <w:pPr>
        <w:pStyle w:val="BodyText"/>
        <w:spacing w:before="120"/>
        <w:ind w:right="140"/>
        <w:jc w:val="both"/>
      </w:pPr>
      <w:r>
        <w:t>Regular feedback, monitoring and evaluation improve service quality and ensure young people’s views are reflected in ongoing improvements. Along with ongoing investment in staff training and service capacity, this supports effective collaboration, resulting in more inclusive and successful transitions for young people.</w:t>
      </w:r>
    </w:p>
    <w:p w:rsidR="00612801">
      <w:pPr>
        <w:pStyle w:val="BodyText"/>
        <w:spacing w:before="120"/>
        <w:ind w:right="141"/>
        <w:jc w:val="both"/>
      </w:pPr>
      <w:r>
        <w:t>Local authorities should involve individuals in adult social care assessment, planning and review, and work</w:t>
      </w:r>
      <w:r>
        <w:rPr>
          <w:spacing w:val="-1"/>
        </w:rPr>
        <w:t xml:space="preserve"> </w:t>
      </w:r>
      <w:r>
        <w:t>with the person wherever</w:t>
      </w:r>
      <w:r>
        <w:rPr>
          <w:spacing w:val="-1"/>
        </w:rPr>
        <w:t xml:space="preserve"> </w:t>
      </w:r>
      <w:r>
        <w:t>possible. This is a key</w:t>
      </w:r>
      <w:r>
        <w:rPr>
          <w:spacing w:val="-2"/>
        </w:rPr>
        <w:t xml:space="preserve"> </w:t>
      </w:r>
      <w:r>
        <w:t>principle of the Care Act 2014 and the Care and Support Statutory Guidance. In developing policy, DHSC and DfE also</w:t>
      </w:r>
      <w:r>
        <w:rPr>
          <w:spacing w:val="-17"/>
        </w:rPr>
        <w:t xml:space="preserve"> </w:t>
      </w:r>
      <w:r>
        <w:t>engage</w:t>
      </w:r>
      <w:r>
        <w:rPr>
          <w:spacing w:val="-17"/>
        </w:rPr>
        <w:t xml:space="preserve"> </w:t>
      </w:r>
      <w:r>
        <w:t>people</w:t>
      </w:r>
      <w:r>
        <w:rPr>
          <w:spacing w:val="-16"/>
        </w:rPr>
        <w:t xml:space="preserve"> </w:t>
      </w:r>
      <w:r>
        <w:t>with</w:t>
      </w:r>
      <w:r>
        <w:rPr>
          <w:spacing w:val="-14"/>
        </w:rPr>
        <w:t xml:space="preserve"> </w:t>
      </w:r>
      <w:r>
        <w:t>lived</w:t>
      </w:r>
      <w:r>
        <w:rPr>
          <w:spacing w:val="-16"/>
        </w:rPr>
        <w:t xml:space="preserve"> </w:t>
      </w:r>
      <w:r>
        <w:t>experience,</w:t>
      </w:r>
      <w:r>
        <w:rPr>
          <w:spacing w:val="-14"/>
        </w:rPr>
        <w:t xml:space="preserve"> </w:t>
      </w:r>
      <w:r>
        <w:t>including</w:t>
      </w:r>
      <w:r>
        <w:rPr>
          <w:spacing w:val="-16"/>
        </w:rPr>
        <w:t xml:space="preserve"> </w:t>
      </w:r>
      <w:r>
        <w:t>people</w:t>
      </w:r>
      <w:r>
        <w:rPr>
          <w:spacing w:val="-14"/>
        </w:rPr>
        <w:t xml:space="preserve"> </w:t>
      </w:r>
      <w:r>
        <w:t>with</w:t>
      </w:r>
      <w:r>
        <w:rPr>
          <w:spacing w:val="-16"/>
        </w:rPr>
        <w:t xml:space="preserve"> </w:t>
      </w:r>
      <w:r>
        <w:t>care</w:t>
      </w:r>
      <w:r>
        <w:rPr>
          <w:spacing w:val="-17"/>
        </w:rPr>
        <w:t xml:space="preserve"> </w:t>
      </w:r>
      <w:r>
        <w:t>needs</w:t>
      </w:r>
      <w:r>
        <w:rPr>
          <w:spacing w:val="-17"/>
        </w:rPr>
        <w:t xml:space="preserve"> </w:t>
      </w:r>
      <w:r>
        <w:t>and</w:t>
      </w:r>
      <w:r>
        <w:rPr>
          <w:spacing w:val="-15"/>
        </w:rPr>
        <w:t xml:space="preserve"> </w:t>
      </w:r>
      <w:r>
        <w:t>their</w:t>
      </w:r>
      <w:r>
        <w:rPr>
          <w:spacing w:val="-16"/>
        </w:rPr>
        <w:t xml:space="preserve"> </w:t>
      </w:r>
      <w:r>
        <w:t>carers</w:t>
      </w:r>
      <w:r>
        <w:t>. This has informed the design of our recent transitions work.</w:t>
      </w:r>
    </w:p>
    <w:p w:rsidR="00612801">
      <w:pPr>
        <w:pStyle w:val="BodyText"/>
        <w:spacing w:before="121"/>
        <w:ind w:right="140"/>
        <w:jc w:val="both"/>
      </w:pPr>
      <w:r>
        <w:t>Engagement with individuals with lived experience, ensuring accessible and inclusive practice, is key to the development of the government’s work on transitions. Co-producing transition</w:t>
      </w:r>
      <w:r>
        <w:rPr>
          <w:spacing w:val="-1"/>
        </w:rPr>
        <w:t xml:space="preserve"> </w:t>
      </w:r>
      <w:r>
        <w:t>policies with</w:t>
      </w:r>
      <w:r>
        <w:rPr>
          <w:spacing w:val="-3"/>
        </w:rPr>
        <w:t xml:space="preserve"> </w:t>
      </w:r>
      <w:r>
        <w:t>children</w:t>
      </w:r>
      <w:r>
        <w:rPr>
          <w:spacing w:val="-2"/>
        </w:rPr>
        <w:t xml:space="preserve"> </w:t>
      </w:r>
      <w:r>
        <w:t>and young</w:t>
      </w:r>
      <w:r>
        <w:rPr>
          <w:spacing w:val="-2"/>
        </w:rPr>
        <w:t xml:space="preserve"> </w:t>
      </w:r>
      <w:r>
        <w:t>people</w:t>
      </w:r>
      <w:r>
        <w:rPr>
          <w:spacing w:val="-2"/>
        </w:rPr>
        <w:t xml:space="preserve"> </w:t>
      </w:r>
      <w:r>
        <w:t>ensures</w:t>
      </w:r>
      <w:r>
        <w:rPr>
          <w:spacing w:val="-2"/>
        </w:rPr>
        <w:t xml:space="preserve"> </w:t>
      </w:r>
      <w:r>
        <w:t>that services</w:t>
      </w:r>
      <w:r>
        <w:rPr>
          <w:spacing w:val="-1"/>
        </w:rPr>
        <w:t xml:space="preserve"> </w:t>
      </w:r>
      <w:r>
        <w:t>are</w:t>
      </w:r>
      <w:r>
        <w:rPr>
          <w:spacing w:val="-2"/>
        </w:rPr>
        <w:t xml:space="preserve"> </w:t>
      </w:r>
      <w:r>
        <w:t>tailored</w:t>
      </w:r>
      <w:r>
        <w:rPr>
          <w:spacing w:val="-1"/>
        </w:rPr>
        <w:t xml:space="preserve"> </w:t>
      </w:r>
      <w:r>
        <w:t>to</w:t>
      </w:r>
      <w:r>
        <w:rPr>
          <w:spacing w:val="-1"/>
        </w:rPr>
        <w:t xml:space="preserve"> </w:t>
      </w:r>
      <w:r>
        <w:t>their needs and promotes person-</w:t>
      </w:r>
      <w:r>
        <w:t>centred</w:t>
      </w:r>
      <w:r>
        <w:t xml:space="preserve"> care. Involving young people in co-design gives them</w:t>
      </w:r>
    </w:p>
    <w:p w:rsidR="00612801">
      <w:pPr>
        <w:pStyle w:val="BodyText"/>
        <w:spacing w:before="204"/>
        <w:ind w:left="0"/>
        <w:rPr>
          <w:sz w:val="20"/>
        </w:rPr>
      </w:pPr>
      <w:r>
        <w:rPr>
          <w:noProof/>
          <w:sz w:val="20"/>
        </w:rPr>
        <mc:AlternateContent>
          <mc:Choice Requires="wps">
            <w:drawing>
              <wp:anchor distT="0" distB="0" distL="0" distR="0" simplePos="0" relativeHeight="251669504" behindDoc="1" locked="0" layoutInCell="1" allowOverlap="1">
                <wp:simplePos x="0" y="0"/>
                <wp:positionH relativeFrom="page">
                  <wp:posOffset>719327</wp:posOffset>
                </wp:positionH>
                <wp:positionV relativeFrom="paragraph">
                  <wp:posOffset>291138</wp:posOffset>
                </wp:positionV>
                <wp:extent cx="1829435" cy="9525"/>
                <wp:effectExtent l="0" t="0" r="0" b="0"/>
                <wp:wrapTopAndBottom/>
                <wp:docPr id="8" name="Graphic 8"/>
                <wp:cNvGraphicFramePr/>
                <a:graphic xmlns:a="http://schemas.openxmlformats.org/drawingml/2006/main">
                  <a:graphicData uri="http://schemas.microsoft.com/office/word/2010/wordprocessingShape">
                    <wps:wsp xmlns:wps="http://schemas.microsoft.com/office/word/2010/wordprocessingShape">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8" o:spid="_x0000_s1030" style="height:0.75pt;margin-left:56.65pt;margin-top:22.9pt;mso-position-horizontal-relative:page;mso-wrap-distance-bottom:0;mso-wrap-distance-left:0;mso-wrap-distance-right:0;mso-wrap-distance-top:0;mso-wrap-style:square;position:absolute;v-text-anchor:top;visibility:visible;width:144.05pt;z-index:-251645952" coordsize="1829435,9525" path="m1829435,l,,,9144l1829435,9144l1829435,xe" fillcolor="black" stroked="f">
                <v:path arrowok="t"/>
                <w10:wrap type="topAndBottom"/>
              </v:shape>
            </w:pict>
          </mc:Fallback>
        </mc:AlternateContent>
      </w:r>
    </w:p>
    <w:p w:rsidR="00612801">
      <w:pPr>
        <w:spacing w:before="100"/>
        <w:ind w:left="140"/>
        <w:rPr>
          <w:sz w:val="20"/>
        </w:rPr>
      </w:pPr>
      <w:bookmarkStart w:id="21" w:name="_bookmark21"/>
      <w:bookmarkEnd w:id="21"/>
      <w:r>
        <w:rPr>
          <w:position w:val="6"/>
          <w:sz w:val="13"/>
        </w:rPr>
        <w:t>22</w:t>
      </w:r>
      <w:r>
        <w:rPr>
          <w:spacing w:val="12"/>
          <w:position w:val="6"/>
          <w:sz w:val="13"/>
        </w:rPr>
        <w:t xml:space="preserve"> </w:t>
      </w:r>
      <w:r>
        <w:fldChar w:fldCharType="begin"/>
      </w:r>
      <w:r>
        <w:instrText xml:space="preserve"> HYPERLINK "https://www.england.nhs.uk/long-read/supporting-young-people-to-transition-into-adolescent-and-adult-services/" </w:instrText>
      </w:r>
      <w:r>
        <w:fldChar w:fldCharType="separate"/>
      </w:r>
      <w:r>
        <w:rPr>
          <w:color w:val="0462C1"/>
          <w:sz w:val="20"/>
          <w:u w:val="single" w:color="0462C1"/>
        </w:rPr>
        <w:t>NHS</w:t>
      </w:r>
      <w:r>
        <w:rPr>
          <w:color w:val="0462C1"/>
          <w:spacing w:val="-6"/>
          <w:sz w:val="20"/>
          <w:u w:val="single" w:color="0462C1"/>
        </w:rPr>
        <w:t xml:space="preserve"> </w:t>
      </w:r>
      <w:r>
        <w:rPr>
          <w:color w:val="0462C1"/>
          <w:sz w:val="20"/>
          <w:u w:val="single" w:color="0462C1"/>
        </w:rPr>
        <w:t>England</w:t>
      </w:r>
      <w:r>
        <w:rPr>
          <w:color w:val="0462C1"/>
          <w:spacing w:val="-6"/>
          <w:sz w:val="20"/>
          <w:u w:val="single" w:color="0462C1"/>
        </w:rPr>
        <w:t xml:space="preserve"> </w:t>
      </w:r>
      <w:r>
        <w:rPr>
          <w:color w:val="0462C1"/>
          <w:sz w:val="20"/>
          <w:u w:val="single" w:color="0462C1"/>
        </w:rPr>
        <w:t>»</w:t>
      </w:r>
      <w:r>
        <w:rPr>
          <w:color w:val="0462C1"/>
          <w:spacing w:val="-8"/>
          <w:sz w:val="20"/>
          <w:u w:val="single" w:color="0462C1"/>
        </w:rPr>
        <w:t xml:space="preserve"> </w:t>
      </w:r>
      <w:r>
        <w:rPr>
          <w:color w:val="0462C1"/>
          <w:sz w:val="20"/>
          <w:u w:val="single" w:color="0462C1"/>
        </w:rPr>
        <w:t>Supporting</w:t>
      </w:r>
      <w:r>
        <w:rPr>
          <w:color w:val="0462C1"/>
          <w:spacing w:val="-7"/>
          <w:sz w:val="20"/>
          <w:u w:val="single" w:color="0462C1"/>
        </w:rPr>
        <w:t xml:space="preserve"> </w:t>
      </w:r>
      <w:r>
        <w:rPr>
          <w:color w:val="0462C1"/>
          <w:sz w:val="20"/>
          <w:u w:val="single" w:color="0462C1"/>
        </w:rPr>
        <w:t>young</w:t>
      </w:r>
      <w:r>
        <w:rPr>
          <w:color w:val="0462C1"/>
          <w:spacing w:val="-7"/>
          <w:sz w:val="20"/>
          <w:u w:val="single" w:color="0462C1"/>
        </w:rPr>
        <w:t xml:space="preserve"> </w:t>
      </w:r>
      <w:r>
        <w:rPr>
          <w:color w:val="0462C1"/>
          <w:sz w:val="20"/>
          <w:u w:val="single" w:color="0462C1"/>
        </w:rPr>
        <w:t>people</w:t>
      </w:r>
      <w:r>
        <w:rPr>
          <w:color w:val="0462C1"/>
          <w:spacing w:val="-8"/>
          <w:sz w:val="20"/>
          <w:u w:val="single" w:color="0462C1"/>
        </w:rPr>
        <w:t xml:space="preserve"> </w:t>
      </w:r>
      <w:r>
        <w:rPr>
          <w:color w:val="0462C1"/>
          <w:sz w:val="20"/>
          <w:u w:val="single" w:color="0462C1"/>
        </w:rPr>
        <w:t>to</w:t>
      </w:r>
      <w:r>
        <w:rPr>
          <w:color w:val="0462C1"/>
          <w:spacing w:val="-7"/>
          <w:sz w:val="20"/>
          <w:u w:val="single" w:color="0462C1"/>
        </w:rPr>
        <w:t xml:space="preserve"> </w:t>
      </w:r>
      <w:r>
        <w:rPr>
          <w:color w:val="0462C1"/>
          <w:sz w:val="20"/>
          <w:u w:val="single" w:color="0462C1"/>
        </w:rPr>
        <w:t>transition</w:t>
      </w:r>
      <w:r>
        <w:rPr>
          <w:color w:val="0462C1"/>
          <w:spacing w:val="-8"/>
          <w:sz w:val="20"/>
          <w:u w:val="single" w:color="0462C1"/>
        </w:rPr>
        <w:t xml:space="preserve"> </w:t>
      </w:r>
      <w:r>
        <w:rPr>
          <w:color w:val="0462C1"/>
          <w:sz w:val="20"/>
          <w:u w:val="single" w:color="0462C1"/>
        </w:rPr>
        <w:t>into</w:t>
      </w:r>
      <w:r>
        <w:rPr>
          <w:color w:val="0462C1"/>
          <w:spacing w:val="-8"/>
          <w:sz w:val="20"/>
          <w:u w:val="single" w:color="0462C1"/>
        </w:rPr>
        <w:t xml:space="preserve"> </w:t>
      </w:r>
      <w:r>
        <w:rPr>
          <w:color w:val="0462C1"/>
          <w:sz w:val="20"/>
          <w:u w:val="single" w:color="0462C1"/>
        </w:rPr>
        <w:t>adolescent</w:t>
      </w:r>
      <w:r>
        <w:rPr>
          <w:color w:val="0462C1"/>
          <w:spacing w:val="-6"/>
          <w:sz w:val="20"/>
          <w:u w:val="single" w:color="0462C1"/>
        </w:rPr>
        <w:t xml:space="preserve"> </w:t>
      </w:r>
      <w:r>
        <w:rPr>
          <w:color w:val="0462C1"/>
          <w:sz w:val="20"/>
          <w:u w:val="single" w:color="0462C1"/>
        </w:rPr>
        <w:t>and</w:t>
      </w:r>
      <w:r>
        <w:rPr>
          <w:color w:val="0462C1"/>
          <w:spacing w:val="-5"/>
          <w:sz w:val="20"/>
          <w:u w:val="single" w:color="0462C1"/>
        </w:rPr>
        <w:t xml:space="preserve"> </w:t>
      </w:r>
      <w:r>
        <w:rPr>
          <w:color w:val="0462C1"/>
          <w:sz w:val="20"/>
          <w:u w:val="single" w:color="0462C1"/>
        </w:rPr>
        <w:t>adult</w:t>
      </w:r>
      <w:r>
        <w:rPr>
          <w:color w:val="0462C1"/>
          <w:spacing w:val="-6"/>
          <w:sz w:val="20"/>
          <w:u w:val="single" w:color="0462C1"/>
        </w:rPr>
        <w:t xml:space="preserve"> </w:t>
      </w:r>
      <w:r>
        <w:rPr>
          <w:color w:val="0462C1"/>
          <w:spacing w:val="-2"/>
          <w:sz w:val="20"/>
          <w:u w:val="single" w:color="0462C1"/>
        </w:rPr>
        <w:t>services</w:t>
      </w:r>
      <w:r>
        <w:fldChar w:fldCharType="end"/>
      </w:r>
    </w:p>
    <w:p w:rsidR="00612801">
      <w:pPr>
        <w:ind w:left="140"/>
        <w:rPr>
          <w:sz w:val="20"/>
        </w:rPr>
      </w:pPr>
      <w:bookmarkStart w:id="22" w:name="_bookmark22"/>
      <w:bookmarkEnd w:id="22"/>
      <w:r>
        <w:rPr>
          <w:position w:val="6"/>
          <w:sz w:val="13"/>
        </w:rPr>
        <w:t>23</w:t>
      </w:r>
      <w:r>
        <w:rPr>
          <w:spacing w:val="13"/>
          <w:position w:val="6"/>
          <w:sz w:val="13"/>
        </w:rPr>
        <w:t xml:space="preserve"> </w:t>
      </w:r>
      <w:r>
        <w:fldChar w:fldCharType="begin"/>
      </w:r>
      <w:r>
        <w:instrText xml:space="preserve"> HYPERLINK "https://www.england.nhs.uk/healthcare/" </w:instrText>
      </w:r>
      <w:r>
        <w:fldChar w:fldCharType="separate"/>
      </w:r>
      <w:r>
        <w:rPr>
          <w:color w:val="0462C1"/>
          <w:sz w:val="20"/>
          <w:u w:val="single" w:color="0462C1"/>
        </w:rPr>
        <w:t>NHS</w:t>
      </w:r>
      <w:r>
        <w:rPr>
          <w:color w:val="0462C1"/>
          <w:spacing w:val="-6"/>
          <w:sz w:val="20"/>
          <w:u w:val="single" w:color="0462C1"/>
        </w:rPr>
        <w:t xml:space="preserve"> </w:t>
      </w:r>
      <w:r>
        <w:rPr>
          <w:color w:val="0462C1"/>
          <w:sz w:val="20"/>
          <w:u w:val="single" w:color="0462C1"/>
        </w:rPr>
        <w:t>England</w:t>
      </w:r>
      <w:r>
        <w:rPr>
          <w:color w:val="0462C1"/>
          <w:spacing w:val="-6"/>
          <w:sz w:val="20"/>
          <w:u w:val="single" w:color="0462C1"/>
        </w:rPr>
        <w:t xml:space="preserve"> </w:t>
      </w:r>
      <w:r>
        <w:rPr>
          <w:color w:val="0462C1"/>
          <w:sz w:val="20"/>
          <w:u w:val="single" w:color="0462C1"/>
        </w:rPr>
        <w:t>»</w:t>
      </w:r>
      <w:r>
        <w:rPr>
          <w:color w:val="0462C1"/>
          <w:spacing w:val="-7"/>
          <w:sz w:val="20"/>
          <w:u w:val="single" w:color="0462C1"/>
        </w:rPr>
        <w:t xml:space="preserve"> </w:t>
      </w:r>
      <w:r>
        <w:rPr>
          <w:color w:val="0462C1"/>
          <w:sz w:val="20"/>
          <w:u w:val="single" w:color="0462C1"/>
        </w:rPr>
        <w:t>NHS</w:t>
      </w:r>
      <w:r>
        <w:rPr>
          <w:color w:val="0462C1"/>
          <w:spacing w:val="-7"/>
          <w:sz w:val="20"/>
          <w:u w:val="single" w:color="0462C1"/>
        </w:rPr>
        <w:t xml:space="preserve"> </w:t>
      </w:r>
      <w:r>
        <w:rPr>
          <w:color w:val="0462C1"/>
          <w:sz w:val="20"/>
          <w:u w:val="single" w:color="0462C1"/>
        </w:rPr>
        <w:t>Continuing</w:t>
      </w:r>
      <w:r>
        <w:rPr>
          <w:color w:val="0462C1"/>
          <w:spacing w:val="-7"/>
          <w:sz w:val="20"/>
          <w:u w:val="single" w:color="0462C1"/>
        </w:rPr>
        <w:t xml:space="preserve"> </w:t>
      </w:r>
      <w:r>
        <w:rPr>
          <w:color w:val="0462C1"/>
          <w:spacing w:val="-2"/>
          <w:sz w:val="20"/>
          <w:u w:val="single" w:color="0462C1"/>
        </w:rPr>
        <w:t>Healthcare</w:t>
      </w:r>
      <w:r>
        <w:fldChar w:fldCharType="end"/>
      </w:r>
    </w:p>
    <w:p w:rsidR="00612801">
      <w:pPr>
        <w:rPr>
          <w:sz w:val="20"/>
        </w:rPr>
        <w:sectPr>
          <w:pgSz w:w="11910" w:h="16840"/>
          <w:pgMar w:top="1300" w:right="992" w:bottom="280" w:left="992" w:header="720" w:footer="720" w:gutter="0"/>
          <w:cols w:space="720"/>
        </w:sectPr>
      </w:pPr>
    </w:p>
    <w:p w:rsidR="00612801">
      <w:pPr>
        <w:pStyle w:val="BodyText"/>
        <w:spacing w:before="76"/>
      </w:pPr>
      <w:r>
        <w:t>greater</w:t>
      </w:r>
      <w:r>
        <w:rPr>
          <w:spacing w:val="-17"/>
        </w:rPr>
        <w:t xml:space="preserve"> </w:t>
      </w:r>
      <w:r>
        <w:t>agency</w:t>
      </w:r>
      <w:r>
        <w:rPr>
          <w:spacing w:val="-17"/>
        </w:rPr>
        <w:t xml:space="preserve"> </w:t>
      </w:r>
      <w:r>
        <w:t>and</w:t>
      </w:r>
      <w:r>
        <w:rPr>
          <w:spacing w:val="-16"/>
        </w:rPr>
        <w:t xml:space="preserve"> </w:t>
      </w:r>
      <w:r>
        <w:t>ownership,</w:t>
      </w:r>
      <w:r>
        <w:rPr>
          <w:spacing w:val="-17"/>
        </w:rPr>
        <w:t xml:space="preserve"> </w:t>
      </w:r>
      <w:r>
        <w:t>while</w:t>
      </w:r>
      <w:r>
        <w:rPr>
          <w:spacing w:val="-17"/>
        </w:rPr>
        <w:t xml:space="preserve"> </w:t>
      </w:r>
      <w:r>
        <w:t>supporting</w:t>
      </w:r>
      <w:r>
        <w:rPr>
          <w:spacing w:val="-17"/>
        </w:rPr>
        <w:t xml:space="preserve"> </w:t>
      </w:r>
      <w:r>
        <w:t>mechanisms</w:t>
      </w:r>
      <w:r>
        <w:rPr>
          <w:spacing w:val="-16"/>
        </w:rPr>
        <w:t xml:space="preserve"> </w:t>
      </w:r>
      <w:r>
        <w:t>like</w:t>
      </w:r>
      <w:r>
        <w:rPr>
          <w:spacing w:val="-17"/>
        </w:rPr>
        <w:t xml:space="preserve"> </w:t>
      </w:r>
      <w:r>
        <w:t>peer</w:t>
      </w:r>
      <w:r>
        <w:rPr>
          <w:spacing w:val="-17"/>
        </w:rPr>
        <w:t xml:space="preserve"> </w:t>
      </w:r>
      <w:r>
        <w:t>mentoring</w:t>
      </w:r>
      <w:r>
        <w:rPr>
          <w:spacing w:val="-16"/>
        </w:rPr>
        <w:t xml:space="preserve"> </w:t>
      </w:r>
      <w:r>
        <w:t>and</w:t>
      </w:r>
      <w:r>
        <w:rPr>
          <w:spacing w:val="-17"/>
        </w:rPr>
        <w:t xml:space="preserve"> </w:t>
      </w:r>
      <w:r>
        <w:t>digital tools foster meaningful participation.</w:t>
      </w:r>
    </w:p>
    <w:p w:rsidR="00612801">
      <w:pPr>
        <w:pStyle w:val="BodyText"/>
        <w:sectPr>
          <w:pgSz w:w="11910" w:h="16840"/>
          <w:pgMar w:top="1300" w:right="992" w:bottom="280" w:left="992" w:header="720" w:footer="720" w:gutter="0"/>
          <w:cols w:space="720"/>
        </w:sectPr>
      </w:pPr>
    </w:p>
    <w:p w:rsidR="00612801">
      <w:pPr>
        <w:pStyle w:val="Heading1"/>
        <w:spacing w:before="76"/>
      </w:pPr>
      <w:r>
        <w:rPr>
          <w:u w:val="single"/>
        </w:rPr>
        <w:t>The</w:t>
      </w:r>
      <w:r>
        <w:rPr>
          <w:spacing w:val="-6"/>
          <w:u w:val="single"/>
        </w:rPr>
        <w:t xml:space="preserve"> </w:t>
      </w:r>
      <w:r>
        <w:rPr>
          <w:u w:val="single"/>
        </w:rPr>
        <w:t>Transition</w:t>
      </w:r>
      <w:r>
        <w:rPr>
          <w:spacing w:val="-2"/>
          <w:u w:val="single"/>
        </w:rPr>
        <w:t xml:space="preserve"> </w:t>
      </w:r>
      <w:r>
        <w:rPr>
          <w:u w:val="single"/>
        </w:rPr>
        <w:t>from</w:t>
      </w:r>
      <w:r>
        <w:rPr>
          <w:spacing w:val="-4"/>
          <w:u w:val="single"/>
        </w:rPr>
        <w:t xml:space="preserve"> </w:t>
      </w:r>
      <w:r>
        <w:rPr>
          <w:u w:val="single"/>
        </w:rPr>
        <w:t>Child</w:t>
      </w:r>
      <w:r>
        <w:rPr>
          <w:spacing w:val="-2"/>
          <w:u w:val="single"/>
        </w:rPr>
        <w:t xml:space="preserve"> </w:t>
      </w:r>
      <w:r>
        <w:rPr>
          <w:u w:val="single"/>
        </w:rPr>
        <w:t>to</w:t>
      </w:r>
      <w:r>
        <w:rPr>
          <w:spacing w:val="-1"/>
          <w:u w:val="single"/>
        </w:rPr>
        <w:t xml:space="preserve"> </w:t>
      </w:r>
      <w:r>
        <w:rPr>
          <w:u w:val="single"/>
        </w:rPr>
        <w:t>Adult</w:t>
      </w:r>
      <w:r>
        <w:rPr>
          <w:spacing w:val="-2"/>
          <w:u w:val="single"/>
        </w:rPr>
        <w:t xml:space="preserve"> </w:t>
      </w:r>
      <w:r>
        <w:rPr>
          <w:u w:val="single"/>
        </w:rPr>
        <w:t>Health</w:t>
      </w:r>
      <w:r>
        <w:rPr>
          <w:spacing w:val="-2"/>
          <w:u w:val="single"/>
        </w:rPr>
        <w:t xml:space="preserve"> </w:t>
      </w:r>
      <w:r>
        <w:rPr>
          <w:u w:val="single"/>
        </w:rPr>
        <w:t>and</w:t>
      </w:r>
      <w:r>
        <w:rPr>
          <w:spacing w:val="-1"/>
          <w:u w:val="single"/>
        </w:rPr>
        <w:t xml:space="preserve"> </w:t>
      </w:r>
      <w:r>
        <w:rPr>
          <w:u w:val="single"/>
        </w:rPr>
        <w:t>Social</w:t>
      </w:r>
      <w:r>
        <w:rPr>
          <w:spacing w:val="-2"/>
          <w:u w:val="single"/>
        </w:rPr>
        <w:t xml:space="preserve"> </w:t>
      </w:r>
      <w:r>
        <w:rPr>
          <w:u w:val="single"/>
        </w:rPr>
        <w:t>Care</w:t>
      </w:r>
      <w:r>
        <w:rPr>
          <w:spacing w:val="-1"/>
          <w:u w:val="single"/>
        </w:rPr>
        <w:t xml:space="preserve"> </w:t>
      </w:r>
      <w:r>
        <w:rPr>
          <w:spacing w:val="-2"/>
          <w:u w:val="single"/>
        </w:rPr>
        <w:t>Services</w:t>
      </w:r>
    </w:p>
    <w:p w:rsidR="00612801">
      <w:pPr>
        <w:pStyle w:val="BodyText"/>
        <w:spacing w:before="5"/>
        <w:ind w:left="0"/>
        <w:rPr>
          <w:rFonts w:ascii="Arial"/>
          <w:b/>
          <w:sz w:val="10"/>
        </w:rPr>
      </w:pPr>
    </w:p>
    <w:tbl>
      <w:tblPr>
        <w:tblW w:w="0" w:type="auto"/>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446"/>
      </w:tblGrid>
      <w:tr>
        <w:tblPrEx>
          <w:tblW w:w="0" w:type="auto"/>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51"/>
        </w:trPr>
        <w:tc>
          <w:tcPr>
            <w:tcW w:w="9446" w:type="dxa"/>
          </w:tcPr>
          <w:p w:rsidR="00612801">
            <w:pPr>
              <w:pStyle w:val="TableParagraph"/>
              <w:spacing w:line="270" w:lineRule="atLeast"/>
              <w:rPr>
                <w:rFonts w:ascii="Arial"/>
                <w:b/>
                <w:sz w:val="24"/>
              </w:rPr>
            </w:pPr>
            <w:r>
              <w:rPr>
                <w:rFonts w:ascii="Arial"/>
                <w:b/>
                <w:sz w:val="24"/>
              </w:rPr>
              <w:t>FOCUS</w:t>
            </w:r>
            <w:r>
              <w:rPr>
                <w:rFonts w:ascii="Arial"/>
                <w:b/>
                <w:spacing w:val="-17"/>
                <w:sz w:val="24"/>
              </w:rPr>
              <w:t xml:space="preserve"> </w:t>
            </w:r>
            <w:r>
              <w:rPr>
                <w:rFonts w:ascii="Arial"/>
                <w:b/>
                <w:sz w:val="24"/>
              </w:rPr>
              <w:t>AREA</w:t>
            </w:r>
            <w:r>
              <w:rPr>
                <w:rFonts w:ascii="Arial"/>
                <w:b/>
                <w:spacing w:val="-16"/>
                <w:sz w:val="24"/>
              </w:rPr>
              <w:t xml:space="preserve"> </w:t>
            </w:r>
            <w:r>
              <w:rPr>
                <w:rFonts w:ascii="Arial"/>
                <w:b/>
                <w:sz w:val="24"/>
              </w:rPr>
              <w:t>1:</w:t>
            </w:r>
            <w:r>
              <w:rPr>
                <w:rFonts w:ascii="Arial"/>
                <w:b/>
                <w:spacing w:val="-9"/>
                <w:sz w:val="24"/>
              </w:rPr>
              <w:t xml:space="preserve"> </w:t>
            </w:r>
            <w:r>
              <w:rPr>
                <w:rFonts w:ascii="Arial"/>
                <w:b/>
                <w:sz w:val="24"/>
              </w:rPr>
              <w:t>TIMELINESS</w:t>
            </w:r>
            <w:r>
              <w:rPr>
                <w:rFonts w:ascii="Arial"/>
                <w:b/>
                <w:spacing w:val="-17"/>
                <w:sz w:val="24"/>
              </w:rPr>
              <w:t xml:space="preserve"> </w:t>
            </w:r>
            <w:r>
              <w:rPr>
                <w:rFonts w:ascii="Arial"/>
                <w:b/>
                <w:sz w:val="24"/>
              </w:rPr>
              <w:t>AND</w:t>
            </w:r>
            <w:r>
              <w:rPr>
                <w:rFonts w:ascii="Arial"/>
                <w:b/>
                <w:spacing w:val="-9"/>
                <w:sz w:val="24"/>
              </w:rPr>
              <w:t xml:space="preserve"> </w:t>
            </w:r>
            <w:r>
              <w:rPr>
                <w:rFonts w:ascii="Arial"/>
                <w:b/>
                <w:sz w:val="24"/>
              </w:rPr>
              <w:t>PACE</w:t>
            </w:r>
            <w:r>
              <w:rPr>
                <w:rFonts w:ascii="Arial"/>
                <w:b/>
                <w:spacing w:val="-9"/>
                <w:sz w:val="24"/>
              </w:rPr>
              <w:t xml:space="preserve"> </w:t>
            </w:r>
            <w:r>
              <w:rPr>
                <w:rFonts w:ascii="Arial"/>
                <w:b/>
                <w:sz w:val="24"/>
              </w:rPr>
              <w:t>OF</w:t>
            </w:r>
            <w:r>
              <w:rPr>
                <w:rFonts w:ascii="Arial"/>
                <w:b/>
                <w:spacing w:val="-9"/>
                <w:sz w:val="24"/>
              </w:rPr>
              <w:t xml:space="preserve"> </w:t>
            </w:r>
            <w:r>
              <w:rPr>
                <w:rFonts w:ascii="Arial"/>
                <w:b/>
                <w:sz w:val="24"/>
              </w:rPr>
              <w:t>THE</w:t>
            </w:r>
            <w:r>
              <w:rPr>
                <w:rFonts w:ascii="Arial"/>
                <w:b/>
                <w:spacing w:val="-9"/>
                <w:sz w:val="24"/>
              </w:rPr>
              <w:t xml:space="preserve"> </w:t>
            </w:r>
            <w:r>
              <w:rPr>
                <w:rFonts w:ascii="Arial"/>
                <w:b/>
                <w:sz w:val="24"/>
              </w:rPr>
              <w:t>TRANSITION</w:t>
            </w:r>
            <w:r>
              <w:rPr>
                <w:rFonts w:ascii="Arial"/>
                <w:b/>
                <w:spacing w:val="-9"/>
                <w:sz w:val="24"/>
              </w:rPr>
              <w:t xml:space="preserve"> </w:t>
            </w:r>
            <w:r>
              <w:rPr>
                <w:rFonts w:ascii="Arial"/>
                <w:b/>
                <w:sz w:val="24"/>
              </w:rPr>
              <w:t>TO</w:t>
            </w:r>
            <w:r>
              <w:rPr>
                <w:rFonts w:ascii="Arial"/>
                <w:b/>
                <w:spacing w:val="-17"/>
                <w:sz w:val="24"/>
              </w:rPr>
              <w:t xml:space="preserve"> </w:t>
            </w:r>
            <w:r>
              <w:rPr>
                <w:rFonts w:ascii="Arial"/>
                <w:b/>
                <w:sz w:val="24"/>
              </w:rPr>
              <w:t xml:space="preserve">ADULT </w:t>
            </w:r>
            <w:r>
              <w:rPr>
                <w:rFonts w:ascii="Arial"/>
                <w:b/>
                <w:spacing w:val="-2"/>
                <w:sz w:val="24"/>
              </w:rPr>
              <w:t>SERVICES</w:t>
            </w:r>
          </w:p>
        </w:tc>
      </w:tr>
      <w:tr>
        <w:tblPrEx>
          <w:tblW w:w="0" w:type="auto"/>
          <w:tblInd w:w="244" w:type="dxa"/>
          <w:tblLayout w:type="fixed"/>
          <w:tblCellMar>
            <w:left w:w="0" w:type="dxa"/>
            <w:right w:w="0" w:type="dxa"/>
          </w:tblCellMar>
          <w:tblLook w:val="01E0"/>
        </w:tblPrEx>
        <w:trPr>
          <w:trHeight w:val="3035"/>
        </w:trPr>
        <w:tc>
          <w:tcPr>
            <w:tcW w:w="9446" w:type="dxa"/>
          </w:tcPr>
          <w:p w:rsidR="00612801">
            <w:pPr>
              <w:pStyle w:val="TableParagraph"/>
              <w:rPr>
                <w:sz w:val="24"/>
              </w:rPr>
            </w:pPr>
            <w:r>
              <w:rPr>
                <w:rFonts w:ascii="Arial" w:hAnsi="Arial"/>
                <w:b/>
                <w:sz w:val="24"/>
              </w:rPr>
              <w:t>Statement</w:t>
            </w:r>
            <w:r>
              <w:rPr>
                <w:rFonts w:ascii="Arial" w:hAnsi="Arial"/>
                <w:b/>
                <w:spacing w:val="-5"/>
                <w:sz w:val="24"/>
              </w:rPr>
              <w:t xml:space="preserve"> </w:t>
            </w:r>
            <w:r>
              <w:rPr>
                <w:rFonts w:ascii="Arial" w:hAnsi="Arial"/>
                <w:b/>
                <w:sz w:val="24"/>
              </w:rPr>
              <w:t>of</w:t>
            </w:r>
            <w:r>
              <w:rPr>
                <w:rFonts w:ascii="Arial" w:hAnsi="Arial"/>
                <w:b/>
                <w:spacing w:val="-5"/>
                <w:sz w:val="24"/>
              </w:rPr>
              <w:t xml:space="preserve"> </w:t>
            </w:r>
            <w:r>
              <w:rPr>
                <w:rFonts w:ascii="Arial" w:hAnsi="Arial"/>
                <w:b/>
                <w:sz w:val="24"/>
              </w:rPr>
              <w:t>intent</w:t>
            </w:r>
            <w:r>
              <w:rPr>
                <w:rFonts w:ascii="Arial" w:hAnsi="Arial"/>
                <w:b/>
                <w:spacing w:val="-5"/>
                <w:sz w:val="24"/>
              </w:rPr>
              <w:t xml:space="preserve"> </w:t>
            </w:r>
            <w:r>
              <w:rPr>
                <w:rFonts w:ascii="Arial" w:hAnsi="Arial"/>
                <w:b/>
                <w:sz w:val="24"/>
              </w:rPr>
              <w:t>1:</w:t>
            </w:r>
            <w:r>
              <w:rPr>
                <w:rFonts w:ascii="Arial" w:hAnsi="Arial"/>
                <w:b/>
                <w:spacing w:val="-6"/>
                <w:sz w:val="24"/>
              </w:rPr>
              <w:t xml:space="preserve"> </w:t>
            </w:r>
            <w:r>
              <w:rPr>
                <w:sz w:val="24"/>
              </w:rPr>
              <w:t>“Young</w:t>
            </w:r>
            <w:r>
              <w:rPr>
                <w:spacing w:val="-6"/>
                <w:sz w:val="24"/>
              </w:rPr>
              <w:t xml:space="preserve"> </w:t>
            </w:r>
            <w:r>
              <w:rPr>
                <w:sz w:val="24"/>
              </w:rPr>
              <w:t>people</w:t>
            </w:r>
            <w:r>
              <w:rPr>
                <w:spacing w:val="-5"/>
                <w:sz w:val="24"/>
              </w:rPr>
              <w:t xml:space="preserve"> </w:t>
            </w:r>
            <w:r>
              <w:rPr>
                <w:sz w:val="24"/>
              </w:rPr>
              <w:t>who</w:t>
            </w:r>
            <w:r>
              <w:rPr>
                <w:spacing w:val="-5"/>
                <w:sz w:val="24"/>
              </w:rPr>
              <w:t xml:space="preserve"> </w:t>
            </w:r>
            <w:r>
              <w:rPr>
                <w:sz w:val="24"/>
              </w:rPr>
              <w:t>will</w:t>
            </w:r>
            <w:r>
              <w:rPr>
                <w:spacing w:val="-5"/>
                <w:sz w:val="24"/>
              </w:rPr>
              <w:t xml:space="preserve"> </w:t>
            </w:r>
            <w:r>
              <w:rPr>
                <w:sz w:val="24"/>
              </w:rPr>
              <w:t>move</w:t>
            </w:r>
            <w:r>
              <w:rPr>
                <w:spacing w:val="-5"/>
                <w:sz w:val="24"/>
              </w:rPr>
              <w:t xml:space="preserve"> </w:t>
            </w:r>
            <w:r>
              <w:rPr>
                <w:sz w:val="24"/>
              </w:rPr>
              <w:t>from</w:t>
            </w:r>
            <w:r>
              <w:rPr>
                <w:spacing w:val="-5"/>
                <w:sz w:val="24"/>
              </w:rPr>
              <w:t xml:space="preserve"> </w:t>
            </w:r>
            <w:r>
              <w:rPr>
                <w:sz w:val="24"/>
              </w:rPr>
              <w:t>children's</w:t>
            </w:r>
            <w:r>
              <w:rPr>
                <w:spacing w:val="-9"/>
                <w:sz w:val="24"/>
              </w:rPr>
              <w:t xml:space="preserve"> </w:t>
            </w:r>
            <w:r>
              <w:rPr>
                <w:sz w:val="24"/>
              </w:rPr>
              <w:t>to</w:t>
            </w:r>
            <w:r>
              <w:rPr>
                <w:spacing w:val="-4"/>
                <w:sz w:val="24"/>
              </w:rPr>
              <w:t xml:space="preserve"> </w:t>
            </w:r>
            <w:r>
              <w:rPr>
                <w:sz w:val="24"/>
              </w:rPr>
              <w:t>adults'</w:t>
            </w:r>
            <w:r>
              <w:rPr>
                <w:spacing w:val="-5"/>
                <w:sz w:val="24"/>
              </w:rPr>
              <w:t xml:space="preserve"> </w:t>
            </w:r>
            <w:r>
              <w:rPr>
                <w:sz w:val="24"/>
              </w:rPr>
              <w:t>services start planning their transition with health and social care practitioners by school year 9 (aged</w:t>
            </w:r>
            <w:r>
              <w:rPr>
                <w:spacing w:val="-1"/>
                <w:sz w:val="24"/>
              </w:rPr>
              <w:t xml:space="preserve"> </w:t>
            </w:r>
            <w:r>
              <w:rPr>
                <w:sz w:val="24"/>
              </w:rPr>
              <w:t>13</w:t>
            </w:r>
            <w:r>
              <w:rPr>
                <w:spacing w:val="-1"/>
                <w:sz w:val="24"/>
              </w:rPr>
              <w:t xml:space="preserve"> </w:t>
            </w:r>
            <w:r>
              <w:rPr>
                <w:sz w:val="24"/>
              </w:rPr>
              <w:t>to 14 years),</w:t>
            </w:r>
            <w:r>
              <w:rPr>
                <w:spacing w:val="-1"/>
                <w:sz w:val="24"/>
              </w:rPr>
              <w:t xml:space="preserve"> </w:t>
            </w:r>
            <w:r>
              <w:rPr>
                <w:sz w:val="24"/>
              </w:rPr>
              <w:t>or immediately if they</w:t>
            </w:r>
            <w:r>
              <w:rPr>
                <w:spacing w:val="-1"/>
                <w:sz w:val="24"/>
              </w:rPr>
              <w:t xml:space="preserve"> </w:t>
            </w:r>
            <w:r>
              <w:rPr>
                <w:sz w:val="24"/>
              </w:rPr>
              <w:t xml:space="preserve">enter children's services after school year 9”. </w:t>
            </w:r>
            <w:r>
              <w:fldChar w:fldCharType="begin"/>
            </w:r>
            <w:r>
              <w:instrText xml:space="preserve"> HYPERLINK "https://www.nice.org.uk/guidance/qs140/chapter/Quality-statement-1-Planning-transition" </w:instrText>
            </w:r>
            <w:r>
              <w:fldChar w:fldCharType="separate"/>
            </w:r>
            <w:r>
              <w:rPr>
                <w:color w:val="467885"/>
                <w:sz w:val="24"/>
                <w:u w:val="single" w:color="467885"/>
              </w:rPr>
              <w:t>NICE QS140 (1, 2016)</w:t>
            </w:r>
            <w:r>
              <w:fldChar w:fldCharType="end"/>
            </w:r>
          </w:p>
          <w:p w:rsidR="00612801">
            <w:pPr>
              <w:pStyle w:val="TableParagraph"/>
              <w:spacing w:before="255" w:line="270" w:lineRule="atLeast"/>
              <w:rPr>
                <w:sz w:val="24"/>
              </w:rPr>
            </w:pPr>
            <w:r>
              <w:rPr>
                <w:rFonts w:ascii="Arial" w:hAnsi="Arial"/>
                <w:b/>
                <w:sz w:val="24"/>
              </w:rPr>
              <w:t>Statement</w:t>
            </w:r>
            <w:r>
              <w:rPr>
                <w:rFonts w:ascii="Arial" w:hAnsi="Arial"/>
                <w:b/>
                <w:spacing w:val="-4"/>
                <w:sz w:val="24"/>
              </w:rPr>
              <w:t xml:space="preserve"> </w:t>
            </w:r>
            <w:r>
              <w:rPr>
                <w:rFonts w:ascii="Arial" w:hAnsi="Arial"/>
                <w:b/>
                <w:sz w:val="24"/>
              </w:rPr>
              <w:t>of</w:t>
            </w:r>
            <w:r>
              <w:rPr>
                <w:rFonts w:ascii="Arial" w:hAnsi="Arial"/>
                <w:b/>
                <w:spacing w:val="-3"/>
                <w:sz w:val="24"/>
              </w:rPr>
              <w:t xml:space="preserve"> </w:t>
            </w:r>
            <w:r>
              <w:rPr>
                <w:rFonts w:ascii="Arial" w:hAnsi="Arial"/>
                <w:b/>
                <w:sz w:val="24"/>
              </w:rPr>
              <w:t>intent</w:t>
            </w:r>
            <w:r>
              <w:rPr>
                <w:rFonts w:ascii="Arial" w:hAnsi="Arial"/>
                <w:b/>
                <w:spacing w:val="-3"/>
                <w:sz w:val="24"/>
              </w:rPr>
              <w:t xml:space="preserve"> </w:t>
            </w:r>
            <w:r>
              <w:rPr>
                <w:rFonts w:ascii="Arial" w:hAnsi="Arial"/>
                <w:b/>
                <w:sz w:val="24"/>
              </w:rPr>
              <w:t>2:</w:t>
            </w:r>
            <w:r>
              <w:rPr>
                <w:rFonts w:ascii="Arial" w:hAnsi="Arial"/>
                <w:b/>
                <w:spacing w:val="-5"/>
                <w:sz w:val="24"/>
              </w:rPr>
              <w:t xml:space="preserve"> </w:t>
            </w:r>
            <w:r>
              <w:rPr>
                <w:sz w:val="24"/>
              </w:rPr>
              <w:t>Duty</w:t>
            </w:r>
            <w:r>
              <w:rPr>
                <w:spacing w:val="-3"/>
                <w:sz w:val="24"/>
              </w:rPr>
              <w:t xml:space="preserve"> </w:t>
            </w:r>
            <w:r>
              <w:rPr>
                <w:sz w:val="24"/>
              </w:rPr>
              <w:t>for</w:t>
            </w:r>
            <w:r>
              <w:rPr>
                <w:spacing w:val="-3"/>
                <w:sz w:val="24"/>
              </w:rPr>
              <w:t xml:space="preserve"> </w:t>
            </w:r>
            <w:r>
              <w:rPr>
                <w:sz w:val="24"/>
              </w:rPr>
              <w:t>local</w:t>
            </w:r>
            <w:r>
              <w:rPr>
                <w:spacing w:val="-3"/>
                <w:sz w:val="24"/>
              </w:rPr>
              <w:t xml:space="preserve"> </w:t>
            </w:r>
            <w:r>
              <w:rPr>
                <w:sz w:val="24"/>
              </w:rPr>
              <w:t>authorities</w:t>
            </w:r>
            <w:r>
              <w:rPr>
                <w:spacing w:val="-3"/>
                <w:sz w:val="24"/>
              </w:rPr>
              <w:t xml:space="preserve"> </w:t>
            </w:r>
            <w:r>
              <w:rPr>
                <w:sz w:val="24"/>
              </w:rPr>
              <w:t>to</w:t>
            </w:r>
            <w:r>
              <w:rPr>
                <w:spacing w:val="-5"/>
                <w:sz w:val="24"/>
              </w:rPr>
              <w:t xml:space="preserve"> </w:t>
            </w:r>
            <w:r>
              <w:rPr>
                <w:sz w:val="24"/>
              </w:rPr>
              <w:t>assess</w:t>
            </w:r>
            <w:r>
              <w:rPr>
                <w:spacing w:val="-5"/>
                <w:sz w:val="24"/>
              </w:rPr>
              <w:t xml:space="preserve"> </w:t>
            </w:r>
            <w:r>
              <w:rPr>
                <w:sz w:val="24"/>
              </w:rPr>
              <w:t>a</w:t>
            </w:r>
            <w:r>
              <w:rPr>
                <w:spacing w:val="-3"/>
                <w:sz w:val="24"/>
              </w:rPr>
              <w:t xml:space="preserve"> </w:t>
            </w:r>
            <w:r>
              <w:rPr>
                <w:sz w:val="24"/>
              </w:rPr>
              <w:t>child’s</w:t>
            </w:r>
            <w:r>
              <w:rPr>
                <w:spacing w:val="-5"/>
                <w:sz w:val="24"/>
              </w:rPr>
              <w:t xml:space="preserve"> </w:t>
            </w:r>
            <w:r>
              <w:rPr>
                <w:sz w:val="24"/>
              </w:rPr>
              <w:t>needs</w:t>
            </w:r>
            <w:r>
              <w:rPr>
                <w:spacing w:val="-3"/>
                <w:sz w:val="24"/>
              </w:rPr>
              <w:t xml:space="preserve"> </w:t>
            </w:r>
            <w:r>
              <w:rPr>
                <w:sz w:val="24"/>
              </w:rPr>
              <w:t>for</w:t>
            </w:r>
            <w:r>
              <w:rPr>
                <w:spacing w:val="-3"/>
                <w:sz w:val="24"/>
              </w:rPr>
              <w:t xml:space="preserve"> </w:t>
            </w:r>
            <w:r>
              <w:rPr>
                <w:sz w:val="24"/>
              </w:rPr>
              <w:t>care</w:t>
            </w:r>
            <w:r>
              <w:rPr>
                <w:spacing w:val="-3"/>
                <w:sz w:val="24"/>
              </w:rPr>
              <w:t xml:space="preserve"> </w:t>
            </w:r>
            <w:r>
              <w:rPr>
                <w:sz w:val="24"/>
              </w:rPr>
              <w:t xml:space="preserve">and support, where it appears to a local authority that the child is likely to have needs for care and support after turning 18. </w:t>
            </w:r>
            <w:r>
              <w:fldChar w:fldCharType="begin"/>
            </w:r>
            <w:r>
              <w:instrText xml:space="preserve"> HYPERLINK "https://www.legislation.gov.uk/ukpga/2014/23/part/1/crossheading/transition-for-children-to-adult-care-and-support-etc/enacted" </w:instrText>
            </w:r>
            <w:r>
              <w:fldChar w:fldCharType="separate"/>
            </w:r>
            <w:r>
              <w:rPr>
                <w:color w:val="467885"/>
                <w:sz w:val="24"/>
                <w:u w:val="single" w:color="467885"/>
              </w:rPr>
              <w:t>Care</w:t>
            </w:r>
            <w:r>
              <w:rPr>
                <w:color w:val="467885"/>
                <w:spacing w:val="-7"/>
                <w:sz w:val="24"/>
                <w:u w:val="single" w:color="467885"/>
              </w:rPr>
              <w:t xml:space="preserve"> </w:t>
            </w:r>
            <w:r>
              <w:rPr>
                <w:color w:val="467885"/>
                <w:sz w:val="24"/>
                <w:u w:val="single" w:color="467885"/>
              </w:rPr>
              <w:t>Act 2014 (Section 58)</w:t>
            </w:r>
            <w:r>
              <w:fldChar w:fldCharType="end"/>
            </w:r>
            <w:r>
              <w:rPr>
                <w:color w:val="467885"/>
                <w:sz w:val="24"/>
              </w:rPr>
              <w:t xml:space="preserve"> </w:t>
            </w:r>
            <w:r>
              <w:rPr>
                <w:sz w:val="24"/>
              </w:rPr>
              <w:t>Where the child has previously been receiving services, the local authority must continue to provide those services until [adult care and support is in place].</w:t>
            </w:r>
            <w:r>
              <w:rPr>
                <w:spacing w:val="-1"/>
                <w:sz w:val="24"/>
              </w:rPr>
              <w:t xml:space="preserve"> </w:t>
            </w:r>
            <w:r>
              <w:rPr>
                <w:sz w:val="24"/>
              </w:rPr>
              <w:t xml:space="preserve">This is to ensure no gap in provision during the transition to adult care and support. </w:t>
            </w:r>
            <w:r>
              <w:fldChar w:fldCharType="begin"/>
            </w:r>
            <w:r>
              <w:instrText xml:space="preserve"> HYPERLINK "https://www.legislation.gov.uk/ukpga/2014/23/part/1/crossheading/transition-for-children-to-adult-care-and-support-etc/enacted" </w:instrText>
            </w:r>
            <w:r>
              <w:fldChar w:fldCharType="separate"/>
            </w:r>
            <w:r>
              <w:rPr>
                <w:color w:val="467885"/>
                <w:sz w:val="24"/>
                <w:u w:val="single" w:color="467885"/>
              </w:rPr>
              <w:t>Care</w:t>
            </w:r>
            <w:r>
              <w:rPr>
                <w:color w:val="467885"/>
                <w:spacing w:val="-6"/>
                <w:sz w:val="24"/>
                <w:u w:val="single" w:color="467885"/>
              </w:rPr>
              <w:t xml:space="preserve"> </w:t>
            </w:r>
            <w:r>
              <w:rPr>
                <w:color w:val="467885"/>
                <w:sz w:val="24"/>
                <w:u w:val="single" w:color="467885"/>
              </w:rPr>
              <w:t>Act 2014 (Section 66)</w:t>
            </w:r>
            <w:r>
              <w:fldChar w:fldCharType="end"/>
            </w:r>
          </w:p>
        </w:tc>
      </w:tr>
      <w:tr>
        <w:tblPrEx>
          <w:tblW w:w="0" w:type="auto"/>
          <w:tblInd w:w="244" w:type="dxa"/>
          <w:tblLayout w:type="fixed"/>
          <w:tblCellMar>
            <w:left w:w="0" w:type="dxa"/>
            <w:right w:w="0" w:type="dxa"/>
          </w:tblCellMar>
          <w:tblLook w:val="01E0"/>
        </w:tblPrEx>
        <w:trPr>
          <w:trHeight w:val="552"/>
        </w:trPr>
        <w:tc>
          <w:tcPr>
            <w:tcW w:w="9446" w:type="dxa"/>
          </w:tcPr>
          <w:p w:rsidR="00612801">
            <w:pPr>
              <w:pStyle w:val="TableParagraph"/>
              <w:spacing w:line="270" w:lineRule="atLeast"/>
              <w:ind w:right="136"/>
              <w:rPr>
                <w:rFonts w:ascii="Arial"/>
                <w:b/>
                <w:sz w:val="24"/>
              </w:rPr>
            </w:pPr>
            <w:r>
              <w:rPr>
                <w:rFonts w:ascii="Arial"/>
                <w:b/>
                <w:sz w:val="24"/>
              </w:rPr>
              <w:t>FOCUS</w:t>
            </w:r>
            <w:r>
              <w:rPr>
                <w:rFonts w:ascii="Arial"/>
                <w:b/>
                <w:spacing w:val="-13"/>
                <w:sz w:val="24"/>
              </w:rPr>
              <w:t xml:space="preserve"> </w:t>
            </w:r>
            <w:r>
              <w:rPr>
                <w:rFonts w:ascii="Arial"/>
                <w:b/>
                <w:sz w:val="24"/>
              </w:rPr>
              <w:t>AREA</w:t>
            </w:r>
            <w:r>
              <w:rPr>
                <w:rFonts w:ascii="Arial"/>
                <w:b/>
                <w:spacing w:val="-12"/>
                <w:sz w:val="24"/>
              </w:rPr>
              <w:t xml:space="preserve"> </w:t>
            </w:r>
            <w:r>
              <w:rPr>
                <w:rFonts w:ascii="Arial"/>
                <w:b/>
                <w:sz w:val="24"/>
              </w:rPr>
              <w:t>2:</w:t>
            </w:r>
            <w:r>
              <w:rPr>
                <w:rFonts w:ascii="Arial"/>
                <w:b/>
                <w:spacing w:val="-4"/>
                <w:sz w:val="24"/>
              </w:rPr>
              <w:t xml:space="preserve"> </w:t>
            </w:r>
            <w:r>
              <w:rPr>
                <w:rFonts w:ascii="Arial"/>
                <w:b/>
                <w:sz w:val="24"/>
              </w:rPr>
              <w:t>EFFECTIVENESS</w:t>
            </w:r>
            <w:r>
              <w:rPr>
                <w:rFonts w:ascii="Arial"/>
                <w:b/>
                <w:spacing w:val="-6"/>
                <w:sz w:val="24"/>
              </w:rPr>
              <w:t xml:space="preserve"> </w:t>
            </w:r>
            <w:r>
              <w:rPr>
                <w:rFonts w:ascii="Arial"/>
                <w:b/>
                <w:sz w:val="24"/>
              </w:rPr>
              <w:t>OF</w:t>
            </w:r>
            <w:r>
              <w:rPr>
                <w:rFonts w:ascii="Arial"/>
                <w:b/>
                <w:spacing w:val="-4"/>
                <w:sz w:val="24"/>
              </w:rPr>
              <w:t xml:space="preserve"> </w:t>
            </w:r>
            <w:r>
              <w:rPr>
                <w:rFonts w:ascii="Arial"/>
                <w:b/>
                <w:sz w:val="24"/>
              </w:rPr>
              <w:t>THE</w:t>
            </w:r>
            <w:r>
              <w:rPr>
                <w:rFonts w:ascii="Arial"/>
                <w:b/>
                <w:spacing w:val="-4"/>
                <w:sz w:val="24"/>
              </w:rPr>
              <w:t xml:space="preserve"> </w:t>
            </w:r>
            <w:r>
              <w:rPr>
                <w:rFonts w:ascii="Arial"/>
                <w:b/>
                <w:sz w:val="24"/>
              </w:rPr>
              <w:t>TRANSITION</w:t>
            </w:r>
            <w:r>
              <w:rPr>
                <w:rFonts w:ascii="Arial"/>
                <w:b/>
                <w:spacing w:val="-4"/>
                <w:sz w:val="24"/>
              </w:rPr>
              <w:t xml:space="preserve"> </w:t>
            </w:r>
            <w:r>
              <w:rPr>
                <w:rFonts w:ascii="Arial"/>
                <w:b/>
                <w:sz w:val="24"/>
              </w:rPr>
              <w:t>PROCESS</w:t>
            </w:r>
            <w:r>
              <w:rPr>
                <w:rFonts w:ascii="Arial"/>
                <w:b/>
                <w:spacing w:val="-13"/>
                <w:sz w:val="24"/>
              </w:rPr>
              <w:t xml:space="preserve"> </w:t>
            </w:r>
            <w:r>
              <w:rPr>
                <w:rFonts w:ascii="Arial"/>
                <w:b/>
                <w:sz w:val="24"/>
              </w:rPr>
              <w:t>AND</w:t>
            </w:r>
            <w:r>
              <w:rPr>
                <w:rFonts w:ascii="Arial"/>
                <w:b/>
                <w:spacing w:val="-4"/>
                <w:sz w:val="24"/>
              </w:rPr>
              <w:t xml:space="preserve"> </w:t>
            </w:r>
            <w:r>
              <w:rPr>
                <w:rFonts w:ascii="Arial"/>
                <w:b/>
                <w:sz w:val="24"/>
              </w:rPr>
              <w:t>CROSS-SERVICE COORDINATION</w:t>
            </w:r>
          </w:p>
        </w:tc>
      </w:tr>
      <w:tr>
        <w:tblPrEx>
          <w:tblW w:w="0" w:type="auto"/>
          <w:tblInd w:w="244" w:type="dxa"/>
          <w:tblLayout w:type="fixed"/>
          <w:tblCellMar>
            <w:left w:w="0" w:type="dxa"/>
            <w:right w:w="0" w:type="dxa"/>
          </w:tblCellMar>
          <w:tblLook w:val="01E0"/>
        </w:tblPrEx>
        <w:trPr>
          <w:trHeight w:val="3983"/>
        </w:trPr>
        <w:tc>
          <w:tcPr>
            <w:tcW w:w="9446" w:type="dxa"/>
          </w:tcPr>
          <w:p w:rsidR="00612801">
            <w:pPr>
              <w:pStyle w:val="TableParagraph"/>
              <w:spacing w:before="2"/>
              <w:rPr>
                <w:sz w:val="24"/>
              </w:rPr>
            </w:pPr>
            <w:r>
              <w:rPr>
                <w:rFonts w:ascii="Arial"/>
                <w:b/>
                <w:sz w:val="24"/>
              </w:rPr>
              <w:t>Statement of intent 1</w:t>
            </w:r>
            <w:r>
              <w:rPr>
                <w:sz w:val="24"/>
              </w:rPr>
              <w:t xml:space="preserve">: Jointly plan services for all young people making a transition from </w:t>
            </w:r>
            <w:r>
              <w:rPr>
                <w:sz w:val="24"/>
              </w:rPr>
              <w:t>children's</w:t>
            </w:r>
            <w:r>
              <w:rPr>
                <w:sz w:val="24"/>
              </w:rPr>
              <w:t xml:space="preserve"> to adults' services. For young people with education, health and care plans,</w:t>
            </w:r>
            <w:r>
              <w:rPr>
                <w:spacing w:val="-4"/>
                <w:sz w:val="24"/>
              </w:rPr>
              <w:t xml:space="preserve"> </w:t>
            </w:r>
            <w:r>
              <w:rPr>
                <w:sz w:val="24"/>
              </w:rPr>
              <w:t>local</w:t>
            </w:r>
            <w:r>
              <w:rPr>
                <w:spacing w:val="-4"/>
                <w:sz w:val="24"/>
              </w:rPr>
              <w:t xml:space="preserve"> </w:t>
            </w:r>
            <w:r>
              <w:rPr>
                <w:sz w:val="24"/>
              </w:rPr>
              <w:t>authorities</w:t>
            </w:r>
            <w:r>
              <w:rPr>
                <w:spacing w:val="-6"/>
                <w:sz w:val="24"/>
              </w:rPr>
              <w:t xml:space="preserve"> </w:t>
            </w:r>
            <w:r>
              <w:rPr>
                <w:sz w:val="24"/>
              </w:rPr>
              <w:t>and</w:t>
            </w:r>
            <w:r>
              <w:rPr>
                <w:spacing w:val="-6"/>
                <w:sz w:val="24"/>
              </w:rPr>
              <w:t xml:space="preserve"> </w:t>
            </w:r>
            <w:r>
              <w:rPr>
                <w:sz w:val="24"/>
              </w:rPr>
              <w:t>health</w:t>
            </w:r>
            <w:r>
              <w:rPr>
                <w:spacing w:val="-4"/>
                <w:sz w:val="24"/>
              </w:rPr>
              <w:t xml:space="preserve"> </w:t>
            </w:r>
            <w:r>
              <w:rPr>
                <w:sz w:val="24"/>
              </w:rPr>
              <w:t>commissioners must</w:t>
            </w:r>
            <w:r>
              <w:rPr>
                <w:spacing w:val="-3"/>
                <w:sz w:val="24"/>
              </w:rPr>
              <w:t xml:space="preserve"> </w:t>
            </w:r>
            <w:r>
              <w:rPr>
                <w:sz w:val="24"/>
              </w:rPr>
              <w:t>jointly</w:t>
            </w:r>
            <w:r>
              <w:rPr>
                <w:spacing w:val="-4"/>
                <w:sz w:val="24"/>
              </w:rPr>
              <w:t xml:space="preserve"> </w:t>
            </w:r>
            <w:r>
              <w:rPr>
                <w:sz w:val="24"/>
              </w:rPr>
              <w:t>commission</w:t>
            </w:r>
            <w:r>
              <w:rPr>
                <w:spacing w:val="-4"/>
                <w:sz w:val="24"/>
              </w:rPr>
              <w:t xml:space="preserve"> </w:t>
            </w:r>
            <w:r>
              <w:rPr>
                <w:sz w:val="24"/>
              </w:rPr>
              <w:t>services,</w:t>
            </w:r>
            <w:r>
              <w:rPr>
                <w:spacing w:val="-6"/>
                <w:sz w:val="24"/>
              </w:rPr>
              <w:t xml:space="preserve"> </w:t>
            </w:r>
            <w:r>
              <w:rPr>
                <w:sz w:val="24"/>
              </w:rPr>
              <w:t xml:space="preserve">as per the </w:t>
            </w:r>
            <w:r>
              <w:fldChar w:fldCharType="begin"/>
            </w:r>
            <w:r>
              <w:instrText xml:space="preserve"> HYPERLINK "http://www.legislation.gov.uk/ukpga/2014/6/contents/enacted" </w:instrText>
            </w:r>
            <w:r>
              <w:fldChar w:fldCharType="separate"/>
            </w:r>
            <w:r>
              <w:rPr>
                <w:color w:val="0000FF"/>
                <w:sz w:val="24"/>
                <w:u w:val="single" w:color="0000FF"/>
              </w:rPr>
              <w:t>Children and Families</w:t>
            </w:r>
            <w:r>
              <w:rPr>
                <w:color w:val="0000FF"/>
                <w:spacing w:val="-4"/>
                <w:sz w:val="24"/>
                <w:u w:val="single" w:color="0000FF"/>
              </w:rPr>
              <w:t xml:space="preserve"> </w:t>
            </w:r>
            <w:r>
              <w:rPr>
                <w:color w:val="0000FF"/>
                <w:sz w:val="24"/>
                <w:u w:val="single" w:color="0000FF"/>
              </w:rPr>
              <w:t>Act 2014</w:t>
            </w:r>
            <w:r>
              <w:rPr>
                <w:sz w:val="24"/>
              </w:rPr>
              <w:t>.</w:t>
            </w:r>
            <w:r>
              <w:fldChar w:fldCharType="end"/>
            </w:r>
            <w:r>
              <w:rPr>
                <w:sz w:val="24"/>
              </w:rPr>
              <w:t xml:space="preserve"> </w:t>
            </w:r>
            <w:r>
              <w:fldChar w:fldCharType="begin"/>
            </w:r>
            <w:r>
              <w:instrText xml:space="preserve"> HYPERLINK "https://www.nice.org.uk/guidance/ng43/chapter/Recommendations" \l "supporting-infrastructure" </w:instrText>
            </w:r>
            <w:r>
              <w:fldChar w:fldCharType="separate"/>
            </w:r>
            <w:r>
              <w:rPr>
                <w:color w:val="0000FF"/>
                <w:sz w:val="24"/>
                <w:u w:val="single" w:color="0000FF"/>
              </w:rPr>
              <w:t>NICE NG43 (1.5.9, 2016)</w:t>
            </w:r>
            <w:r>
              <w:fldChar w:fldCharType="end"/>
            </w:r>
          </w:p>
          <w:p w:rsidR="00612801">
            <w:pPr>
              <w:pStyle w:val="TableParagraph"/>
              <w:spacing w:before="120"/>
              <w:ind w:right="157"/>
              <w:rPr>
                <w:sz w:val="24"/>
              </w:rPr>
            </w:pPr>
            <w:r>
              <w:rPr>
                <w:rFonts w:ascii="Arial"/>
                <w:b/>
                <w:sz w:val="24"/>
              </w:rPr>
              <w:t xml:space="preserve">Statement of intent 2: </w:t>
            </w:r>
            <w:r>
              <w:rPr>
                <w:sz w:val="24"/>
              </w:rPr>
              <w:t>Carry out a gap analysis to identify and respond to the needs of young people who have been receiving support from children's services, including child and adolescent mental health services, but who are not able to get support from adult services. The gap analysis should inform local planning and commissioning of services. When carrying out the gap analysis: take into account resources already available in primary care practices; include young people who don't meet eligibility criteria</w:t>
            </w:r>
            <w:r>
              <w:rPr>
                <w:spacing w:val="-3"/>
                <w:sz w:val="24"/>
              </w:rPr>
              <w:t xml:space="preserve"> </w:t>
            </w:r>
            <w:r>
              <w:rPr>
                <w:sz w:val="24"/>
              </w:rPr>
              <w:t>for</w:t>
            </w:r>
            <w:r>
              <w:rPr>
                <w:spacing w:val="-3"/>
                <w:sz w:val="24"/>
              </w:rPr>
              <w:t xml:space="preserve"> </w:t>
            </w:r>
            <w:r>
              <w:rPr>
                <w:sz w:val="24"/>
              </w:rPr>
              <w:t>support</w:t>
            </w:r>
            <w:r>
              <w:rPr>
                <w:spacing w:val="-6"/>
                <w:sz w:val="24"/>
              </w:rPr>
              <w:t xml:space="preserve"> </w:t>
            </w:r>
            <w:r>
              <w:rPr>
                <w:sz w:val="24"/>
              </w:rPr>
              <w:t>from</w:t>
            </w:r>
            <w:r>
              <w:rPr>
                <w:spacing w:val="-4"/>
                <w:sz w:val="24"/>
              </w:rPr>
              <w:t xml:space="preserve"> </w:t>
            </w:r>
            <w:r>
              <w:rPr>
                <w:sz w:val="24"/>
              </w:rPr>
              <w:t>adul</w:t>
            </w:r>
            <w:r>
              <w:rPr>
                <w:sz w:val="24"/>
              </w:rPr>
              <w:t>ts'</w:t>
            </w:r>
            <w:r>
              <w:rPr>
                <w:spacing w:val="-3"/>
                <w:sz w:val="24"/>
              </w:rPr>
              <w:t xml:space="preserve"> </w:t>
            </w:r>
            <w:r>
              <w:rPr>
                <w:sz w:val="24"/>
              </w:rPr>
              <w:t>services</w:t>
            </w:r>
            <w:r>
              <w:rPr>
                <w:spacing w:val="-3"/>
                <w:sz w:val="24"/>
              </w:rPr>
              <w:t xml:space="preserve"> </w:t>
            </w:r>
            <w:r>
              <w:rPr>
                <w:sz w:val="24"/>
              </w:rPr>
              <w:t>and</w:t>
            </w:r>
            <w:r>
              <w:rPr>
                <w:spacing w:val="-5"/>
                <w:sz w:val="24"/>
              </w:rPr>
              <w:t xml:space="preserve"> </w:t>
            </w:r>
            <w:r>
              <w:rPr>
                <w:sz w:val="24"/>
              </w:rPr>
              <w:t>those</w:t>
            </w:r>
            <w:r>
              <w:rPr>
                <w:spacing w:val="-5"/>
                <w:sz w:val="24"/>
              </w:rPr>
              <w:t xml:space="preserve"> </w:t>
            </w:r>
            <w:r>
              <w:rPr>
                <w:sz w:val="24"/>
              </w:rPr>
              <w:t>for</w:t>
            </w:r>
            <w:r>
              <w:rPr>
                <w:spacing w:val="-3"/>
                <w:sz w:val="24"/>
              </w:rPr>
              <w:t xml:space="preserve"> </w:t>
            </w:r>
            <w:r>
              <w:rPr>
                <w:sz w:val="24"/>
              </w:rPr>
              <w:t>whom</w:t>
            </w:r>
            <w:r>
              <w:rPr>
                <w:spacing w:val="-4"/>
                <w:sz w:val="24"/>
              </w:rPr>
              <w:t xml:space="preserve"> </w:t>
            </w:r>
            <w:r>
              <w:rPr>
                <w:sz w:val="24"/>
              </w:rPr>
              <w:t>services</w:t>
            </w:r>
            <w:r>
              <w:rPr>
                <w:spacing w:val="-3"/>
                <w:sz w:val="24"/>
              </w:rPr>
              <w:t xml:space="preserve"> </w:t>
            </w:r>
            <w:r>
              <w:rPr>
                <w:sz w:val="24"/>
              </w:rPr>
              <w:t>are</w:t>
            </w:r>
            <w:r>
              <w:rPr>
                <w:spacing w:val="-5"/>
                <w:sz w:val="24"/>
              </w:rPr>
              <w:t xml:space="preserve"> </w:t>
            </w:r>
            <w:r>
              <w:rPr>
                <w:sz w:val="24"/>
              </w:rPr>
              <w:t>not</w:t>
            </w:r>
            <w:r>
              <w:rPr>
                <w:spacing w:val="-5"/>
                <w:sz w:val="24"/>
              </w:rPr>
              <w:t xml:space="preserve"> </w:t>
            </w:r>
            <w:r>
              <w:rPr>
                <w:sz w:val="24"/>
              </w:rPr>
              <w:t>available for</w:t>
            </w:r>
            <w:r>
              <w:rPr>
                <w:spacing w:val="-1"/>
                <w:sz w:val="24"/>
              </w:rPr>
              <w:t xml:space="preserve"> </w:t>
            </w:r>
            <w:r>
              <w:rPr>
                <w:sz w:val="24"/>
              </w:rPr>
              <w:t>another</w:t>
            </w:r>
            <w:r>
              <w:rPr>
                <w:spacing w:val="-1"/>
                <w:sz w:val="24"/>
              </w:rPr>
              <w:t xml:space="preserve"> </w:t>
            </w:r>
            <w:r>
              <w:rPr>
                <w:sz w:val="24"/>
              </w:rPr>
              <w:t>reason;</w:t>
            </w:r>
            <w:r>
              <w:rPr>
                <w:spacing w:val="-3"/>
                <w:sz w:val="24"/>
              </w:rPr>
              <w:t xml:space="preserve"> </w:t>
            </w:r>
            <w:r>
              <w:rPr>
                <w:sz w:val="24"/>
              </w:rPr>
              <w:t>pay</w:t>
            </w:r>
            <w:r>
              <w:rPr>
                <w:spacing w:val="-1"/>
                <w:sz w:val="24"/>
              </w:rPr>
              <w:t xml:space="preserve"> </w:t>
            </w:r>
            <w:r>
              <w:rPr>
                <w:sz w:val="24"/>
              </w:rPr>
              <w:t>particular</w:t>
            </w:r>
            <w:r>
              <w:rPr>
                <w:spacing w:val="-1"/>
                <w:sz w:val="24"/>
              </w:rPr>
              <w:t xml:space="preserve"> </w:t>
            </w:r>
            <w:r>
              <w:rPr>
                <w:sz w:val="24"/>
              </w:rPr>
              <w:t>attention</w:t>
            </w:r>
            <w:r>
              <w:rPr>
                <w:spacing w:val="-3"/>
                <w:sz w:val="24"/>
              </w:rPr>
              <w:t xml:space="preserve"> </w:t>
            </w:r>
            <w:r>
              <w:rPr>
                <w:sz w:val="24"/>
              </w:rPr>
              <w:t>to</w:t>
            </w:r>
            <w:r>
              <w:rPr>
                <w:spacing w:val="-3"/>
                <w:sz w:val="24"/>
              </w:rPr>
              <w:t xml:space="preserve"> </w:t>
            </w:r>
            <w:r>
              <w:rPr>
                <w:sz w:val="24"/>
              </w:rPr>
              <w:t>young</w:t>
            </w:r>
            <w:r>
              <w:rPr>
                <w:spacing w:val="-1"/>
                <w:sz w:val="24"/>
              </w:rPr>
              <w:t xml:space="preserve"> </w:t>
            </w:r>
            <w:r>
              <w:rPr>
                <w:sz w:val="24"/>
              </w:rPr>
              <w:t>people:</w:t>
            </w:r>
            <w:r>
              <w:rPr>
                <w:spacing w:val="-1"/>
                <w:sz w:val="24"/>
              </w:rPr>
              <w:t xml:space="preserve"> </w:t>
            </w:r>
            <w:r>
              <w:rPr>
                <w:sz w:val="24"/>
              </w:rPr>
              <w:t>with</w:t>
            </w:r>
            <w:r>
              <w:rPr>
                <w:spacing w:val="-2"/>
                <w:sz w:val="24"/>
              </w:rPr>
              <w:t xml:space="preserve"> </w:t>
            </w:r>
            <w:r>
              <w:rPr>
                <w:sz w:val="24"/>
              </w:rPr>
              <w:t>neurodevelopmental disorders,</w:t>
            </w:r>
            <w:r>
              <w:rPr>
                <w:spacing w:val="-9"/>
                <w:sz w:val="24"/>
              </w:rPr>
              <w:t xml:space="preserve"> </w:t>
            </w:r>
            <w:r>
              <w:rPr>
                <w:sz w:val="24"/>
              </w:rPr>
              <w:t>with</w:t>
            </w:r>
            <w:r>
              <w:rPr>
                <w:spacing w:val="-5"/>
                <w:sz w:val="24"/>
              </w:rPr>
              <w:t xml:space="preserve"> </w:t>
            </w:r>
            <w:r>
              <w:rPr>
                <w:sz w:val="24"/>
              </w:rPr>
              <w:t>cerebral</w:t>
            </w:r>
            <w:r>
              <w:rPr>
                <w:spacing w:val="-6"/>
                <w:sz w:val="24"/>
              </w:rPr>
              <w:t xml:space="preserve"> </w:t>
            </w:r>
            <w:r>
              <w:rPr>
                <w:sz w:val="24"/>
              </w:rPr>
              <w:t>palsy,</w:t>
            </w:r>
            <w:r>
              <w:rPr>
                <w:spacing w:val="-6"/>
                <w:sz w:val="24"/>
              </w:rPr>
              <w:t xml:space="preserve"> </w:t>
            </w:r>
            <w:r>
              <w:rPr>
                <w:sz w:val="24"/>
              </w:rPr>
              <w:t>with</w:t>
            </w:r>
            <w:r>
              <w:rPr>
                <w:spacing w:val="-6"/>
                <w:sz w:val="24"/>
              </w:rPr>
              <w:t xml:space="preserve"> </w:t>
            </w:r>
            <w:r>
              <w:rPr>
                <w:sz w:val="24"/>
              </w:rPr>
              <w:t>challenging</w:t>
            </w:r>
            <w:r>
              <w:rPr>
                <w:spacing w:val="-6"/>
                <w:sz w:val="24"/>
              </w:rPr>
              <w:t xml:space="preserve"> </w:t>
            </w:r>
            <w:r>
              <w:rPr>
                <w:sz w:val="24"/>
              </w:rPr>
              <w:t>behaviour</w:t>
            </w:r>
            <w:r>
              <w:rPr>
                <w:sz w:val="24"/>
              </w:rPr>
              <w:t>,</w:t>
            </w:r>
            <w:r>
              <w:rPr>
                <w:spacing w:val="-8"/>
                <w:sz w:val="24"/>
              </w:rPr>
              <w:t xml:space="preserve"> </w:t>
            </w:r>
            <w:r>
              <w:rPr>
                <w:sz w:val="24"/>
              </w:rPr>
              <w:t>or</w:t>
            </w:r>
            <w:r>
              <w:rPr>
                <w:spacing w:val="-6"/>
                <w:sz w:val="24"/>
              </w:rPr>
              <w:t xml:space="preserve"> </w:t>
            </w:r>
            <w:r>
              <w:rPr>
                <w:sz w:val="24"/>
              </w:rPr>
              <w:t>who</w:t>
            </w:r>
            <w:r>
              <w:rPr>
                <w:spacing w:val="-7"/>
                <w:sz w:val="24"/>
              </w:rPr>
              <w:t xml:space="preserve"> </w:t>
            </w:r>
            <w:r>
              <w:rPr>
                <w:sz w:val="24"/>
              </w:rPr>
              <w:t>are</w:t>
            </w:r>
            <w:r>
              <w:rPr>
                <w:spacing w:val="-6"/>
                <w:sz w:val="24"/>
              </w:rPr>
              <w:t xml:space="preserve"> </w:t>
            </w:r>
            <w:r>
              <w:rPr>
                <w:sz w:val="24"/>
              </w:rPr>
              <w:t>being</w:t>
            </w:r>
            <w:r>
              <w:rPr>
                <w:spacing w:val="-6"/>
                <w:sz w:val="24"/>
              </w:rPr>
              <w:t xml:space="preserve"> </w:t>
            </w:r>
            <w:r>
              <w:rPr>
                <w:spacing w:val="-2"/>
                <w:sz w:val="24"/>
              </w:rPr>
              <w:t>supported</w:t>
            </w:r>
          </w:p>
          <w:p w:rsidR="00612801">
            <w:pPr>
              <w:pStyle w:val="TableParagraph"/>
              <w:spacing w:line="254" w:lineRule="exact"/>
              <w:rPr>
                <w:sz w:val="24"/>
              </w:rPr>
            </w:pPr>
            <w:r>
              <w:rPr>
                <w:sz w:val="24"/>
              </w:rPr>
              <w:t>with</w:t>
            </w:r>
            <w:r>
              <w:rPr>
                <w:spacing w:val="-3"/>
                <w:sz w:val="24"/>
              </w:rPr>
              <w:t xml:space="preserve"> </w:t>
            </w:r>
            <w:r>
              <w:rPr>
                <w:sz w:val="24"/>
              </w:rPr>
              <w:t>palliative</w:t>
            </w:r>
            <w:r>
              <w:rPr>
                <w:spacing w:val="-3"/>
                <w:sz w:val="24"/>
              </w:rPr>
              <w:t xml:space="preserve"> </w:t>
            </w:r>
            <w:r>
              <w:rPr>
                <w:sz w:val="24"/>
              </w:rPr>
              <w:t>care.</w:t>
            </w:r>
            <w:r>
              <w:rPr>
                <w:spacing w:val="-2"/>
                <w:sz w:val="24"/>
              </w:rPr>
              <w:t xml:space="preserve"> </w:t>
            </w:r>
            <w:r>
              <w:fldChar w:fldCharType="begin"/>
            </w:r>
            <w:r>
              <w:instrText xml:space="preserve"> HYPERLINK "https://www.nice.org.uk/guidance/ng43/chapter/Recommendations" \l "supporting-infrastructure" </w:instrText>
            </w:r>
            <w:r>
              <w:fldChar w:fldCharType="separate"/>
            </w:r>
            <w:r>
              <w:rPr>
                <w:color w:val="0000FF"/>
                <w:sz w:val="24"/>
                <w:u w:val="single" w:color="0000FF"/>
              </w:rPr>
              <w:t>NICE</w:t>
            </w:r>
            <w:r>
              <w:rPr>
                <w:color w:val="0000FF"/>
                <w:spacing w:val="-3"/>
                <w:sz w:val="24"/>
                <w:u w:val="single" w:color="0000FF"/>
              </w:rPr>
              <w:t xml:space="preserve"> </w:t>
            </w:r>
            <w:r>
              <w:rPr>
                <w:color w:val="0000FF"/>
                <w:sz w:val="24"/>
                <w:u w:val="single" w:color="0000FF"/>
              </w:rPr>
              <w:t>NG43</w:t>
            </w:r>
            <w:r>
              <w:rPr>
                <w:color w:val="0000FF"/>
                <w:spacing w:val="-3"/>
                <w:sz w:val="24"/>
                <w:u w:val="single" w:color="0000FF"/>
              </w:rPr>
              <w:t xml:space="preserve"> </w:t>
            </w:r>
            <w:r>
              <w:rPr>
                <w:color w:val="0000FF"/>
                <w:sz w:val="24"/>
                <w:u w:val="single" w:color="0000FF"/>
              </w:rPr>
              <w:t>(1.5.7-8,</w:t>
            </w:r>
            <w:r>
              <w:rPr>
                <w:color w:val="0000FF"/>
                <w:spacing w:val="-2"/>
                <w:sz w:val="24"/>
                <w:u w:val="single" w:color="0000FF"/>
              </w:rPr>
              <w:t xml:space="preserve"> </w:t>
            </w:r>
            <w:r>
              <w:rPr>
                <w:color w:val="0000FF"/>
                <w:spacing w:val="-4"/>
                <w:sz w:val="24"/>
                <w:u w:val="single" w:color="0000FF"/>
              </w:rPr>
              <w:t>2016)</w:t>
            </w:r>
            <w:r>
              <w:fldChar w:fldCharType="end"/>
            </w:r>
          </w:p>
        </w:tc>
      </w:tr>
      <w:tr>
        <w:tblPrEx>
          <w:tblW w:w="0" w:type="auto"/>
          <w:tblInd w:w="244" w:type="dxa"/>
          <w:tblLayout w:type="fixed"/>
          <w:tblCellMar>
            <w:left w:w="0" w:type="dxa"/>
            <w:right w:w="0" w:type="dxa"/>
          </w:tblCellMar>
          <w:tblLook w:val="01E0"/>
        </w:tblPrEx>
        <w:trPr>
          <w:trHeight w:val="553"/>
        </w:trPr>
        <w:tc>
          <w:tcPr>
            <w:tcW w:w="9446" w:type="dxa"/>
          </w:tcPr>
          <w:p w:rsidR="00612801">
            <w:pPr>
              <w:pStyle w:val="TableParagraph"/>
              <w:spacing w:line="270" w:lineRule="atLeast"/>
              <w:rPr>
                <w:rFonts w:ascii="Arial"/>
                <w:b/>
                <w:sz w:val="24"/>
              </w:rPr>
            </w:pPr>
            <w:r>
              <w:rPr>
                <w:rFonts w:ascii="Arial"/>
                <w:b/>
                <w:sz w:val="24"/>
              </w:rPr>
              <w:t>FOCUS</w:t>
            </w:r>
            <w:r>
              <w:rPr>
                <w:rFonts w:ascii="Arial"/>
                <w:b/>
                <w:spacing w:val="-16"/>
                <w:sz w:val="24"/>
              </w:rPr>
              <w:t xml:space="preserve"> </w:t>
            </w:r>
            <w:r>
              <w:rPr>
                <w:rFonts w:ascii="Arial"/>
                <w:b/>
                <w:sz w:val="24"/>
              </w:rPr>
              <w:t>AREA</w:t>
            </w:r>
            <w:r>
              <w:rPr>
                <w:rFonts w:ascii="Arial"/>
                <w:b/>
                <w:spacing w:val="-15"/>
                <w:sz w:val="24"/>
              </w:rPr>
              <w:t xml:space="preserve"> </w:t>
            </w:r>
            <w:r>
              <w:rPr>
                <w:rFonts w:ascii="Arial"/>
                <w:b/>
                <w:sz w:val="24"/>
              </w:rPr>
              <w:t>3:</w:t>
            </w:r>
            <w:r>
              <w:rPr>
                <w:rFonts w:ascii="Arial"/>
                <w:b/>
                <w:spacing w:val="-8"/>
                <w:sz w:val="24"/>
              </w:rPr>
              <w:t xml:space="preserve"> </w:t>
            </w:r>
            <w:r>
              <w:rPr>
                <w:rFonts w:ascii="Arial"/>
                <w:b/>
                <w:sz w:val="24"/>
              </w:rPr>
              <w:t>MEANINGFUL</w:t>
            </w:r>
            <w:r>
              <w:rPr>
                <w:rFonts w:ascii="Arial"/>
                <w:b/>
                <w:spacing w:val="-12"/>
                <w:sz w:val="24"/>
              </w:rPr>
              <w:t xml:space="preserve"> </w:t>
            </w:r>
            <w:r>
              <w:rPr>
                <w:rFonts w:ascii="Arial"/>
                <w:b/>
                <w:sz w:val="24"/>
              </w:rPr>
              <w:t>INVOLVEMENT</w:t>
            </w:r>
            <w:r>
              <w:rPr>
                <w:rFonts w:ascii="Arial"/>
                <w:b/>
                <w:spacing w:val="-9"/>
                <w:sz w:val="24"/>
              </w:rPr>
              <w:t xml:space="preserve"> </w:t>
            </w:r>
            <w:r>
              <w:rPr>
                <w:rFonts w:ascii="Arial"/>
                <w:b/>
                <w:sz w:val="24"/>
              </w:rPr>
              <w:t>OF</w:t>
            </w:r>
            <w:r>
              <w:rPr>
                <w:rFonts w:ascii="Arial"/>
                <w:b/>
                <w:spacing w:val="-8"/>
                <w:sz w:val="24"/>
              </w:rPr>
              <w:t xml:space="preserve"> </w:t>
            </w:r>
            <w:r>
              <w:rPr>
                <w:rFonts w:ascii="Arial"/>
                <w:b/>
                <w:sz w:val="24"/>
              </w:rPr>
              <w:t>CHILDREN,</w:t>
            </w:r>
            <w:r>
              <w:rPr>
                <w:rFonts w:ascii="Arial"/>
                <w:b/>
                <w:spacing w:val="-12"/>
                <w:sz w:val="24"/>
              </w:rPr>
              <w:t xml:space="preserve"> </w:t>
            </w:r>
            <w:r>
              <w:rPr>
                <w:rFonts w:ascii="Arial"/>
                <w:b/>
                <w:sz w:val="24"/>
              </w:rPr>
              <w:t>YOUNG</w:t>
            </w:r>
            <w:r>
              <w:rPr>
                <w:rFonts w:ascii="Arial"/>
                <w:b/>
                <w:spacing w:val="-8"/>
                <w:sz w:val="24"/>
              </w:rPr>
              <w:t xml:space="preserve"> </w:t>
            </w:r>
            <w:r>
              <w:rPr>
                <w:rFonts w:ascii="Arial"/>
                <w:b/>
                <w:sz w:val="24"/>
              </w:rPr>
              <w:t>PEOPLE AND THEIR CARERS</w:t>
            </w:r>
          </w:p>
        </w:tc>
      </w:tr>
      <w:tr>
        <w:tblPrEx>
          <w:tblW w:w="0" w:type="auto"/>
          <w:tblInd w:w="244" w:type="dxa"/>
          <w:tblLayout w:type="fixed"/>
          <w:tblCellMar>
            <w:left w:w="0" w:type="dxa"/>
            <w:right w:w="0" w:type="dxa"/>
          </w:tblCellMar>
          <w:tblLook w:val="01E0"/>
        </w:tblPrEx>
        <w:trPr>
          <w:trHeight w:val="3828"/>
        </w:trPr>
        <w:tc>
          <w:tcPr>
            <w:tcW w:w="9446" w:type="dxa"/>
          </w:tcPr>
          <w:p w:rsidR="00612801">
            <w:pPr>
              <w:pStyle w:val="TableParagraph"/>
              <w:rPr>
                <w:sz w:val="24"/>
              </w:rPr>
            </w:pPr>
            <w:r>
              <w:rPr>
                <w:rFonts w:ascii="Arial"/>
                <w:b/>
                <w:sz w:val="24"/>
              </w:rPr>
              <w:t>Statement</w:t>
            </w:r>
            <w:r>
              <w:rPr>
                <w:rFonts w:ascii="Arial"/>
                <w:b/>
                <w:spacing w:val="-5"/>
                <w:sz w:val="24"/>
              </w:rPr>
              <w:t xml:space="preserve"> </w:t>
            </w:r>
            <w:r>
              <w:rPr>
                <w:rFonts w:ascii="Arial"/>
                <w:b/>
                <w:sz w:val="24"/>
              </w:rPr>
              <w:t>of</w:t>
            </w:r>
            <w:r>
              <w:rPr>
                <w:rFonts w:ascii="Arial"/>
                <w:b/>
                <w:spacing w:val="-3"/>
                <w:sz w:val="24"/>
              </w:rPr>
              <w:t xml:space="preserve"> </w:t>
            </w:r>
            <w:r>
              <w:rPr>
                <w:rFonts w:ascii="Arial"/>
                <w:b/>
                <w:sz w:val="24"/>
              </w:rPr>
              <w:t>intent</w:t>
            </w:r>
            <w:r>
              <w:rPr>
                <w:rFonts w:ascii="Arial"/>
                <w:b/>
                <w:spacing w:val="-3"/>
                <w:sz w:val="24"/>
              </w:rPr>
              <w:t xml:space="preserve"> </w:t>
            </w:r>
            <w:r>
              <w:rPr>
                <w:rFonts w:ascii="Arial"/>
                <w:b/>
                <w:sz w:val="24"/>
              </w:rPr>
              <w:t>1</w:t>
            </w:r>
            <w:r>
              <w:rPr>
                <w:sz w:val="24"/>
              </w:rPr>
              <w:t>:</w:t>
            </w:r>
            <w:r>
              <w:rPr>
                <w:spacing w:val="-17"/>
                <w:sz w:val="24"/>
              </w:rPr>
              <w:t xml:space="preserve"> </w:t>
            </w:r>
            <w:r>
              <w:rPr>
                <w:sz w:val="24"/>
              </w:rPr>
              <w:t>Adults'</w:t>
            </w:r>
            <w:r>
              <w:rPr>
                <w:spacing w:val="-3"/>
                <w:sz w:val="24"/>
              </w:rPr>
              <w:t xml:space="preserve"> </w:t>
            </w:r>
            <w:r>
              <w:rPr>
                <w:sz w:val="24"/>
              </w:rPr>
              <w:t>services</w:t>
            </w:r>
            <w:r>
              <w:rPr>
                <w:spacing w:val="-3"/>
                <w:sz w:val="24"/>
              </w:rPr>
              <w:t xml:space="preserve"> </w:t>
            </w:r>
            <w:r>
              <w:rPr>
                <w:sz w:val="24"/>
              </w:rPr>
              <w:t xml:space="preserve">should </w:t>
            </w:r>
            <w:r>
              <w:rPr>
                <w:sz w:val="24"/>
              </w:rPr>
              <w:t>take</w:t>
            </w:r>
            <w:r>
              <w:rPr>
                <w:spacing w:val="-3"/>
                <w:sz w:val="24"/>
              </w:rPr>
              <w:t xml:space="preserve"> </w:t>
            </w:r>
            <w:r>
              <w:rPr>
                <w:sz w:val="24"/>
              </w:rPr>
              <w:t>into</w:t>
            </w:r>
            <w:r>
              <w:rPr>
                <w:spacing w:val="-1"/>
                <w:sz w:val="24"/>
              </w:rPr>
              <w:t xml:space="preserve"> </w:t>
            </w:r>
            <w:r>
              <w:rPr>
                <w:sz w:val="24"/>
              </w:rPr>
              <w:t>account</w:t>
            </w:r>
            <w:r>
              <w:rPr>
                <w:spacing w:val="-4"/>
                <w:sz w:val="24"/>
              </w:rPr>
              <w:t xml:space="preserve"> </w:t>
            </w:r>
            <w:r>
              <w:rPr>
                <w:sz w:val="24"/>
              </w:rPr>
              <w:t>the</w:t>
            </w:r>
            <w:r>
              <w:rPr>
                <w:spacing w:val="-5"/>
                <w:sz w:val="24"/>
              </w:rPr>
              <w:t xml:space="preserve"> </w:t>
            </w:r>
            <w:r>
              <w:rPr>
                <w:sz w:val="24"/>
              </w:rPr>
              <w:t>individual</w:t>
            </w:r>
            <w:r>
              <w:rPr>
                <w:spacing w:val="-6"/>
                <w:sz w:val="24"/>
              </w:rPr>
              <w:t xml:space="preserve"> </w:t>
            </w:r>
            <w:r>
              <w:rPr>
                <w:sz w:val="24"/>
              </w:rPr>
              <w:t>needs and wishes of the young person when involving parents or carers in</w:t>
            </w:r>
          </w:p>
          <w:p w:rsidR="00612801">
            <w:pPr>
              <w:pStyle w:val="TableParagraph"/>
              <w:ind w:right="136"/>
              <w:rPr>
                <w:sz w:val="24"/>
              </w:rPr>
            </w:pPr>
            <w:r>
              <w:rPr>
                <w:sz w:val="24"/>
              </w:rPr>
              <w:t>assessment, planning and support. For young people with an education, health and care</w:t>
            </w:r>
            <w:r>
              <w:rPr>
                <w:spacing w:val="-2"/>
                <w:sz w:val="24"/>
              </w:rPr>
              <w:t xml:space="preserve"> </w:t>
            </w:r>
            <w:r>
              <w:rPr>
                <w:sz w:val="24"/>
              </w:rPr>
              <w:t>plan</w:t>
            </w:r>
            <w:r>
              <w:rPr>
                <w:spacing w:val="-2"/>
                <w:sz w:val="24"/>
              </w:rPr>
              <w:t xml:space="preserve"> </w:t>
            </w:r>
            <w:r>
              <w:rPr>
                <w:sz w:val="24"/>
              </w:rPr>
              <w:t>or</w:t>
            </w:r>
            <w:r>
              <w:rPr>
                <w:spacing w:val="-2"/>
                <w:sz w:val="24"/>
              </w:rPr>
              <w:t xml:space="preserve"> </w:t>
            </w:r>
            <w:r>
              <w:rPr>
                <w:sz w:val="24"/>
              </w:rPr>
              <w:t>a</w:t>
            </w:r>
            <w:r>
              <w:rPr>
                <w:spacing w:val="-4"/>
                <w:sz w:val="24"/>
              </w:rPr>
              <w:t xml:space="preserve"> </w:t>
            </w:r>
            <w:r>
              <w:rPr>
                <w:sz w:val="24"/>
              </w:rPr>
              <w:t>care</w:t>
            </w:r>
            <w:r>
              <w:rPr>
                <w:spacing w:val="-4"/>
                <w:sz w:val="24"/>
              </w:rPr>
              <w:t xml:space="preserve"> </w:t>
            </w:r>
            <w:r>
              <w:rPr>
                <w:sz w:val="24"/>
              </w:rPr>
              <w:t>and</w:t>
            </w:r>
            <w:r>
              <w:rPr>
                <w:spacing w:val="-2"/>
                <w:sz w:val="24"/>
              </w:rPr>
              <w:t xml:space="preserve"> </w:t>
            </w:r>
            <w:r>
              <w:rPr>
                <w:sz w:val="24"/>
              </w:rPr>
              <w:t>support</w:t>
            </w:r>
            <w:r>
              <w:rPr>
                <w:spacing w:val="-5"/>
                <w:sz w:val="24"/>
              </w:rPr>
              <w:t xml:space="preserve"> </w:t>
            </w:r>
            <w:r>
              <w:rPr>
                <w:sz w:val="24"/>
              </w:rPr>
              <w:t>plan</w:t>
            </w:r>
            <w:r>
              <w:rPr>
                <w:spacing w:val="-3"/>
                <w:sz w:val="24"/>
              </w:rPr>
              <w:t xml:space="preserve"> </w:t>
            </w:r>
            <w:r>
              <w:rPr>
                <w:sz w:val="24"/>
              </w:rPr>
              <w:t>this must</w:t>
            </w:r>
            <w:r>
              <w:rPr>
                <w:spacing w:val="-1"/>
                <w:sz w:val="24"/>
              </w:rPr>
              <w:t xml:space="preserve"> </w:t>
            </w:r>
            <w:r>
              <w:rPr>
                <w:sz w:val="24"/>
              </w:rPr>
              <w:t>happen,</w:t>
            </w:r>
            <w:r>
              <w:rPr>
                <w:spacing w:val="-4"/>
                <w:sz w:val="24"/>
              </w:rPr>
              <w:t xml:space="preserve"> </w:t>
            </w:r>
            <w:r>
              <w:rPr>
                <w:sz w:val="24"/>
              </w:rPr>
              <w:t>as</w:t>
            </w:r>
            <w:r>
              <w:rPr>
                <w:spacing w:val="-2"/>
                <w:sz w:val="24"/>
              </w:rPr>
              <w:t xml:space="preserve"> </w:t>
            </w:r>
            <w:r>
              <w:rPr>
                <w:sz w:val="24"/>
              </w:rPr>
              <w:t>set</w:t>
            </w:r>
            <w:r>
              <w:rPr>
                <w:spacing w:val="-4"/>
                <w:sz w:val="24"/>
              </w:rPr>
              <w:t xml:space="preserve"> </w:t>
            </w:r>
            <w:r>
              <w:rPr>
                <w:sz w:val="24"/>
              </w:rPr>
              <w:t>out</w:t>
            </w:r>
            <w:r>
              <w:rPr>
                <w:spacing w:val="-2"/>
                <w:sz w:val="24"/>
              </w:rPr>
              <w:t xml:space="preserve"> </w:t>
            </w:r>
            <w:r>
              <w:rPr>
                <w:sz w:val="24"/>
              </w:rPr>
              <w:t>in</w:t>
            </w:r>
            <w:r>
              <w:rPr>
                <w:spacing w:val="-2"/>
                <w:sz w:val="24"/>
              </w:rPr>
              <w:t xml:space="preserve"> </w:t>
            </w:r>
            <w:r>
              <w:rPr>
                <w:sz w:val="24"/>
              </w:rPr>
              <w:t xml:space="preserve">the </w:t>
            </w:r>
            <w:r>
              <w:fldChar w:fldCharType="begin"/>
            </w:r>
            <w:r>
              <w:instrText xml:space="preserve"> HYPERLINK "http://www.legislation.gov.uk/ukpga/2014/6/contents/enacted" </w:instrText>
            </w:r>
            <w:r>
              <w:fldChar w:fldCharType="separate"/>
            </w:r>
            <w:r>
              <w:rPr>
                <w:color w:val="0000FF"/>
                <w:sz w:val="24"/>
                <w:u w:val="single" w:color="0000FF"/>
              </w:rPr>
              <w:t>Children</w:t>
            </w:r>
            <w:r>
              <w:rPr>
                <w:color w:val="0000FF"/>
                <w:spacing w:val="-4"/>
                <w:sz w:val="24"/>
                <w:u w:val="single" w:color="0000FF"/>
              </w:rPr>
              <w:t xml:space="preserve"> </w:t>
            </w:r>
            <w:r>
              <w:rPr>
                <w:color w:val="0000FF"/>
                <w:sz w:val="24"/>
                <w:u w:val="single" w:color="0000FF"/>
              </w:rPr>
              <w:t>and</w:t>
            </w:r>
            <w:r>
              <w:fldChar w:fldCharType="end"/>
            </w:r>
            <w:r>
              <w:rPr>
                <w:color w:val="0000FF"/>
                <w:sz w:val="24"/>
              </w:rPr>
              <w:t xml:space="preserve"> </w:t>
            </w:r>
            <w:r>
              <w:fldChar w:fldCharType="begin"/>
            </w:r>
            <w:r>
              <w:instrText xml:space="preserve"> HYPERLINK "http://www.legislation.gov.uk/ukpga/2014/6/contents/enacted" </w:instrText>
            </w:r>
            <w:r>
              <w:fldChar w:fldCharType="separate"/>
            </w:r>
            <w:r>
              <w:rPr>
                <w:color w:val="0000FF"/>
                <w:sz w:val="24"/>
                <w:u w:val="single" w:color="0000FF"/>
              </w:rPr>
              <w:t>Families</w:t>
            </w:r>
            <w:r>
              <w:rPr>
                <w:color w:val="0000FF"/>
                <w:spacing w:val="-5"/>
                <w:sz w:val="24"/>
                <w:u w:val="single" w:color="0000FF"/>
              </w:rPr>
              <w:t xml:space="preserve"> </w:t>
            </w:r>
            <w:r>
              <w:rPr>
                <w:color w:val="0000FF"/>
                <w:sz w:val="24"/>
                <w:u w:val="single" w:color="0000FF"/>
              </w:rPr>
              <w:t>Act 2014</w:t>
            </w:r>
            <w:r>
              <w:fldChar w:fldCharType="end"/>
            </w:r>
            <w:r>
              <w:rPr>
                <w:color w:val="0000FF"/>
                <w:sz w:val="24"/>
              </w:rPr>
              <w:t xml:space="preserve"> </w:t>
            </w:r>
            <w:r>
              <w:rPr>
                <w:sz w:val="24"/>
              </w:rPr>
              <w:t xml:space="preserve">and the </w:t>
            </w:r>
            <w:r>
              <w:fldChar w:fldCharType="begin"/>
            </w:r>
            <w:r>
              <w:instrText xml:space="preserve"> HYPERLINK "http://www.legislation.gov.uk/ukpga/2014/23/contents/enacted" </w:instrText>
            </w:r>
            <w:r>
              <w:fldChar w:fldCharType="separate"/>
            </w:r>
            <w:r>
              <w:rPr>
                <w:color w:val="0000FF"/>
                <w:sz w:val="24"/>
                <w:u w:val="single" w:color="0000FF"/>
              </w:rPr>
              <w:t>Care</w:t>
            </w:r>
            <w:r>
              <w:rPr>
                <w:color w:val="0000FF"/>
                <w:spacing w:val="-5"/>
                <w:sz w:val="24"/>
                <w:u w:val="single" w:color="0000FF"/>
              </w:rPr>
              <w:t xml:space="preserve"> </w:t>
            </w:r>
            <w:r>
              <w:rPr>
                <w:color w:val="0000FF"/>
                <w:sz w:val="24"/>
                <w:u w:val="single" w:color="0000FF"/>
              </w:rPr>
              <w:t>Act 2014</w:t>
            </w:r>
            <w:r>
              <w:rPr>
                <w:sz w:val="24"/>
              </w:rPr>
              <w:t>.</w:t>
            </w:r>
            <w:r>
              <w:fldChar w:fldCharType="end"/>
            </w:r>
            <w:r>
              <w:rPr>
                <w:sz w:val="24"/>
              </w:rPr>
              <w:t xml:space="preserve"> </w:t>
            </w:r>
            <w:r>
              <w:fldChar w:fldCharType="begin"/>
            </w:r>
            <w:r>
              <w:instrText xml:space="preserve"> HYPERLINK "https://www.nice.org.uk/guidance/ng43/chapter/Recommendations" \l "transition-planning" </w:instrText>
            </w:r>
            <w:r>
              <w:fldChar w:fldCharType="separate"/>
            </w:r>
            <w:r>
              <w:rPr>
                <w:color w:val="0000FF"/>
                <w:sz w:val="24"/>
                <w:u w:val="single" w:color="0000FF"/>
              </w:rPr>
              <w:t>NICE NG43 (1.2.22, 2016)</w:t>
            </w:r>
            <w:r>
              <w:fldChar w:fldCharType="end"/>
            </w:r>
          </w:p>
          <w:p w:rsidR="00612801">
            <w:pPr>
              <w:pStyle w:val="TableParagraph"/>
              <w:spacing w:before="120"/>
              <w:rPr>
                <w:sz w:val="24"/>
              </w:rPr>
            </w:pPr>
            <w:r>
              <w:rPr>
                <w:rFonts w:ascii="Arial"/>
                <w:b/>
                <w:sz w:val="24"/>
              </w:rPr>
              <w:t>Statement</w:t>
            </w:r>
            <w:r>
              <w:rPr>
                <w:rFonts w:ascii="Arial"/>
                <w:b/>
                <w:spacing w:val="-4"/>
                <w:sz w:val="24"/>
              </w:rPr>
              <w:t xml:space="preserve"> </w:t>
            </w:r>
            <w:r>
              <w:rPr>
                <w:rFonts w:ascii="Arial"/>
                <w:b/>
                <w:sz w:val="24"/>
              </w:rPr>
              <w:t>of</w:t>
            </w:r>
            <w:r>
              <w:rPr>
                <w:rFonts w:ascii="Arial"/>
                <w:b/>
                <w:spacing w:val="-3"/>
                <w:sz w:val="24"/>
              </w:rPr>
              <w:t xml:space="preserve"> </w:t>
            </w:r>
            <w:r>
              <w:rPr>
                <w:rFonts w:ascii="Arial"/>
                <w:b/>
                <w:sz w:val="24"/>
              </w:rPr>
              <w:t>intent</w:t>
            </w:r>
            <w:r>
              <w:rPr>
                <w:rFonts w:ascii="Arial"/>
                <w:b/>
                <w:spacing w:val="-3"/>
                <w:sz w:val="24"/>
              </w:rPr>
              <w:t xml:space="preserve"> </w:t>
            </w:r>
            <w:r>
              <w:rPr>
                <w:rFonts w:ascii="Arial"/>
                <w:b/>
                <w:sz w:val="24"/>
              </w:rPr>
              <w:t>2:</w:t>
            </w:r>
            <w:r>
              <w:rPr>
                <w:rFonts w:ascii="Arial"/>
                <w:b/>
                <w:spacing w:val="-5"/>
                <w:sz w:val="24"/>
              </w:rPr>
              <w:t xml:space="preserve"> </w:t>
            </w:r>
            <w:r>
              <w:rPr>
                <w:sz w:val="24"/>
              </w:rPr>
              <w:t>Offer</w:t>
            </w:r>
            <w:r>
              <w:rPr>
                <w:spacing w:val="-3"/>
                <w:sz w:val="24"/>
              </w:rPr>
              <w:t xml:space="preserve"> </w:t>
            </w:r>
            <w:r>
              <w:rPr>
                <w:sz w:val="24"/>
              </w:rPr>
              <w:t>young</w:t>
            </w:r>
            <w:r>
              <w:rPr>
                <w:spacing w:val="-5"/>
                <w:sz w:val="24"/>
              </w:rPr>
              <w:t xml:space="preserve"> </w:t>
            </w:r>
            <w:r>
              <w:rPr>
                <w:sz w:val="24"/>
              </w:rPr>
              <w:t>people</w:t>
            </w:r>
            <w:r>
              <w:rPr>
                <w:spacing w:val="-3"/>
                <w:sz w:val="24"/>
              </w:rPr>
              <w:t xml:space="preserve"> </w:t>
            </w:r>
            <w:r>
              <w:rPr>
                <w:sz w:val="24"/>
              </w:rPr>
              <w:t>help</w:t>
            </w:r>
            <w:r>
              <w:rPr>
                <w:spacing w:val="-2"/>
                <w:sz w:val="24"/>
              </w:rPr>
              <w:t xml:space="preserve"> </w:t>
            </w:r>
            <w:r>
              <w:rPr>
                <w:sz w:val="24"/>
              </w:rPr>
              <w:t>to</w:t>
            </w:r>
            <w:r>
              <w:rPr>
                <w:spacing w:val="-4"/>
                <w:sz w:val="24"/>
              </w:rPr>
              <w:t xml:space="preserve"> </w:t>
            </w:r>
            <w:r>
              <w:rPr>
                <w:sz w:val="24"/>
              </w:rPr>
              <w:t>become</w:t>
            </w:r>
            <w:r>
              <w:rPr>
                <w:spacing w:val="-5"/>
                <w:sz w:val="24"/>
              </w:rPr>
              <w:t xml:space="preserve"> </w:t>
            </w:r>
            <w:r>
              <w:rPr>
                <w:sz w:val="24"/>
              </w:rPr>
              <w:t>involved</w:t>
            </w:r>
            <w:r>
              <w:rPr>
                <w:spacing w:val="-3"/>
                <w:sz w:val="24"/>
              </w:rPr>
              <w:t xml:space="preserve"> </w:t>
            </w:r>
            <w:r>
              <w:rPr>
                <w:sz w:val="24"/>
              </w:rPr>
              <w:t>in</w:t>
            </w:r>
            <w:r>
              <w:rPr>
                <w:spacing w:val="-3"/>
                <w:sz w:val="24"/>
              </w:rPr>
              <w:t xml:space="preserve"> </w:t>
            </w:r>
            <w:r>
              <w:rPr>
                <w:sz w:val="24"/>
              </w:rPr>
              <w:t>their</w:t>
            </w:r>
            <w:r>
              <w:rPr>
                <w:spacing w:val="-5"/>
                <w:sz w:val="24"/>
              </w:rPr>
              <w:t xml:space="preserve"> </w:t>
            </w:r>
            <w:r>
              <w:rPr>
                <w:sz w:val="24"/>
              </w:rPr>
              <w:t>transition planning. This may be through: peer support, coaching and mentoring, advocacy,</w:t>
            </w:r>
          </w:p>
          <w:p w:rsidR="00612801">
            <w:pPr>
              <w:pStyle w:val="TableParagraph"/>
              <w:rPr>
                <w:sz w:val="24"/>
              </w:rPr>
            </w:pPr>
            <w:r>
              <w:rPr>
                <w:sz w:val="24"/>
              </w:rPr>
              <w:t>the</w:t>
            </w:r>
            <w:r>
              <w:rPr>
                <w:spacing w:val="-10"/>
                <w:sz w:val="24"/>
              </w:rPr>
              <w:t xml:space="preserve"> </w:t>
            </w:r>
            <w:r>
              <w:rPr>
                <w:sz w:val="24"/>
              </w:rPr>
              <w:t>use</w:t>
            </w:r>
            <w:r>
              <w:rPr>
                <w:spacing w:val="-9"/>
                <w:sz w:val="24"/>
              </w:rPr>
              <w:t xml:space="preserve"> </w:t>
            </w:r>
            <w:r>
              <w:rPr>
                <w:sz w:val="24"/>
              </w:rPr>
              <w:t>of</w:t>
            </w:r>
            <w:r>
              <w:rPr>
                <w:spacing w:val="-7"/>
                <w:sz w:val="24"/>
              </w:rPr>
              <w:t xml:space="preserve"> </w:t>
            </w:r>
            <w:r>
              <w:rPr>
                <w:sz w:val="24"/>
              </w:rPr>
              <w:t>mobile</w:t>
            </w:r>
            <w:r>
              <w:rPr>
                <w:spacing w:val="-9"/>
                <w:sz w:val="24"/>
              </w:rPr>
              <w:t xml:space="preserve"> </w:t>
            </w:r>
            <w:r>
              <w:rPr>
                <w:sz w:val="24"/>
              </w:rPr>
              <w:t>technology.</w:t>
            </w:r>
            <w:r>
              <w:rPr>
                <w:spacing w:val="-4"/>
                <w:sz w:val="24"/>
              </w:rPr>
              <w:t xml:space="preserve"> </w:t>
            </w:r>
            <w:r>
              <w:fldChar w:fldCharType="begin"/>
            </w:r>
            <w:r>
              <w:instrText xml:space="preserve"> HYPERLINK "https://www.nice.org.uk/guidance/ng43/chapter/Recommendations" \l "support-before-transfer" </w:instrText>
            </w:r>
            <w:r>
              <w:fldChar w:fldCharType="separate"/>
            </w:r>
            <w:r>
              <w:rPr>
                <w:color w:val="0000FF"/>
                <w:sz w:val="24"/>
                <w:u w:val="single" w:color="0000FF"/>
              </w:rPr>
              <w:t>NICE</w:t>
            </w:r>
            <w:r>
              <w:rPr>
                <w:color w:val="0000FF"/>
                <w:spacing w:val="-7"/>
                <w:sz w:val="24"/>
                <w:u w:val="single" w:color="0000FF"/>
              </w:rPr>
              <w:t xml:space="preserve"> </w:t>
            </w:r>
            <w:r>
              <w:rPr>
                <w:color w:val="0000FF"/>
                <w:sz w:val="24"/>
                <w:u w:val="single" w:color="0000FF"/>
              </w:rPr>
              <w:t>NG43</w:t>
            </w:r>
            <w:r>
              <w:rPr>
                <w:color w:val="0000FF"/>
                <w:spacing w:val="-7"/>
                <w:sz w:val="24"/>
                <w:u w:val="single" w:color="0000FF"/>
              </w:rPr>
              <w:t xml:space="preserve"> </w:t>
            </w:r>
            <w:r>
              <w:rPr>
                <w:color w:val="0000FF"/>
                <w:sz w:val="24"/>
                <w:u w:val="single" w:color="0000FF"/>
              </w:rPr>
              <w:t>(1.2.11,</w:t>
            </w:r>
            <w:r>
              <w:rPr>
                <w:color w:val="0000FF"/>
                <w:spacing w:val="-8"/>
                <w:sz w:val="24"/>
                <w:u w:val="single" w:color="0000FF"/>
              </w:rPr>
              <w:t xml:space="preserve"> </w:t>
            </w:r>
            <w:r>
              <w:rPr>
                <w:color w:val="0000FF"/>
                <w:spacing w:val="-2"/>
                <w:sz w:val="24"/>
                <w:u w:val="single" w:color="0000FF"/>
              </w:rPr>
              <w:t>2016)</w:t>
            </w:r>
            <w:r>
              <w:fldChar w:fldCharType="end"/>
            </w:r>
          </w:p>
          <w:p w:rsidR="00612801">
            <w:pPr>
              <w:pStyle w:val="TableParagraph"/>
              <w:spacing w:before="100" w:line="270" w:lineRule="atLeast"/>
              <w:ind w:right="136"/>
              <w:rPr>
                <w:sz w:val="24"/>
              </w:rPr>
            </w:pPr>
            <w:r>
              <w:rPr>
                <w:rFonts w:ascii="Arial"/>
                <w:b/>
                <w:sz w:val="24"/>
              </w:rPr>
              <w:t xml:space="preserve">Statement of intent 3: </w:t>
            </w:r>
            <w:r>
              <w:rPr>
                <w:sz w:val="24"/>
              </w:rPr>
              <w:t xml:space="preserve">Involve young people and their </w:t>
            </w:r>
            <w:r>
              <w:rPr>
                <w:sz w:val="24"/>
              </w:rPr>
              <w:t>carers</w:t>
            </w:r>
            <w:r>
              <w:rPr>
                <w:sz w:val="24"/>
              </w:rPr>
              <w:t xml:space="preserve"> in service design, delivery and evaluation related to </w:t>
            </w:r>
            <w:r>
              <w:fldChar w:fldCharType="begin"/>
            </w:r>
            <w:r>
              <w:instrText xml:space="preserve"> HYPERLINK "https://www.nice.org.uk/guidance/ng43/chapter/recommendations" \l "transition" </w:instrText>
            </w:r>
            <w:r>
              <w:fldChar w:fldCharType="separate"/>
            </w:r>
            <w:r>
              <w:rPr>
                <w:color w:val="0000FF"/>
                <w:sz w:val="24"/>
                <w:u w:val="single" w:color="0000FF"/>
              </w:rPr>
              <w:t>transition</w:t>
            </w:r>
            <w:r>
              <w:fldChar w:fldCharType="end"/>
            </w:r>
            <w:r>
              <w:rPr>
                <w:color w:val="0000FF"/>
                <w:sz w:val="24"/>
              </w:rPr>
              <w:t xml:space="preserve"> </w:t>
            </w:r>
            <w:r>
              <w:rPr>
                <w:sz w:val="24"/>
              </w:rPr>
              <w:t>by: coproducing transition policies and strategies</w:t>
            </w:r>
            <w:r>
              <w:rPr>
                <w:spacing w:val="-6"/>
                <w:sz w:val="24"/>
              </w:rPr>
              <w:t xml:space="preserve"> </w:t>
            </w:r>
            <w:r>
              <w:rPr>
                <w:sz w:val="24"/>
              </w:rPr>
              <w:t>with</w:t>
            </w:r>
            <w:r>
              <w:rPr>
                <w:spacing w:val="-4"/>
                <w:sz w:val="24"/>
              </w:rPr>
              <w:t xml:space="preserve"> </w:t>
            </w:r>
            <w:r>
              <w:rPr>
                <w:sz w:val="24"/>
              </w:rPr>
              <w:t>them;</w:t>
            </w:r>
            <w:r>
              <w:rPr>
                <w:spacing w:val="-4"/>
                <w:sz w:val="24"/>
              </w:rPr>
              <w:t xml:space="preserve"> </w:t>
            </w:r>
            <w:r>
              <w:rPr>
                <w:sz w:val="24"/>
              </w:rPr>
              <w:t>planning,</w:t>
            </w:r>
            <w:r>
              <w:rPr>
                <w:spacing w:val="-4"/>
                <w:sz w:val="24"/>
              </w:rPr>
              <w:t xml:space="preserve"> </w:t>
            </w:r>
            <w:r>
              <w:rPr>
                <w:sz w:val="24"/>
              </w:rPr>
              <w:t>coproducing</w:t>
            </w:r>
            <w:r>
              <w:rPr>
                <w:spacing w:val="-5"/>
                <w:sz w:val="24"/>
              </w:rPr>
              <w:t xml:space="preserve"> </w:t>
            </w:r>
            <w:r>
              <w:rPr>
                <w:sz w:val="24"/>
              </w:rPr>
              <w:t>and</w:t>
            </w:r>
            <w:r>
              <w:rPr>
                <w:spacing w:val="-4"/>
                <w:sz w:val="24"/>
              </w:rPr>
              <w:t xml:space="preserve"> </w:t>
            </w:r>
            <w:r>
              <w:rPr>
                <w:sz w:val="24"/>
              </w:rPr>
              <w:t>piloting</w:t>
            </w:r>
            <w:r>
              <w:rPr>
                <w:spacing w:val="-4"/>
                <w:sz w:val="24"/>
              </w:rPr>
              <w:t xml:space="preserve"> </w:t>
            </w:r>
            <w:r>
              <w:rPr>
                <w:sz w:val="24"/>
              </w:rPr>
              <w:t>materials</w:t>
            </w:r>
            <w:r>
              <w:rPr>
                <w:spacing w:val="-4"/>
                <w:sz w:val="24"/>
              </w:rPr>
              <w:t xml:space="preserve"> </w:t>
            </w:r>
            <w:r>
              <w:rPr>
                <w:sz w:val="24"/>
              </w:rPr>
              <w:t>and</w:t>
            </w:r>
            <w:r>
              <w:rPr>
                <w:spacing w:val="-4"/>
                <w:sz w:val="24"/>
              </w:rPr>
              <w:t xml:space="preserve"> </w:t>
            </w:r>
            <w:r>
              <w:rPr>
                <w:sz w:val="24"/>
              </w:rPr>
              <w:t>tools;</w:t>
            </w:r>
            <w:r>
              <w:rPr>
                <w:spacing w:val="-6"/>
                <w:sz w:val="24"/>
              </w:rPr>
              <w:t xml:space="preserve"> </w:t>
            </w:r>
            <w:r>
              <w:rPr>
                <w:sz w:val="24"/>
              </w:rPr>
              <w:t xml:space="preserve">asking them if the services helped them achieve agreed outcomes; feeding back to them about the effect their involvement has had. </w:t>
            </w:r>
            <w:r>
              <w:fldChar w:fldCharType="begin"/>
            </w:r>
            <w:r>
              <w:instrText xml:space="preserve"> HYPERLINK "https://www.nice.org.uk/guidance/ng43/chapter/Recommendations" \l "overarching-principles" </w:instrText>
            </w:r>
            <w:r>
              <w:fldChar w:fldCharType="separate"/>
            </w:r>
            <w:r>
              <w:rPr>
                <w:color w:val="0000FF"/>
                <w:sz w:val="24"/>
                <w:u w:val="single" w:color="0000FF"/>
              </w:rPr>
              <w:t>NICE NG43 (1.1.1, 2016)</w:t>
            </w:r>
            <w:r>
              <w:fldChar w:fldCharType="end"/>
            </w:r>
          </w:p>
        </w:tc>
      </w:tr>
      <w:tr>
        <w:tblPrEx>
          <w:tblW w:w="0" w:type="auto"/>
          <w:tblInd w:w="244" w:type="dxa"/>
          <w:tblLayout w:type="fixed"/>
          <w:tblCellMar>
            <w:left w:w="0" w:type="dxa"/>
            <w:right w:w="0" w:type="dxa"/>
          </w:tblCellMar>
          <w:tblLook w:val="01E0"/>
        </w:tblPrEx>
        <w:trPr>
          <w:trHeight w:val="486"/>
        </w:trPr>
        <w:tc>
          <w:tcPr>
            <w:tcW w:w="9446" w:type="dxa"/>
          </w:tcPr>
          <w:p w:rsidR="00612801">
            <w:pPr>
              <w:pStyle w:val="TableParagraph"/>
              <w:rPr>
                <w:rFonts w:ascii="Arial"/>
                <w:b/>
                <w:sz w:val="24"/>
              </w:rPr>
            </w:pPr>
            <w:r>
              <w:rPr>
                <w:rFonts w:ascii="Arial"/>
                <w:b/>
                <w:sz w:val="24"/>
              </w:rPr>
              <w:t>FOCUS</w:t>
            </w:r>
            <w:r>
              <w:rPr>
                <w:rFonts w:ascii="Arial"/>
                <w:b/>
                <w:spacing w:val="-15"/>
                <w:sz w:val="24"/>
              </w:rPr>
              <w:t xml:space="preserve"> </w:t>
            </w:r>
            <w:r>
              <w:rPr>
                <w:rFonts w:ascii="Arial"/>
                <w:b/>
                <w:sz w:val="24"/>
              </w:rPr>
              <w:t>AREA</w:t>
            </w:r>
            <w:r>
              <w:rPr>
                <w:rFonts w:ascii="Arial"/>
                <w:b/>
                <w:spacing w:val="-11"/>
                <w:sz w:val="24"/>
              </w:rPr>
              <w:t xml:space="preserve"> </w:t>
            </w:r>
            <w:r>
              <w:rPr>
                <w:rFonts w:ascii="Arial"/>
                <w:b/>
                <w:sz w:val="24"/>
              </w:rPr>
              <w:t>4:</w:t>
            </w:r>
            <w:r>
              <w:rPr>
                <w:rFonts w:ascii="Arial"/>
                <w:b/>
                <w:spacing w:val="-4"/>
                <w:sz w:val="24"/>
              </w:rPr>
              <w:t xml:space="preserve"> </w:t>
            </w:r>
            <w:r>
              <w:rPr>
                <w:rFonts w:ascii="Arial"/>
                <w:b/>
                <w:sz w:val="24"/>
              </w:rPr>
              <w:t>WORKFORCE</w:t>
            </w:r>
            <w:r>
              <w:rPr>
                <w:rFonts w:ascii="Arial"/>
                <w:b/>
                <w:spacing w:val="-12"/>
                <w:sz w:val="24"/>
              </w:rPr>
              <w:t xml:space="preserve"> </w:t>
            </w:r>
            <w:r>
              <w:rPr>
                <w:rFonts w:ascii="Arial"/>
                <w:b/>
                <w:sz w:val="24"/>
              </w:rPr>
              <w:t>AND</w:t>
            </w:r>
            <w:r>
              <w:rPr>
                <w:rFonts w:ascii="Arial"/>
                <w:b/>
                <w:spacing w:val="-3"/>
                <w:sz w:val="24"/>
              </w:rPr>
              <w:t xml:space="preserve"> </w:t>
            </w:r>
            <w:r>
              <w:rPr>
                <w:rFonts w:ascii="Arial"/>
                <w:b/>
                <w:spacing w:val="-2"/>
                <w:sz w:val="24"/>
              </w:rPr>
              <w:t>TRAINING</w:t>
            </w:r>
          </w:p>
        </w:tc>
      </w:tr>
    </w:tbl>
    <w:p w:rsidR="00612801">
      <w:pPr>
        <w:pStyle w:val="TableParagraph"/>
        <w:rPr>
          <w:rFonts w:ascii="Arial"/>
          <w:b/>
          <w:sz w:val="24"/>
        </w:rPr>
        <w:sectPr>
          <w:pgSz w:w="11910" w:h="16840"/>
          <w:pgMar w:top="1300" w:right="992" w:bottom="280" w:left="992" w:header="720" w:footer="720" w:gutter="0"/>
          <w:cols w:space="720"/>
        </w:sectPr>
      </w:pPr>
    </w:p>
    <w:tbl>
      <w:tblPr>
        <w:tblW w:w="0" w:type="auto"/>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446"/>
      </w:tblGrid>
      <w:tr>
        <w:tblPrEx>
          <w:tblW w:w="0" w:type="auto"/>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380"/>
        </w:trPr>
        <w:tc>
          <w:tcPr>
            <w:tcW w:w="9446" w:type="dxa"/>
          </w:tcPr>
          <w:p w:rsidR="00612801">
            <w:pPr>
              <w:pStyle w:val="TableParagraph"/>
              <w:ind w:right="222"/>
              <w:rPr>
                <w:sz w:val="24"/>
              </w:rPr>
            </w:pPr>
            <w:r>
              <w:rPr>
                <w:rFonts w:ascii="Arial" w:hAnsi="Arial"/>
                <w:b/>
                <w:sz w:val="24"/>
              </w:rPr>
              <w:t>Statement of intent 1</w:t>
            </w:r>
            <w:r>
              <w:rPr>
                <w:sz w:val="24"/>
              </w:rPr>
              <w:t>: Staff receive training in adolescent development, managing long-term</w:t>
            </w:r>
            <w:r>
              <w:rPr>
                <w:spacing w:val="-3"/>
                <w:sz w:val="24"/>
              </w:rPr>
              <w:t xml:space="preserve"> </w:t>
            </w:r>
            <w:r>
              <w:rPr>
                <w:sz w:val="24"/>
              </w:rPr>
              <w:t>conditions</w:t>
            </w:r>
            <w:r>
              <w:rPr>
                <w:spacing w:val="-4"/>
                <w:sz w:val="24"/>
              </w:rPr>
              <w:t xml:space="preserve"> </w:t>
            </w:r>
            <w:r>
              <w:rPr>
                <w:sz w:val="24"/>
              </w:rPr>
              <w:t>and</w:t>
            </w:r>
            <w:r>
              <w:rPr>
                <w:spacing w:val="-1"/>
                <w:sz w:val="24"/>
              </w:rPr>
              <w:t xml:space="preserve"> </w:t>
            </w:r>
            <w:r>
              <w:rPr>
                <w:sz w:val="24"/>
              </w:rPr>
              <w:t>transitional</w:t>
            </w:r>
            <w:r>
              <w:rPr>
                <w:spacing w:val="-1"/>
                <w:sz w:val="24"/>
              </w:rPr>
              <w:t xml:space="preserve"> </w:t>
            </w:r>
            <w:r>
              <w:rPr>
                <w:sz w:val="24"/>
              </w:rPr>
              <w:t>care, such</w:t>
            </w:r>
            <w:r>
              <w:rPr>
                <w:spacing w:val="-1"/>
                <w:sz w:val="24"/>
              </w:rPr>
              <w:t xml:space="preserve"> </w:t>
            </w:r>
            <w:r>
              <w:rPr>
                <w:sz w:val="24"/>
              </w:rPr>
              <w:t>as</w:t>
            </w:r>
            <w:r>
              <w:rPr>
                <w:spacing w:val="-1"/>
                <w:sz w:val="24"/>
              </w:rPr>
              <w:t xml:space="preserve"> </w:t>
            </w:r>
            <w:r>
              <w:rPr>
                <w:sz w:val="24"/>
              </w:rPr>
              <w:t>the</w:t>
            </w:r>
            <w:r>
              <w:rPr>
                <w:spacing w:val="-10"/>
                <w:sz w:val="24"/>
              </w:rPr>
              <w:t xml:space="preserve"> </w:t>
            </w:r>
            <w:r>
              <w:fldChar w:fldCharType="begin"/>
            </w:r>
            <w:r>
              <w:instrText xml:space="preserve"> HYPERLINK "https://url.uk.m.mimecastprotect.com/s/WTvACjZpltjQVXqWTWf0SmqDdm?domain=e-lfh.org.uk/" </w:instrText>
            </w:r>
            <w:r>
              <w:fldChar w:fldCharType="separate"/>
            </w:r>
            <w:r>
              <w:rPr>
                <w:color w:val="0000FF"/>
                <w:sz w:val="24"/>
                <w:u w:val="single" w:color="0000FF"/>
              </w:rPr>
              <w:t>Adolescent</w:t>
            </w:r>
            <w:r>
              <w:rPr>
                <w:color w:val="0000FF"/>
                <w:spacing w:val="-1"/>
                <w:sz w:val="24"/>
                <w:u w:val="single" w:color="0000FF"/>
              </w:rPr>
              <w:t xml:space="preserve"> </w:t>
            </w:r>
            <w:r>
              <w:rPr>
                <w:color w:val="0000FF"/>
                <w:sz w:val="24"/>
                <w:u w:val="single" w:color="0000FF"/>
              </w:rPr>
              <w:t>Health</w:t>
            </w:r>
            <w:r>
              <w:rPr>
                <w:color w:val="0000FF"/>
                <w:spacing w:val="-3"/>
                <w:sz w:val="24"/>
                <w:u w:val="single" w:color="0000FF"/>
              </w:rPr>
              <w:t xml:space="preserve"> </w:t>
            </w:r>
            <w:r>
              <w:rPr>
                <w:color w:val="0000FF"/>
                <w:sz w:val="24"/>
                <w:u w:val="single" w:color="0000FF"/>
              </w:rPr>
              <w:t>Programme</w:t>
            </w:r>
            <w:r>
              <w:fldChar w:fldCharType="end"/>
            </w:r>
            <w:r>
              <w:rPr>
                <w:color w:val="0000FF"/>
                <w:sz w:val="24"/>
              </w:rPr>
              <w:t xml:space="preserve"> </w:t>
            </w:r>
            <w:r>
              <w:fldChar w:fldCharType="begin"/>
            </w:r>
            <w:r>
              <w:instrText xml:space="preserve"> HYPERLINK "https://url.uk.m.mimecastprotect.com/s/WTvACjZpltjQVXqWTWf0SmqDdm?domain=e-lfh.org.uk/" </w:instrText>
            </w:r>
            <w:r>
              <w:fldChar w:fldCharType="separate"/>
            </w:r>
            <w:r>
              <w:rPr>
                <w:color w:val="0000FF"/>
                <w:sz w:val="24"/>
                <w:u w:val="single" w:color="0000FF"/>
              </w:rPr>
              <w:t>e-learning</w:t>
            </w:r>
            <w:r>
              <w:rPr>
                <w:sz w:val="24"/>
              </w:rPr>
              <w:t>,</w:t>
            </w:r>
            <w:r>
              <w:fldChar w:fldCharType="end"/>
            </w:r>
            <w:r>
              <w:rPr>
                <w:spacing w:val="-4"/>
                <w:sz w:val="24"/>
              </w:rPr>
              <w:t xml:space="preserve"> </w:t>
            </w:r>
            <w:r>
              <w:rPr>
                <w:sz w:val="24"/>
              </w:rPr>
              <w:t>as</w:t>
            </w:r>
            <w:r>
              <w:rPr>
                <w:spacing w:val="-4"/>
                <w:sz w:val="24"/>
              </w:rPr>
              <w:t xml:space="preserve"> </w:t>
            </w:r>
            <w:r>
              <w:rPr>
                <w:sz w:val="24"/>
              </w:rPr>
              <w:t>a</w:t>
            </w:r>
            <w:r>
              <w:rPr>
                <w:spacing w:val="-2"/>
                <w:sz w:val="24"/>
              </w:rPr>
              <w:t xml:space="preserve"> </w:t>
            </w:r>
            <w:r>
              <w:rPr>
                <w:sz w:val="24"/>
              </w:rPr>
              <w:t>context</w:t>
            </w:r>
            <w:r>
              <w:rPr>
                <w:spacing w:val="-2"/>
                <w:sz w:val="24"/>
              </w:rPr>
              <w:t xml:space="preserve"> </w:t>
            </w:r>
            <w:r>
              <w:rPr>
                <w:sz w:val="24"/>
              </w:rPr>
              <w:t>for</w:t>
            </w:r>
            <w:r>
              <w:rPr>
                <w:spacing w:val="-2"/>
                <w:sz w:val="24"/>
              </w:rPr>
              <w:t xml:space="preserve"> </w:t>
            </w:r>
            <w:r>
              <w:rPr>
                <w:sz w:val="24"/>
              </w:rPr>
              <w:t>understanding</w:t>
            </w:r>
            <w:r>
              <w:rPr>
                <w:spacing w:val="-1"/>
                <w:sz w:val="24"/>
              </w:rPr>
              <w:t xml:space="preserve"> </w:t>
            </w:r>
            <w:r>
              <w:rPr>
                <w:sz w:val="24"/>
              </w:rPr>
              <w:t>the</w:t>
            </w:r>
            <w:r>
              <w:rPr>
                <w:spacing w:val="-4"/>
                <w:sz w:val="24"/>
              </w:rPr>
              <w:t xml:space="preserve"> </w:t>
            </w:r>
            <w:r>
              <w:rPr>
                <w:sz w:val="24"/>
              </w:rPr>
              <w:t>impact</w:t>
            </w:r>
            <w:r>
              <w:rPr>
                <w:spacing w:val="-2"/>
                <w:sz w:val="24"/>
              </w:rPr>
              <w:t xml:space="preserve"> </w:t>
            </w:r>
            <w:r>
              <w:rPr>
                <w:sz w:val="24"/>
              </w:rPr>
              <w:t>of</w:t>
            </w:r>
            <w:r>
              <w:rPr>
                <w:spacing w:val="-4"/>
                <w:sz w:val="24"/>
              </w:rPr>
              <w:t xml:space="preserve"> </w:t>
            </w:r>
            <w:r>
              <w:rPr>
                <w:sz w:val="24"/>
              </w:rPr>
              <w:t>complex</w:t>
            </w:r>
            <w:r>
              <w:rPr>
                <w:spacing w:val="-4"/>
                <w:sz w:val="24"/>
              </w:rPr>
              <w:t xml:space="preserve"> </w:t>
            </w:r>
            <w:r>
              <w:rPr>
                <w:sz w:val="24"/>
              </w:rPr>
              <w:t>and</w:t>
            </w:r>
            <w:r>
              <w:rPr>
                <w:spacing w:val="-2"/>
                <w:sz w:val="24"/>
              </w:rPr>
              <w:t xml:space="preserve"> </w:t>
            </w:r>
            <w:r>
              <w:rPr>
                <w:sz w:val="24"/>
              </w:rPr>
              <w:t>long-term</w:t>
            </w:r>
            <w:r>
              <w:rPr>
                <w:spacing w:val="-4"/>
                <w:sz w:val="24"/>
              </w:rPr>
              <w:t xml:space="preserve"> </w:t>
            </w:r>
            <w:r>
              <w:rPr>
                <w:sz w:val="24"/>
              </w:rPr>
              <w:t xml:space="preserve">health needs. </w:t>
            </w:r>
            <w:r>
              <w:fldChar w:fldCharType="begin"/>
            </w:r>
            <w:r>
              <w:instrText xml:space="preserve"> HYPERLINK "https://www.gov.uk/government/publications/establishing-youth-friendly-health-and-care-services/youre-welcome-establishing-youth-friendly-health-and-care-services" \l "standard-8-supporting-young-peoples-changing-needs" </w:instrText>
            </w:r>
            <w:r>
              <w:fldChar w:fldCharType="separate"/>
            </w:r>
            <w:r>
              <w:rPr>
                <w:color w:val="0000FF"/>
                <w:sz w:val="24"/>
                <w:u w:val="single" w:color="0000FF"/>
              </w:rPr>
              <w:t>OHID You’re Welcome</w:t>
            </w:r>
            <w:r>
              <w:fldChar w:fldCharType="end"/>
            </w:r>
            <w:r>
              <w:rPr>
                <w:color w:val="0000FF"/>
                <w:sz w:val="24"/>
              </w:rPr>
              <w:t xml:space="preserve"> </w:t>
            </w:r>
            <w:r>
              <w:rPr>
                <w:sz w:val="24"/>
              </w:rPr>
              <w:t>(4, 2023)</w:t>
            </w:r>
          </w:p>
          <w:p w:rsidR="00612801">
            <w:pPr>
              <w:pStyle w:val="TableParagraph"/>
              <w:spacing w:before="120"/>
              <w:ind w:right="136"/>
              <w:rPr>
                <w:sz w:val="24"/>
              </w:rPr>
            </w:pPr>
            <w:r>
              <w:rPr>
                <w:rFonts w:ascii="Arial"/>
                <w:b/>
                <w:sz w:val="24"/>
              </w:rPr>
              <w:t>Statement of intent 2</w:t>
            </w:r>
            <w:r>
              <w:rPr>
                <w:sz w:val="24"/>
              </w:rPr>
              <w:t xml:space="preserve">: Young people who are moving from </w:t>
            </w:r>
            <w:r>
              <w:rPr>
                <w:sz w:val="24"/>
              </w:rPr>
              <w:t>children's</w:t>
            </w:r>
            <w:r>
              <w:rPr>
                <w:sz w:val="24"/>
              </w:rPr>
              <w:t xml:space="preserve"> to adults' services</w:t>
            </w:r>
            <w:r>
              <w:rPr>
                <w:spacing w:val="-3"/>
                <w:sz w:val="24"/>
              </w:rPr>
              <w:t xml:space="preserve"> </w:t>
            </w:r>
            <w:r>
              <w:rPr>
                <w:sz w:val="24"/>
              </w:rPr>
              <w:t>have</w:t>
            </w:r>
            <w:r>
              <w:rPr>
                <w:spacing w:val="-3"/>
                <w:sz w:val="24"/>
              </w:rPr>
              <w:t xml:space="preserve"> </w:t>
            </w:r>
            <w:r>
              <w:rPr>
                <w:sz w:val="24"/>
              </w:rPr>
              <w:t>a</w:t>
            </w:r>
            <w:r>
              <w:rPr>
                <w:spacing w:val="-4"/>
                <w:sz w:val="24"/>
              </w:rPr>
              <w:t xml:space="preserve"> </w:t>
            </w:r>
            <w:r>
              <w:rPr>
                <w:sz w:val="24"/>
              </w:rPr>
              <w:t>named</w:t>
            </w:r>
            <w:r>
              <w:rPr>
                <w:spacing w:val="-3"/>
                <w:sz w:val="24"/>
              </w:rPr>
              <w:t xml:space="preserve"> </w:t>
            </w:r>
            <w:r>
              <w:rPr>
                <w:sz w:val="24"/>
              </w:rPr>
              <w:t>worker</w:t>
            </w:r>
            <w:r>
              <w:rPr>
                <w:spacing w:val="-3"/>
                <w:sz w:val="24"/>
              </w:rPr>
              <w:t xml:space="preserve"> </w:t>
            </w:r>
            <w:r>
              <w:rPr>
                <w:sz w:val="24"/>
              </w:rPr>
              <w:t>to</w:t>
            </w:r>
            <w:r>
              <w:rPr>
                <w:spacing w:val="-4"/>
                <w:sz w:val="24"/>
              </w:rPr>
              <w:t xml:space="preserve"> </w:t>
            </w:r>
            <w:r>
              <w:rPr>
                <w:sz w:val="24"/>
              </w:rPr>
              <w:t>coordinate</w:t>
            </w:r>
            <w:r>
              <w:rPr>
                <w:spacing w:val="-5"/>
                <w:sz w:val="24"/>
              </w:rPr>
              <w:t xml:space="preserve"> </w:t>
            </w:r>
            <w:r>
              <w:rPr>
                <w:sz w:val="24"/>
              </w:rPr>
              <w:t>care</w:t>
            </w:r>
            <w:r>
              <w:rPr>
                <w:spacing w:val="-3"/>
                <w:sz w:val="24"/>
              </w:rPr>
              <w:t xml:space="preserve"> </w:t>
            </w:r>
            <w:r>
              <w:rPr>
                <w:sz w:val="24"/>
              </w:rPr>
              <w:t>and</w:t>
            </w:r>
            <w:r>
              <w:rPr>
                <w:spacing w:val="-3"/>
                <w:sz w:val="24"/>
              </w:rPr>
              <w:t xml:space="preserve"> </w:t>
            </w:r>
            <w:r>
              <w:rPr>
                <w:sz w:val="24"/>
              </w:rPr>
              <w:t>support</w:t>
            </w:r>
            <w:r>
              <w:rPr>
                <w:spacing w:val="-3"/>
                <w:sz w:val="24"/>
              </w:rPr>
              <w:t xml:space="preserve"> </w:t>
            </w:r>
            <w:r>
              <w:rPr>
                <w:sz w:val="24"/>
              </w:rPr>
              <w:t>before,</w:t>
            </w:r>
            <w:r>
              <w:rPr>
                <w:spacing w:val="-3"/>
                <w:sz w:val="24"/>
              </w:rPr>
              <w:t xml:space="preserve"> </w:t>
            </w:r>
            <w:r>
              <w:rPr>
                <w:sz w:val="24"/>
              </w:rPr>
              <w:t>during</w:t>
            </w:r>
            <w:r>
              <w:rPr>
                <w:spacing w:val="-3"/>
                <w:sz w:val="24"/>
              </w:rPr>
              <w:t xml:space="preserve"> </w:t>
            </w:r>
            <w:r>
              <w:rPr>
                <w:sz w:val="24"/>
              </w:rPr>
              <w:t>and</w:t>
            </w:r>
            <w:r>
              <w:rPr>
                <w:spacing w:val="-5"/>
                <w:sz w:val="24"/>
              </w:rPr>
              <w:t xml:space="preserve"> </w:t>
            </w:r>
            <w:r>
              <w:rPr>
                <w:sz w:val="24"/>
              </w:rPr>
              <w:t xml:space="preserve">after transfer. </w:t>
            </w:r>
            <w:r>
              <w:fldChar w:fldCharType="begin"/>
            </w:r>
            <w:r>
              <w:instrText xml:space="preserve"> HYPERLINK "https://www.nice.org.uk/guidance/qs140/chapter/Quality-statement-4-Named-worker" </w:instrText>
            </w:r>
            <w:r>
              <w:fldChar w:fldCharType="separate"/>
            </w:r>
            <w:r>
              <w:rPr>
                <w:color w:val="0000FF"/>
                <w:sz w:val="24"/>
                <w:u w:val="single" w:color="0000FF"/>
              </w:rPr>
              <w:t>NICE QS140 (4, 2016)</w:t>
            </w:r>
            <w:r>
              <w:fldChar w:fldCharType="end"/>
            </w:r>
          </w:p>
          <w:p w:rsidR="00612801">
            <w:pPr>
              <w:pStyle w:val="TableParagraph"/>
              <w:spacing w:before="121"/>
              <w:ind w:right="137"/>
              <w:rPr>
                <w:sz w:val="24"/>
              </w:rPr>
            </w:pPr>
            <w:r>
              <w:rPr>
                <w:rFonts w:ascii="Arial"/>
                <w:b/>
                <w:sz w:val="24"/>
              </w:rPr>
              <w:t xml:space="preserve">Statement of intent 3: </w:t>
            </w:r>
            <w:r>
              <w:rPr>
                <w:sz w:val="24"/>
              </w:rPr>
              <w:t xml:space="preserve">Each health and social care </w:t>
            </w:r>
            <w:r>
              <w:rPr>
                <w:sz w:val="24"/>
              </w:rPr>
              <w:t>organisation</w:t>
            </w:r>
            <w:r>
              <w:rPr>
                <w:sz w:val="24"/>
              </w:rPr>
              <w:t>, in both children's</w:t>
            </w:r>
            <w:r>
              <w:rPr>
                <w:spacing w:val="40"/>
                <w:sz w:val="24"/>
              </w:rPr>
              <w:t xml:space="preserve"> </w:t>
            </w:r>
            <w:r>
              <w:rPr>
                <w:sz w:val="24"/>
              </w:rPr>
              <w:t>and adults' services supporting young people in transition, should nominate: 1 senior executive to be accountable for developing and publishing transition strategies and policies,</w:t>
            </w:r>
            <w:r>
              <w:rPr>
                <w:spacing w:val="-4"/>
                <w:sz w:val="24"/>
              </w:rPr>
              <w:t xml:space="preserve"> </w:t>
            </w:r>
            <w:r>
              <w:rPr>
                <w:sz w:val="24"/>
              </w:rPr>
              <w:t>1</w:t>
            </w:r>
            <w:r>
              <w:rPr>
                <w:spacing w:val="-5"/>
                <w:sz w:val="24"/>
              </w:rPr>
              <w:t xml:space="preserve"> </w:t>
            </w:r>
            <w:r>
              <w:rPr>
                <w:sz w:val="24"/>
              </w:rPr>
              <w:t>senior</w:t>
            </w:r>
            <w:r>
              <w:rPr>
                <w:spacing w:val="-4"/>
                <w:sz w:val="24"/>
              </w:rPr>
              <w:t xml:space="preserve"> </w:t>
            </w:r>
            <w:r>
              <w:rPr>
                <w:sz w:val="24"/>
              </w:rPr>
              <w:t>manager</w:t>
            </w:r>
            <w:r>
              <w:rPr>
                <w:spacing w:val="-4"/>
                <w:sz w:val="24"/>
              </w:rPr>
              <w:t xml:space="preserve"> </w:t>
            </w:r>
            <w:r>
              <w:rPr>
                <w:sz w:val="24"/>
              </w:rPr>
              <w:t>to</w:t>
            </w:r>
            <w:r>
              <w:rPr>
                <w:spacing w:val="-5"/>
                <w:sz w:val="24"/>
              </w:rPr>
              <w:t xml:space="preserve"> </w:t>
            </w:r>
            <w:r>
              <w:rPr>
                <w:sz w:val="24"/>
              </w:rPr>
              <w:t>be</w:t>
            </w:r>
            <w:r>
              <w:rPr>
                <w:spacing w:val="-5"/>
                <w:sz w:val="24"/>
              </w:rPr>
              <w:t xml:space="preserve"> </w:t>
            </w:r>
            <w:r>
              <w:rPr>
                <w:sz w:val="24"/>
              </w:rPr>
              <w:t>accountable</w:t>
            </w:r>
            <w:r>
              <w:rPr>
                <w:spacing w:val="-6"/>
                <w:sz w:val="24"/>
              </w:rPr>
              <w:t xml:space="preserve"> </w:t>
            </w:r>
            <w:r>
              <w:rPr>
                <w:sz w:val="24"/>
              </w:rPr>
              <w:t>for</w:t>
            </w:r>
            <w:r>
              <w:rPr>
                <w:spacing w:val="-4"/>
                <w:sz w:val="24"/>
              </w:rPr>
              <w:t xml:space="preserve"> </w:t>
            </w:r>
            <w:r>
              <w:rPr>
                <w:sz w:val="24"/>
              </w:rPr>
              <w:t>implementing</w:t>
            </w:r>
            <w:r>
              <w:rPr>
                <w:spacing w:val="-4"/>
                <w:sz w:val="24"/>
              </w:rPr>
              <w:t xml:space="preserve"> </w:t>
            </w:r>
            <w:r>
              <w:rPr>
                <w:sz w:val="24"/>
              </w:rPr>
              <w:t>transition</w:t>
            </w:r>
            <w:r>
              <w:rPr>
                <w:spacing w:val="-3"/>
                <w:sz w:val="24"/>
              </w:rPr>
              <w:t xml:space="preserve"> </w:t>
            </w:r>
            <w:r>
              <w:rPr>
                <w:sz w:val="24"/>
              </w:rPr>
              <w:t>strategies</w:t>
            </w:r>
            <w:r>
              <w:rPr>
                <w:spacing w:val="-5"/>
                <w:sz w:val="24"/>
              </w:rPr>
              <w:t xml:space="preserve"> </w:t>
            </w:r>
            <w:r>
              <w:rPr>
                <w:sz w:val="24"/>
              </w:rPr>
              <w:t>and policies. The senior executive should be responsible for championing transitions at a strategic level. The senior manager should be responsible for: liaising with the senior executive; champion</w:t>
            </w:r>
            <w:r>
              <w:rPr>
                <w:sz w:val="24"/>
              </w:rPr>
              <w:t>ing, implementing, monitoring and reviewing the effectiveness of</w:t>
            </w:r>
          </w:p>
          <w:p w:rsidR="00612801">
            <w:pPr>
              <w:pStyle w:val="TableParagraph"/>
              <w:spacing w:line="255" w:lineRule="exact"/>
              <w:rPr>
                <w:sz w:val="24"/>
              </w:rPr>
            </w:pPr>
            <w:r>
              <w:rPr>
                <w:sz w:val="24"/>
              </w:rPr>
              <w:t>transition</w:t>
            </w:r>
            <w:r>
              <w:rPr>
                <w:spacing w:val="-5"/>
                <w:sz w:val="24"/>
              </w:rPr>
              <w:t xml:space="preserve"> </w:t>
            </w:r>
            <w:r>
              <w:rPr>
                <w:sz w:val="24"/>
              </w:rPr>
              <w:t>strategies</w:t>
            </w:r>
            <w:r>
              <w:rPr>
                <w:spacing w:val="-4"/>
                <w:sz w:val="24"/>
              </w:rPr>
              <w:t xml:space="preserve"> </w:t>
            </w:r>
            <w:r>
              <w:rPr>
                <w:sz w:val="24"/>
              </w:rPr>
              <w:t>and</w:t>
            </w:r>
            <w:r>
              <w:rPr>
                <w:spacing w:val="-4"/>
                <w:sz w:val="24"/>
              </w:rPr>
              <w:t xml:space="preserve"> </w:t>
            </w:r>
            <w:r>
              <w:rPr>
                <w:sz w:val="24"/>
              </w:rPr>
              <w:t>policies.</w:t>
            </w:r>
            <w:r>
              <w:rPr>
                <w:spacing w:val="-2"/>
                <w:sz w:val="24"/>
              </w:rPr>
              <w:t xml:space="preserve"> </w:t>
            </w:r>
            <w:r>
              <w:fldChar w:fldCharType="begin"/>
            </w:r>
            <w:r>
              <w:instrText xml:space="preserve"> HYPERLINK "https://www.nice.org.uk/guidance/ng43/chapter/Recommendations" \l "supporting-infrastructure" </w:instrText>
            </w:r>
            <w:r>
              <w:fldChar w:fldCharType="separate"/>
            </w:r>
            <w:r>
              <w:rPr>
                <w:color w:val="0000FF"/>
                <w:sz w:val="24"/>
                <w:u w:val="single" w:color="0000FF"/>
              </w:rPr>
              <w:t>NICE</w:t>
            </w:r>
            <w:r>
              <w:rPr>
                <w:color w:val="0000FF"/>
                <w:spacing w:val="-4"/>
                <w:sz w:val="24"/>
                <w:u w:val="single" w:color="0000FF"/>
              </w:rPr>
              <w:t xml:space="preserve"> </w:t>
            </w:r>
            <w:r>
              <w:rPr>
                <w:color w:val="0000FF"/>
                <w:sz w:val="24"/>
                <w:u w:val="single" w:color="0000FF"/>
              </w:rPr>
              <w:t>NG43</w:t>
            </w:r>
            <w:r>
              <w:rPr>
                <w:color w:val="0000FF"/>
                <w:spacing w:val="-6"/>
                <w:sz w:val="24"/>
                <w:u w:val="single" w:color="0000FF"/>
              </w:rPr>
              <w:t xml:space="preserve"> </w:t>
            </w:r>
            <w:r>
              <w:rPr>
                <w:color w:val="0000FF"/>
                <w:sz w:val="24"/>
                <w:u w:val="single" w:color="0000FF"/>
              </w:rPr>
              <w:t>(1.5.1-3,</w:t>
            </w:r>
            <w:r>
              <w:rPr>
                <w:color w:val="0000FF"/>
                <w:spacing w:val="-3"/>
                <w:sz w:val="24"/>
                <w:u w:val="single" w:color="0000FF"/>
              </w:rPr>
              <w:t xml:space="preserve"> </w:t>
            </w:r>
            <w:r>
              <w:rPr>
                <w:color w:val="0000FF"/>
                <w:spacing w:val="-2"/>
                <w:sz w:val="24"/>
                <w:u w:val="single" w:color="0000FF"/>
              </w:rPr>
              <w:t>2016)</w:t>
            </w:r>
            <w:r>
              <w:fldChar w:fldCharType="end"/>
            </w:r>
          </w:p>
        </w:tc>
      </w:tr>
      <w:tr>
        <w:tblPrEx>
          <w:tblW w:w="0" w:type="auto"/>
          <w:tblInd w:w="244" w:type="dxa"/>
          <w:tblLayout w:type="fixed"/>
          <w:tblCellMar>
            <w:left w:w="0" w:type="dxa"/>
            <w:right w:w="0" w:type="dxa"/>
          </w:tblCellMar>
          <w:tblLook w:val="01E0"/>
        </w:tblPrEx>
        <w:trPr>
          <w:trHeight w:val="551"/>
        </w:trPr>
        <w:tc>
          <w:tcPr>
            <w:tcW w:w="9446" w:type="dxa"/>
          </w:tcPr>
          <w:p w:rsidR="00612801">
            <w:pPr>
              <w:pStyle w:val="TableParagraph"/>
              <w:spacing w:line="270" w:lineRule="atLeast"/>
              <w:ind w:right="136"/>
              <w:rPr>
                <w:rFonts w:ascii="Arial"/>
                <w:b/>
                <w:sz w:val="24"/>
              </w:rPr>
            </w:pPr>
            <w:r>
              <w:rPr>
                <w:rFonts w:ascii="Arial"/>
                <w:b/>
                <w:spacing w:val="-2"/>
                <w:sz w:val="24"/>
              </w:rPr>
              <w:t>FOCUS</w:t>
            </w:r>
            <w:r>
              <w:rPr>
                <w:rFonts w:ascii="Arial"/>
                <w:b/>
                <w:spacing w:val="-12"/>
                <w:sz w:val="24"/>
              </w:rPr>
              <w:t xml:space="preserve"> </w:t>
            </w:r>
            <w:r>
              <w:rPr>
                <w:rFonts w:ascii="Arial"/>
                <w:b/>
                <w:spacing w:val="-2"/>
                <w:sz w:val="24"/>
              </w:rPr>
              <w:t>AREA</w:t>
            </w:r>
            <w:r>
              <w:rPr>
                <w:rFonts w:ascii="Arial"/>
                <w:b/>
                <w:spacing w:val="-10"/>
                <w:sz w:val="24"/>
              </w:rPr>
              <w:t xml:space="preserve"> </w:t>
            </w:r>
            <w:r>
              <w:rPr>
                <w:rFonts w:ascii="Arial"/>
                <w:b/>
                <w:spacing w:val="-2"/>
                <w:sz w:val="24"/>
              </w:rPr>
              <w:t>5: ENABLING DEVELOPMENTALLY</w:t>
            </w:r>
            <w:r>
              <w:rPr>
                <w:rFonts w:ascii="Arial"/>
                <w:b/>
                <w:spacing w:val="-15"/>
                <w:sz w:val="24"/>
              </w:rPr>
              <w:t xml:space="preserve"> </w:t>
            </w:r>
            <w:r>
              <w:rPr>
                <w:rFonts w:ascii="Arial"/>
                <w:b/>
                <w:spacing w:val="-2"/>
                <w:sz w:val="24"/>
              </w:rPr>
              <w:t>APPROPRIATE INDEPENDENCE</w:t>
            </w:r>
          </w:p>
        </w:tc>
      </w:tr>
      <w:tr>
        <w:tblPrEx>
          <w:tblW w:w="0" w:type="auto"/>
          <w:tblInd w:w="244" w:type="dxa"/>
          <w:tblLayout w:type="fixed"/>
          <w:tblCellMar>
            <w:left w:w="0" w:type="dxa"/>
            <w:right w:w="0" w:type="dxa"/>
          </w:tblCellMar>
          <w:tblLook w:val="01E0"/>
        </w:tblPrEx>
        <w:trPr>
          <w:trHeight w:val="3276"/>
        </w:trPr>
        <w:tc>
          <w:tcPr>
            <w:tcW w:w="9446" w:type="dxa"/>
          </w:tcPr>
          <w:p w:rsidR="00612801">
            <w:pPr>
              <w:pStyle w:val="TableParagraph"/>
              <w:rPr>
                <w:sz w:val="24"/>
              </w:rPr>
            </w:pPr>
            <w:r>
              <w:rPr>
                <w:rFonts w:ascii="Arial"/>
                <w:b/>
                <w:sz w:val="24"/>
              </w:rPr>
              <w:t>Statement</w:t>
            </w:r>
            <w:r>
              <w:rPr>
                <w:rFonts w:ascii="Arial"/>
                <w:b/>
                <w:spacing w:val="-6"/>
                <w:sz w:val="24"/>
              </w:rPr>
              <w:t xml:space="preserve"> </w:t>
            </w:r>
            <w:r>
              <w:rPr>
                <w:rFonts w:ascii="Arial"/>
                <w:b/>
                <w:sz w:val="24"/>
              </w:rPr>
              <w:t>of</w:t>
            </w:r>
            <w:r>
              <w:rPr>
                <w:rFonts w:ascii="Arial"/>
                <w:b/>
                <w:spacing w:val="-3"/>
                <w:sz w:val="24"/>
              </w:rPr>
              <w:t xml:space="preserve"> </w:t>
            </w:r>
            <w:r>
              <w:rPr>
                <w:rFonts w:ascii="Arial"/>
                <w:b/>
                <w:sz w:val="24"/>
              </w:rPr>
              <w:t>intent</w:t>
            </w:r>
            <w:r>
              <w:rPr>
                <w:rFonts w:ascii="Arial"/>
                <w:b/>
                <w:spacing w:val="-3"/>
                <w:sz w:val="24"/>
              </w:rPr>
              <w:t xml:space="preserve"> </w:t>
            </w:r>
            <w:r>
              <w:rPr>
                <w:rFonts w:ascii="Arial"/>
                <w:b/>
                <w:sz w:val="24"/>
              </w:rPr>
              <w:t>1</w:t>
            </w:r>
            <w:r>
              <w:rPr>
                <w:sz w:val="24"/>
              </w:rPr>
              <w:t>:</w:t>
            </w:r>
            <w:r>
              <w:rPr>
                <w:spacing w:val="-4"/>
                <w:sz w:val="24"/>
              </w:rPr>
              <w:t xml:space="preserve"> </w:t>
            </w:r>
            <w:r>
              <w:rPr>
                <w:sz w:val="24"/>
              </w:rPr>
              <w:t>Service</w:t>
            </w:r>
            <w:r>
              <w:rPr>
                <w:spacing w:val="-3"/>
                <w:sz w:val="24"/>
              </w:rPr>
              <w:t xml:space="preserve"> </w:t>
            </w:r>
            <w:r>
              <w:rPr>
                <w:sz w:val="24"/>
              </w:rPr>
              <w:t>managers</w:t>
            </w:r>
            <w:r>
              <w:rPr>
                <w:spacing w:val="-3"/>
                <w:sz w:val="24"/>
              </w:rPr>
              <w:t xml:space="preserve"> </w:t>
            </w:r>
            <w:r>
              <w:rPr>
                <w:sz w:val="24"/>
              </w:rPr>
              <w:t>should</w:t>
            </w:r>
            <w:r>
              <w:rPr>
                <w:spacing w:val="-2"/>
                <w:sz w:val="24"/>
              </w:rPr>
              <w:t xml:space="preserve"> </w:t>
            </w:r>
            <w:r>
              <w:rPr>
                <w:sz w:val="24"/>
              </w:rPr>
              <w:t>ensure</w:t>
            </w:r>
            <w:r>
              <w:rPr>
                <w:spacing w:val="-3"/>
                <w:sz w:val="24"/>
              </w:rPr>
              <w:t xml:space="preserve"> </w:t>
            </w:r>
            <w:r>
              <w:rPr>
                <w:sz w:val="24"/>
              </w:rPr>
              <w:t>there</w:t>
            </w:r>
            <w:r>
              <w:rPr>
                <w:spacing w:val="-4"/>
                <w:sz w:val="24"/>
              </w:rPr>
              <w:t xml:space="preserve"> </w:t>
            </w:r>
            <w:r>
              <w:rPr>
                <w:spacing w:val="-5"/>
                <w:sz w:val="24"/>
              </w:rPr>
              <w:t>are</w:t>
            </w:r>
          </w:p>
          <w:p w:rsidR="00612801">
            <w:pPr>
              <w:pStyle w:val="TableParagraph"/>
              <w:rPr>
                <w:sz w:val="24"/>
              </w:rPr>
            </w:pPr>
            <w:r>
              <w:rPr>
                <w:sz w:val="24"/>
              </w:rPr>
              <w:t>developmentally</w:t>
            </w:r>
            <w:r>
              <w:rPr>
                <w:spacing w:val="-2"/>
                <w:sz w:val="24"/>
              </w:rPr>
              <w:t xml:space="preserve"> </w:t>
            </w:r>
            <w:r>
              <w:rPr>
                <w:sz w:val="24"/>
              </w:rPr>
              <w:t>appropriate</w:t>
            </w:r>
            <w:r>
              <w:rPr>
                <w:spacing w:val="-3"/>
                <w:sz w:val="24"/>
              </w:rPr>
              <w:t xml:space="preserve"> </w:t>
            </w:r>
            <w:r>
              <w:rPr>
                <w:sz w:val="24"/>
              </w:rPr>
              <w:t>services</w:t>
            </w:r>
            <w:r>
              <w:rPr>
                <w:spacing w:val="-4"/>
                <w:sz w:val="24"/>
              </w:rPr>
              <w:t xml:space="preserve"> </w:t>
            </w:r>
            <w:r>
              <w:rPr>
                <w:sz w:val="24"/>
              </w:rPr>
              <w:t>for</w:t>
            </w:r>
            <w:r>
              <w:rPr>
                <w:spacing w:val="-4"/>
                <w:sz w:val="24"/>
              </w:rPr>
              <w:t xml:space="preserve"> </w:t>
            </w:r>
            <w:r>
              <w:rPr>
                <w:sz w:val="24"/>
              </w:rPr>
              <w:t>children,</w:t>
            </w:r>
            <w:r>
              <w:rPr>
                <w:spacing w:val="-4"/>
                <w:sz w:val="24"/>
              </w:rPr>
              <w:t xml:space="preserve"> </w:t>
            </w:r>
            <w:r>
              <w:rPr>
                <w:sz w:val="24"/>
              </w:rPr>
              <w:t>young</w:t>
            </w:r>
            <w:r>
              <w:rPr>
                <w:spacing w:val="-3"/>
                <w:sz w:val="24"/>
              </w:rPr>
              <w:t xml:space="preserve"> </w:t>
            </w:r>
            <w:r>
              <w:rPr>
                <w:sz w:val="24"/>
              </w:rPr>
              <w:t>people</w:t>
            </w:r>
            <w:r>
              <w:rPr>
                <w:spacing w:val="-5"/>
                <w:sz w:val="24"/>
              </w:rPr>
              <w:t xml:space="preserve"> </w:t>
            </w:r>
            <w:r>
              <w:rPr>
                <w:sz w:val="24"/>
              </w:rPr>
              <w:t>and</w:t>
            </w:r>
            <w:r>
              <w:rPr>
                <w:spacing w:val="-6"/>
                <w:sz w:val="24"/>
              </w:rPr>
              <w:t xml:space="preserve"> </w:t>
            </w:r>
            <w:r>
              <w:rPr>
                <w:sz w:val="24"/>
              </w:rPr>
              <w:t>adults</w:t>
            </w:r>
            <w:r>
              <w:rPr>
                <w:spacing w:val="-6"/>
                <w:sz w:val="24"/>
              </w:rPr>
              <w:t xml:space="preserve"> </w:t>
            </w:r>
            <w:r>
              <w:rPr>
                <w:sz w:val="24"/>
              </w:rPr>
              <w:t>to</w:t>
            </w:r>
            <w:r>
              <w:rPr>
                <w:spacing w:val="-3"/>
                <w:sz w:val="24"/>
              </w:rPr>
              <w:t xml:space="preserve"> </w:t>
            </w:r>
            <w:r>
              <w:rPr>
                <w:sz w:val="24"/>
              </w:rPr>
              <w:t xml:space="preserve">support transition, for example, age banded clinics. </w:t>
            </w:r>
            <w:r>
              <w:fldChar w:fldCharType="begin"/>
            </w:r>
            <w:r>
              <w:instrText xml:space="preserve"> HYPERLINK "https://www.nice.org.uk/guidance/ng43/chapter/Recommendations" \l "transition-planning" </w:instrText>
            </w:r>
            <w:r>
              <w:fldChar w:fldCharType="separate"/>
            </w:r>
            <w:r>
              <w:rPr>
                <w:color w:val="0000FF"/>
                <w:sz w:val="24"/>
                <w:u w:val="single" w:color="0000FF"/>
              </w:rPr>
              <w:t>NICE NG43 (1.5.11, 2016)</w:t>
            </w:r>
            <w:r>
              <w:fldChar w:fldCharType="end"/>
            </w:r>
          </w:p>
          <w:p w:rsidR="00612801">
            <w:pPr>
              <w:pStyle w:val="TableParagraph"/>
              <w:spacing w:before="120"/>
              <w:ind w:right="136"/>
              <w:rPr>
                <w:sz w:val="24"/>
              </w:rPr>
            </w:pPr>
            <w:r>
              <w:rPr>
                <w:rFonts w:ascii="Arial"/>
                <w:b/>
                <w:sz w:val="24"/>
              </w:rPr>
              <w:t xml:space="preserve">Statement of intent 2: </w:t>
            </w:r>
            <w:r>
              <w:rPr>
                <w:sz w:val="24"/>
              </w:rPr>
              <w:t>Use person-</w:t>
            </w:r>
            <w:r>
              <w:rPr>
                <w:sz w:val="24"/>
              </w:rPr>
              <w:t>centred</w:t>
            </w:r>
            <w:r>
              <w:rPr>
                <w:sz w:val="24"/>
              </w:rPr>
              <w:t xml:space="preserve"> approaches to ensure that transition support addresses all relevant outcomes, including those related to education and employment,</w:t>
            </w:r>
            <w:r>
              <w:rPr>
                <w:spacing w:val="-6"/>
                <w:sz w:val="24"/>
              </w:rPr>
              <w:t xml:space="preserve"> </w:t>
            </w:r>
            <w:r>
              <w:rPr>
                <w:sz w:val="24"/>
              </w:rPr>
              <w:t>community</w:t>
            </w:r>
            <w:r>
              <w:rPr>
                <w:spacing w:val="-4"/>
                <w:sz w:val="24"/>
              </w:rPr>
              <w:t xml:space="preserve"> </w:t>
            </w:r>
            <w:r>
              <w:rPr>
                <w:sz w:val="24"/>
              </w:rPr>
              <w:t>inclusion,</w:t>
            </w:r>
            <w:r>
              <w:rPr>
                <w:spacing w:val="-6"/>
                <w:sz w:val="24"/>
              </w:rPr>
              <w:t xml:space="preserve"> </w:t>
            </w:r>
            <w:r>
              <w:rPr>
                <w:sz w:val="24"/>
              </w:rPr>
              <w:t>health</w:t>
            </w:r>
            <w:r>
              <w:rPr>
                <w:spacing w:val="-6"/>
                <w:sz w:val="24"/>
              </w:rPr>
              <w:t xml:space="preserve"> </w:t>
            </w:r>
            <w:r>
              <w:rPr>
                <w:sz w:val="24"/>
              </w:rPr>
              <w:t>and</w:t>
            </w:r>
            <w:r>
              <w:rPr>
                <w:spacing w:val="-6"/>
                <w:sz w:val="24"/>
              </w:rPr>
              <w:t xml:space="preserve"> </w:t>
            </w:r>
            <w:r>
              <w:rPr>
                <w:sz w:val="24"/>
              </w:rPr>
              <w:t>wellbeing,</w:t>
            </w:r>
            <w:r>
              <w:rPr>
                <w:spacing w:val="-6"/>
                <w:sz w:val="24"/>
              </w:rPr>
              <w:t xml:space="preserve"> </w:t>
            </w:r>
            <w:r>
              <w:rPr>
                <w:sz w:val="24"/>
              </w:rPr>
              <w:t>including</w:t>
            </w:r>
            <w:r>
              <w:rPr>
                <w:spacing w:val="-6"/>
                <w:sz w:val="24"/>
              </w:rPr>
              <w:t xml:space="preserve"> </w:t>
            </w:r>
            <w:r>
              <w:rPr>
                <w:sz w:val="24"/>
              </w:rPr>
              <w:t>emotional</w:t>
            </w:r>
            <w:r>
              <w:rPr>
                <w:spacing w:val="-7"/>
                <w:sz w:val="24"/>
              </w:rPr>
              <w:t xml:space="preserve"> </w:t>
            </w:r>
            <w:r>
              <w:rPr>
                <w:sz w:val="24"/>
              </w:rPr>
              <w:t xml:space="preserve">health, independent living and housing options. </w:t>
            </w:r>
            <w:r>
              <w:fldChar w:fldCharType="begin"/>
            </w:r>
            <w:r>
              <w:instrText xml:space="preserve"> HYPERLINK "https://www.nice.org.uk/guidance/ng43/chapter/Recommendations" \l "transition-planning" </w:instrText>
            </w:r>
            <w:r>
              <w:fldChar w:fldCharType="separate"/>
            </w:r>
            <w:r>
              <w:rPr>
                <w:color w:val="0000FF"/>
                <w:sz w:val="24"/>
                <w:u w:val="single" w:color="0000FF"/>
              </w:rPr>
              <w:t>NICE NG43 (1.1.4)</w:t>
            </w:r>
            <w:r>
              <w:fldChar w:fldCharType="end"/>
            </w:r>
          </w:p>
          <w:p w:rsidR="00612801">
            <w:pPr>
              <w:pStyle w:val="TableParagraph"/>
              <w:spacing w:before="120"/>
              <w:rPr>
                <w:sz w:val="24"/>
              </w:rPr>
            </w:pPr>
            <w:r>
              <w:rPr>
                <w:rFonts w:ascii="Arial" w:hAnsi="Arial"/>
                <w:b/>
                <w:sz w:val="24"/>
              </w:rPr>
              <w:t>Statement of intent 3</w:t>
            </w:r>
            <w:r>
              <w:rPr>
                <w:sz w:val="24"/>
              </w:rPr>
              <w:t>: Local authorities are required to maintain a Pathway Plan for every</w:t>
            </w:r>
            <w:r>
              <w:rPr>
                <w:spacing w:val="-4"/>
                <w:sz w:val="24"/>
              </w:rPr>
              <w:t xml:space="preserve"> </w:t>
            </w:r>
            <w:r>
              <w:rPr>
                <w:sz w:val="24"/>
              </w:rPr>
              <w:t>eligible</w:t>
            </w:r>
            <w:r>
              <w:rPr>
                <w:spacing w:val="-6"/>
                <w:sz w:val="24"/>
              </w:rPr>
              <w:t xml:space="preserve"> </w:t>
            </w:r>
            <w:r>
              <w:rPr>
                <w:sz w:val="24"/>
              </w:rPr>
              <w:t>care</w:t>
            </w:r>
            <w:r>
              <w:rPr>
                <w:spacing w:val="-4"/>
                <w:sz w:val="24"/>
              </w:rPr>
              <w:t xml:space="preserve"> </w:t>
            </w:r>
            <w:r>
              <w:rPr>
                <w:sz w:val="24"/>
              </w:rPr>
              <w:t>leaver,</w:t>
            </w:r>
            <w:r>
              <w:rPr>
                <w:spacing w:val="-4"/>
                <w:sz w:val="24"/>
              </w:rPr>
              <w:t xml:space="preserve"> </w:t>
            </w:r>
            <w:r>
              <w:rPr>
                <w:sz w:val="24"/>
              </w:rPr>
              <w:t>setting</w:t>
            </w:r>
            <w:r>
              <w:rPr>
                <w:spacing w:val="-5"/>
                <w:sz w:val="24"/>
              </w:rPr>
              <w:t xml:space="preserve"> </w:t>
            </w:r>
            <w:r>
              <w:rPr>
                <w:sz w:val="24"/>
              </w:rPr>
              <w:t>out</w:t>
            </w:r>
            <w:r>
              <w:rPr>
                <w:spacing w:val="-4"/>
                <w:sz w:val="24"/>
              </w:rPr>
              <w:t xml:space="preserve"> </w:t>
            </w:r>
            <w:r>
              <w:rPr>
                <w:sz w:val="24"/>
              </w:rPr>
              <w:t>how</w:t>
            </w:r>
            <w:r>
              <w:rPr>
                <w:spacing w:val="-4"/>
                <w:sz w:val="24"/>
              </w:rPr>
              <w:t xml:space="preserve"> </w:t>
            </w:r>
            <w:r>
              <w:rPr>
                <w:sz w:val="24"/>
              </w:rPr>
              <w:t>the</w:t>
            </w:r>
            <w:r>
              <w:rPr>
                <w:spacing w:val="-6"/>
                <w:sz w:val="24"/>
              </w:rPr>
              <w:t xml:space="preserve"> </w:t>
            </w:r>
            <w:r>
              <w:rPr>
                <w:sz w:val="24"/>
              </w:rPr>
              <w:t>young</w:t>
            </w:r>
            <w:r>
              <w:rPr>
                <w:spacing w:val="-4"/>
                <w:sz w:val="24"/>
              </w:rPr>
              <w:t xml:space="preserve"> </w:t>
            </w:r>
            <w:r>
              <w:rPr>
                <w:sz w:val="24"/>
              </w:rPr>
              <w:t>person’s</w:t>
            </w:r>
            <w:r>
              <w:rPr>
                <w:spacing w:val="-4"/>
                <w:sz w:val="24"/>
              </w:rPr>
              <w:t xml:space="preserve"> </w:t>
            </w:r>
            <w:r>
              <w:rPr>
                <w:sz w:val="24"/>
              </w:rPr>
              <w:t>health</w:t>
            </w:r>
            <w:r>
              <w:rPr>
                <w:spacing w:val="-6"/>
                <w:sz w:val="24"/>
              </w:rPr>
              <w:t xml:space="preserve"> </w:t>
            </w:r>
            <w:r>
              <w:rPr>
                <w:sz w:val="24"/>
              </w:rPr>
              <w:t>needs-</w:t>
            </w:r>
            <w:r>
              <w:rPr>
                <w:spacing w:val="-5"/>
                <w:sz w:val="24"/>
              </w:rPr>
              <w:t xml:space="preserve"> </w:t>
            </w:r>
            <w:r>
              <w:rPr>
                <w:sz w:val="24"/>
              </w:rPr>
              <w:t xml:space="preserve">including mental health- will be met. </w:t>
            </w:r>
            <w:r>
              <w:fldChar w:fldCharType="begin"/>
            </w:r>
            <w:r>
              <w:instrText xml:space="preserve"> HYPERLINK "https://www.legislation.gov.uk/ukpga/1989/41/contents" </w:instrText>
            </w:r>
            <w:r>
              <w:fldChar w:fldCharType="separate"/>
            </w:r>
            <w:r>
              <w:rPr>
                <w:color w:val="0000FF"/>
                <w:sz w:val="24"/>
                <w:u w:val="single" w:color="0000FF"/>
              </w:rPr>
              <w:t>Children</w:t>
            </w:r>
            <w:r>
              <w:rPr>
                <w:color w:val="0000FF"/>
                <w:spacing w:val="-7"/>
                <w:sz w:val="24"/>
                <w:u w:val="single" w:color="0000FF"/>
              </w:rPr>
              <w:t xml:space="preserve"> </w:t>
            </w:r>
            <w:r>
              <w:rPr>
                <w:color w:val="0000FF"/>
                <w:sz w:val="24"/>
                <w:u w:val="single" w:color="0000FF"/>
              </w:rPr>
              <w:t>Act 1989</w:t>
            </w:r>
            <w:r>
              <w:fldChar w:fldCharType="end"/>
            </w:r>
            <w:r>
              <w:rPr>
                <w:color w:val="0000FF"/>
                <w:sz w:val="24"/>
              </w:rPr>
              <w:t xml:space="preserve"> </w:t>
            </w:r>
            <w:r>
              <w:rPr>
                <w:sz w:val="24"/>
              </w:rPr>
              <w:t xml:space="preserve">as amended by the </w:t>
            </w:r>
            <w:r>
              <w:fldChar w:fldCharType="begin"/>
            </w:r>
            <w:r>
              <w:instrText xml:space="preserve"> HYPERLINK "https://www.legislation.gov.uk/ukpga/2000/35/contents" </w:instrText>
            </w:r>
            <w:r>
              <w:fldChar w:fldCharType="separate"/>
            </w:r>
            <w:r>
              <w:rPr>
                <w:color w:val="0000FF"/>
                <w:sz w:val="24"/>
                <w:u w:val="single" w:color="0000FF"/>
              </w:rPr>
              <w:t>Children (Leaving</w:t>
            </w:r>
            <w:r>
              <w:fldChar w:fldCharType="end"/>
            </w:r>
          </w:p>
          <w:p w:rsidR="00612801">
            <w:pPr>
              <w:pStyle w:val="TableParagraph"/>
              <w:spacing w:line="255" w:lineRule="exact"/>
              <w:rPr>
                <w:sz w:val="24"/>
              </w:rPr>
            </w:pPr>
            <w:r>
              <w:fldChar w:fldCharType="begin"/>
            </w:r>
            <w:r>
              <w:instrText xml:space="preserve"> HYPERLINK "https://www.legislation.gov.uk/ukpga/2000/35/contents" </w:instrText>
            </w:r>
            <w:r>
              <w:fldChar w:fldCharType="separate"/>
            </w:r>
            <w:r>
              <w:rPr>
                <w:color w:val="0000FF"/>
                <w:sz w:val="24"/>
                <w:u w:val="single" w:color="0000FF"/>
              </w:rPr>
              <w:t>Care)</w:t>
            </w:r>
            <w:r>
              <w:rPr>
                <w:color w:val="0000FF"/>
                <w:spacing w:val="-19"/>
                <w:sz w:val="24"/>
                <w:u w:val="single" w:color="0000FF"/>
              </w:rPr>
              <w:t xml:space="preserve"> </w:t>
            </w:r>
            <w:r>
              <w:rPr>
                <w:color w:val="0000FF"/>
                <w:sz w:val="24"/>
                <w:u w:val="single" w:color="0000FF"/>
              </w:rPr>
              <w:t>Act</w:t>
            </w:r>
            <w:r>
              <w:rPr>
                <w:color w:val="0000FF"/>
                <w:spacing w:val="-1"/>
                <w:sz w:val="24"/>
                <w:u w:val="single" w:color="0000FF"/>
              </w:rPr>
              <w:t xml:space="preserve"> </w:t>
            </w:r>
            <w:r>
              <w:rPr>
                <w:color w:val="0000FF"/>
                <w:spacing w:val="-4"/>
                <w:sz w:val="24"/>
                <w:u w:val="single" w:color="0000FF"/>
              </w:rPr>
              <w:t>2000</w:t>
            </w:r>
            <w:r>
              <w:rPr>
                <w:spacing w:val="-4"/>
                <w:sz w:val="24"/>
              </w:rPr>
              <w:t>.</w:t>
            </w:r>
            <w:r>
              <w:fldChar w:fldCharType="end"/>
            </w:r>
          </w:p>
        </w:tc>
      </w:tr>
      <w:tr>
        <w:tblPrEx>
          <w:tblW w:w="0" w:type="auto"/>
          <w:tblInd w:w="244" w:type="dxa"/>
          <w:tblLayout w:type="fixed"/>
          <w:tblCellMar>
            <w:left w:w="0" w:type="dxa"/>
            <w:right w:w="0" w:type="dxa"/>
          </w:tblCellMar>
          <w:tblLook w:val="01E0"/>
        </w:tblPrEx>
        <w:trPr>
          <w:trHeight w:val="275"/>
        </w:trPr>
        <w:tc>
          <w:tcPr>
            <w:tcW w:w="9446" w:type="dxa"/>
          </w:tcPr>
          <w:p w:rsidR="00612801">
            <w:pPr>
              <w:pStyle w:val="TableParagraph"/>
              <w:spacing w:line="255" w:lineRule="exact"/>
              <w:rPr>
                <w:rFonts w:ascii="Arial"/>
                <w:b/>
                <w:sz w:val="24"/>
              </w:rPr>
            </w:pPr>
            <w:r>
              <w:rPr>
                <w:rFonts w:ascii="Arial"/>
                <w:b/>
                <w:sz w:val="24"/>
              </w:rPr>
              <w:t>FOCUS</w:t>
            </w:r>
            <w:r>
              <w:rPr>
                <w:rFonts w:ascii="Arial"/>
                <w:b/>
                <w:spacing w:val="-11"/>
                <w:sz w:val="24"/>
              </w:rPr>
              <w:t xml:space="preserve"> </w:t>
            </w:r>
            <w:r>
              <w:rPr>
                <w:rFonts w:ascii="Arial"/>
                <w:b/>
                <w:sz w:val="24"/>
              </w:rPr>
              <w:t>AREA</w:t>
            </w:r>
            <w:r>
              <w:rPr>
                <w:rFonts w:ascii="Arial"/>
                <w:b/>
                <w:spacing w:val="-9"/>
                <w:sz w:val="24"/>
              </w:rPr>
              <w:t xml:space="preserve"> </w:t>
            </w:r>
            <w:r>
              <w:rPr>
                <w:rFonts w:ascii="Arial"/>
                <w:b/>
                <w:sz w:val="24"/>
              </w:rPr>
              <w:t>6:</w:t>
            </w:r>
            <w:r>
              <w:rPr>
                <w:rFonts w:ascii="Arial"/>
                <w:b/>
                <w:spacing w:val="-2"/>
                <w:sz w:val="24"/>
              </w:rPr>
              <w:t xml:space="preserve"> </w:t>
            </w:r>
            <w:r>
              <w:rPr>
                <w:rFonts w:ascii="Arial"/>
                <w:b/>
                <w:sz w:val="24"/>
              </w:rPr>
              <w:t>PROMOTING</w:t>
            </w:r>
            <w:r>
              <w:rPr>
                <w:rFonts w:ascii="Arial"/>
                <w:b/>
                <w:spacing w:val="-1"/>
                <w:sz w:val="24"/>
              </w:rPr>
              <w:t xml:space="preserve"> </w:t>
            </w:r>
            <w:r>
              <w:rPr>
                <w:rFonts w:ascii="Arial"/>
                <w:b/>
                <w:sz w:val="24"/>
              </w:rPr>
              <w:t>EQUITY</w:t>
            </w:r>
            <w:r>
              <w:rPr>
                <w:rFonts w:ascii="Arial"/>
                <w:b/>
                <w:spacing w:val="-14"/>
                <w:sz w:val="24"/>
              </w:rPr>
              <w:t xml:space="preserve"> </w:t>
            </w:r>
            <w:r>
              <w:rPr>
                <w:rFonts w:ascii="Arial"/>
                <w:b/>
                <w:sz w:val="24"/>
              </w:rPr>
              <w:t>ACROSS</w:t>
            </w:r>
            <w:r>
              <w:rPr>
                <w:rFonts w:ascii="Arial"/>
                <w:b/>
                <w:spacing w:val="-2"/>
                <w:sz w:val="24"/>
              </w:rPr>
              <w:t xml:space="preserve"> </w:t>
            </w:r>
            <w:r>
              <w:rPr>
                <w:rFonts w:ascii="Arial"/>
                <w:b/>
                <w:sz w:val="24"/>
              </w:rPr>
              <w:t>THE</w:t>
            </w:r>
            <w:r>
              <w:rPr>
                <w:rFonts w:ascii="Arial"/>
                <w:b/>
                <w:spacing w:val="-1"/>
                <w:sz w:val="24"/>
              </w:rPr>
              <w:t xml:space="preserve"> </w:t>
            </w:r>
            <w:r>
              <w:rPr>
                <w:rFonts w:ascii="Arial"/>
                <w:b/>
                <w:spacing w:val="-2"/>
                <w:sz w:val="24"/>
              </w:rPr>
              <w:t>TRANSITION</w:t>
            </w:r>
          </w:p>
        </w:tc>
      </w:tr>
      <w:tr>
        <w:tblPrEx>
          <w:tblW w:w="0" w:type="auto"/>
          <w:tblInd w:w="244" w:type="dxa"/>
          <w:tblLayout w:type="fixed"/>
          <w:tblCellMar>
            <w:left w:w="0" w:type="dxa"/>
            <w:right w:w="0" w:type="dxa"/>
          </w:tblCellMar>
          <w:tblLook w:val="01E0"/>
        </w:tblPrEx>
        <w:trPr>
          <w:trHeight w:val="3163"/>
        </w:trPr>
        <w:tc>
          <w:tcPr>
            <w:tcW w:w="9446" w:type="dxa"/>
          </w:tcPr>
          <w:p w:rsidR="00612801">
            <w:pPr>
              <w:pStyle w:val="TableParagraph"/>
              <w:spacing w:before="2"/>
              <w:ind w:right="157"/>
              <w:rPr>
                <w:sz w:val="24"/>
              </w:rPr>
            </w:pPr>
            <w:r>
              <w:rPr>
                <w:rFonts w:ascii="Arial" w:hAnsi="Arial"/>
                <w:b/>
                <w:sz w:val="24"/>
              </w:rPr>
              <w:t>Statement</w:t>
            </w:r>
            <w:r>
              <w:rPr>
                <w:rFonts w:ascii="Arial" w:hAnsi="Arial"/>
                <w:b/>
                <w:spacing w:val="-4"/>
                <w:sz w:val="24"/>
              </w:rPr>
              <w:t xml:space="preserve"> </w:t>
            </w:r>
            <w:r>
              <w:rPr>
                <w:rFonts w:ascii="Arial" w:hAnsi="Arial"/>
                <w:b/>
                <w:sz w:val="24"/>
              </w:rPr>
              <w:t>of</w:t>
            </w:r>
            <w:r>
              <w:rPr>
                <w:rFonts w:ascii="Arial" w:hAnsi="Arial"/>
                <w:b/>
                <w:spacing w:val="-3"/>
                <w:sz w:val="24"/>
              </w:rPr>
              <w:t xml:space="preserve"> </w:t>
            </w:r>
            <w:r>
              <w:rPr>
                <w:rFonts w:ascii="Arial" w:hAnsi="Arial"/>
                <w:b/>
                <w:sz w:val="24"/>
              </w:rPr>
              <w:t>intent</w:t>
            </w:r>
            <w:r>
              <w:rPr>
                <w:rFonts w:ascii="Arial" w:hAnsi="Arial"/>
                <w:b/>
                <w:spacing w:val="-3"/>
                <w:sz w:val="24"/>
              </w:rPr>
              <w:t xml:space="preserve"> </w:t>
            </w:r>
            <w:r>
              <w:rPr>
                <w:rFonts w:ascii="Arial" w:hAnsi="Arial"/>
                <w:b/>
                <w:sz w:val="24"/>
              </w:rPr>
              <w:t>1</w:t>
            </w:r>
            <w:r>
              <w:rPr>
                <w:sz w:val="24"/>
              </w:rPr>
              <w:t>:</w:t>
            </w:r>
            <w:r>
              <w:rPr>
                <w:spacing w:val="-10"/>
                <w:sz w:val="24"/>
              </w:rPr>
              <w:t xml:space="preserve"> </w:t>
            </w:r>
            <w:r>
              <w:rPr>
                <w:sz w:val="24"/>
              </w:rPr>
              <w:t>The</w:t>
            </w:r>
            <w:r>
              <w:rPr>
                <w:spacing w:val="-3"/>
                <w:sz w:val="24"/>
              </w:rPr>
              <w:t xml:space="preserve"> </w:t>
            </w:r>
            <w:r>
              <w:rPr>
                <w:sz w:val="24"/>
              </w:rPr>
              <w:t>service</w:t>
            </w:r>
            <w:r>
              <w:rPr>
                <w:spacing w:val="-5"/>
                <w:sz w:val="24"/>
              </w:rPr>
              <w:t xml:space="preserve"> </w:t>
            </w:r>
            <w:r>
              <w:rPr>
                <w:sz w:val="24"/>
              </w:rPr>
              <w:t>provides</w:t>
            </w:r>
            <w:r>
              <w:rPr>
                <w:spacing w:val="-8"/>
                <w:sz w:val="24"/>
              </w:rPr>
              <w:t xml:space="preserve"> </w:t>
            </w:r>
            <w:r>
              <w:rPr>
                <w:sz w:val="24"/>
              </w:rPr>
              <w:t>publicity</w:t>
            </w:r>
            <w:r>
              <w:rPr>
                <w:spacing w:val="-3"/>
                <w:sz w:val="24"/>
              </w:rPr>
              <w:t xml:space="preserve"> </w:t>
            </w:r>
            <w:r>
              <w:rPr>
                <w:sz w:val="24"/>
              </w:rPr>
              <w:t>material</w:t>
            </w:r>
            <w:r>
              <w:rPr>
                <w:spacing w:val="-3"/>
                <w:sz w:val="24"/>
              </w:rPr>
              <w:t xml:space="preserve"> </w:t>
            </w:r>
            <w:r>
              <w:rPr>
                <w:sz w:val="24"/>
              </w:rPr>
              <w:t>specifically</w:t>
            </w:r>
            <w:r>
              <w:rPr>
                <w:spacing w:val="-3"/>
                <w:sz w:val="24"/>
              </w:rPr>
              <w:t xml:space="preserve"> </w:t>
            </w:r>
            <w:r>
              <w:rPr>
                <w:sz w:val="24"/>
              </w:rPr>
              <w:t>on</w:t>
            </w:r>
            <w:r>
              <w:rPr>
                <w:spacing w:val="-3"/>
                <w:sz w:val="24"/>
              </w:rPr>
              <w:t xml:space="preserve"> </w:t>
            </w:r>
            <w:r>
              <w:rPr>
                <w:sz w:val="24"/>
              </w:rPr>
              <w:t xml:space="preserve">transition to adult services that </w:t>
            </w:r>
            <w:r>
              <w:rPr>
                <w:sz w:val="24"/>
              </w:rPr>
              <w:t>is</w:t>
            </w:r>
            <w:r>
              <w:rPr>
                <w:sz w:val="24"/>
              </w:rPr>
              <w:t xml:space="preserve"> accessible for everyone such as in different languages or for young people with or without disabilities. This is youth-</w:t>
            </w:r>
            <w:r>
              <w:rPr>
                <w:sz w:val="24"/>
              </w:rPr>
              <w:t>friendly, and</w:t>
            </w:r>
            <w:r>
              <w:rPr>
                <w:sz w:val="24"/>
              </w:rPr>
              <w:t xml:space="preserve"> uses age-appropriate language and images for the age and ability of the young person. </w:t>
            </w:r>
            <w:r>
              <w:fldChar w:fldCharType="begin"/>
            </w:r>
            <w:r>
              <w:instrText xml:space="preserve"> HYPERLINK "https://www.gov.uk/government/publications/establishing-youth-friendly-health-and-care-services/youre-welcome-establishing-youth-friendly-health-and-care-services" \l "standard-8-supporting-young-peoples-changing-needs" </w:instrText>
            </w:r>
            <w:r>
              <w:fldChar w:fldCharType="separate"/>
            </w:r>
            <w:r>
              <w:rPr>
                <w:color w:val="0000FF"/>
                <w:sz w:val="24"/>
                <w:u w:val="single" w:color="0000FF"/>
              </w:rPr>
              <w:t>OHID</w:t>
            </w:r>
            <w:r>
              <w:fldChar w:fldCharType="end"/>
            </w:r>
            <w:r>
              <w:rPr>
                <w:color w:val="0000FF"/>
                <w:sz w:val="24"/>
              </w:rPr>
              <w:t xml:space="preserve"> </w:t>
            </w:r>
            <w:r>
              <w:fldChar w:fldCharType="begin"/>
            </w:r>
            <w:r>
              <w:instrText xml:space="preserve"> HYPERLINK "https://www.gov.uk/government/publications/establishing-youth-friendly-health-and-care-services/youre-welcome-establishing-youth-friendly-health-and-care-services" \l "standard-8-supporting-young-peoples-changing-needs" </w:instrText>
            </w:r>
            <w:r>
              <w:fldChar w:fldCharType="separate"/>
            </w:r>
            <w:r>
              <w:rPr>
                <w:color w:val="0000FF"/>
                <w:sz w:val="24"/>
                <w:u w:val="single" w:color="0000FF"/>
              </w:rPr>
              <w:t>You’re Welcome (8, 2023)</w:t>
            </w:r>
            <w:r>
              <w:fldChar w:fldCharType="end"/>
            </w:r>
          </w:p>
          <w:p w:rsidR="00612801">
            <w:pPr>
              <w:pStyle w:val="TableParagraph"/>
              <w:spacing w:before="120"/>
              <w:rPr>
                <w:sz w:val="24"/>
              </w:rPr>
            </w:pPr>
            <w:r>
              <w:rPr>
                <w:rFonts w:ascii="Arial"/>
                <w:b/>
                <w:sz w:val="24"/>
              </w:rPr>
              <w:t xml:space="preserve">Statement of intent 2: </w:t>
            </w:r>
            <w:r>
              <w:rPr>
                <w:sz w:val="24"/>
              </w:rPr>
              <w:t>Service managers should ensure a range of tools is available, and</w:t>
            </w:r>
            <w:r>
              <w:rPr>
                <w:spacing w:val="-3"/>
                <w:sz w:val="24"/>
              </w:rPr>
              <w:t xml:space="preserve"> </w:t>
            </w:r>
            <w:r>
              <w:rPr>
                <w:sz w:val="24"/>
              </w:rPr>
              <w:t>used,</w:t>
            </w:r>
            <w:r>
              <w:rPr>
                <w:spacing w:val="-1"/>
                <w:sz w:val="24"/>
              </w:rPr>
              <w:t xml:space="preserve"> </w:t>
            </w:r>
            <w:r>
              <w:rPr>
                <w:sz w:val="24"/>
              </w:rPr>
              <w:t>to</w:t>
            </w:r>
            <w:r>
              <w:rPr>
                <w:spacing w:val="-1"/>
                <w:sz w:val="24"/>
              </w:rPr>
              <w:t xml:space="preserve"> </w:t>
            </w:r>
            <w:r>
              <w:rPr>
                <w:sz w:val="24"/>
              </w:rPr>
              <w:t>help</w:t>
            </w:r>
            <w:r>
              <w:rPr>
                <w:spacing w:val="-1"/>
                <w:sz w:val="24"/>
              </w:rPr>
              <w:t xml:space="preserve"> </w:t>
            </w:r>
            <w:r>
              <w:rPr>
                <w:sz w:val="24"/>
              </w:rPr>
              <w:t>young</w:t>
            </w:r>
            <w:r>
              <w:rPr>
                <w:spacing w:val="-1"/>
                <w:sz w:val="24"/>
              </w:rPr>
              <w:t xml:space="preserve"> </w:t>
            </w:r>
            <w:r>
              <w:rPr>
                <w:sz w:val="24"/>
              </w:rPr>
              <w:t>people</w:t>
            </w:r>
            <w:r>
              <w:rPr>
                <w:spacing w:val="-1"/>
                <w:sz w:val="24"/>
              </w:rPr>
              <w:t xml:space="preserve"> </w:t>
            </w:r>
            <w:r>
              <w:rPr>
                <w:sz w:val="24"/>
              </w:rPr>
              <w:t>communicate</w:t>
            </w:r>
            <w:r>
              <w:rPr>
                <w:spacing w:val="-3"/>
                <w:sz w:val="24"/>
              </w:rPr>
              <w:t xml:space="preserve"> </w:t>
            </w:r>
            <w:r>
              <w:rPr>
                <w:sz w:val="24"/>
              </w:rPr>
              <w:t>effectively</w:t>
            </w:r>
            <w:r>
              <w:rPr>
                <w:spacing w:val="-1"/>
                <w:sz w:val="24"/>
              </w:rPr>
              <w:t xml:space="preserve"> </w:t>
            </w:r>
            <w:r>
              <w:rPr>
                <w:sz w:val="24"/>
              </w:rPr>
              <w:t>with practitioners.</w:t>
            </w:r>
            <w:r>
              <w:rPr>
                <w:spacing w:val="-6"/>
                <w:sz w:val="24"/>
              </w:rPr>
              <w:t xml:space="preserve"> </w:t>
            </w:r>
            <w:r>
              <w:rPr>
                <w:sz w:val="24"/>
              </w:rPr>
              <w:t>These</w:t>
            </w:r>
            <w:r>
              <w:rPr>
                <w:spacing w:val="-1"/>
                <w:sz w:val="24"/>
              </w:rPr>
              <w:t xml:space="preserve"> </w:t>
            </w:r>
            <w:r>
              <w:rPr>
                <w:sz w:val="24"/>
              </w:rPr>
              <w:t>may include, for example: ways to produce a written record of how a young person communicates,</w:t>
            </w:r>
            <w:r>
              <w:rPr>
                <w:spacing w:val="-5"/>
                <w:sz w:val="24"/>
              </w:rPr>
              <w:t xml:space="preserve"> </w:t>
            </w:r>
            <w:r>
              <w:rPr>
                <w:sz w:val="24"/>
              </w:rPr>
              <w:t>for</w:t>
            </w:r>
            <w:r>
              <w:rPr>
                <w:spacing w:val="-6"/>
                <w:sz w:val="24"/>
              </w:rPr>
              <w:t xml:space="preserve"> </w:t>
            </w:r>
            <w:r>
              <w:rPr>
                <w:sz w:val="24"/>
              </w:rPr>
              <w:t>example,</w:t>
            </w:r>
            <w:r>
              <w:rPr>
                <w:spacing w:val="-3"/>
                <w:sz w:val="24"/>
              </w:rPr>
              <w:t xml:space="preserve"> </w:t>
            </w:r>
            <w:r>
              <w:rPr>
                <w:sz w:val="24"/>
              </w:rPr>
              <w:t>communication</w:t>
            </w:r>
            <w:r>
              <w:rPr>
                <w:spacing w:val="-5"/>
                <w:sz w:val="24"/>
              </w:rPr>
              <w:t xml:space="preserve"> </w:t>
            </w:r>
            <w:r>
              <w:rPr>
                <w:sz w:val="24"/>
              </w:rPr>
              <w:t>passports</w:t>
            </w:r>
            <w:r>
              <w:rPr>
                <w:spacing w:val="-3"/>
                <w:sz w:val="24"/>
              </w:rPr>
              <w:t xml:space="preserve"> </w:t>
            </w:r>
            <w:r>
              <w:rPr>
                <w:sz w:val="24"/>
              </w:rPr>
              <w:t>or</w:t>
            </w:r>
            <w:r>
              <w:rPr>
                <w:spacing w:val="-3"/>
                <w:sz w:val="24"/>
              </w:rPr>
              <w:t xml:space="preserve"> </w:t>
            </w:r>
            <w:r>
              <w:rPr>
                <w:sz w:val="24"/>
              </w:rPr>
              <w:t>1</w:t>
            </w:r>
            <w:r>
              <w:rPr>
                <w:rFonts w:ascii="Cambria Math"/>
                <w:sz w:val="24"/>
              </w:rPr>
              <w:t>-</w:t>
            </w:r>
            <w:r>
              <w:rPr>
                <w:sz w:val="24"/>
              </w:rPr>
              <w:t>page</w:t>
            </w:r>
            <w:r>
              <w:rPr>
                <w:spacing w:val="-3"/>
                <w:sz w:val="24"/>
              </w:rPr>
              <w:t xml:space="preserve"> </w:t>
            </w:r>
            <w:r>
              <w:rPr>
                <w:sz w:val="24"/>
              </w:rPr>
              <w:t>profiles;</w:t>
            </w:r>
            <w:r>
              <w:rPr>
                <w:spacing w:val="-3"/>
                <w:sz w:val="24"/>
              </w:rPr>
              <w:t xml:space="preserve"> </w:t>
            </w:r>
            <w:r>
              <w:rPr>
                <w:sz w:val="24"/>
              </w:rPr>
              <w:t>ways</w:t>
            </w:r>
            <w:r>
              <w:rPr>
                <w:spacing w:val="-5"/>
                <w:sz w:val="24"/>
              </w:rPr>
              <w:t xml:space="preserve"> </w:t>
            </w:r>
            <w:r>
              <w:rPr>
                <w:sz w:val="24"/>
              </w:rPr>
              <w:t>to</w:t>
            </w:r>
            <w:r>
              <w:rPr>
                <w:spacing w:val="-4"/>
                <w:sz w:val="24"/>
              </w:rPr>
              <w:t xml:space="preserve"> </w:t>
            </w:r>
            <w:r>
              <w:rPr>
                <w:sz w:val="24"/>
              </w:rPr>
              <w:t>help the young person communicate, for example, communication boards and digital</w:t>
            </w:r>
          </w:p>
          <w:p w:rsidR="00612801">
            <w:pPr>
              <w:pStyle w:val="TableParagraph"/>
              <w:spacing w:line="255" w:lineRule="exact"/>
              <w:rPr>
                <w:sz w:val="24"/>
              </w:rPr>
            </w:pPr>
            <w:r>
              <w:rPr>
                <w:sz w:val="24"/>
              </w:rPr>
              <w:t>communication</w:t>
            </w:r>
            <w:r>
              <w:rPr>
                <w:spacing w:val="-4"/>
                <w:sz w:val="24"/>
              </w:rPr>
              <w:t xml:space="preserve"> </w:t>
            </w:r>
            <w:r>
              <w:rPr>
                <w:sz w:val="24"/>
              </w:rPr>
              <w:t>tools.</w:t>
            </w:r>
            <w:r>
              <w:rPr>
                <w:spacing w:val="-4"/>
                <w:sz w:val="24"/>
              </w:rPr>
              <w:t xml:space="preserve"> </w:t>
            </w:r>
            <w:r>
              <w:fldChar w:fldCharType="begin"/>
            </w:r>
            <w:r>
              <w:instrText xml:space="preserve"> HYPERLINK "https://www.nice.org.uk/guidance/ng43/chapter/Recommendations" \l "support-before-transfer" </w:instrText>
            </w:r>
            <w:r>
              <w:fldChar w:fldCharType="separate"/>
            </w:r>
            <w:r>
              <w:rPr>
                <w:color w:val="0000FF"/>
                <w:sz w:val="24"/>
                <w:u w:val="single" w:color="0000FF"/>
              </w:rPr>
              <w:t>NICE</w:t>
            </w:r>
            <w:r>
              <w:rPr>
                <w:color w:val="0000FF"/>
                <w:spacing w:val="-3"/>
                <w:sz w:val="24"/>
                <w:u w:val="single" w:color="0000FF"/>
              </w:rPr>
              <w:t xml:space="preserve"> </w:t>
            </w:r>
            <w:r>
              <w:rPr>
                <w:color w:val="0000FF"/>
                <w:sz w:val="24"/>
                <w:u w:val="single" w:color="0000FF"/>
              </w:rPr>
              <w:t>NG43</w:t>
            </w:r>
            <w:r>
              <w:rPr>
                <w:color w:val="0000FF"/>
                <w:spacing w:val="-3"/>
                <w:sz w:val="24"/>
                <w:u w:val="single" w:color="0000FF"/>
              </w:rPr>
              <w:t xml:space="preserve"> </w:t>
            </w:r>
            <w:r>
              <w:rPr>
                <w:color w:val="0000FF"/>
                <w:sz w:val="24"/>
                <w:u w:val="single" w:color="0000FF"/>
              </w:rPr>
              <w:t>(1.2.12,</w:t>
            </w:r>
            <w:r>
              <w:rPr>
                <w:color w:val="0000FF"/>
                <w:spacing w:val="-4"/>
                <w:sz w:val="24"/>
                <w:u w:val="single" w:color="0000FF"/>
              </w:rPr>
              <w:t xml:space="preserve"> </w:t>
            </w:r>
            <w:r>
              <w:rPr>
                <w:color w:val="0000FF"/>
                <w:spacing w:val="-2"/>
                <w:sz w:val="24"/>
                <w:u w:val="single" w:color="0000FF"/>
              </w:rPr>
              <w:t>2016)</w:t>
            </w:r>
            <w:r>
              <w:fldChar w:fldCharType="end"/>
            </w:r>
          </w:p>
        </w:tc>
      </w:tr>
    </w:tbl>
    <w:p w:rsidR="00EC3770"/>
    <w:p w:rsidR="0096739C"/>
    <w:p w:rsidR="0096739C"/>
    <w:p w:rsidR="0096739C" w:rsidRPr="0096739C">
      <w:pPr>
        <w:rPr>
          <w:i/>
          <w:iCs/>
        </w:rPr>
      </w:pPr>
      <w:r w:rsidRPr="0096739C">
        <w:rPr>
          <w:i/>
          <w:iCs/>
        </w:rPr>
        <w:t>May 2026</w:t>
      </w:r>
    </w:p>
    <w:sectPr>
      <w:type w:val="continuous"/>
      <w:pgSz w:w="11910" w:h="16840"/>
      <w:pgMar w:top="1360" w:right="992"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627066A"/>
    <w:multiLevelType w:val="hybridMultilevel"/>
    <w:tmpl w:val="D04A616A"/>
    <w:lvl w:ilvl="0">
      <w:start w:val="0"/>
      <w:numFmt w:val="bullet"/>
      <w:lvlText w:val=""/>
      <w:lvlJc w:val="left"/>
      <w:pPr>
        <w:ind w:left="140"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118" w:hanging="360"/>
      </w:pPr>
      <w:rPr>
        <w:rFonts w:hint="default"/>
        <w:lang w:val="en-US" w:eastAsia="en-US" w:bidi="ar-SA"/>
      </w:rPr>
    </w:lvl>
    <w:lvl w:ilvl="2">
      <w:start w:val="0"/>
      <w:numFmt w:val="bullet"/>
      <w:lvlText w:val="•"/>
      <w:lvlJc w:val="left"/>
      <w:pPr>
        <w:ind w:left="2096" w:hanging="360"/>
      </w:pPr>
      <w:rPr>
        <w:rFonts w:hint="default"/>
        <w:lang w:val="en-US" w:eastAsia="en-US" w:bidi="ar-SA"/>
      </w:rPr>
    </w:lvl>
    <w:lvl w:ilvl="3">
      <w:start w:val="0"/>
      <w:numFmt w:val="bullet"/>
      <w:lvlText w:val="•"/>
      <w:lvlJc w:val="left"/>
      <w:pPr>
        <w:ind w:left="3074" w:hanging="360"/>
      </w:pPr>
      <w:rPr>
        <w:rFonts w:hint="default"/>
        <w:lang w:val="en-US" w:eastAsia="en-US" w:bidi="ar-SA"/>
      </w:rPr>
    </w:lvl>
    <w:lvl w:ilvl="4">
      <w:start w:val="0"/>
      <w:numFmt w:val="bullet"/>
      <w:lvlText w:val="•"/>
      <w:lvlJc w:val="left"/>
      <w:pPr>
        <w:ind w:left="4052" w:hanging="360"/>
      </w:pPr>
      <w:rPr>
        <w:rFonts w:hint="default"/>
        <w:lang w:val="en-US" w:eastAsia="en-US" w:bidi="ar-SA"/>
      </w:rPr>
    </w:lvl>
    <w:lvl w:ilvl="5">
      <w:start w:val="0"/>
      <w:numFmt w:val="bullet"/>
      <w:lvlText w:val="•"/>
      <w:lvlJc w:val="left"/>
      <w:pPr>
        <w:ind w:left="5031" w:hanging="360"/>
      </w:pPr>
      <w:rPr>
        <w:rFonts w:hint="default"/>
        <w:lang w:val="en-US" w:eastAsia="en-US" w:bidi="ar-SA"/>
      </w:rPr>
    </w:lvl>
    <w:lvl w:ilvl="6">
      <w:start w:val="0"/>
      <w:numFmt w:val="bullet"/>
      <w:lvlText w:val="•"/>
      <w:lvlJc w:val="left"/>
      <w:pPr>
        <w:ind w:left="6009" w:hanging="360"/>
      </w:pPr>
      <w:rPr>
        <w:rFonts w:hint="default"/>
        <w:lang w:val="en-US" w:eastAsia="en-US" w:bidi="ar-SA"/>
      </w:rPr>
    </w:lvl>
    <w:lvl w:ilvl="7">
      <w:start w:val="0"/>
      <w:numFmt w:val="bullet"/>
      <w:lvlText w:val="•"/>
      <w:lvlJc w:val="left"/>
      <w:pPr>
        <w:ind w:left="6987" w:hanging="360"/>
      </w:pPr>
      <w:rPr>
        <w:rFonts w:hint="default"/>
        <w:lang w:val="en-US" w:eastAsia="en-US" w:bidi="ar-SA"/>
      </w:rPr>
    </w:lvl>
    <w:lvl w:ilvl="8">
      <w:start w:val="0"/>
      <w:numFmt w:val="bullet"/>
      <w:lvlText w:val="•"/>
      <w:lvlJc w:val="left"/>
      <w:pPr>
        <w:ind w:left="7965" w:hanging="360"/>
      </w:pPr>
      <w:rPr>
        <w:rFonts w:hint="default"/>
        <w:lang w:val="en-US" w:eastAsia="en-US" w:bidi="ar-SA"/>
      </w:rPr>
    </w:lvl>
  </w:abstractNum>
  <w:abstractNum w:abstractNumId="1">
    <w:nsid w:val="2B22004F"/>
    <w:multiLevelType w:val="hybridMultilevel"/>
    <w:tmpl w:val="F576675E"/>
    <w:lvl w:ilvl="0">
      <w:start w:val="1"/>
      <w:numFmt w:val="decimal"/>
      <w:lvlText w:val="%1."/>
      <w:lvlJc w:val="left"/>
      <w:pPr>
        <w:ind w:left="861" w:hanging="360"/>
        <w:jc w:val="left"/>
      </w:pPr>
      <w:rPr>
        <w:rFonts w:ascii="Arial MT" w:eastAsia="Arial MT" w:hAnsi="Arial MT" w:cs="Arial MT" w:hint="default"/>
        <w:b w:val="0"/>
        <w:bCs w:val="0"/>
        <w:i w:val="0"/>
        <w:iCs w:val="0"/>
        <w:spacing w:val="0"/>
        <w:w w:val="100"/>
        <w:sz w:val="24"/>
        <w:szCs w:val="24"/>
        <w:lang w:val="en-US" w:eastAsia="en-US" w:bidi="ar-SA"/>
      </w:rPr>
    </w:lvl>
    <w:lvl w:ilvl="1">
      <w:start w:val="0"/>
      <w:numFmt w:val="bullet"/>
      <w:lvlText w:val=""/>
      <w:lvlJc w:val="left"/>
      <w:pPr>
        <w:ind w:left="861" w:hanging="360"/>
      </w:pPr>
      <w:rPr>
        <w:rFonts w:ascii="Symbol" w:eastAsia="Symbol" w:hAnsi="Symbol" w:cs="Symbol" w:hint="default"/>
        <w:spacing w:val="0"/>
        <w:w w:val="100"/>
        <w:lang w:val="en-US" w:eastAsia="en-US" w:bidi="ar-SA"/>
      </w:rPr>
    </w:lvl>
    <w:lvl w:ilvl="2">
      <w:start w:val="0"/>
      <w:numFmt w:val="bullet"/>
      <w:lvlText w:val=""/>
      <w:lvlJc w:val="left"/>
      <w:pPr>
        <w:ind w:left="1221" w:hanging="360"/>
      </w:pPr>
      <w:rPr>
        <w:rFonts w:ascii="Symbol" w:eastAsia="Symbol" w:hAnsi="Symbol" w:cs="Symbol" w:hint="default"/>
        <w:b w:val="0"/>
        <w:bCs w:val="0"/>
        <w:i w:val="0"/>
        <w:iCs w:val="0"/>
        <w:spacing w:val="0"/>
        <w:w w:val="100"/>
        <w:sz w:val="24"/>
        <w:szCs w:val="24"/>
        <w:lang w:val="en-US" w:eastAsia="en-US" w:bidi="ar-SA"/>
      </w:rPr>
    </w:lvl>
    <w:lvl w:ilvl="3">
      <w:start w:val="0"/>
      <w:numFmt w:val="bullet"/>
      <w:lvlText w:val="•"/>
      <w:lvlJc w:val="left"/>
      <w:pPr>
        <w:ind w:left="3153" w:hanging="360"/>
      </w:pPr>
      <w:rPr>
        <w:rFonts w:hint="default"/>
        <w:lang w:val="en-US" w:eastAsia="en-US" w:bidi="ar-SA"/>
      </w:rPr>
    </w:lvl>
    <w:lvl w:ilvl="4">
      <w:start w:val="0"/>
      <w:numFmt w:val="bullet"/>
      <w:lvlText w:val="•"/>
      <w:lvlJc w:val="left"/>
      <w:pPr>
        <w:ind w:left="4120" w:hanging="360"/>
      </w:pPr>
      <w:rPr>
        <w:rFonts w:hint="default"/>
        <w:lang w:val="en-US" w:eastAsia="en-US" w:bidi="ar-SA"/>
      </w:rPr>
    </w:lvl>
    <w:lvl w:ilvl="5">
      <w:start w:val="0"/>
      <w:numFmt w:val="bullet"/>
      <w:lvlText w:val="•"/>
      <w:lvlJc w:val="left"/>
      <w:pPr>
        <w:ind w:left="5087" w:hanging="360"/>
      </w:pPr>
      <w:rPr>
        <w:rFonts w:hint="default"/>
        <w:lang w:val="en-US" w:eastAsia="en-US" w:bidi="ar-SA"/>
      </w:rPr>
    </w:lvl>
    <w:lvl w:ilvl="6">
      <w:start w:val="0"/>
      <w:numFmt w:val="bullet"/>
      <w:lvlText w:val="•"/>
      <w:lvlJc w:val="left"/>
      <w:pPr>
        <w:ind w:left="6054" w:hanging="360"/>
      </w:pPr>
      <w:rPr>
        <w:rFonts w:hint="default"/>
        <w:lang w:val="en-US" w:eastAsia="en-US" w:bidi="ar-SA"/>
      </w:rPr>
    </w:lvl>
    <w:lvl w:ilvl="7">
      <w:start w:val="0"/>
      <w:numFmt w:val="bullet"/>
      <w:lvlText w:val="•"/>
      <w:lvlJc w:val="left"/>
      <w:pPr>
        <w:ind w:left="7021" w:hanging="360"/>
      </w:pPr>
      <w:rPr>
        <w:rFonts w:hint="default"/>
        <w:lang w:val="en-US" w:eastAsia="en-US" w:bidi="ar-SA"/>
      </w:rPr>
    </w:lvl>
    <w:lvl w:ilvl="8">
      <w:start w:val="0"/>
      <w:numFmt w:val="bullet"/>
      <w:lvlText w:val="•"/>
      <w:lvlJc w:val="left"/>
      <w:pPr>
        <w:ind w:left="7988" w:hanging="360"/>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oNotTrackMoves/>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140"/>
      <w:outlineLvl w:val="0"/>
    </w:pPr>
    <w:rPr>
      <w:rFonts w:ascii="Arial" w:eastAsia="Arial" w:hAnsi="Arial" w:cs="Arial"/>
      <w:b/>
      <w:bCs/>
      <w:sz w:val="24"/>
      <w:szCs w:val="24"/>
    </w:rPr>
  </w:style>
  <w:style w:type="paragraph" w:styleId="Heading2">
    <w:name w:val="heading 2"/>
    <w:basedOn w:val="Normal"/>
    <w:next w:val="Normal"/>
    <w:link w:val="Heading2Char"/>
    <w:uiPriority w:val="9"/>
    <w:unhideWhenUsed/>
    <w:qFormat/>
    <w:rsid w:val="0096739C"/>
    <w:pPr>
      <w:keepNext/>
      <w:keepLines/>
      <w:widowControl/>
      <w:autoSpaceDE/>
      <w:autoSpaceDN/>
      <w:spacing w:before="160" w:after="80" w:line="278" w:lineRule="auto"/>
      <w:outlineLvl w:val="1"/>
    </w:pPr>
    <w:rPr>
      <w:rFonts w:asciiTheme="majorHAnsi" w:eastAsiaTheme="majorEastAsia" w:hAnsiTheme="majorHAnsi" w:cstheme="majorBidi"/>
      <w:color w:val="365F91" w:themeColor="accent1" w:themeShade="BF"/>
      <w:kern w:val="2"/>
      <w:sz w:val="32"/>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0"/>
    </w:pPr>
    <w:rPr>
      <w:sz w:val="24"/>
      <w:szCs w:val="24"/>
    </w:rPr>
  </w:style>
  <w:style w:type="paragraph" w:styleId="ListParagraph">
    <w:name w:val="List Paragraph"/>
    <w:basedOn w:val="Normal"/>
    <w:uiPriority w:val="1"/>
    <w:qFormat/>
    <w:pPr>
      <w:spacing w:before="119"/>
      <w:ind w:left="1221" w:hanging="360"/>
    </w:pPr>
  </w:style>
  <w:style w:type="paragraph" w:customStyle="1" w:styleId="TableParagraph">
    <w:name w:val="Table Paragraph"/>
    <w:basedOn w:val="Normal"/>
    <w:uiPriority w:val="1"/>
    <w:qFormat/>
    <w:pPr>
      <w:ind w:left="108"/>
    </w:pPr>
  </w:style>
  <w:style w:type="paragraph" w:styleId="Header">
    <w:name w:val="header"/>
    <w:basedOn w:val="Normal"/>
    <w:link w:val="HeaderChar"/>
    <w:uiPriority w:val="99"/>
    <w:unhideWhenUsed/>
    <w:rsid w:val="0096739C"/>
    <w:pPr>
      <w:tabs>
        <w:tab w:val="center" w:pos="4513"/>
        <w:tab w:val="right" w:pos="9026"/>
      </w:tabs>
    </w:pPr>
  </w:style>
  <w:style w:type="character" w:customStyle="1" w:styleId="HeaderChar">
    <w:name w:val="Header Char"/>
    <w:basedOn w:val="DefaultParagraphFont"/>
    <w:link w:val="Header"/>
    <w:uiPriority w:val="99"/>
    <w:rsid w:val="0096739C"/>
    <w:rPr>
      <w:rFonts w:ascii="Arial MT" w:eastAsia="Arial MT" w:hAnsi="Arial MT" w:cs="Arial MT"/>
    </w:rPr>
  </w:style>
  <w:style w:type="paragraph" w:styleId="Footer">
    <w:name w:val="footer"/>
    <w:basedOn w:val="Normal"/>
    <w:link w:val="FooterChar"/>
    <w:uiPriority w:val="99"/>
    <w:unhideWhenUsed/>
    <w:rsid w:val="0096739C"/>
    <w:pPr>
      <w:tabs>
        <w:tab w:val="center" w:pos="4513"/>
        <w:tab w:val="right" w:pos="9026"/>
      </w:tabs>
    </w:pPr>
  </w:style>
  <w:style w:type="character" w:customStyle="1" w:styleId="FooterChar">
    <w:name w:val="Footer Char"/>
    <w:basedOn w:val="DefaultParagraphFont"/>
    <w:link w:val="Footer"/>
    <w:uiPriority w:val="99"/>
    <w:rsid w:val="0096739C"/>
    <w:rPr>
      <w:rFonts w:ascii="Arial MT" w:eastAsia="Arial MT" w:hAnsi="Arial MT" w:cs="Arial MT"/>
    </w:rPr>
  </w:style>
  <w:style w:type="character" w:customStyle="1" w:styleId="Heading2Char">
    <w:name w:val="Heading 2 Char"/>
    <w:basedOn w:val="DefaultParagraphFont"/>
    <w:link w:val="Heading2"/>
    <w:uiPriority w:val="9"/>
    <w:rsid w:val="0096739C"/>
    <w:rPr>
      <w:rFonts w:asciiTheme="majorHAnsi" w:eastAsiaTheme="majorEastAsia" w:hAnsiTheme="majorHAnsi" w:cstheme="majorBidi"/>
      <w:color w:val="365F91" w:themeColor="accent1" w:themeShade="BF"/>
      <w:kern w:val="2"/>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TRN0067</dc:title>
  <cp:revision>0</cp:revision>
</cp:coreProperties>
</file>