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1088" w:rsidRPr="00C31088" w:rsidP="00C31088">
      <w:pPr>
        <w:pStyle w:val="Heading2"/>
        <w:jc w:val="center"/>
        <w:rPr>
          <w:rFonts w:ascii="Calibri" w:hAnsi="Calibri" w:cs="Calibri"/>
          <w:b/>
          <w:bCs/>
          <w:color w:val="auto"/>
        </w:rPr>
      </w:pPr>
      <w:r w:rsidRPr="00C31088">
        <w:rPr>
          <w:rFonts w:ascii="Calibri" w:hAnsi="Calibri" w:cs="Calibri"/>
          <w:b/>
          <w:bCs/>
          <w:color w:val="auto"/>
        </w:rPr>
        <w:t>Written Evidence submitted by Advance Charity (TRN006</w:t>
      </w:r>
      <w:r>
        <w:rPr>
          <w:rFonts w:ascii="Calibri" w:hAnsi="Calibri" w:cs="Calibri"/>
          <w:b/>
          <w:bCs/>
          <w:color w:val="auto"/>
        </w:rPr>
        <w:t>6</w:t>
      </w:r>
      <w:r w:rsidRPr="00C31088">
        <w:rPr>
          <w:rFonts w:ascii="Calibri" w:hAnsi="Calibri" w:cs="Calibri"/>
          <w:b/>
          <w:bCs/>
          <w:color w:val="auto"/>
        </w:rPr>
        <w:t>)</w:t>
      </w:r>
    </w:p>
    <w:p w:rsidR="00026B56" w:rsidRPr="00C31088" w:rsidP="0065011D">
      <w:pPr>
        <w:pStyle w:val="Heading2"/>
        <w:rPr>
          <w:rFonts w:ascii="Calibri" w:hAnsi="Calibri" w:cs="Calibri"/>
          <w:b/>
          <w:bCs/>
          <w:color w:val="auto"/>
        </w:rPr>
      </w:pPr>
    </w:p>
    <w:p w:rsidR="00026B56" w:rsidRPr="00C31088" w:rsidP="0065011D">
      <w:pPr>
        <w:pStyle w:val="Heading2"/>
        <w:rPr>
          <w:rFonts w:ascii="Calibri" w:hAnsi="Calibri" w:cs="Calibri"/>
          <w:b/>
          <w:bCs/>
          <w:color w:val="auto"/>
        </w:rPr>
      </w:pPr>
      <w:r w:rsidRPr="00C31088">
        <w:rPr>
          <w:rFonts w:ascii="Calibri" w:hAnsi="Calibri" w:cs="Calibri"/>
          <w:b/>
          <w:bCs/>
          <w:color w:val="auto"/>
        </w:rPr>
        <w:t>Advance response to Health and Social care committee: Transition from child to adult health and social care services</w:t>
      </w:r>
    </w:p>
    <w:p w:rsidR="00026B56" w:rsidRPr="00C31088" w:rsidP="00080D39">
      <w:pPr>
        <w:rPr>
          <w:rFonts w:ascii="Calibri" w:hAnsi="Calibri" w:cs="Calibri"/>
          <w:b/>
          <w:bCs/>
        </w:rPr>
      </w:pPr>
    </w:p>
    <w:p w:rsidR="00026B56" w:rsidRPr="00C31088" w:rsidP="00103BC8">
      <w:pPr>
        <w:pStyle w:val="Heading3"/>
        <w:rPr>
          <w:rFonts w:ascii="Calibri" w:hAnsi="Calibri" w:cs="Calibri"/>
          <w:color w:val="auto"/>
        </w:rPr>
      </w:pPr>
      <w:r w:rsidRPr="00C31088">
        <w:rPr>
          <w:rFonts w:ascii="Calibri" w:hAnsi="Calibri" w:cs="Calibri"/>
          <w:color w:val="auto"/>
        </w:rPr>
        <w:t>About Advance</w:t>
      </w:r>
    </w:p>
    <w:p w:rsidR="00026B56" w:rsidRPr="00C31088">
      <w:pPr>
        <w:rPr>
          <w:rFonts w:ascii="Calibri" w:hAnsi="Calibri" w:cs="Calibri"/>
          <w:lang w:eastAsia="en-GB"/>
        </w:rPr>
      </w:pPr>
      <w:r w:rsidRPr="00C31088">
        <w:rPr>
          <w:rFonts w:ascii="Calibri" w:hAnsi="Calibri" w:cs="Calibri"/>
        </w:rPr>
        <w:t>Advance works with girls and young women (GYW), survivors of domestic abuse, and women involved in the criminal justice system (CJS)—groups whose experiences are often interconnected and who are disproportionately affected by gender-based violence. Many girls and young women experience abuse from an early age, which can contribute to criminalisation through coercion, exploitation or survival-driven behaviours. Similarly, women in the CJS are overwhelmingly victim-survivors whose pathways into the system are</w:t>
      </w:r>
      <w:r w:rsidRPr="00C31088">
        <w:rPr>
          <w:rFonts w:ascii="Calibri" w:hAnsi="Calibri" w:cs="Calibri"/>
        </w:rPr>
        <w:t xml:space="preserve"> shaped by unaddressed trauma and unmet needs relating to mental health and wellbeing, self-esteem and identity, as well as housing and social care.</w:t>
      </w:r>
    </w:p>
    <w:p w:rsidR="00026B56" w:rsidRPr="00C31088">
      <w:pPr>
        <w:rPr>
          <w:rFonts w:ascii="Calibri" w:hAnsi="Calibri" w:cs="Calibri"/>
          <w:lang w:eastAsia="en-GB"/>
        </w:rPr>
      </w:pPr>
      <w:r w:rsidRPr="00C31088">
        <w:rPr>
          <w:rFonts w:ascii="Calibri" w:hAnsi="Calibri" w:cs="Calibri"/>
        </w:rPr>
        <w:t>Advance delivers three specialist service strands that enable support across the life course. Through this work, we engage daily with statutory agencies across children’s and adult social care, health, education, housing and criminal justice. This gives us a clear view of the systemic gaps experienced by women and girls, particularly those created by the binary structure of safeguarding. Separate systems for under-18s and adults operate to different thresholds, legislative frameworks and eligibility criteri</w:t>
      </w:r>
      <w:r w:rsidRPr="00C31088">
        <w:rPr>
          <w:rFonts w:ascii="Calibri" w:hAnsi="Calibri" w:cs="Calibri"/>
        </w:rPr>
        <w:t>a, which often fail to reflect developmental need or ongoing risk.</w:t>
      </w:r>
    </w:p>
    <w:p w:rsidR="00026B56" w:rsidRPr="00C31088" w:rsidP="00103BC8">
      <w:pPr>
        <w:pStyle w:val="Heading4"/>
        <w:rPr>
          <w:rFonts w:ascii="Calibri" w:hAnsi="Calibri" w:cs="Calibri"/>
          <w:i w:val="0"/>
          <w:iCs w:val="0"/>
          <w:color w:val="auto"/>
          <w:sz w:val="28"/>
          <w:szCs w:val="28"/>
        </w:rPr>
      </w:pPr>
      <w:r w:rsidRPr="00C31088">
        <w:rPr>
          <w:rFonts w:ascii="Calibri" w:hAnsi="Calibri" w:cs="Calibri"/>
          <w:i w:val="0"/>
          <w:iCs w:val="0"/>
          <w:color w:val="auto"/>
          <w:sz w:val="28"/>
          <w:szCs w:val="28"/>
        </w:rPr>
        <w:t>Summary of the Briefing</w:t>
      </w:r>
    </w:p>
    <w:p w:rsidR="00026B56" w:rsidRPr="00C31088" w:rsidP="00883419">
      <w:pPr>
        <w:numPr>
          <w:ilvl w:val="0"/>
          <w:numId w:val="1"/>
        </w:numPr>
        <w:spacing w:line="276" w:lineRule="auto"/>
        <w:rPr>
          <w:rFonts w:ascii="Calibri" w:hAnsi="Calibri" w:cs="Calibri"/>
          <w:lang w:eastAsia="en-GB"/>
        </w:rPr>
      </w:pPr>
      <w:r w:rsidRPr="00C31088">
        <w:rPr>
          <w:rFonts w:ascii="Calibri" w:hAnsi="Calibri" w:cs="Calibri"/>
        </w:rPr>
        <w:t>Young people, particularly girls and young women affected by domestic abuse and gender-based violence, face a cliff edge in support at 18 despite continuing risk</w:t>
      </w:r>
    </w:p>
    <w:p w:rsidR="00026B56" w:rsidRPr="00C31088" w:rsidP="00883419">
      <w:pPr>
        <w:numPr>
          <w:ilvl w:val="0"/>
          <w:numId w:val="1"/>
        </w:numPr>
        <w:spacing w:line="276" w:lineRule="auto"/>
        <w:rPr>
          <w:rFonts w:ascii="Calibri" w:hAnsi="Calibri" w:cs="Calibri"/>
          <w:lang w:eastAsia="en-GB"/>
        </w:rPr>
      </w:pPr>
      <w:r w:rsidRPr="00C31088">
        <w:rPr>
          <w:rFonts w:ascii="Calibri" w:hAnsi="Calibri" w:cs="Calibri"/>
        </w:rPr>
        <w:t>Transition planning is often too late, reactive and poorly coordinated across agencies</w:t>
      </w:r>
    </w:p>
    <w:p w:rsidR="00026B56" w:rsidRPr="00C31088" w:rsidP="00883419">
      <w:pPr>
        <w:numPr>
          <w:ilvl w:val="0"/>
          <w:numId w:val="1"/>
        </w:numPr>
        <w:spacing w:line="276" w:lineRule="auto"/>
        <w:rPr>
          <w:rFonts w:ascii="Calibri" w:hAnsi="Calibri" w:cs="Calibri"/>
          <w:lang w:eastAsia="en-GB"/>
        </w:rPr>
      </w:pPr>
      <w:r w:rsidRPr="00C31088">
        <w:rPr>
          <w:rFonts w:ascii="Calibri" w:hAnsi="Calibri" w:cs="Calibri"/>
        </w:rPr>
        <w:t>Adult social care and mental health thresholds exclude many young people who remain highly vulnerable</w:t>
      </w:r>
    </w:p>
    <w:p w:rsidR="00026B56" w:rsidRPr="00C31088" w:rsidP="00883419">
      <w:pPr>
        <w:numPr>
          <w:ilvl w:val="0"/>
          <w:numId w:val="1"/>
        </w:numPr>
        <w:spacing w:line="276" w:lineRule="auto"/>
        <w:rPr>
          <w:rFonts w:ascii="Calibri" w:hAnsi="Calibri" w:cs="Calibri"/>
          <w:lang w:eastAsia="en-GB"/>
        </w:rPr>
      </w:pPr>
      <w:r w:rsidRPr="00C31088">
        <w:rPr>
          <w:rFonts w:ascii="Calibri" w:hAnsi="Calibri" w:cs="Calibri"/>
        </w:rPr>
        <w:t>Training across statutory, justice and health workforces on gendered harm, coercive control and contextual safeguarding is inconsistent</w:t>
      </w:r>
    </w:p>
    <w:p w:rsidR="00026B56" w:rsidRPr="00C31088" w:rsidP="00883419">
      <w:pPr>
        <w:numPr>
          <w:ilvl w:val="0"/>
          <w:numId w:val="1"/>
        </w:numPr>
        <w:spacing w:line="276" w:lineRule="auto"/>
        <w:rPr>
          <w:rFonts w:ascii="Calibri" w:hAnsi="Calibri" w:cs="Calibri"/>
          <w:lang w:eastAsia="en-GB"/>
        </w:rPr>
      </w:pPr>
      <w:r w:rsidRPr="00C31088">
        <w:rPr>
          <w:rFonts w:ascii="Calibri" w:hAnsi="Calibri" w:cs="Calibri"/>
        </w:rPr>
        <w:t>Girls and young women are expected to navigate adult systems without the practical, emotional or relational skills required</w:t>
      </w:r>
    </w:p>
    <w:p w:rsidR="00026B56" w:rsidRPr="00C31088" w:rsidP="00883419">
      <w:pPr>
        <w:numPr>
          <w:ilvl w:val="0"/>
          <w:numId w:val="1"/>
        </w:numPr>
        <w:spacing w:line="276" w:lineRule="auto"/>
        <w:rPr>
          <w:rFonts w:ascii="Calibri" w:hAnsi="Calibri" w:cs="Calibri"/>
          <w:lang w:eastAsia="en-GB"/>
        </w:rPr>
      </w:pPr>
      <w:r w:rsidRPr="00C31088">
        <w:rPr>
          <w:rFonts w:ascii="Calibri" w:hAnsi="Calibri" w:cs="Calibri"/>
        </w:rPr>
        <w:t>Access to transitional safeguarding support varies significantly by area, creating inequity</w:t>
      </w:r>
    </w:p>
    <w:p w:rsidR="00026B56" w:rsidRPr="00C31088" w:rsidP="00103BC8">
      <w:pPr>
        <w:numPr>
          <w:ilvl w:val="0"/>
          <w:numId w:val="1"/>
        </w:numPr>
        <w:spacing w:line="276" w:lineRule="auto"/>
        <w:rPr>
          <w:rFonts w:ascii="Calibri" w:hAnsi="Calibri" w:cs="Calibri"/>
          <w:lang w:eastAsia="en-GB"/>
        </w:rPr>
      </w:pPr>
      <w:r w:rsidRPr="00C31088">
        <w:rPr>
          <w:rFonts w:ascii="Calibri" w:hAnsi="Calibri" w:cs="Calibri"/>
        </w:rPr>
        <w:t>Justice-involved girls face an acute loss of support when transitioning from youth to adult systems</w:t>
      </w:r>
    </w:p>
    <w:p w:rsidR="00026B56" w:rsidRPr="00C31088" w:rsidP="00103BC8">
      <w:pPr>
        <w:pStyle w:val="Heading3"/>
        <w:rPr>
          <w:rFonts w:ascii="Calibri" w:hAnsi="Calibri" w:cs="Calibri"/>
          <w:color w:val="auto"/>
        </w:rPr>
      </w:pPr>
      <w:r w:rsidRPr="00C31088">
        <w:rPr>
          <w:rFonts w:ascii="Calibri" w:hAnsi="Calibri" w:cs="Calibri"/>
          <w:color w:val="auto"/>
        </w:rPr>
        <w:t>Context and Background</w:t>
      </w:r>
    </w:p>
    <w:p w:rsidR="00026B56" w:rsidRPr="00C31088">
      <w:pPr>
        <w:rPr>
          <w:rFonts w:ascii="Calibri" w:hAnsi="Calibri" w:cs="Calibri"/>
          <w:lang w:eastAsia="en-GB"/>
        </w:rPr>
      </w:pPr>
      <w:r w:rsidRPr="00C31088">
        <w:rPr>
          <w:rFonts w:ascii="Calibri" w:hAnsi="Calibri" w:cs="Calibri"/>
        </w:rPr>
        <w:t xml:space="preserve">Age-and-gender-responsive support matters because girls and young women have distinct and frequently unmet needs. These include poor mental health, </w:t>
      </w:r>
      <w:r w:rsidRPr="00C31088">
        <w:rPr>
          <w:rFonts w:ascii="Calibri" w:hAnsi="Calibri" w:cs="Calibri"/>
        </w:rPr>
        <w:t xml:space="preserve">reproductive health, </w:t>
      </w:r>
      <w:r w:rsidRPr="00C31088">
        <w:rPr>
          <w:rFonts w:ascii="Calibri" w:hAnsi="Calibri" w:cs="Calibri"/>
        </w:rPr>
        <w:t>low self-esteem, limited access to trusted information and mentorship, and complex needs rooted in trauma and adverse childhood experiences. Advance’s experience shows that they often require relational, trauma-informed and developmentally appropriate support that reflects both their age and the gendered nature of the harm they face. Girls and young women from Black, minoritised and migrant backgrounds may face additional intersecting barriers, including systemic inequality and structur</w:t>
      </w:r>
      <w:r w:rsidRPr="00C31088">
        <w:rPr>
          <w:rFonts w:ascii="Calibri" w:hAnsi="Calibri" w:cs="Calibri"/>
        </w:rPr>
        <w:t>al racism, yet there are too few specialist providers with the expertise to respond effectively.</w:t>
      </w:r>
    </w:p>
    <w:p w:rsidR="00026B56" w:rsidRPr="00C31088" w:rsidP="007352CD">
      <w:pPr>
        <w:rPr>
          <w:rFonts w:ascii="Calibri" w:hAnsi="Calibri" w:cs="Calibri"/>
        </w:rPr>
      </w:pPr>
      <w:r w:rsidRPr="00C31088">
        <w:rPr>
          <w:rFonts w:ascii="Calibri" w:hAnsi="Calibri" w:cs="Calibri"/>
        </w:rPr>
        <w:t xml:space="preserve">A significant proportion of girls and young women </w:t>
      </w:r>
      <w:r w:rsidRPr="00C31088">
        <w:rPr>
          <w:rFonts w:ascii="Calibri" w:hAnsi="Calibri" w:cs="Calibri"/>
        </w:rPr>
        <w:t>under 24</w:t>
      </w:r>
      <w:r w:rsidRPr="00C31088">
        <w:rPr>
          <w:rFonts w:ascii="Calibri" w:hAnsi="Calibri" w:cs="Calibri"/>
        </w:rPr>
        <w:t xml:space="preserve"> years are affected by domestic abuse</w:t>
      </w:r>
      <w:bookmarkStart w:id="0" w:name="_ftnref1"/>
      <w:bookmarkEnd w:id="0"/>
      <w:r w:rsidRPr="00C31088">
        <w:rPr>
          <w:rFonts w:ascii="Calibri" w:hAnsi="Calibri" w:cs="Calibri"/>
        </w:rPr>
        <w:t xml:space="preserve"> </w:t>
      </w:r>
      <w:r w:rsidRPr="00C31088">
        <w:rPr>
          <w:rFonts w:ascii="Calibri" w:hAnsi="Calibri" w:cs="Calibri"/>
        </w:rPr>
        <w:t>and sexual violence</w:t>
      </w:r>
      <w:bookmarkStart w:id="1" w:name="_ftnref2"/>
      <w:bookmarkEnd w:id="1"/>
      <w:r w:rsidRPr="00C31088">
        <w:rPr>
          <w:rFonts w:ascii="Calibri" w:hAnsi="Calibri" w:cs="Calibri"/>
        </w:rPr>
        <w:t>. Data show that an estimated 18% of 16- to 19-year-old girls are victims of abuse.</w:t>
      </w:r>
      <w:bookmarkStart w:id="2" w:name="_ftnref3"/>
      <w:bookmarkEnd w:id="2"/>
      <w:r>
        <w:rPr>
          <w:rStyle w:val="FootnoteReference"/>
          <w:rFonts w:ascii="Calibri" w:hAnsi="Calibri" w:cs="Calibri"/>
        </w:rPr>
        <w:footnoteReference w:id="2"/>
      </w:r>
      <w:r w:rsidRPr="00C31088">
        <w:rPr>
          <w:rFonts w:ascii="Calibri" w:hAnsi="Calibri" w:cs="Calibri"/>
        </w:rPr>
        <w:t xml:space="preserve"> Youth Endowment Fund research found that 7% of girls aged 13 to 17 experienced sexual violence in the past year</w:t>
      </w:r>
      <w:bookmarkStart w:id="3" w:name="_ftnref4"/>
      <w:bookmarkEnd w:id="3"/>
      <w:r>
        <w:rPr>
          <w:rStyle w:val="FootnoteReference"/>
          <w:rFonts w:ascii="Calibri" w:hAnsi="Calibri" w:cs="Calibri"/>
        </w:rPr>
        <w:footnoteReference w:id="3"/>
      </w:r>
      <w:r w:rsidRPr="00C31088">
        <w:rPr>
          <w:rFonts w:ascii="Calibri" w:hAnsi="Calibri" w:cs="Calibri"/>
        </w:rPr>
        <w:t>, and one quarter reported physical violence from an intimate partner.</w:t>
      </w:r>
      <w:r>
        <w:rPr>
          <w:rStyle w:val="FootnoteReference"/>
          <w:rFonts w:ascii="Calibri" w:hAnsi="Calibri" w:cs="Calibri"/>
        </w:rPr>
        <w:footnoteReference w:id="4"/>
      </w:r>
      <w:r w:rsidRPr="00C31088">
        <w:rPr>
          <w:rFonts w:ascii="Calibri" w:hAnsi="Calibri" w:cs="Calibri"/>
        </w:rPr>
        <w:t xml:space="preserve"> The impact is far-reaching: 10% of girls aged 11–16 have missed school to avoid sexual harassment</w:t>
      </w:r>
      <w:bookmarkStart w:id="4" w:name="_ftnref5"/>
      <w:bookmarkEnd w:id="4"/>
      <w:r w:rsidRPr="00C31088">
        <w:rPr>
          <w:rFonts w:ascii="Calibri" w:hAnsi="Calibri" w:cs="Calibri"/>
        </w:rPr>
        <w:t>.</w:t>
      </w:r>
      <w:r>
        <w:rPr>
          <w:rStyle w:val="FootnoteReference"/>
          <w:rFonts w:ascii="Calibri" w:hAnsi="Calibri" w:cs="Calibri"/>
        </w:rPr>
        <w:footnoteReference w:id="5"/>
      </w:r>
      <w:r w:rsidRPr="00C31088">
        <w:rPr>
          <w:rFonts w:ascii="Calibri" w:hAnsi="Calibri" w:cs="Calibri"/>
        </w:rPr>
        <w:t xml:space="preserve"> In 2024/25, the proportion of girls excluded from school more than doubled to 13%</w:t>
      </w:r>
      <w:bookmarkStart w:id="5" w:name="_ftnref6"/>
      <w:bookmarkEnd w:id="5"/>
      <w:r w:rsidRPr="00C31088">
        <w:rPr>
          <w:rFonts w:ascii="Calibri" w:hAnsi="Calibri" w:cs="Calibri"/>
        </w:rPr>
        <w:t>.</w:t>
      </w:r>
      <w:r>
        <w:rPr>
          <w:rStyle w:val="FootnoteReference"/>
          <w:rFonts w:ascii="Calibri" w:hAnsi="Calibri" w:cs="Calibri"/>
        </w:rPr>
        <w:footnoteReference w:id="6"/>
      </w:r>
      <w:r w:rsidRPr="00C31088">
        <w:rPr>
          <w:rFonts w:ascii="Calibri" w:hAnsi="Calibri" w:cs="Calibri"/>
        </w:rPr>
        <w:t xml:space="preserve"> Girls and young women are also at particular risk of online abuse and digital coercion: 73% of girls aged 13–21 have been sent unwanted explicit images or videos</w:t>
      </w:r>
      <w:bookmarkStart w:id="6" w:name="_ftnref7"/>
      <w:bookmarkEnd w:id="6"/>
      <w:r>
        <w:rPr>
          <w:rStyle w:val="FootnoteReference"/>
          <w:rFonts w:ascii="Calibri" w:hAnsi="Calibri" w:cs="Calibri"/>
        </w:rPr>
        <w:footnoteReference w:id="7"/>
      </w:r>
      <w:r w:rsidRPr="00C31088">
        <w:rPr>
          <w:rFonts w:ascii="Calibri" w:hAnsi="Calibri" w:cs="Calibri"/>
        </w:rPr>
        <w:t>, and online abuse is twice as common among young women, with 62% experiencing it</w:t>
      </w:r>
      <w:bookmarkStart w:id="7" w:name="_ftnref8"/>
      <w:bookmarkEnd w:id="7"/>
      <w:r>
        <w:rPr>
          <w:rStyle w:val="FootnoteReference"/>
          <w:rFonts w:ascii="Calibri" w:hAnsi="Calibri" w:cs="Calibri"/>
        </w:rPr>
        <w:footnoteReference w:id="8"/>
      </w:r>
      <w:r w:rsidRPr="00C31088">
        <w:rPr>
          <w:rFonts w:ascii="Calibri" w:hAnsi="Calibri" w:cs="Calibri"/>
        </w:rPr>
        <w:t xml:space="preserve">. These patterns show that girls and young women face harm not only in private and family settings, but also in peer, community and online contexts. However, the available data still do not fully capture the scale of need, which means the extent of unmet need among girls and young women remains underestimated. </w:t>
      </w:r>
    </w:p>
    <w:p w:rsidR="00026B56" w:rsidRPr="00C31088">
      <w:pPr>
        <w:rPr>
          <w:rFonts w:ascii="Calibri" w:hAnsi="Calibri" w:cs="Calibri"/>
        </w:rPr>
      </w:pPr>
      <w:r w:rsidRPr="00C31088">
        <w:rPr>
          <w:rFonts w:ascii="Calibri" w:hAnsi="Calibri" w:cs="Calibri"/>
        </w:rPr>
        <w:t xml:space="preserve">As part of our wider work with young women and girls, Advance provides tailored one-to-one emotional and practical support to girls and young women aged 13–18 who are victims of crime. The nature of crimes young women face varies </w:t>
      </w:r>
      <w:r w:rsidRPr="00C31088">
        <w:rPr>
          <w:rFonts w:ascii="Calibri" w:hAnsi="Calibri" w:cs="Calibri"/>
        </w:rPr>
        <w:t>greatly and</w:t>
      </w:r>
      <w:r w:rsidRPr="00C31088">
        <w:rPr>
          <w:rFonts w:ascii="Calibri" w:hAnsi="Calibri" w:cs="Calibri"/>
        </w:rPr>
        <w:t xml:space="preserve"> i</w:t>
      </w:r>
      <w:r w:rsidRPr="00C31088">
        <w:rPr>
          <w:rFonts w:ascii="Calibri" w:hAnsi="Calibri" w:cs="Calibri"/>
        </w:rPr>
        <w:t>s</w:t>
      </w:r>
      <w:r w:rsidRPr="00C31088">
        <w:rPr>
          <w:rFonts w:ascii="Calibri" w:hAnsi="Calibri" w:cs="Calibri"/>
        </w:rPr>
        <w:t xml:space="preserve"> often gendered.  Since the service commenced October 2024 until end of June 2025: 32% of valid referrals had been a victim of violent crime (716 girls), 28% of valid referrals had been a victim of a sexual offence (629 girls)</w:t>
      </w:r>
      <w:r w:rsidRPr="00C31088">
        <w:rPr>
          <w:rFonts w:ascii="Calibri" w:hAnsi="Calibri" w:cs="Calibri"/>
        </w:rPr>
        <w:t xml:space="preserve"> </w:t>
      </w:r>
      <w:r w:rsidRPr="00C31088">
        <w:rPr>
          <w:rFonts w:ascii="Calibri" w:hAnsi="Calibri" w:cs="Calibri"/>
        </w:rPr>
        <w:t>and 19% of valid referrals had been a victim of stalking and/or harassment (421 girls).</w:t>
      </w:r>
      <w:r>
        <w:rPr>
          <w:rStyle w:val="FootnoteReference"/>
          <w:rFonts w:ascii="Calibri" w:hAnsi="Calibri" w:cs="Calibri"/>
        </w:rPr>
        <w:footnoteReference w:id="9"/>
      </w:r>
      <w:r w:rsidRPr="00C31088">
        <w:rPr>
          <w:rFonts w:ascii="Calibri" w:hAnsi="Calibri" w:cs="Calibri"/>
        </w:rPr>
        <w:t xml:space="preserve"> This </w:t>
      </w:r>
      <w:r w:rsidRPr="00C31088">
        <w:rPr>
          <w:rFonts w:ascii="Calibri" w:hAnsi="Calibri" w:cs="Calibri"/>
        </w:rPr>
        <w:t xml:space="preserve">underpins the </w:t>
      </w:r>
      <w:r w:rsidRPr="00C31088">
        <w:rPr>
          <w:rFonts w:ascii="Calibri" w:hAnsi="Calibri" w:cs="Calibri"/>
        </w:rPr>
        <w:t xml:space="preserve">particular risks that girls and young women face. </w:t>
      </w:r>
    </w:p>
    <w:p w:rsidR="00026B56" w:rsidRPr="00C31088">
      <w:pPr>
        <w:rPr>
          <w:rFonts w:ascii="Calibri" w:hAnsi="Calibri" w:cs="Calibri"/>
          <w:lang w:eastAsia="en-GB"/>
        </w:rPr>
      </w:pPr>
      <w:r w:rsidRPr="00C31088">
        <w:rPr>
          <w:rFonts w:ascii="Calibri" w:hAnsi="Calibri" w:cs="Calibri"/>
        </w:rPr>
        <w:t>Girls and young women are still too often absent from the wider narrative on gang involvement, criminal exploitation and county lines. As a result, their coercion, victimisation and involvement may be overlooked by police, social care and other statutory agencies. There is strong evidence of overlap between gang involvement, criminal exploitation and sexual exploitation, including cases where girls are first exploited and then drawn into exploiting others as a survival strategy. Child sexual exploitation ha</w:t>
      </w:r>
      <w:r w:rsidRPr="00C31088">
        <w:rPr>
          <w:rFonts w:ascii="Calibri" w:hAnsi="Calibri" w:cs="Calibri"/>
        </w:rPr>
        <w:t>s rightly received increased political and public attention over the past 15 years, helping to shift understanding away from the harmful and inaccurate framing of girls as “child prostitutes” and towards recognising them as children experiencing abuse.</w:t>
      </w:r>
      <w:r w:rsidRPr="00C31088">
        <w:rPr>
          <w:rFonts w:ascii="Calibri" w:hAnsi="Calibri" w:cs="Calibri"/>
        </w:rPr>
        <w:t xml:space="preserve"> </w:t>
      </w:r>
      <w:r w:rsidRPr="00C31088">
        <w:rPr>
          <w:rFonts w:ascii="Calibri" w:hAnsi="Calibri" w:cs="Calibri"/>
        </w:rPr>
        <w:t>While we are pleased to see legislation shifts, we are concerned that</w:t>
      </w:r>
      <w:r w:rsidRPr="00C31088">
        <w:rPr>
          <w:rFonts w:ascii="Calibri" w:hAnsi="Calibri" w:cs="Calibri"/>
        </w:rPr>
        <w:t xml:space="preserve"> </w:t>
      </w:r>
      <w:r w:rsidRPr="00C31088">
        <w:rPr>
          <w:rFonts w:ascii="Calibri" w:hAnsi="Calibri" w:cs="Calibri"/>
        </w:rPr>
        <w:t>gaps in practice and understanding persist. For some, overnight</w:t>
      </w:r>
      <w:r w:rsidRPr="00C31088">
        <w:rPr>
          <w:rFonts w:ascii="Calibri" w:hAnsi="Calibri" w:cs="Calibri"/>
        </w:rPr>
        <w:t xml:space="preserve"> </w:t>
      </w:r>
      <w:r w:rsidRPr="00C31088">
        <w:rPr>
          <w:rFonts w:ascii="Calibri" w:hAnsi="Calibri" w:cs="Calibri"/>
        </w:rPr>
        <w:t>a girl can go</w:t>
      </w:r>
      <w:r w:rsidRPr="00C31088">
        <w:rPr>
          <w:rFonts w:ascii="Calibri" w:hAnsi="Calibri" w:cs="Calibri"/>
        </w:rPr>
        <w:t xml:space="preserve"> from </w:t>
      </w:r>
      <w:r w:rsidRPr="00C31088">
        <w:rPr>
          <w:rFonts w:ascii="Calibri" w:hAnsi="Calibri" w:cs="Calibri"/>
        </w:rPr>
        <w:t xml:space="preserve">a victim of exploitation to, at 18, a consenting adult. However, the dynamics of control and abuse have not changed, only the age of the victim. </w:t>
      </w:r>
    </w:p>
    <w:p w:rsidR="00026B56" w:rsidRPr="00C31088">
      <w:pPr>
        <w:rPr>
          <w:rFonts w:ascii="Calibri" w:hAnsi="Calibri" w:cs="Calibri"/>
          <w:lang w:eastAsia="en-GB"/>
        </w:rPr>
      </w:pPr>
      <w:r w:rsidRPr="00C31088">
        <w:rPr>
          <w:rFonts w:ascii="Calibri" w:hAnsi="Calibri" w:cs="Calibri"/>
        </w:rPr>
        <w:t>Mental health need among girls and young women is high and rising. NHS survey data show that 36% of young women aged 16 to 24 report common mental health disorders.</w:t>
      </w:r>
      <w:r>
        <w:rPr>
          <w:rStyle w:val="FootnoteReference"/>
          <w:rFonts w:ascii="Calibri" w:hAnsi="Calibri" w:cs="Calibri"/>
        </w:rPr>
        <w:footnoteReference w:id="10"/>
      </w:r>
      <w:r w:rsidRPr="00C31088">
        <w:rPr>
          <w:rFonts w:ascii="Calibri" w:hAnsi="Calibri" w:cs="Calibri"/>
        </w:rPr>
        <w:t xml:space="preserve"> Advance’s services also see high levels of suicidality, self-harm, trauma responses and emotional distress at the point of transition at 17 to 18. Yet these needs often do not meet adult safeguarding thresholds because the framework is geared towards care and support needs in a narrow statutory sense, rather than the cumulative risks created by trauma, coercion, exploitation, abuse and developmental vulnerability. As a result, a girl or young woman may be experiencing suicidality, severe emotional dysregul</w:t>
      </w:r>
      <w:r w:rsidRPr="00C31088">
        <w:rPr>
          <w:rFonts w:ascii="Calibri" w:hAnsi="Calibri" w:cs="Calibri"/>
        </w:rPr>
        <w:t>ation, abuse, unsafe relationships and repeated crisis, yet still be found ineligible for adult safeguarding or left without a coordinated response once she turns 18. This creates a serious gap at precisely the point where support should become more joined up, not less.</w:t>
      </w:r>
    </w:p>
    <w:p w:rsidR="00026B56" w:rsidRPr="00C31088">
      <w:pPr>
        <w:rPr>
          <w:rFonts w:ascii="Calibri" w:hAnsi="Calibri" w:cs="Calibri"/>
          <w:lang w:eastAsia="en-GB"/>
        </w:rPr>
      </w:pPr>
      <w:r w:rsidRPr="00C31088">
        <w:rPr>
          <w:rFonts w:ascii="Calibri" w:hAnsi="Calibri" w:cs="Calibri"/>
        </w:rPr>
        <w:t>Access to appropriate mental health support remains a persistent challenge. Thresholds for both Child and Adolescent Mental Health Services and adult mental health services are often difficult to meet, leaving many girls and young women caught between services or offered short-term, crisis-led or non-trauma-informed support. Provision does not always recognise the gendered drivers of distress, including domestic abuse, sexual violence, exploitation, harassment and coercive control, or how these intersect wi</w:t>
      </w:r>
      <w:r w:rsidRPr="00C31088">
        <w:rPr>
          <w:rFonts w:ascii="Calibri" w:hAnsi="Calibri" w:cs="Calibri"/>
        </w:rPr>
        <w:t>th neurodivergence, poverty, housing insecurity and care experience.</w:t>
      </w:r>
      <w:r w:rsidRPr="00C31088">
        <w:rPr>
          <w:rFonts w:ascii="Calibri" w:hAnsi="Calibri" w:cs="Calibri"/>
        </w:rPr>
        <w:t xml:space="preserve"> </w:t>
      </w:r>
      <w:r w:rsidRPr="00C31088">
        <w:rPr>
          <w:rFonts w:ascii="Calibri" w:hAnsi="Calibri" w:cs="Calibri"/>
          <w:lang w:eastAsia="en-GB"/>
        </w:rPr>
        <w:t xml:space="preserve">In 2023, all young women and girls supported by Advance GYW service required health and wellbeing support and 44% cited a mental health condition. However, 75% of Maia clients felt more empowered and positive after support in 2024/25. Our Maia service shows how accessing specialised support for experiencing or witnessing abuse at a young age can break the cycle of mental health deterioration in adulthood, and promote a positive transition </w:t>
      </w:r>
      <w:r w:rsidRPr="00C31088">
        <w:rPr>
          <w:rFonts w:ascii="Calibri" w:hAnsi="Calibri" w:cs="Calibri"/>
          <w:lang w:eastAsia="en-GB"/>
        </w:rPr>
        <w:t xml:space="preserve">from child to adult care. </w:t>
      </w:r>
    </w:p>
    <w:p w:rsidR="00026B56" w:rsidRPr="00C31088">
      <w:pPr>
        <w:rPr>
          <w:rFonts w:ascii="Calibri" w:hAnsi="Calibri" w:cs="Calibri"/>
        </w:rPr>
      </w:pPr>
      <w:r w:rsidRPr="00C31088">
        <w:rPr>
          <w:rFonts w:ascii="Calibri" w:hAnsi="Calibri" w:cs="Calibri"/>
        </w:rPr>
        <w:t xml:space="preserve">This is particularly concerning as additional needs continue to rise: 19.3% of children in England had SEND in 2024/25, and the number of girls requiring SEND support is </w:t>
      </w:r>
      <w:r w:rsidRPr="00C31088">
        <w:rPr>
          <w:rFonts w:ascii="Calibri" w:hAnsi="Calibri" w:cs="Calibri"/>
        </w:rPr>
        <w:t>increasing.</w:t>
      </w:r>
      <w:bookmarkStart w:id="8" w:name="_ftnref10"/>
      <w:bookmarkEnd w:id="8"/>
      <w:r>
        <w:rPr>
          <w:rStyle w:val="FootnoteReference"/>
          <w:rFonts w:ascii="Calibri" w:hAnsi="Calibri" w:cs="Calibri"/>
        </w:rPr>
        <w:footnoteReference w:id="11"/>
      </w:r>
      <w:r w:rsidRPr="00C31088">
        <w:rPr>
          <w:rFonts w:ascii="Calibri" w:hAnsi="Calibri" w:cs="Calibri"/>
        </w:rPr>
        <w:t xml:space="preserve"> For some girls and young women, these overlapping needs make it even harder to access services that understand and respond to the full context of their lives.</w:t>
      </w:r>
    </w:p>
    <w:p w:rsidR="00026B56" w:rsidRPr="00C31088" w:rsidP="00387265">
      <w:pPr>
        <w:pStyle w:val="Heading2"/>
        <w:rPr>
          <w:rFonts w:ascii="Calibri" w:hAnsi="Calibri" w:cs="Calibri"/>
          <w:color w:val="auto"/>
          <w:sz w:val="28"/>
          <w:szCs w:val="28"/>
        </w:rPr>
      </w:pPr>
      <w:r w:rsidRPr="00C31088">
        <w:rPr>
          <w:rFonts w:ascii="Calibri" w:hAnsi="Calibri" w:cs="Calibri"/>
          <w:color w:val="auto"/>
          <w:sz w:val="28"/>
          <w:szCs w:val="28"/>
        </w:rPr>
        <w:t xml:space="preserve">Response </w:t>
      </w:r>
    </w:p>
    <w:p w:rsidR="00026B56" w:rsidRPr="00C31088" w:rsidP="00080D39">
      <w:pPr>
        <w:rPr>
          <w:rFonts w:ascii="Calibri" w:hAnsi="Calibri" w:cs="Calibri"/>
          <w:b/>
          <w:bCs/>
        </w:rPr>
      </w:pPr>
      <w:r w:rsidRPr="00C31088">
        <w:rPr>
          <w:rFonts w:ascii="Calibri" w:hAnsi="Calibri" w:cs="Calibri"/>
          <w:b/>
          <w:bCs/>
        </w:rPr>
        <w:t xml:space="preserve">Timeliness and Pace of the Transition </w:t>
      </w:r>
      <w:r w:rsidRPr="00C31088">
        <w:rPr>
          <w:rFonts w:ascii="Calibri" w:hAnsi="Calibri" w:cs="Calibri"/>
          <w:b/>
          <w:bCs/>
        </w:rPr>
        <w:t>i</w:t>
      </w:r>
      <w:r w:rsidRPr="00C31088">
        <w:rPr>
          <w:rFonts w:ascii="Calibri" w:hAnsi="Calibri" w:cs="Calibri"/>
          <w:b/>
          <w:bCs/>
        </w:rPr>
        <w:t>nto Adult Services</w:t>
      </w:r>
    </w:p>
    <w:p w:rsidR="00026B56" w:rsidRPr="00C31088">
      <w:pPr>
        <w:rPr>
          <w:rFonts w:ascii="Calibri" w:hAnsi="Calibri" w:cs="Calibri"/>
          <w:lang w:eastAsia="en-GB"/>
        </w:rPr>
      </w:pPr>
      <w:r w:rsidRPr="00C31088">
        <w:rPr>
          <w:rFonts w:ascii="Calibri" w:hAnsi="Calibri" w:cs="Calibri"/>
        </w:rPr>
        <w:t>Advance consistently sees transition planning begin too late. Referrals, assessments and handovers frequently take place close to a young person’s 18th birthday, or after they have already turned 18. Instead of being phased in from age 16 or 17, adult services are introduced abruptly, if at all. This can result in support ending suddenly at a point of heightened risk.</w:t>
      </w:r>
    </w:p>
    <w:p w:rsidR="00026B56" w:rsidRPr="00C31088">
      <w:pPr>
        <w:rPr>
          <w:rFonts w:ascii="Calibri" w:hAnsi="Calibri" w:cs="Calibri"/>
          <w:lang w:eastAsia="en-GB"/>
        </w:rPr>
      </w:pPr>
      <w:r w:rsidRPr="00C31088">
        <w:rPr>
          <w:rFonts w:ascii="Calibri" w:hAnsi="Calibri" w:cs="Calibri"/>
        </w:rPr>
        <w:t>For girls and young women affected by domestic abuse, contextual harm or mental health needs, this is particularly damaging. Risk does not diminish simply because a young person turns 18; however, eligibility for support often does. Many girls and young women are left without formal care while navigating abusive relationships, deteriorating mental health and increasing contact with systems, often for the first time as legal adults.</w:t>
      </w:r>
    </w:p>
    <w:p w:rsidR="00026B56" w:rsidRPr="00C31088" w:rsidP="00080D39">
      <w:pPr>
        <w:rPr>
          <w:rFonts w:ascii="Calibri" w:hAnsi="Calibri" w:cs="Calibri"/>
          <w:b/>
          <w:bCs/>
        </w:rPr>
      </w:pPr>
      <w:r w:rsidRPr="00C31088">
        <w:rPr>
          <w:rFonts w:ascii="Calibri" w:hAnsi="Calibri" w:cs="Calibri"/>
          <w:b/>
          <w:bCs/>
        </w:rPr>
        <w:t>Effectiveness of the Transition Process and Cross</w:t>
      </w:r>
      <w:r w:rsidRPr="00C31088">
        <w:rPr>
          <w:rFonts w:ascii="Calibri" w:hAnsi="Calibri" w:cs="Calibri"/>
          <w:b/>
          <w:bCs/>
        </w:rPr>
        <w:noBreakHyphen/>
        <w:t>Service Coordination</w:t>
      </w:r>
    </w:p>
    <w:p w:rsidR="00026B56" w:rsidRPr="00C31088">
      <w:pPr>
        <w:rPr>
          <w:rFonts w:ascii="Calibri" w:hAnsi="Calibri" w:cs="Calibri"/>
          <w:lang w:eastAsia="en-GB"/>
        </w:rPr>
      </w:pPr>
      <w:r w:rsidRPr="00C31088">
        <w:rPr>
          <w:rFonts w:ascii="Calibri" w:hAnsi="Calibri" w:cs="Calibri"/>
        </w:rPr>
        <w:t>Advance regularly sees a lack of clarity about responsibility at the transition point, particularly where a young person does not meet adult social care thresholds. This can result in statutory agencies transferring responsibility between one another, while specialist services are left holding risk without the authority or resources to respond fully.</w:t>
      </w:r>
    </w:p>
    <w:p w:rsidR="00026B56" w:rsidRPr="00C31088">
      <w:pPr>
        <w:rPr>
          <w:rFonts w:ascii="Calibri" w:hAnsi="Calibri" w:cs="Calibri"/>
        </w:rPr>
      </w:pPr>
      <w:r w:rsidRPr="00C31088">
        <w:rPr>
          <w:rFonts w:ascii="Calibri" w:hAnsi="Calibri" w:cs="Calibri"/>
        </w:rPr>
        <w:t>This ping-pong effect is particularly evident in cases involving domestic abuse, mental health needs and justice involvement. Without strong joint protocols and shared accountability across children’s services, adult social care, health, education and criminal justice partners, opportunities for effective multi-agency and contextual safeguarding are reduced. Rather than maintaining continuity, systems often default to passing responsibility elsewhere.</w:t>
      </w:r>
    </w:p>
    <w:p w:rsidR="00026B56" w:rsidRPr="00C31088" w:rsidP="00080D39">
      <w:pPr>
        <w:rPr>
          <w:rFonts w:ascii="Calibri" w:hAnsi="Calibri" w:cs="Calibri"/>
          <w:b/>
          <w:bCs/>
        </w:rPr>
      </w:pPr>
      <w:r w:rsidRPr="00C31088">
        <w:rPr>
          <w:rFonts w:ascii="Calibri" w:hAnsi="Calibri" w:cs="Calibri"/>
          <w:b/>
          <w:bCs/>
        </w:rPr>
        <w:t>Meaningful Involvement of Children, Young People and Their Carers</w:t>
      </w:r>
    </w:p>
    <w:p w:rsidR="00026B56" w:rsidRPr="00C31088">
      <w:pPr>
        <w:rPr>
          <w:rFonts w:ascii="Calibri" w:hAnsi="Calibri" w:cs="Calibri"/>
          <w:lang w:eastAsia="en-GB"/>
        </w:rPr>
      </w:pPr>
      <w:r w:rsidRPr="00C31088">
        <w:rPr>
          <w:rFonts w:ascii="Calibri" w:hAnsi="Calibri" w:cs="Calibri"/>
        </w:rPr>
        <w:t>Young people and carers are often not given clear, accessible information about what will change at 18, which criteria will apply, and what support will continue. As a result, they are less able to engage meaningfully in transition planning or make informed decisions about the future.</w:t>
      </w:r>
    </w:p>
    <w:p w:rsidR="00026B56" w:rsidRPr="00C31088">
      <w:pPr>
        <w:rPr>
          <w:rFonts w:ascii="Calibri" w:hAnsi="Calibri" w:cs="Calibri"/>
          <w:lang w:eastAsia="en-GB"/>
        </w:rPr>
      </w:pPr>
      <w:r w:rsidRPr="00C31088">
        <w:rPr>
          <w:rFonts w:ascii="Calibri" w:hAnsi="Calibri" w:cs="Calibri"/>
        </w:rPr>
        <w:t>Where trusted specialist advocates are involved, transitions are more likely to reflect a young person’s priorities, safety concerns and developmental needs. Advocacy helps ensure that plans are shaped by lived experience rather than rigid thresholds. However, access to advocacy is inconsistent, and transition planning too often remains service-led rather than person-centred.</w:t>
      </w:r>
    </w:p>
    <w:p w:rsidR="00026B56" w:rsidRPr="00C31088" w:rsidP="00080D39">
      <w:pPr>
        <w:rPr>
          <w:rFonts w:ascii="Calibri" w:hAnsi="Calibri" w:cs="Calibri"/>
          <w:b/>
          <w:bCs/>
        </w:rPr>
      </w:pPr>
      <w:r w:rsidRPr="00C31088">
        <w:rPr>
          <w:rFonts w:ascii="Calibri" w:hAnsi="Calibri" w:cs="Calibri"/>
          <w:b/>
          <w:bCs/>
        </w:rPr>
        <w:t>Workforce and Training</w:t>
      </w:r>
    </w:p>
    <w:p w:rsidR="00026B56" w:rsidRPr="00C31088">
      <w:pPr>
        <w:rPr>
          <w:rFonts w:ascii="Calibri" w:hAnsi="Calibri" w:cs="Calibri"/>
          <w:lang w:eastAsia="en-GB"/>
        </w:rPr>
      </w:pPr>
      <w:r w:rsidRPr="00C31088">
        <w:rPr>
          <w:rFonts w:ascii="Calibri" w:hAnsi="Calibri" w:cs="Calibri"/>
        </w:rPr>
        <w:t xml:space="preserve">Advance observes wide variation in workforce understanding across statutory, health and justice services of domestic abuse, coercive control and gender-based violence, particularly in relation to their impact on mental health and safeguarding. While local authorities are duty-bound to commission domestic abuse services under the Domestic Abuse Act 2021, responsibility for supporting children as victims is often assumed </w:t>
      </w:r>
      <w:r w:rsidRPr="00C31088">
        <w:rPr>
          <w:rFonts w:ascii="Calibri" w:hAnsi="Calibri" w:cs="Calibri"/>
          <w:u w:val="single"/>
        </w:rPr>
        <w:t>by</w:t>
      </w:r>
      <w:r w:rsidRPr="00C31088">
        <w:rPr>
          <w:rFonts w:ascii="Calibri" w:hAnsi="Calibri" w:cs="Calibri"/>
        </w:rPr>
        <w:t xml:space="preserve"> specialist services, even where they are not commissioned to do so. Implementation of the Domestic Abuse Act 2021 remains inconsistent, and many children still do not have access to specialist support despite being victims of abuse in their own right.</w:t>
      </w:r>
    </w:p>
    <w:p w:rsidR="00026B56" w:rsidRPr="00C31088">
      <w:pPr>
        <w:rPr>
          <w:rFonts w:ascii="Calibri" w:hAnsi="Calibri" w:cs="Calibri"/>
          <w:lang w:eastAsia="en-GB"/>
        </w:rPr>
      </w:pPr>
      <w:r w:rsidRPr="00C31088">
        <w:rPr>
          <w:rFonts w:ascii="Calibri" w:hAnsi="Calibri" w:cs="Calibri"/>
        </w:rPr>
        <w:t xml:space="preserve">Gaps in training are particularly evident in identifying coercive control, assessing patterns of harm over time, and responding safely to complex cases. This contributes to disputes about thresholds and remit between children’s social care, adult services and specialist providers. Provision for under-16s remains patchy and unevenly commissioned, despite the Act’s intention to recognise children as victims in their own right. These gaps are compounded in cases of peer-on-peer and extra-familial abuse, which </w:t>
      </w:r>
      <w:r w:rsidRPr="00C31088">
        <w:rPr>
          <w:rFonts w:ascii="Calibri" w:hAnsi="Calibri" w:cs="Calibri"/>
        </w:rPr>
        <w:t xml:space="preserve">are frequently minimised or deprioritised. This, therefore means that, by the time many young people transition into adulthood, they have already experienced harm both individually and institutionally. For children who report peer-on-peer abuse, Advance advocates tell us that schools are not always equipped to navigate the process </w:t>
      </w:r>
      <w:r w:rsidRPr="00C31088">
        <w:rPr>
          <w:rFonts w:ascii="Calibri" w:hAnsi="Calibri" w:cs="Calibri"/>
        </w:rPr>
        <w:t>effectively. They</w:t>
      </w:r>
      <w:r w:rsidRPr="00C31088">
        <w:rPr>
          <w:rFonts w:ascii="Calibri" w:hAnsi="Calibri" w:cs="Calibri"/>
        </w:rPr>
        <w:t xml:space="preserve"> simultaneously fail to hold the perpetrating child to account and engag</w:t>
      </w:r>
      <w:r w:rsidRPr="00C31088">
        <w:rPr>
          <w:rFonts w:ascii="Calibri" w:hAnsi="Calibri" w:cs="Calibri"/>
        </w:rPr>
        <w:t>e</w:t>
      </w:r>
      <w:r w:rsidRPr="00C31088">
        <w:rPr>
          <w:rFonts w:ascii="Calibri" w:hAnsi="Calibri" w:cs="Calibri"/>
        </w:rPr>
        <w:t xml:space="preserve"> in victim-blaming. Moreover, because it is extra-familial, children’s social services ma</w:t>
      </w:r>
      <w:r w:rsidRPr="00C31088">
        <w:rPr>
          <w:rFonts w:ascii="Calibri" w:hAnsi="Calibri" w:cs="Calibri"/>
        </w:rPr>
        <w:t xml:space="preserve">y not always see it as meeting the criteria for support. Previously, education was not always under a duty to be involved in multi-agency safeguarding, and we welcome </w:t>
      </w:r>
      <w:r w:rsidRPr="00C31088">
        <w:rPr>
          <w:rFonts w:ascii="Calibri" w:hAnsi="Calibri" w:cs="Calibri"/>
        </w:rPr>
        <w:t xml:space="preserve">change to improve any coordination for safeguarding girls and young women. </w:t>
      </w:r>
    </w:p>
    <w:p w:rsidR="00026B56" w:rsidRPr="00C31088" w:rsidP="00080D39">
      <w:pPr>
        <w:rPr>
          <w:rFonts w:ascii="Calibri" w:hAnsi="Calibri" w:cs="Calibri"/>
          <w:b/>
          <w:bCs/>
        </w:rPr>
      </w:pPr>
      <w:r w:rsidRPr="00C31088">
        <w:rPr>
          <w:rFonts w:ascii="Calibri" w:hAnsi="Calibri" w:cs="Calibri"/>
          <w:b/>
          <w:bCs/>
        </w:rPr>
        <w:t>Enabling Developmentally Appropriate Independence</w:t>
      </w:r>
    </w:p>
    <w:p w:rsidR="00026B56" w:rsidRPr="00C31088">
      <w:pPr>
        <w:rPr>
          <w:rFonts w:ascii="Calibri" w:hAnsi="Calibri" w:cs="Calibri"/>
        </w:rPr>
      </w:pPr>
      <w:r w:rsidRPr="00C31088">
        <w:rPr>
          <w:rFonts w:ascii="Calibri" w:hAnsi="Calibri" w:cs="Calibri"/>
        </w:rPr>
        <w:t>Many of the girls and young women Advance supports reach adulthood without having had the opportunity to develop the practical, emotional and relational skills needed to navigate adult life. From the age of 18, they are expected to manage housing, benefits, finances, education, health services and relationships without adequate preparation.</w:t>
      </w:r>
    </w:p>
    <w:p w:rsidR="00026B56" w:rsidRPr="00C31088">
      <w:pPr>
        <w:rPr>
          <w:rFonts w:ascii="Calibri" w:hAnsi="Calibri" w:cs="Calibri"/>
          <w:lang w:eastAsia="en-GB"/>
        </w:rPr>
      </w:pPr>
      <w:r w:rsidRPr="00C31088">
        <w:rPr>
          <w:rFonts w:ascii="Calibri" w:hAnsi="Calibri" w:cs="Calibri"/>
        </w:rPr>
        <w:t>Girls and young women may lack financial literacy, housing tenancy readiness, digital skills and confidence in advocating for themselves. Many also need support with emotional regulation, crisis planning, healthy relationships and understanding domestic abuse. Trauma, unstable childhood experiences, neurodivergence and care experience further compound these challenges. As a result, much of Advance’s 1-to-1 advocacy focuses on building the foundations for independence—support that is not consistently availab</w:t>
      </w:r>
      <w:r w:rsidRPr="00C31088">
        <w:rPr>
          <w:rFonts w:ascii="Calibri" w:hAnsi="Calibri" w:cs="Calibri"/>
        </w:rPr>
        <w:t xml:space="preserve">le through statutory pathways. However, support for girls and young women that addresses their needs in an age- and gender-informed way is not available nationally. As a result, many girls and young </w:t>
      </w:r>
      <w:r w:rsidRPr="00C31088">
        <w:rPr>
          <w:rFonts w:ascii="Calibri" w:hAnsi="Calibri" w:cs="Calibri"/>
        </w:rPr>
        <w:t>women, whose trauma is often shaped by gendered harm, are unable to access support specifically designed for them.</w:t>
      </w:r>
    </w:p>
    <w:p w:rsidR="00026B56" w:rsidRPr="00C31088" w:rsidP="00080D39">
      <w:pPr>
        <w:rPr>
          <w:rFonts w:ascii="Calibri" w:hAnsi="Calibri" w:cs="Calibri"/>
          <w:b/>
          <w:bCs/>
        </w:rPr>
      </w:pPr>
      <w:r w:rsidRPr="00C31088">
        <w:rPr>
          <w:rFonts w:ascii="Calibri" w:hAnsi="Calibri" w:cs="Calibri"/>
          <w:b/>
          <w:bCs/>
        </w:rPr>
        <w:t>Promoting Equity Across the Transition</w:t>
      </w:r>
    </w:p>
    <w:p w:rsidR="00026B56" w:rsidRPr="00C31088">
      <w:pPr>
        <w:rPr>
          <w:rFonts w:ascii="Calibri" w:hAnsi="Calibri" w:cs="Calibri"/>
          <w:lang w:eastAsia="en-GB"/>
        </w:rPr>
      </w:pPr>
      <w:r w:rsidRPr="00C31088">
        <w:rPr>
          <w:rFonts w:ascii="Calibri" w:hAnsi="Calibri" w:cs="Calibri"/>
        </w:rPr>
        <w:t>Access to transitional safeguarding support varies significantly between local authorities. While some areas have developed dedicated transitional safeguarding teams, this is far from universal. Commissioning arrangements, thresholds and specialist provision differ widely, creating a postcode lottery in access to support.</w:t>
      </w:r>
    </w:p>
    <w:p w:rsidR="00026B56" w:rsidRPr="00C31088">
      <w:pPr>
        <w:rPr>
          <w:rFonts w:ascii="Calibri" w:hAnsi="Calibri" w:cs="Calibri"/>
          <w:lang w:eastAsia="en-GB"/>
        </w:rPr>
      </w:pPr>
      <w:r w:rsidRPr="00C31088">
        <w:rPr>
          <w:rFonts w:ascii="Calibri" w:hAnsi="Calibri" w:cs="Calibri"/>
        </w:rPr>
        <w:t>Girls and young women have distinct needs that are often obscured when they are grouped either with adult women or when their experiences are conflated with those of male peers. Without a clear national expectation for an 18–25 offer</w:t>
      </w:r>
      <w:r w:rsidRPr="00C31088">
        <w:rPr>
          <w:rFonts w:ascii="Calibri" w:hAnsi="Calibri" w:cs="Calibri"/>
        </w:rPr>
        <w:t xml:space="preserve"> </w:t>
      </w:r>
      <w:r w:rsidRPr="00C31088">
        <w:rPr>
          <w:rFonts w:ascii="Calibri" w:hAnsi="Calibri" w:cs="Calibri"/>
        </w:rPr>
        <w:t>based on developmental need—and backed by sustained funding—inequities persist, and many girls and young women continue to fall through gaps at 18.</w:t>
      </w:r>
    </w:p>
    <w:p w:rsidR="00026B56" w:rsidRPr="00C31088" w:rsidP="00080D39">
      <w:pPr>
        <w:rPr>
          <w:rFonts w:ascii="Calibri" w:hAnsi="Calibri" w:cs="Calibri"/>
          <w:b/>
          <w:bCs/>
        </w:rPr>
      </w:pPr>
      <w:r w:rsidRPr="00C31088">
        <w:rPr>
          <w:rFonts w:ascii="Calibri" w:hAnsi="Calibri" w:cs="Calibri"/>
          <w:b/>
          <w:bCs/>
        </w:rPr>
        <w:t>Criminal Justice Transitions</w:t>
      </w:r>
    </w:p>
    <w:p w:rsidR="00026B56" w:rsidRPr="00C31088">
      <w:pPr>
        <w:rPr>
          <w:rFonts w:ascii="Calibri" w:hAnsi="Calibri" w:cs="Calibri"/>
          <w:lang w:eastAsia="en-GB"/>
        </w:rPr>
      </w:pPr>
      <w:r w:rsidRPr="00C31088">
        <w:rPr>
          <w:rFonts w:ascii="Calibri" w:hAnsi="Calibri" w:cs="Calibri"/>
        </w:rPr>
        <w:t>Girls and young women face a particularly stark cliff edge in the transition from Youth Offending Teams to adult Probation. This shift from a child-centred, welfare-focused model to one dominated by enforcement disrupts progress and increases vulnerability to further harm and criminalisation.</w:t>
      </w:r>
    </w:p>
    <w:p w:rsidR="00026B56" w:rsidRPr="00C31088">
      <w:pPr>
        <w:rPr>
          <w:rFonts w:ascii="Calibri" w:hAnsi="Calibri" w:cs="Calibri"/>
          <w:lang w:eastAsia="en-GB"/>
        </w:rPr>
      </w:pPr>
      <w:r w:rsidRPr="00C31088">
        <w:rPr>
          <w:rFonts w:ascii="Calibri" w:hAnsi="Calibri" w:cs="Calibri"/>
        </w:rPr>
        <w:t xml:space="preserve">Many girls are drawn into offending through coercive or exploitative relationships, compounded by poverty, care experience and earlier abuse. These harms do not stop at 18, yet professional support often does. Assessments rarely capture gender-specific needs such as exploitation, sexual violence, mental health needs or neurodivergence, and adult systems are poorly equipped to respond. Without sustained, trauma-informed, community-based support, the transition to adult justice systems entrenches harm rather </w:t>
      </w:r>
      <w:r w:rsidRPr="00C31088">
        <w:rPr>
          <w:rFonts w:ascii="Calibri" w:hAnsi="Calibri" w:cs="Calibri"/>
        </w:rPr>
        <w:t>than promoting recovery.</w:t>
      </w:r>
    </w:p>
    <w:p w:rsidR="00026B56" w:rsidRPr="00C31088" w:rsidP="00103BC8">
      <w:pPr>
        <w:pStyle w:val="Heading2"/>
        <w:rPr>
          <w:rFonts w:ascii="Calibri" w:hAnsi="Calibri" w:cs="Calibri"/>
          <w:color w:val="auto"/>
          <w:sz w:val="28"/>
          <w:szCs w:val="28"/>
        </w:rPr>
      </w:pPr>
      <w:r w:rsidRPr="00C31088">
        <w:rPr>
          <w:rFonts w:ascii="Calibri" w:hAnsi="Calibri" w:cs="Calibri"/>
          <w:color w:val="auto"/>
          <w:sz w:val="28"/>
          <w:szCs w:val="28"/>
        </w:rPr>
        <w:t xml:space="preserve">Recommendations </w:t>
      </w:r>
    </w:p>
    <w:p w:rsidR="00026B56" w:rsidRPr="00C31088" w:rsidP="00883419">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We recommend national roll-out of Transitional Contextual Safeguarding (TCS) teams across all local authorities to ensure young people receive appropriate support and are not exposed to avoidable harm at this critical point in their lives.</w:t>
      </w:r>
    </w:p>
    <w:p w:rsidR="00026B56" w:rsidRPr="00C31088" w:rsidP="00F371CA">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Public services and authorities need mandatory training on the dynamics of domestic abuse, including coercive control, so that they can respond effectively to the girls and young women they work with and identify opportunities to prevent suicidality. Current domestic abuse training for authorities is limited and can become a tick-box exercise.</w:t>
      </w:r>
    </w:p>
    <w:p w:rsidR="00026B56" w:rsidRPr="00C31088" w:rsidP="00883419">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 xml:space="preserve">Policy makers should consider amendments to the Care Act and/or statutory guidance to extend definitions and clarify when self-harm and suicidality should be treated as adult safeguarding concerns, including potentially under self-neglect, as </w:t>
      </w:r>
      <w:r w:rsidRPr="00C31088">
        <w:rPr>
          <w:rFonts w:ascii="Calibri" w:hAnsi="Calibri" w:cs="Calibri"/>
        </w:rPr>
        <w:t>well as the role Adult Safeguarding Teams should play in these situations, especially where suicidality is linked to domestic abuse and coercive control. Any amendments should be informed by women’s sector organisations.</w:t>
      </w:r>
    </w:p>
    <w:p w:rsidR="00026B56" w:rsidRPr="00C31088" w:rsidP="00883419">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Intensive support programmes for complex cases, with small caseloads, should be funded. Specialist support is needed to reduce suicidal ideation and prevent repeated cycles of crisis. This could include therapy, group work and peer support.</w:t>
      </w:r>
    </w:p>
    <w:p w:rsidR="00026B56" w:rsidRPr="00C31088" w:rsidP="00883419">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Dedicated funding is needed for mental health support for girls and young women affected by domestic abuse, so they can access help before their mental health deteriorates further. This support must be trauma-, age- and gender-informed and should, wherever possible, be delivered by specialist women’s organisations.</w:t>
      </w:r>
    </w:p>
    <w:p w:rsidR="00026B56" w:rsidRPr="00C31088" w:rsidP="00F371CA">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 xml:space="preserve">Introduce a statutory duty on local authorities to commission specialist support for girls and young women under the age of 25 who are affected by, or at risk of, domestic abuse or other forms of exploitation and harm. This should build on existing specialist provision for girls and young women, such as </w:t>
      </w:r>
      <w:r>
        <w:fldChar w:fldCharType="begin"/>
      </w:r>
      <w:r>
        <w:instrText xml:space="preserve"> HYPERLINK "https://www.advancecharity.org.uk/what-we-do/young-women-girls-services/maia-lift/" </w:instrText>
      </w:r>
      <w:r>
        <w:fldChar w:fldCharType="separate"/>
      </w:r>
      <w:r w:rsidRPr="00C31088">
        <w:rPr>
          <w:rStyle w:val="Hyperlink"/>
          <w:rFonts w:ascii="Calibri" w:hAnsi="Calibri" w:cs="Calibri"/>
          <w:color w:val="auto"/>
        </w:rPr>
        <w:t>Advance’s Maia service.</w:t>
      </w:r>
      <w:r>
        <w:fldChar w:fldCharType="end"/>
      </w:r>
    </w:p>
    <w:p w:rsidR="00026B56" w:rsidRPr="00C31088" w:rsidP="00F371CA">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 xml:space="preserve">In addition, the roll-out of Young Futures Hubs should be used to build community-based support that understands the specific needs of girls and young women. This should be designed in collaboration with specialist services such as Maia and should ensure that mental health support is available, trauma-informed and appropriate for girls and young women. You can read more about </w:t>
      </w:r>
      <w:r>
        <w:fldChar w:fldCharType="begin"/>
      </w:r>
      <w:r>
        <w:instrText xml:space="preserve"> HYPERLINK "https://www.advancecharity.org.uk/launching-the-young-futures-framework-for-young-women-and-girls/" </w:instrText>
      </w:r>
      <w:r>
        <w:fldChar w:fldCharType="separate"/>
      </w:r>
      <w:r w:rsidRPr="00C31088">
        <w:rPr>
          <w:rStyle w:val="Hyperlink"/>
          <w:rFonts w:ascii="Calibri" w:hAnsi="Calibri" w:cs="Calibri"/>
          <w:color w:val="auto"/>
        </w:rPr>
        <w:t>Advance’s Young Futures Gender Framework here.</w:t>
      </w:r>
      <w:r>
        <w:fldChar w:fldCharType="end"/>
      </w:r>
    </w:p>
    <w:p w:rsidR="00026B56" w:rsidRPr="00C31088" w:rsidP="00F371CA">
      <w:pPr>
        <w:pStyle w:val="ListParagraph"/>
        <w:numPr>
          <w:ilvl w:val="0"/>
          <w:numId w:val="4"/>
        </w:numPr>
        <w:spacing w:line="276" w:lineRule="auto"/>
        <w:contextualSpacing w:val="0"/>
        <w:rPr>
          <w:rFonts w:ascii="Calibri" w:hAnsi="Calibri" w:cs="Calibri"/>
          <w:lang w:eastAsia="en-GB"/>
        </w:rPr>
      </w:pPr>
      <w:r w:rsidRPr="00C31088">
        <w:rPr>
          <w:rFonts w:ascii="Calibri" w:hAnsi="Calibri" w:cs="Calibri"/>
        </w:rPr>
        <w:t>We would also like to see a cross-government national strategy focused specifically on the needs of girls and young women, spanning education, community safety, justice, mental health and transition into adulthood.</w:t>
      </w:r>
    </w:p>
    <w:p w:rsidR="00026B56" w:rsidP="00E81C9D">
      <w:pPr>
        <w:rPr>
          <w:rFonts w:ascii="Calibri" w:hAnsi="Calibri" w:cs="Calibri"/>
        </w:rPr>
      </w:pPr>
    </w:p>
    <w:p w:rsidR="00C31088" w:rsidRPr="00C31088" w:rsidP="00E81C9D">
      <w:pPr>
        <w:rPr>
          <w:rFonts w:ascii="Calibri" w:hAnsi="Calibri" w:cs="Calibri"/>
          <w:i/>
          <w:iCs/>
        </w:rPr>
      </w:pPr>
      <w:r w:rsidRPr="00C31088">
        <w:rPr>
          <w:rFonts w:ascii="Calibri" w:hAnsi="Calibri" w:cs="Calibri"/>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26B56" w:rsidP="002F1C93">
      <w:pPr>
        <w:spacing w:after="0" w:line="240" w:lineRule="auto"/>
      </w:pPr>
      <w:r>
        <w:separator/>
      </w:r>
    </w:p>
  </w:footnote>
  <w:footnote w:type="continuationSeparator" w:id="1">
    <w:p w:rsidR="00026B56" w:rsidP="002F1C93">
      <w:pPr>
        <w:spacing w:after="0" w:line="240" w:lineRule="auto"/>
      </w:pPr>
      <w:r>
        <w:continuationSeparator/>
      </w:r>
    </w:p>
  </w:footnote>
  <w:footnote w:id="2">
    <w:p w:rsidR="00026B56" w:rsidRPr="00A80E2D">
      <w:pPr>
        <w:pStyle w:val="FootnoteText"/>
      </w:pPr>
      <w:r w:rsidRPr="00A80E2D">
        <w:rPr>
          <w:rStyle w:val="FootnoteReference"/>
        </w:rPr>
        <w:footnoteRef/>
      </w:r>
      <w:r w:rsidRPr="00A80E2D">
        <w:t xml:space="preserve"> The guardian (2026) </w:t>
      </w:r>
      <w:r>
        <w:fldChar w:fldCharType="begin"/>
      </w:r>
      <w:r>
        <w:instrText xml:space="preserve"> HYPERLINK "https://www.theguardian.com/society/2026/mar/12/one-in-five-girls-aged-16-19-have-experienced-domestic-abuse-police-estimate" </w:instrText>
      </w:r>
      <w:r>
        <w:fldChar w:fldCharType="separate"/>
      </w:r>
      <w:r w:rsidRPr="00A80E2D">
        <w:rPr>
          <w:rStyle w:val="Hyperlink"/>
        </w:rPr>
        <w:t>Nowhere near enough’ being done to tackle misogyny among young boys</w:t>
      </w:r>
      <w:r>
        <w:fldChar w:fldCharType="end"/>
      </w:r>
    </w:p>
  </w:footnote>
  <w:footnote w:id="3">
    <w:p w:rsidR="00026B56" w:rsidRPr="00A80E2D">
      <w:pPr>
        <w:pStyle w:val="FootnoteText"/>
      </w:pPr>
      <w:r w:rsidRPr="00A80E2D">
        <w:rPr>
          <w:rStyle w:val="FootnoteReference"/>
        </w:rPr>
        <w:footnoteRef/>
      </w:r>
      <w:r w:rsidRPr="00A80E2D">
        <w:t xml:space="preserve"> Youth Endowment Fund (2025) </w:t>
      </w:r>
      <w:r>
        <w:fldChar w:fldCharType="begin"/>
      </w:r>
      <w:r>
        <w:instrText xml:space="preserve"> HYPERLINK "https://youthendowmentfund.org.uk/wp-content/uploads/2024/11/CVV24_R3_Gender.pdf" </w:instrText>
      </w:r>
      <w:r>
        <w:fldChar w:fldCharType="separate"/>
      </w:r>
      <w:r w:rsidRPr="00A80E2D">
        <w:rPr>
          <w:rStyle w:val="Hyperlink"/>
        </w:rPr>
        <w:t>How do boys and girls experience violence?</w:t>
      </w:r>
      <w:r>
        <w:fldChar w:fldCharType="end"/>
      </w:r>
    </w:p>
  </w:footnote>
  <w:footnote w:id="4">
    <w:p w:rsidR="00026B56" w:rsidRPr="00A80E2D">
      <w:pPr>
        <w:pStyle w:val="FootnoteText"/>
      </w:pPr>
      <w:r w:rsidRPr="00A80E2D">
        <w:rPr>
          <w:rStyle w:val="FootnoteReference"/>
        </w:rPr>
        <w:footnoteRef/>
      </w:r>
      <w:r w:rsidRPr="00A80E2D">
        <w:t xml:space="preserve"> NSPCC (2009), Partner exploitation and violence in teenage intimate relationships </w:t>
      </w:r>
    </w:p>
  </w:footnote>
  <w:footnote w:id="5">
    <w:p w:rsidR="00026B56" w:rsidRPr="00A80E2D">
      <w:pPr>
        <w:pStyle w:val="FootnoteText"/>
      </w:pPr>
      <w:r w:rsidRPr="00A80E2D">
        <w:rPr>
          <w:rStyle w:val="FootnoteReference"/>
        </w:rPr>
        <w:footnoteRef/>
      </w:r>
      <w:r w:rsidRPr="00A80E2D">
        <w:t xml:space="preserve"> Girlguiding (2025) </w:t>
      </w:r>
      <w:r>
        <w:fldChar w:fldCharType="begin"/>
      </w:r>
      <w:r>
        <w:instrText xml:space="preserve"> HYPERLINK "https://www.bing.com/ck/a?!&amp;&amp;p=21e4252200590011b781da5c80327a40b12f472ab7e82a2502e53c0bd5a98eb4JmltdHM9MTc3ODQ1NzYwMA&amp;ptn=3&amp;ver=2&amp;hsh=4&amp;fclid=3649244d-5c14-6308-38e4-32175d316215&amp;psq=girlguiding+20205&amp;u=a1aHR0cHM6Ly9naXJsZ3VpZGluZ2N5bXJ1Lm9yZy51ay9nZy1naXJscy1hdHRpdHVkZXMtc3VydmV5LTIwMjU" </w:instrText>
      </w:r>
      <w:r>
        <w:fldChar w:fldCharType="separate"/>
      </w:r>
      <w:r w:rsidRPr="00A80E2D">
        <w:rPr>
          <w:rStyle w:val="Hyperlink"/>
        </w:rPr>
        <w:t>Girls’ Attitudes Survey 2025</w:t>
      </w:r>
      <w:r>
        <w:fldChar w:fldCharType="end"/>
      </w:r>
      <w:r w:rsidRPr="00A80E2D">
        <w:t xml:space="preserve"> </w:t>
      </w:r>
    </w:p>
  </w:footnote>
  <w:footnote w:id="6">
    <w:p w:rsidR="00026B56" w:rsidRPr="00A80E2D">
      <w:pPr>
        <w:pStyle w:val="FootnoteText"/>
        <w:rPr>
          <w:b/>
          <w:bCs/>
        </w:rPr>
      </w:pPr>
      <w:r w:rsidRPr="00A80E2D">
        <w:rPr>
          <w:rStyle w:val="FootnoteReference"/>
        </w:rPr>
        <w:footnoteRef/>
      </w:r>
      <w:r w:rsidRPr="00A80E2D">
        <w:t xml:space="preserve"> Agenda Alliance (2026) </w:t>
      </w:r>
      <w:r>
        <w:fldChar w:fldCharType="begin"/>
      </w:r>
      <w:r>
        <w:instrText xml:space="preserve"> HYPERLINK "https://www.agendaalliance.org/news/the-number-of-girls-severely-absent-from-school-reaches-record-levels/" </w:instrText>
      </w:r>
      <w:r>
        <w:fldChar w:fldCharType="separate"/>
      </w:r>
      <w:r w:rsidRPr="00A80E2D">
        <w:rPr>
          <w:rStyle w:val="Hyperlink"/>
        </w:rPr>
        <w:t>The number of girls severely absent from school reaches record levels</w:t>
      </w:r>
      <w:r>
        <w:fldChar w:fldCharType="end"/>
      </w:r>
    </w:p>
  </w:footnote>
  <w:footnote w:id="7">
    <w:p w:rsidR="00026B56">
      <w:pPr>
        <w:pStyle w:val="FootnoteText"/>
      </w:pPr>
      <w:r>
        <w:rPr>
          <w:rStyle w:val="FootnoteReference"/>
        </w:rPr>
        <w:footnoteRef/>
      </w:r>
      <w:r>
        <w:t xml:space="preserve"> Girlguiding (2023) </w:t>
      </w:r>
      <w:r>
        <w:fldChar w:fldCharType="begin"/>
      </w:r>
      <w:r>
        <w:instrText xml:space="preserve"> HYPERLINK "https://www.bing.com/ck/a?!&amp;&amp;p=a5a71ab5b3007641de3a3d9b9a541e96e98c6d6f8f9ecc1906989a2e9ecd53e5JmltdHM9MTc3ODQ1NzYwMA&amp;ptn=3&amp;ver=2&amp;hsh=4&amp;fclid=3649244d-5c14-6308-38e4-32175d316215&amp;psq=73%25+of+girls+aged+13%e2%80%9321+have+been+sent+unwanted+explicit+images+or+videos&amp;u=a1aHR0cHM6Ly93d3cuZ2lybGd1aWRpbmcub3JnLnVrL2Fib3V0LXVzL3ByZXNzLXJlbGVhc2VzL2dpcmxzLWF0dGl0dWRlcy1zdXJ2ZXktMjAyMy8" </w:instrText>
      </w:r>
      <w:r>
        <w:fldChar w:fldCharType="separate"/>
      </w:r>
      <w:r w:rsidRPr="007F6E1B">
        <w:rPr>
          <w:rStyle w:val="Hyperlink"/>
        </w:rPr>
        <w:t>Girls’ Attitude Survey 2023</w:t>
      </w:r>
      <w:r>
        <w:fldChar w:fldCharType="end"/>
      </w:r>
      <w:r>
        <w:t xml:space="preserve"> </w:t>
      </w:r>
    </w:p>
  </w:footnote>
  <w:footnote w:id="8">
    <w:p w:rsidR="00026B56">
      <w:pPr>
        <w:pStyle w:val="FootnoteText"/>
      </w:pPr>
      <w:r>
        <w:rPr>
          <w:rStyle w:val="FootnoteReference"/>
        </w:rPr>
        <w:footnoteRef/>
      </w:r>
      <w:r>
        <w:t xml:space="preserve"> Refuge (2021) </w:t>
      </w:r>
      <w:r>
        <w:fldChar w:fldCharType="begin"/>
      </w:r>
      <w:r>
        <w:instrText xml:space="preserve"> HYPERLINK "https://www.bing.com/ck/a?!&amp;&amp;p=345724444f5aef1ebbbab13891830e77141b937004661fce2d3ad75c90509962JmltdHM9MTc3ODQ1NzYwMA&amp;ptn=3&amp;ver=2&amp;hsh=4&amp;fclid=3649244d-5c14-6308-38e4-32175d316215&amp;psq=online+abuse+is+twice+as+common+among+young+women%2c+with+62%25+experiencing+it+refuge&amp;u=a1aHR0cHM6Ly9yZWZ1Z2Uub3JnLnVrL2ludGVybmF0aW9uYWwtaW50ZXJuZXQtZGF5LXJlZnVnZS11bnNvY2lhbC1zcGFjZXMtcmVwb3J0Lw" </w:instrText>
      </w:r>
      <w:r>
        <w:fldChar w:fldCharType="separate"/>
      </w:r>
      <w:r w:rsidRPr="00B119DB">
        <w:rPr>
          <w:rStyle w:val="Hyperlink"/>
        </w:rPr>
        <w:t>Unsocial Spaces</w:t>
      </w:r>
      <w:r>
        <w:fldChar w:fldCharType="end"/>
      </w:r>
      <w:r>
        <w:t xml:space="preserve"> </w:t>
      </w:r>
    </w:p>
  </w:footnote>
  <w:footnote w:id="9">
    <w:p w:rsidR="00026B56">
      <w:pPr>
        <w:pStyle w:val="FootnoteText"/>
      </w:pPr>
      <w:r>
        <w:rPr>
          <w:rStyle w:val="FootnoteReference"/>
        </w:rPr>
        <w:footnoteRef/>
      </w:r>
      <w:r>
        <w:t xml:space="preserve"> Advance (202</w:t>
      </w:r>
      <w:r>
        <w:t>6</w:t>
      </w:r>
      <w:r>
        <w:t xml:space="preserve">) </w:t>
      </w:r>
      <w:r>
        <w:fldChar w:fldCharType="begin"/>
      </w:r>
      <w:r>
        <w:instrText xml:space="preserve"> HYPERLINK "https://www.advancecharity.org.uk/who-we-are/our-impact/" </w:instrText>
      </w:r>
      <w:r>
        <w:fldChar w:fldCharType="separate"/>
      </w:r>
      <w:r w:rsidRPr="007A3B20">
        <w:rPr>
          <w:rStyle w:val="Hyperlink"/>
        </w:rPr>
        <w:t xml:space="preserve">Advance Annual Report </w:t>
      </w:r>
      <w:r w:rsidRPr="007A3B20">
        <w:rPr>
          <w:rStyle w:val="Hyperlink"/>
        </w:rPr>
        <w:t>2025</w:t>
      </w:r>
      <w:r>
        <w:fldChar w:fldCharType="end"/>
      </w:r>
    </w:p>
  </w:footnote>
  <w:footnote w:id="10">
    <w:p w:rsidR="00026B56">
      <w:pPr>
        <w:pStyle w:val="FootnoteText"/>
      </w:pPr>
      <w:r>
        <w:rPr>
          <w:rStyle w:val="FootnoteReference"/>
        </w:rPr>
        <w:footnoteRef/>
      </w:r>
      <w:r>
        <w:t xml:space="preserve"> </w:t>
      </w:r>
      <w:r w:rsidRPr="000B42C7">
        <w:t>NHSE</w:t>
      </w:r>
      <w:r>
        <w:t xml:space="preserve"> (2025) </w:t>
      </w:r>
      <w:r>
        <w:fldChar w:fldCharType="begin"/>
      </w:r>
      <w:r>
        <w:instrText xml:space="preserve"> HYPERLINK "https://digital.nhs.uk/data-and-information/publications/statistical/adult-psychiatric-morbidity-survey/survey-of-mental-health-and-wellbeing-england-2023-24" \t "_blank" </w:instrText>
      </w:r>
      <w:r>
        <w:fldChar w:fldCharType="separate"/>
      </w:r>
      <w:r w:rsidRPr="000B42C7">
        <w:rPr>
          <w:rStyle w:val="Hyperlink"/>
        </w:rPr>
        <w:t>Adult Psychiatric Morbidity Survey 2023/4</w:t>
      </w:r>
      <w:r>
        <w:fldChar w:fldCharType="end"/>
      </w:r>
    </w:p>
  </w:footnote>
  <w:footnote w:id="11">
    <w:p w:rsidR="00026B56">
      <w:pPr>
        <w:pStyle w:val="FootnoteText"/>
      </w:pPr>
      <w:r>
        <w:rPr>
          <w:rStyle w:val="FootnoteReference"/>
        </w:rPr>
        <w:footnoteRef/>
      </w:r>
      <w:r>
        <w:t xml:space="preserve"> </w:t>
      </w:r>
      <w:r w:rsidRPr="00A002F0">
        <w:t>Department for Education (2025) </w:t>
      </w:r>
      <w:r>
        <w:fldChar w:fldCharType="begin"/>
      </w:r>
      <w:r>
        <w:instrText xml:space="preserve"> HYPERLINK "https://explore-education-statistics.service.gov.uk/find-statistics/special-educational-needs-in-england/2024-25" \t "_blank" </w:instrText>
      </w:r>
      <w:r>
        <w:fldChar w:fldCharType="separate"/>
      </w:r>
      <w:r w:rsidRPr="00A002F0">
        <w:rPr>
          <w:rStyle w:val="Hyperlink"/>
        </w:rPr>
        <w:t>Special educational needs in England</w:t>
      </w:r>
      <w:r>
        <w:fldChar w:fldCharType="end"/>
      </w:r>
      <w:r w:rsidRPr="00A002F0">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C51722"/>
    <w:multiLevelType w:val="hybridMultilevel"/>
    <w:tmpl w:val="66BC97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477508"/>
    <w:multiLevelType w:val="multilevel"/>
    <w:tmpl w:val="F34C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D6477"/>
    <w:multiLevelType w:val="multilevel"/>
    <w:tmpl w:val="D622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378FA"/>
    <w:multiLevelType w:val="multilevel"/>
    <w:tmpl w:val="DF7E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AA1C70"/>
    <w:multiLevelType w:val="multilevel"/>
    <w:tmpl w:val="673E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BF78AA"/>
    <w:multiLevelType w:val="multilevel"/>
    <w:tmpl w:val="B718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4862D2"/>
    <w:multiLevelType w:val="hybridMultilevel"/>
    <w:tmpl w:val="C7884EAE"/>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7">
    <w:nsid w:val="2DD03852"/>
    <w:multiLevelType w:val="multilevel"/>
    <w:tmpl w:val="9ED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180AA8"/>
    <w:multiLevelType w:val="multilevel"/>
    <w:tmpl w:val="FC54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084761"/>
    <w:multiLevelType w:val="multilevel"/>
    <w:tmpl w:val="39C2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3F74E5"/>
    <w:multiLevelType w:val="multilevel"/>
    <w:tmpl w:val="7338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EC0228"/>
    <w:multiLevelType w:val="multilevel"/>
    <w:tmpl w:val="F444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5F2D5E"/>
    <w:multiLevelType w:val="multilevel"/>
    <w:tmpl w:val="6A14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D300E4"/>
    <w:multiLevelType w:val="multilevel"/>
    <w:tmpl w:val="D6A2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747B5E"/>
    <w:multiLevelType w:val="multilevel"/>
    <w:tmpl w:val="4864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F17CBE"/>
    <w:multiLevelType w:val="multilevel"/>
    <w:tmpl w:val="9EC0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8702C8"/>
    <w:multiLevelType w:val="multilevel"/>
    <w:tmpl w:val="CFC4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796AB0"/>
    <w:multiLevelType w:val="multilevel"/>
    <w:tmpl w:val="4B36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956AE9"/>
    <w:multiLevelType w:val="multilevel"/>
    <w:tmpl w:val="5850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4C19CC"/>
    <w:multiLevelType w:val="multilevel"/>
    <w:tmpl w:val="CB20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B039FC"/>
    <w:multiLevelType w:val="multilevel"/>
    <w:tmpl w:val="811C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732D0C"/>
    <w:multiLevelType w:val="multilevel"/>
    <w:tmpl w:val="B758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10"/>
  </w:num>
  <w:num w:numId="4">
    <w:abstractNumId w:val="0"/>
  </w:num>
  <w:num w:numId="5">
    <w:abstractNumId w:val="4"/>
  </w:num>
  <w:num w:numId="6">
    <w:abstractNumId w:val="16"/>
  </w:num>
  <w:num w:numId="7">
    <w:abstractNumId w:val="20"/>
  </w:num>
  <w:num w:numId="8">
    <w:abstractNumId w:val="5"/>
  </w:num>
  <w:num w:numId="9">
    <w:abstractNumId w:val="3"/>
  </w:num>
  <w:num w:numId="10">
    <w:abstractNumId w:val="21"/>
  </w:num>
  <w:num w:numId="11">
    <w:abstractNumId w:val="15"/>
  </w:num>
  <w:num w:numId="12">
    <w:abstractNumId w:val="1"/>
  </w:num>
  <w:num w:numId="13">
    <w:abstractNumId w:val="8"/>
  </w:num>
  <w:num w:numId="14">
    <w:abstractNumId w:val="11"/>
  </w:num>
  <w:num w:numId="15">
    <w:abstractNumId w:val="12"/>
  </w:num>
  <w:num w:numId="16">
    <w:abstractNumId w:val="18"/>
  </w:num>
  <w:num w:numId="17">
    <w:abstractNumId w:val="14"/>
  </w:num>
  <w:num w:numId="18">
    <w:abstractNumId w:val="9"/>
  </w:num>
  <w:num w:numId="19">
    <w:abstractNumId w:val="17"/>
  </w:num>
  <w:num w:numId="20">
    <w:abstractNumId w:val="7"/>
  </w:num>
  <w:num w:numId="21">
    <w:abstractNumId w:val="1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80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0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0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80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D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D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D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D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0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0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80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D39"/>
    <w:rPr>
      <w:rFonts w:eastAsiaTheme="majorEastAsia" w:cstheme="majorBidi"/>
      <w:color w:val="272727" w:themeColor="text1" w:themeTint="D8"/>
    </w:rPr>
  </w:style>
  <w:style w:type="paragraph" w:styleId="Title">
    <w:name w:val="Title"/>
    <w:basedOn w:val="Normal"/>
    <w:next w:val="Normal"/>
    <w:link w:val="TitleChar"/>
    <w:uiPriority w:val="10"/>
    <w:qFormat/>
    <w:rsid w:val="00080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D39"/>
    <w:pPr>
      <w:spacing w:before="160"/>
      <w:jc w:val="center"/>
    </w:pPr>
    <w:rPr>
      <w:i/>
      <w:iCs/>
      <w:color w:val="404040" w:themeColor="text1" w:themeTint="BF"/>
    </w:rPr>
  </w:style>
  <w:style w:type="character" w:customStyle="1" w:styleId="QuoteChar">
    <w:name w:val="Quote Char"/>
    <w:basedOn w:val="DefaultParagraphFont"/>
    <w:link w:val="Quote"/>
    <w:uiPriority w:val="29"/>
    <w:rsid w:val="00080D39"/>
    <w:rPr>
      <w:i/>
      <w:iCs/>
      <w:color w:val="404040" w:themeColor="text1" w:themeTint="BF"/>
    </w:rPr>
  </w:style>
  <w:style w:type="paragraph" w:styleId="ListParagraph">
    <w:name w:val="List Paragraph"/>
    <w:basedOn w:val="Normal"/>
    <w:uiPriority w:val="34"/>
    <w:qFormat/>
    <w:rsid w:val="00080D39"/>
    <w:pPr>
      <w:ind w:left="720"/>
      <w:contextualSpacing/>
    </w:pPr>
  </w:style>
  <w:style w:type="character" w:styleId="IntenseEmphasis">
    <w:name w:val="Intense Emphasis"/>
    <w:basedOn w:val="DefaultParagraphFont"/>
    <w:uiPriority w:val="21"/>
    <w:qFormat/>
    <w:rsid w:val="00080D39"/>
    <w:rPr>
      <w:i/>
      <w:iCs/>
      <w:color w:val="0F4761" w:themeColor="accent1" w:themeShade="BF"/>
    </w:rPr>
  </w:style>
  <w:style w:type="paragraph" w:styleId="IntenseQuote">
    <w:name w:val="Intense Quote"/>
    <w:basedOn w:val="Normal"/>
    <w:next w:val="Normal"/>
    <w:link w:val="IntenseQuoteChar"/>
    <w:uiPriority w:val="30"/>
    <w:qFormat/>
    <w:rsid w:val="00080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D39"/>
    <w:rPr>
      <w:i/>
      <w:iCs/>
      <w:color w:val="0F4761" w:themeColor="accent1" w:themeShade="BF"/>
    </w:rPr>
  </w:style>
  <w:style w:type="character" w:styleId="IntenseReference">
    <w:name w:val="Intense Reference"/>
    <w:basedOn w:val="DefaultParagraphFont"/>
    <w:uiPriority w:val="32"/>
    <w:qFormat/>
    <w:rsid w:val="00080D39"/>
    <w:rPr>
      <w:b/>
      <w:bCs/>
      <w:smallCaps/>
      <w:color w:val="0F4761" w:themeColor="accent1" w:themeShade="BF"/>
      <w:spacing w:val="5"/>
    </w:rPr>
  </w:style>
  <w:style w:type="character" w:styleId="CommentReference">
    <w:name w:val="annotation reference"/>
    <w:basedOn w:val="DefaultParagraphFont"/>
    <w:uiPriority w:val="99"/>
    <w:semiHidden/>
    <w:unhideWhenUsed/>
    <w:rsid w:val="00EE573F"/>
    <w:rPr>
      <w:sz w:val="16"/>
      <w:szCs w:val="16"/>
    </w:rPr>
  </w:style>
  <w:style w:type="paragraph" w:styleId="CommentText">
    <w:name w:val="annotation text"/>
    <w:basedOn w:val="Normal"/>
    <w:link w:val="CommentTextChar"/>
    <w:uiPriority w:val="99"/>
    <w:unhideWhenUsed/>
    <w:rsid w:val="00EE573F"/>
    <w:pPr>
      <w:spacing w:line="240" w:lineRule="auto"/>
    </w:pPr>
    <w:rPr>
      <w:sz w:val="20"/>
      <w:szCs w:val="20"/>
    </w:rPr>
  </w:style>
  <w:style w:type="character" w:customStyle="1" w:styleId="CommentTextChar">
    <w:name w:val="Comment Text Char"/>
    <w:basedOn w:val="DefaultParagraphFont"/>
    <w:link w:val="CommentText"/>
    <w:uiPriority w:val="99"/>
    <w:rsid w:val="00EE573F"/>
    <w:rPr>
      <w:sz w:val="20"/>
      <w:szCs w:val="20"/>
    </w:rPr>
  </w:style>
  <w:style w:type="paragraph" w:styleId="CommentSubject">
    <w:name w:val="annotation subject"/>
    <w:basedOn w:val="CommentText"/>
    <w:next w:val="CommentText"/>
    <w:link w:val="CommentSubjectChar"/>
    <w:uiPriority w:val="99"/>
    <w:semiHidden/>
    <w:unhideWhenUsed/>
    <w:rsid w:val="00EE573F"/>
    <w:rPr>
      <w:b/>
      <w:bCs/>
    </w:rPr>
  </w:style>
  <w:style w:type="character" w:customStyle="1" w:styleId="CommentSubjectChar">
    <w:name w:val="Comment Subject Char"/>
    <w:basedOn w:val="CommentTextChar"/>
    <w:link w:val="CommentSubject"/>
    <w:uiPriority w:val="99"/>
    <w:semiHidden/>
    <w:rsid w:val="00EE573F"/>
    <w:rPr>
      <w:b/>
      <w:bCs/>
      <w:sz w:val="20"/>
      <w:szCs w:val="20"/>
    </w:rPr>
  </w:style>
  <w:style w:type="paragraph" w:styleId="Revision">
    <w:name w:val="Revision"/>
    <w:hidden/>
    <w:uiPriority w:val="99"/>
    <w:semiHidden/>
    <w:rsid w:val="001618B2"/>
    <w:pPr>
      <w:spacing w:after="0" w:line="240" w:lineRule="auto"/>
    </w:pPr>
  </w:style>
  <w:style w:type="paragraph" w:styleId="FootnoteText">
    <w:name w:val="footnote text"/>
    <w:basedOn w:val="Normal"/>
    <w:link w:val="FootnoteTextChar"/>
    <w:uiPriority w:val="99"/>
    <w:semiHidden/>
    <w:unhideWhenUsed/>
    <w:rsid w:val="002F1C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C93"/>
    <w:rPr>
      <w:sz w:val="20"/>
      <w:szCs w:val="20"/>
    </w:rPr>
  </w:style>
  <w:style w:type="character" w:styleId="FootnoteReference">
    <w:name w:val="footnote reference"/>
    <w:basedOn w:val="DefaultParagraphFont"/>
    <w:uiPriority w:val="99"/>
    <w:semiHidden/>
    <w:unhideWhenUsed/>
    <w:rsid w:val="002F1C93"/>
    <w:rPr>
      <w:vertAlign w:val="superscript"/>
    </w:rPr>
  </w:style>
  <w:style w:type="character" w:styleId="Hyperlink">
    <w:name w:val="Hyperlink"/>
    <w:basedOn w:val="DefaultParagraphFont"/>
    <w:uiPriority w:val="99"/>
    <w:unhideWhenUsed/>
    <w:rsid w:val="002F1C93"/>
    <w:rPr>
      <w:color w:val="467886" w:themeColor="hyperlink"/>
      <w:u w:val="single"/>
    </w:rPr>
  </w:style>
  <w:style w:type="character" w:customStyle="1" w:styleId="UnresolvedMention1">
    <w:name w:val="Unresolved Mention1"/>
    <w:basedOn w:val="DefaultParagraphFont"/>
    <w:uiPriority w:val="99"/>
    <w:semiHidden/>
    <w:unhideWhenUsed/>
    <w:rsid w:val="002F1C93"/>
    <w:rPr>
      <w:color w:val="605E5C"/>
      <w:shd w:val="clear" w:color="auto" w:fill="E1DFDD"/>
    </w:rPr>
  </w:style>
  <w:style w:type="paragraph" w:styleId="NormalWeb">
    <w:name w:val="Normal (Web)"/>
    <w:basedOn w:val="Normal"/>
    <w:uiPriority w:val="99"/>
    <w:semiHidden/>
    <w:unhideWhenUsed/>
    <w:rsid w:val="004F5F32"/>
    <w:rPr>
      <w:rFonts w:ascii="Times New Roman" w:hAnsi="Times New Roman" w:cs="Times New Roman"/>
    </w:rPr>
  </w:style>
  <w:style w:type="character" w:styleId="FollowedHyperlink">
    <w:name w:val="FollowedHyperlink"/>
    <w:basedOn w:val="DefaultParagraphFont"/>
    <w:uiPriority w:val="99"/>
    <w:semiHidden/>
    <w:unhideWhenUsed/>
    <w:rsid w:val="00254198"/>
    <w:rPr>
      <w:color w:val="96607D" w:themeColor="followedHyperlink"/>
      <w:u w:val="single"/>
    </w:rPr>
  </w:style>
  <w:style w:type="paragraph" w:styleId="Header">
    <w:name w:val="header"/>
    <w:basedOn w:val="Normal"/>
    <w:link w:val="HeaderChar"/>
    <w:uiPriority w:val="99"/>
    <w:unhideWhenUsed/>
    <w:rsid w:val="00121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11BE"/>
  </w:style>
  <w:style w:type="paragraph" w:styleId="Footer">
    <w:name w:val="footer"/>
    <w:basedOn w:val="Normal"/>
    <w:link w:val="FooterChar"/>
    <w:uiPriority w:val="99"/>
    <w:unhideWhenUsed/>
    <w:rsid w:val="00121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TRN0066</dc:title>
  <cp:revision>0</cp:revision>
</cp:coreProperties>
</file>