
<file path=[Content_Types].xml><?xml version="1.0" encoding="utf-8"?>
<Types xmlns="http://schemas.openxmlformats.org/package/2006/content-types">
  <Default Extension="rels" ContentType="application/vnd.openxmlformats-package.relationships+xml"/>
  <Default Extension="xml" ContentType="application/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20/02/relationships/classificationlabels" Target="docMetadata/LabelInfo.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DC6460" w:rsidRPr="00DC6460" w:rsidP="00DD499D">
      <w:pPr>
        <w:adjustRightInd w:val="0"/>
        <w:snapToGrid w:val="0"/>
        <w:spacing w:after="120" w:line="240" w:lineRule="auto"/>
        <w:rPr>
          <w:rFonts w:ascii="Calibri" w:hAnsi="Calibri" w:cs="Calibri"/>
          <w:b/>
          <w:bCs/>
          <w:sz w:val="28"/>
          <w:szCs w:val="28"/>
        </w:rPr>
      </w:pPr>
    </w:p>
    <w:p w:rsidR="00DC6460" w:rsidRPr="00DC6460" w:rsidP="00DD499D">
      <w:pPr>
        <w:adjustRightInd w:val="0"/>
        <w:snapToGrid w:val="0"/>
        <w:spacing w:after="120" w:line="240" w:lineRule="auto"/>
        <w:rPr>
          <w:rFonts w:ascii="Calibri" w:hAnsi="Calibri" w:cs="Calibri"/>
          <w:b/>
          <w:bCs/>
          <w:sz w:val="28"/>
          <w:szCs w:val="28"/>
        </w:rPr>
      </w:pPr>
    </w:p>
    <w:p w:rsidR="00DC6460" w:rsidRPr="00DC6460" w:rsidP="00DC6460">
      <w:pPr>
        <w:adjustRightInd w:val="0"/>
        <w:snapToGrid w:val="0"/>
        <w:spacing w:after="240" w:line="240" w:lineRule="auto"/>
        <w:jc w:val="center"/>
        <w:rPr>
          <w:rFonts w:ascii="Calibri" w:hAnsi="Calibri" w:cs="Calibri"/>
          <w:b/>
          <w:bCs/>
          <w:sz w:val="28"/>
          <w:szCs w:val="28"/>
        </w:rPr>
      </w:pPr>
      <w:r w:rsidRPr="00DC6460">
        <w:rPr>
          <w:rFonts w:ascii="Calibri" w:hAnsi="Calibri" w:cs="Calibri"/>
          <w:b/>
          <w:bCs/>
          <w:sz w:val="28"/>
          <w:szCs w:val="28"/>
        </w:rPr>
        <w:t>Written Evidence submitted by Institute of Psychiatry, Psychology &amp; Neuroscience, King’s College London (TRN00</w:t>
      </w:r>
      <w:r w:rsidRPr="00DC6460">
        <w:rPr>
          <w:rFonts w:ascii="Calibri" w:hAnsi="Calibri" w:cs="Calibri"/>
          <w:b/>
          <w:bCs/>
          <w:sz w:val="28"/>
          <w:szCs w:val="28"/>
        </w:rPr>
        <w:t>60</w:t>
      </w:r>
      <w:r w:rsidRPr="00DC6460">
        <w:rPr>
          <w:rFonts w:ascii="Calibri" w:hAnsi="Calibri" w:cs="Calibri"/>
          <w:b/>
          <w:bCs/>
          <w:sz w:val="28"/>
          <w:szCs w:val="28"/>
        </w:rPr>
        <w:t>)</w:t>
      </w:r>
    </w:p>
    <w:p w:rsidR="00AB2823" w:rsidRPr="00DC6460" w:rsidP="006671AF">
      <w:pPr>
        <w:adjustRightInd w:val="0"/>
        <w:snapToGrid w:val="0"/>
        <w:spacing w:after="240" w:line="240" w:lineRule="auto"/>
        <w:rPr>
          <w:rFonts w:ascii="Calibri" w:hAnsi="Calibri" w:cs="Calibri"/>
        </w:rPr>
      </w:pPr>
    </w:p>
    <w:p w:rsidR="00AB2823" w:rsidRPr="00DC6460" w:rsidP="1B40A76E">
      <w:pPr>
        <w:spacing w:after="240" w:line="240" w:lineRule="auto"/>
        <w:rPr>
          <w:rFonts w:ascii="Calibri" w:hAnsi="Calibri" w:cs="Calibri"/>
        </w:rPr>
      </w:pPr>
      <w:r w:rsidRPr="00DC6460">
        <w:rPr>
          <w:rFonts w:ascii="Calibri" w:hAnsi="Calibri" w:cs="Calibri"/>
          <w:b/>
          <w:bCs/>
        </w:rPr>
        <w:t>Executive Summary</w:t>
      </w:r>
    </w:p>
    <w:p w:rsidR="00AB2823" w:rsidRPr="00DC6460" w:rsidP="6D513EB5">
      <w:pPr>
        <w:spacing w:after="240" w:line="240" w:lineRule="auto"/>
        <w:rPr>
          <w:rFonts w:ascii="Calibri" w:hAnsi="Calibri" w:cs="Calibri"/>
          <w:b/>
          <w:bCs/>
        </w:rPr>
      </w:pPr>
      <w:r w:rsidRPr="00DC6460">
        <w:rPr>
          <w:rFonts w:ascii="Calibri" w:hAnsi="Calibri" w:cs="Calibri"/>
          <w:bCs/>
        </w:rPr>
        <w:t xml:space="preserve">The focus </w:t>
      </w:r>
      <w:r w:rsidRPr="00DC6460">
        <w:rPr>
          <w:rFonts w:ascii="Calibri" w:hAnsi="Calibri" w:cs="Calibri"/>
          <w:bCs/>
        </w:rPr>
        <w:t>of</w:t>
      </w:r>
      <w:r w:rsidRPr="00DC6460">
        <w:rPr>
          <w:rFonts w:ascii="Calibri" w:hAnsi="Calibri" w:cs="Calibri"/>
        </w:rPr>
        <w:t xml:space="preserve"> this </w:t>
      </w:r>
      <w:r w:rsidRPr="00DC6460">
        <w:rPr>
          <w:rFonts w:ascii="Calibri" w:hAnsi="Calibri" w:cs="Calibri"/>
        </w:rPr>
        <w:t xml:space="preserve">submission </w:t>
      </w:r>
      <w:r w:rsidRPr="00DC6460">
        <w:rPr>
          <w:rFonts w:ascii="Calibri" w:hAnsi="Calibri" w:cs="Calibri"/>
        </w:rPr>
        <w:t xml:space="preserve">is </w:t>
      </w:r>
      <w:r w:rsidRPr="00DC6460">
        <w:rPr>
          <w:rFonts w:ascii="Calibri" w:hAnsi="Calibri" w:cs="Calibri"/>
        </w:rPr>
        <w:t>on</w:t>
      </w:r>
      <w:r w:rsidRPr="00DC6460">
        <w:rPr>
          <w:rFonts w:ascii="Calibri" w:hAnsi="Calibri" w:cs="Calibri"/>
        </w:rPr>
        <w:t xml:space="preserve"> </w:t>
      </w:r>
      <w:r w:rsidRPr="00DC6460">
        <w:rPr>
          <w:rFonts w:ascii="Calibri" w:hAnsi="Calibri" w:cs="Calibri"/>
        </w:rPr>
        <w:t>the</w:t>
      </w:r>
      <w:r w:rsidRPr="00DC6460">
        <w:rPr>
          <w:rFonts w:ascii="Calibri" w:hAnsi="Calibri" w:cs="Calibri"/>
        </w:rPr>
        <w:t xml:space="preserve"> </w:t>
      </w:r>
      <w:r w:rsidRPr="00DC6460">
        <w:rPr>
          <w:rFonts w:ascii="Calibri" w:hAnsi="Calibri" w:cs="Calibri"/>
        </w:rPr>
        <w:t xml:space="preserve">importance </w:t>
      </w:r>
      <w:r w:rsidRPr="00DC6460">
        <w:rPr>
          <w:rFonts w:ascii="Calibri" w:hAnsi="Calibri" w:cs="Calibri"/>
        </w:rPr>
        <w:t xml:space="preserve">of </w:t>
      </w:r>
      <w:r w:rsidRPr="00DC6460">
        <w:rPr>
          <w:rFonts w:ascii="Calibri" w:hAnsi="Calibri" w:cs="Calibri"/>
        </w:rPr>
        <w:t xml:space="preserve">assessing </w:t>
      </w:r>
      <w:r w:rsidRPr="00DC6460">
        <w:rPr>
          <w:rFonts w:ascii="Calibri" w:hAnsi="Calibri" w:cs="Calibri"/>
        </w:rPr>
        <w:t>young</w:t>
      </w:r>
      <w:r w:rsidRPr="00DC6460">
        <w:rPr>
          <w:rFonts w:ascii="Calibri" w:hAnsi="Calibri" w:cs="Calibri"/>
        </w:rPr>
        <w:t xml:space="preserve"> </w:t>
      </w:r>
      <w:r w:rsidRPr="00DC6460">
        <w:rPr>
          <w:rFonts w:ascii="Calibri" w:hAnsi="Calibri" w:cs="Calibri"/>
        </w:rPr>
        <w:t>people’s</w:t>
      </w:r>
      <w:r w:rsidRPr="00DC6460">
        <w:rPr>
          <w:rFonts w:ascii="Calibri" w:hAnsi="Calibri" w:cs="Calibri"/>
        </w:rPr>
        <w:t xml:space="preserve"> </w:t>
      </w:r>
      <w:r w:rsidRPr="00DC6460">
        <w:rPr>
          <w:rFonts w:ascii="Calibri" w:hAnsi="Calibri" w:cs="Calibri"/>
        </w:rPr>
        <w:t>decision-making ability</w:t>
      </w:r>
      <w:r w:rsidRPr="00DC6460">
        <w:rPr>
          <w:rFonts w:ascii="Calibri" w:hAnsi="Calibri" w:cs="Calibri"/>
        </w:rPr>
        <w:t xml:space="preserve"> in</w:t>
      </w:r>
      <w:r w:rsidRPr="00DC6460">
        <w:rPr>
          <w:rFonts w:ascii="Calibri" w:hAnsi="Calibri" w:cs="Calibri"/>
        </w:rPr>
        <w:t xml:space="preserve"> </w:t>
      </w:r>
      <w:r w:rsidRPr="00DC6460">
        <w:rPr>
          <w:rFonts w:ascii="Calibri" w:hAnsi="Calibri" w:cs="Calibri"/>
        </w:rPr>
        <w:t xml:space="preserve">the </w:t>
      </w:r>
      <w:r w:rsidRPr="00DC6460">
        <w:rPr>
          <w:rFonts w:ascii="Calibri" w:hAnsi="Calibri" w:cs="Calibri"/>
        </w:rPr>
        <w:t xml:space="preserve">transition </w:t>
      </w:r>
      <w:r w:rsidRPr="00DC6460">
        <w:rPr>
          <w:rFonts w:ascii="Calibri" w:hAnsi="Calibri" w:cs="Calibri"/>
        </w:rPr>
        <w:t xml:space="preserve">from child to </w:t>
      </w:r>
      <w:r w:rsidRPr="00DC6460">
        <w:rPr>
          <w:rFonts w:ascii="Calibri" w:hAnsi="Calibri" w:cs="Calibri"/>
        </w:rPr>
        <w:t xml:space="preserve">adult </w:t>
      </w:r>
      <w:r w:rsidRPr="00DC6460">
        <w:rPr>
          <w:rFonts w:ascii="Calibri" w:hAnsi="Calibri" w:cs="Calibri"/>
        </w:rPr>
        <w:t>health</w:t>
      </w:r>
      <w:r w:rsidRPr="00DC6460">
        <w:rPr>
          <w:rFonts w:ascii="Calibri" w:hAnsi="Calibri" w:cs="Calibri"/>
        </w:rPr>
        <w:t xml:space="preserve"> and </w:t>
      </w:r>
      <w:r w:rsidRPr="00DC6460">
        <w:rPr>
          <w:rFonts w:ascii="Calibri" w:hAnsi="Calibri" w:cs="Calibri"/>
        </w:rPr>
        <w:t>social care</w:t>
      </w:r>
      <w:r w:rsidRPr="00DC6460">
        <w:rPr>
          <w:rFonts w:ascii="Calibri" w:hAnsi="Calibri" w:cs="Calibri"/>
        </w:rPr>
        <w:t xml:space="preserve"> services.</w:t>
      </w:r>
    </w:p>
    <w:p w:rsidR="00AB2823" w:rsidRPr="00DC6460" w:rsidP="00663CA9">
      <w:pPr>
        <w:autoSpaceDE w:val="0"/>
        <w:autoSpaceDN w:val="0"/>
        <w:adjustRightInd w:val="0"/>
        <w:spacing w:after="0" w:line="240" w:lineRule="auto"/>
        <w:rPr>
          <w:rFonts w:ascii="Calibri" w:hAnsi="Calibri" w:cs="Calibri"/>
          <w:kern w:val="0"/>
        </w:rPr>
      </w:pPr>
      <w:r w:rsidRPr="00DC6460">
        <w:rPr>
          <w:rFonts w:ascii="Calibri" w:hAnsi="Calibri" w:cs="Calibri"/>
          <w:kern w:val="0"/>
        </w:rPr>
        <w:t xml:space="preserve">Three </w:t>
      </w:r>
      <w:r w:rsidRPr="00DC6460">
        <w:rPr>
          <w:rFonts w:ascii="Calibri" w:hAnsi="Calibri" w:cs="Calibri"/>
          <w:kern w:val="0"/>
        </w:rPr>
        <w:t>recommendations</w:t>
      </w:r>
      <w:r w:rsidRPr="00DC6460">
        <w:rPr>
          <w:rFonts w:ascii="Calibri" w:hAnsi="Calibri" w:cs="Calibri"/>
          <w:kern w:val="0"/>
        </w:rPr>
        <w:t xml:space="preserve"> are made to the Committee. </w:t>
      </w:r>
      <w:r w:rsidRPr="00DC6460">
        <w:rPr>
          <w:rFonts w:ascii="Calibri" w:hAnsi="Calibri" w:cs="Calibri"/>
          <w:kern w:val="0"/>
        </w:rPr>
        <w:t>Two address translation gaps in current transition</w:t>
      </w:r>
      <w:r w:rsidRPr="00DC6460">
        <w:rPr>
          <w:rFonts w:ascii="Calibri" w:hAnsi="Calibri" w:cs="Calibri"/>
          <w:kern w:val="0"/>
        </w:rPr>
        <w:t>: the legal basis on which any given decision rests should be made as explicit in</w:t>
      </w:r>
      <w:r w:rsidRPr="00DC6460">
        <w:rPr>
          <w:rFonts w:ascii="Calibri" w:hAnsi="Calibri" w:cs="Calibri"/>
          <w:kern w:val="0"/>
        </w:rPr>
        <w:t xml:space="preserve"> </w:t>
      </w:r>
      <w:r w:rsidRPr="00DC6460">
        <w:rPr>
          <w:rFonts w:ascii="Calibri" w:hAnsi="Calibri" w:cs="Calibri"/>
          <w:kern w:val="0"/>
        </w:rPr>
        <w:t xml:space="preserve">the transition plan as the decision itself, and frontline training should go further than framework selection toward giving staff a </w:t>
      </w:r>
      <w:r w:rsidRPr="00DC6460">
        <w:rPr>
          <w:rFonts w:ascii="Calibri" w:hAnsi="Calibri" w:cs="Calibri"/>
          <w:kern w:val="0"/>
        </w:rPr>
        <w:t xml:space="preserve">sound </w:t>
      </w:r>
      <w:r w:rsidRPr="00DC6460">
        <w:rPr>
          <w:rFonts w:ascii="Calibri" w:hAnsi="Calibri" w:cs="Calibri"/>
          <w:kern w:val="0"/>
        </w:rPr>
        <w:t xml:space="preserve">way of thinking about decision-making ability and assessing it in transition cases. The third, and most foundational, calls for an empirical research programme to ground future guidance in evidence about how decision-making is actually assessed: how the courts have interpreted young people's decision-making ability, and how clinicians </w:t>
      </w:r>
      <w:r w:rsidRPr="00DC6460">
        <w:rPr>
          <w:rFonts w:ascii="Calibri" w:hAnsi="Calibri" w:cs="Calibri"/>
          <w:kern w:val="0"/>
        </w:rPr>
        <w:t>do so in practice</w:t>
      </w:r>
      <w:r w:rsidRPr="00DC6460">
        <w:rPr>
          <w:rFonts w:ascii="Calibri" w:hAnsi="Calibri" w:cs="Calibri"/>
          <w:kern w:val="0"/>
        </w:rPr>
        <w:t xml:space="preserve">. Inspection by the </w:t>
      </w:r>
      <w:r w:rsidRPr="00DC6460">
        <w:rPr>
          <w:rFonts w:ascii="Calibri" w:hAnsi="Calibri" w:cs="Calibri"/>
          <w:kern w:val="0"/>
        </w:rPr>
        <w:t>Care Quality Commission</w:t>
      </w:r>
      <w:r w:rsidRPr="00DC6460">
        <w:rPr>
          <w:rFonts w:ascii="Calibri" w:hAnsi="Calibri" w:cs="Calibri"/>
          <w:kern w:val="0"/>
        </w:rPr>
        <w:t xml:space="preserve"> (</w:t>
      </w:r>
      <w:r w:rsidRPr="00DC6460">
        <w:rPr>
          <w:rFonts w:ascii="Calibri" w:hAnsi="Calibri" w:cs="Calibri"/>
        </w:rPr>
        <w:t>CQC)</w:t>
      </w:r>
      <w:r w:rsidRPr="00DC6460">
        <w:rPr>
          <w:rFonts w:ascii="Calibri" w:hAnsi="Calibri" w:cs="Calibri"/>
          <w:kern w:val="0"/>
        </w:rPr>
        <w:t>, national review by the National Confidential Enquiry into Patient Outcome and Death</w:t>
      </w:r>
      <w:r w:rsidRPr="00DC6460">
        <w:rPr>
          <w:rFonts w:ascii="Calibri" w:hAnsi="Calibri" w:cs="Calibri"/>
          <w:kern w:val="0"/>
        </w:rPr>
        <w:t xml:space="preserve"> (</w:t>
      </w:r>
      <w:r w:rsidRPr="00DC6460">
        <w:rPr>
          <w:rFonts w:ascii="Calibri" w:hAnsi="Calibri" w:cs="Calibri"/>
        </w:rPr>
        <w:t>NCEPOD)</w:t>
      </w:r>
      <w:r w:rsidRPr="00DC6460">
        <w:rPr>
          <w:rFonts w:ascii="Calibri" w:hAnsi="Calibri" w:cs="Calibri"/>
          <w:kern w:val="0"/>
        </w:rPr>
        <w:t>, and a clinician survey of the field describe the same pattern: the principles of current guidance are correct, but staff cannot reliably apply them with the legal precision that transition decisions require. Without an evidence base drawn from court and clinic, the first two recommendations will only formalise that translation gap rather than close it</w:t>
      </w:r>
      <w:r w:rsidRPr="00DC6460">
        <w:rPr>
          <w:rFonts w:ascii="Calibri" w:hAnsi="Calibri" w:cs="Calibri"/>
        </w:rPr>
        <w:t>.</w:t>
      </w:r>
    </w:p>
    <w:p w:rsidR="00AB2823" w:rsidRPr="00DC6460" w:rsidP="006671AF">
      <w:pPr>
        <w:adjustRightInd w:val="0"/>
        <w:snapToGrid w:val="0"/>
        <w:spacing w:after="240" w:line="240" w:lineRule="auto"/>
        <w:rPr>
          <w:rFonts w:ascii="Calibri" w:hAnsi="Calibri" w:cs="Calibri"/>
        </w:rPr>
      </w:pPr>
    </w:p>
    <w:p w:rsidR="00AB2823" w:rsidRPr="00DC6460" w:rsidP="006671AF">
      <w:pPr>
        <w:adjustRightInd w:val="0"/>
        <w:snapToGrid w:val="0"/>
        <w:spacing w:after="240" w:line="240" w:lineRule="auto"/>
        <w:rPr>
          <w:rFonts w:ascii="Calibri" w:hAnsi="Calibri" w:cs="Calibri"/>
          <w:b/>
          <w:bCs/>
        </w:rPr>
      </w:pPr>
      <w:r w:rsidRPr="00DC6460">
        <w:rPr>
          <w:rFonts w:ascii="Calibri" w:hAnsi="Calibri" w:cs="Calibri"/>
          <w:b/>
          <w:bCs/>
        </w:rPr>
        <w:t>Are the current guidelines for the involvement of individuals and their carers in the transition to adult services appropriate for the needs of young people and services?</w:t>
      </w:r>
    </w:p>
    <w:p w:rsidR="00AB2823" w:rsidRPr="00DC6460" w:rsidP="000F4C16">
      <w:pPr>
        <w:pStyle w:val="ListParagraph"/>
        <w:numPr>
          <w:ilvl w:val="0"/>
          <w:numId w:val="1"/>
        </w:numPr>
        <w:adjustRightInd w:val="0"/>
        <w:snapToGrid w:val="0"/>
        <w:spacing w:after="240" w:line="240" w:lineRule="auto"/>
        <w:ind w:left="448" w:hanging="448"/>
        <w:contextualSpacing w:val="0"/>
        <w:rPr>
          <w:rFonts w:ascii="Calibri" w:hAnsi="Calibri" w:cs="Calibri"/>
        </w:rPr>
      </w:pPr>
      <w:r w:rsidRPr="00DC6460">
        <w:rPr>
          <w:rFonts w:ascii="Calibri" w:hAnsi="Calibri" w:cs="Calibri"/>
        </w:rPr>
        <w:t>Current guidance is appropriate in aspiration but incomplete in operation. It rightly promotes young-person involvement, family or carer involvement where appropriate, accessible information and person-centred planning. The difficulty is that these principles do not answer the harder transition question: what is each person's role in this particular decision?</w:t>
      </w:r>
    </w:p>
    <w:p w:rsidR="00AB2823" w:rsidRPr="00DC6460" w:rsidP="000F4C16">
      <w:pPr>
        <w:pStyle w:val="ListParagraph"/>
        <w:numPr>
          <w:ilvl w:val="0"/>
          <w:numId w:val="1"/>
        </w:numPr>
        <w:adjustRightInd w:val="0"/>
        <w:snapToGrid w:val="0"/>
        <w:spacing w:after="240" w:line="240" w:lineRule="auto"/>
        <w:ind w:left="448" w:hanging="448"/>
        <w:contextualSpacing w:val="0"/>
        <w:rPr>
          <w:rFonts w:ascii="Calibri" w:hAnsi="Calibri" w:cs="Calibri"/>
        </w:rPr>
      </w:pPr>
      <w:r w:rsidRPr="00DC6460">
        <w:rPr>
          <w:rFonts w:ascii="Calibri" w:hAnsi="Calibri" w:cs="Calibri"/>
        </w:rPr>
        <w:t xml:space="preserve">Assessing the young person's </w:t>
      </w:r>
      <w:r w:rsidRPr="00DC6460">
        <w:rPr>
          <w:rFonts w:ascii="Calibri" w:hAnsi="Calibri" w:cs="Calibri"/>
        </w:rPr>
        <w:t>decision-making ability</w:t>
      </w:r>
      <w:r w:rsidRPr="00DC6460">
        <w:rPr>
          <w:rFonts w:ascii="Calibri" w:hAnsi="Calibri" w:cs="Calibri"/>
        </w:rPr>
        <w:t xml:space="preserve"> is central to that question. Without assessment, services risk several errors. They may exclude carers when the young person needs support, communication help, continuity or safeguarding input. They may also allow carers to replace the young person's own decision when the young person should decide, or when the carer's proper role is to support rather than substitute.</w:t>
      </w:r>
    </w:p>
    <w:p w:rsidR="00AB2823" w:rsidRPr="00DC6460" w:rsidP="000F4C16">
      <w:pPr>
        <w:pStyle w:val="ListParagraph"/>
        <w:numPr>
          <w:ilvl w:val="0"/>
          <w:numId w:val="1"/>
        </w:numPr>
        <w:adjustRightInd w:val="0"/>
        <w:snapToGrid w:val="0"/>
        <w:spacing w:after="240" w:line="240" w:lineRule="auto"/>
        <w:ind w:left="448" w:hanging="448"/>
        <w:contextualSpacing w:val="0"/>
        <w:rPr>
          <w:rFonts w:ascii="Calibri" w:hAnsi="Calibri" w:cs="Calibri"/>
        </w:rPr>
      </w:pPr>
      <w:r w:rsidRPr="00DC6460">
        <w:rPr>
          <w:rFonts w:ascii="Calibri" w:hAnsi="Calibri" w:cs="Calibri"/>
        </w:rPr>
        <w:t xml:space="preserve">This is especially important because transition does not begin on a birthday. </w:t>
      </w:r>
      <w:r w:rsidRPr="00DC6460">
        <w:rPr>
          <w:rFonts w:ascii="Calibri" w:hAnsi="Calibri" w:cs="Calibri"/>
        </w:rPr>
        <w:t>The</w:t>
      </w:r>
      <w:r w:rsidRPr="00DC6460">
        <w:rPr>
          <w:rFonts w:ascii="Calibri" w:hAnsi="Calibri" w:cs="Calibri"/>
        </w:rPr>
        <w:t xml:space="preserve"> </w:t>
      </w:r>
      <w:r w:rsidRPr="00DC6460">
        <w:rPr>
          <w:rFonts w:ascii="Calibri" w:hAnsi="Calibri" w:cs="Calibri"/>
        </w:rPr>
        <w:t>National Institute for Health and Care Excellence</w:t>
      </w:r>
      <w:r w:rsidRPr="00DC6460">
        <w:rPr>
          <w:rFonts w:ascii="Calibri" w:hAnsi="Calibri" w:cs="Calibri"/>
        </w:rPr>
        <w:t xml:space="preserve"> (NICE)</w:t>
      </w:r>
      <w:r w:rsidRPr="00DC6460">
        <w:rPr>
          <w:rFonts w:ascii="Calibri" w:hAnsi="Calibri" w:cs="Calibri"/>
        </w:rPr>
        <w:t xml:space="preserve"> describes transition as covering the period before, during and after the move from children's to adults' services, and expects planning to begin by </w:t>
      </w:r>
      <w:r w:rsidRPr="00DC6460">
        <w:rPr>
          <w:rFonts w:ascii="Calibri" w:hAnsi="Calibri" w:cs="Calibri"/>
        </w:rPr>
        <w:t>Y</w:t>
      </w:r>
      <w:r w:rsidRPr="00DC6460">
        <w:rPr>
          <w:rFonts w:ascii="Calibri" w:hAnsi="Calibri" w:cs="Calibri"/>
        </w:rPr>
        <w:t>ear 9 at the latest where relevant.</w:t>
      </w:r>
      <w:r w:rsidRPr="00DC6460">
        <w:rPr>
          <w:rFonts w:ascii="Calibri" w:hAnsi="Calibri" w:cs="Calibri"/>
        </w:rPr>
        <w:fldChar w:fldCharType="begin"/>
      </w:r>
      <w:r w:rsidRPr="00DC6460">
        <w:rPr>
          <w:rFonts w:ascii="Calibri" w:hAnsi="Calibri" w:cs="Calibri"/>
        </w:rPr>
        <w:instrText xml:space="preserve"> ADDIN ZOTERO_ITEM CSL_CITATION {"citationID":"amu1VWFV","properties":{"unsorted":false,"formattedCitation":"\\super 1\\nosupersub{}","plainCitation":"1","noteIndex":0},"citationItems":[{"id":8594,"uris":["http://zotero.org/users/4924067/items/4BEJGPKE"],"itemData":{"id":8594,"type":"document","citation-key":"zotero-item-8594","note":"NICE guideline NG43. Published 24 February 2016.","title":"Transition from children's to adults' services for young people using health or social care services","URL":"https:/</w:instrText>
      </w:r>
      <w:r w:rsidRPr="00DC6460">
        <w:rPr>
          <w:rFonts w:ascii="Calibri" w:hAnsi="Calibri" w:cs="Calibri"/>
        </w:rPr>
        <w:instrText xml:space="preserve">/www.nice.org.uk/guidance/ng43","author":[{"literal":"National Institute for Health and Care Excellence"}],"accessed":{"date-parts":[["2026",5,10]]},"issued":{"date-parts":[["2016",2,24]]}}}],"schema":"https://github.com/citation-style-language/schema/raw/master/csl-citation.json"} </w:instrText>
      </w:r>
      <w:r w:rsidRPr="00DC6460">
        <w:rPr>
          <w:rFonts w:ascii="Calibri" w:hAnsi="Calibri" w:cs="Calibri"/>
        </w:rPr>
        <w:fldChar w:fldCharType="separate"/>
      </w:r>
      <w:r w:rsidRPr="00DC6460">
        <w:rPr>
          <w:rFonts w:ascii="Calibri" w:hAnsi="Calibri" w:cs="Calibri"/>
          <w:kern w:val="0"/>
          <w:vertAlign w:val="superscript"/>
        </w:rPr>
        <w:t>1</w:t>
      </w:r>
      <w:r w:rsidRPr="00DC6460">
        <w:rPr>
          <w:rFonts w:ascii="Calibri" w:hAnsi="Calibri" w:cs="Calibri"/>
        </w:rPr>
        <w:fldChar w:fldCharType="end"/>
      </w:r>
      <w:r w:rsidRPr="00DC6460">
        <w:rPr>
          <w:rFonts w:ascii="Calibri" w:hAnsi="Calibri" w:cs="Calibri"/>
        </w:rPr>
        <w:t xml:space="preserve"> Gillick competence remains important because </w:t>
      </w:r>
      <w:r w:rsidRPr="00DC6460">
        <w:rPr>
          <w:rFonts w:ascii="Calibri" w:hAnsi="Calibri" w:cs="Calibri"/>
        </w:rPr>
        <w:t>many decisions about preparation, information-sharing, treatment engagement and carer involvement arise before the young person is 16.</w:t>
      </w:r>
    </w:p>
    <w:p w:rsidR="00AB2823" w:rsidRPr="00DC6460" w:rsidP="000F4C16">
      <w:pPr>
        <w:pStyle w:val="ListParagraph"/>
        <w:numPr>
          <w:ilvl w:val="0"/>
          <w:numId w:val="1"/>
        </w:numPr>
        <w:adjustRightInd w:val="0"/>
        <w:snapToGrid w:val="0"/>
        <w:spacing w:after="240" w:line="240" w:lineRule="auto"/>
        <w:ind w:left="448" w:hanging="448"/>
        <w:contextualSpacing w:val="0"/>
        <w:rPr>
          <w:rFonts w:ascii="Calibri" w:hAnsi="Calibri" w:cs="Calibri"/>
        </w:rPr>
      </w:pPr>
      <w:r w:rsidRPr="00DC6460">
        <w:rPr>
          <w:rFonts w:ascii="Calibri" w:hAnsi="Calibri" w:cs="Calibri"/>
        </w:rPr>
        <w:t xml:space="preserve">The current legal landscape is complicated by a dual framework that health and social care staff may struggle to navigate. Gillick competence applies to under-16s in </w:t>
      </w:r>
      <w:r w:rsidRPr="00DC6460">
        <w:rPr>
          <w:rFonts w:ascii="Calibri" w:hAnsi="Calibri" w:cs="Calibri"/>
        </w:rPr>
        <w:t>the medical-treatment consent and asks whether the child has sufficient maturity, intelligence and understanding for the decision.</w:t>
      </w:r>
      <w:r w:rsidRPr="00DC6460">
        <w:rPr>
          <w:rFonts w:ascii="Calibri" w:hAnsi="Calibri" w:cs="Calibri"/>
        </w:rPr>
        <w:fldChar w:fldCharType="begin"/>
      </w:r>
      <w:r w:rsidRPr="00DC6460">
        <w:rPr>
          <w:rFonts w:ascii="Calibri" w:hAnsi="Calibri" w:cs="Calibri"/>
        </w:rPr>
        <w:instrText xml:space="preserve"> ADDIN ZOTERO_ITEM CSL_CITATION {"citationID":"PWnl4FiF","properties":{"unsorted":false,"formattedCitation":"\\super 2\\nosupersub{}","plainCitation":"2","noteIndex":0},"citationItems":[{"id":736,"uris":["http://zotero.org/users/4924067/items/YTMUNNKN"],"itemData":{"id":736,"type":"legal_case","citation-key":"zotero-item-736","title":"Gillick v West Norfolk and Wisbech Health Authority [1986] AC 112","accessed":{"date-parts":[["2023",11,6]]}}}],"schema":"https://github.com/citation-style-language/schema/raw</w:instrText>
      </w:r>
      <w:r w:rsidRPr="00DC6460">
        <w:rPr>
          <w:rFonts w:ascii="Calibri" w:hAnsi="Calibri" w:cs="Calibri"/>
        </w:rPr>
        <w:instrText xml:space="preserve">/master/csl-citation.json"} </w:instrText>
      </w:r>
      <w:r w:rsidRPr="00DC6460">
        <w:rPr>
          <w:rFonts w:ascii="Calibri" w:hAnsi="Calibri" w:cs="Calibri"/>
        </w:rPr>
        <w:fldChar w:fldCharType="separate"/>
      </w:r>
      <w:r w:rsidRPr="00DC6460">
        <w:rPr>
          <w:rFonts w:ascii="Calibri" w:hAnsi="Calibri" w:cs="Calibri"/>
          <w:kern w:val="0"/>
          <w:vertAlign w:val="superscript"/>
        </w:rPr>
        <w:t>2</w:t>
      </w:r>
      <w:r w:rsidRPr="00DC6460">
        <w:rPr>
          <w:rFonts w:ascii="Calibri" w:hAnsi="Calibri" w:cs="Calibri"/>
        </w:rPr>
        <w:fldChar w:fldCharType="end"/>
      </w:r>
      <w:r w:rsidRPr="00DC6460">
        <w:rPr>
          <w:rFonts w:ascii="Calibri" w:hAnsi="Calibri" w:cs="Calibri"/>
        </w:rPr>
        <w:t xml:space="preserve"> The </w:t>
      </w:r>
      <w:r w:rsidRPr="00DC6460">
        <w:rPr>
          <w:rFonts w:ascii="Calibri" w:hAnsi="Calibri" w:cs="Calibri"/>
        </w:rPr>
        <w:t>Mental Capacity Act (</w:t>
      </w:r>
      <w:r w:rsidRPr="00DC6460">
        <w:rPr>
          <w:rFonts w:ascii="Calibri" w:hAnsi="Calibri" w:cs="Calibri"/>
        </w:rPr>
        <w:t>MCA</w:t>
      </w:r>
      <w:r w:rsidRPr="00DC6460">
        <w:rPr>
          <w:rFonts w:ascii="Calibri" w:hAnsi="Calibri" w:cs="Calibri"/>
        </w:rPr>
        <w:t>)</w:t>
      </w:r>
      <w:r w:rsidRPr="00DC6460">
        <w:rPr>
          <w:rFonts w:ascii="Calibri" w:hAnsi="Calibri" w:cs="Calibri"/>
        </w:rPr>
        <w:t xml:space="preserve"> applies in many contexts from 16 </w:t>
      </w:r>
      <w:r w:rsidRPr="00DC6460">
        <w:rPr>
          <w:rFonts w:ascii="Calibri" w:hAnsi="Calibri" w:cs="Calibri"/>
        </w:rPr>
        <w:t>onwards</w:t>
      </w:r>
      <w:r w:rsidRPr="00DC6460">
        <w:rPr>
          <w:rFonts w:ascii="Calibri" w:hAnsi="Calibri" w:cs="Calibri"/>
        </w:rPr>
        <w:t xml:space="preserve"> and asks, after practicable support has been given, whether the person can understand, retain, use or weigh the relevant information and communicate a decision, and whether any inability is caused by an impairment or disturbance in the functioning of the mind or brain.</w:t>
      </w:r>
      <w:r w:rsidRPr="00DC6460">
        <w:rPr>
          <w:rFonts w:ascii="Calibri" w:hAnsi="Calibri" w:cs="Calibri"/>
        </w:rPr>
        <w:fldChar w:fldCharType="begin"/>
      </w:r>
      <w:r w:rsidRPr="00DC6460">
        <w:rPr>
          <w:rFonts w:ascii="Calibri" w:hAnsi="Calibri" w:cs="Calibri"/>
        </w:rPr>
        <w:instrText xml:space="preserve"> ADDIN ZOTERO_ITEM CSL_CITATION {"citationID":"XSSEpMAb","properties":{"unsorted":false,"formattedCitation":"\\super 3\\nosupersub{}","plainCitation":"3","noteIndex":0},"citationItems":[{"id":141,"uris":["http://zotero.org/users/4924067/items/K5ZYRXBG"],"itemData":{"id":141,"type":"webpage","abstract":"An Act to make new provision relating to persons who lack capacity; to establish a superior court of record called the Court of Protection in place of the office of the Supreme Court called by that name; to m</w:instrText>
      </w:r>
      <w:r w:rsidRPr="00DC6460">
        <w:rPr>
          <w:rFonts w:ascii="Calibri" w:hAnsi="Calibri" w:cs="Calibri"/>
        </w:rPr>
        <w:instrText xml:space="preserve">ake provision in connection with the Convention on the International Protection of Adults signed at the Hague on 13th January 2000; and for connected purposes.","citation-key":"2005","language":"eng","title":"Mental Capacity Act 2005","URL":"https://www.legislation.gov.uk/ukpga/2005/9/contents","accessed":{"date-parts":[["2026",5,10]]}}}],"schema":"https://github.com/citation-style-language/schema/raw/master/csl-citation.json"} </w:instrText>
      </w:r>
      <w:r w:rsidRPr="00DC6460">
        <w:rPr>
          <w:rFonts w:ascii="Calibri" w:hAnsi="Calibri" w:cs="Calibri"/>
        </w:rPr>
        <w:fldChar w:fldCharType="separate"/>
      </w:r>
      <w:r w:rsidRPr="00DC6460">
        <w:rPr>
          <w:rFonts w:ascii="Calibri" w:hAnsi="Calibri" w:cs="Calibri"/>
          <w:kern w:val="0"/>
          <w:vertAlign w:val="superscript"/>
        </w:rPr>
        <w:t>3</w:t>
      </w:r>
      <w:r w:rsidRPr="00DC6460">
        <w:rPr>
          <w:rFonts w:ascii="Calibri" w:hAnsi="Calibri" w:cs="Calibri"/>
        </w:rPr>
        <w:fldChar w:fldCharType="end"/>
      </w:r>
    </w:p>
    <w:p w:rsidR="00AB2823" w:rsidRPr="00DC6460" w:rsidP="000F4C16">
      <w:pPr>
        <w:pStyle w:val="ListParagraph"/>
        <w:numPr>
          <w:ilvl w:val="0"/>
          <w:numId w:val="1"/>
        </w:numPr>
        <w:adjustRightInd w:val="0"/>
        <w:snapToGrid w:val="0"/>
        <w:spacing w:after="240" w:line="240" w:lineRule="auto"/>
        <w:ind w:left="448" w:hanging="448"/>
        <w:contextualSpacing w:val="0"/>
        <w:rPr>
          <w:rFonts w:ascii="Calibri" w:hAnsi="Calibri" w:cs="Calibri"/>
        </w:rPr>
      </w:pPr>
      <w:r w:rsidRPr="00DC6460">
        <w:rPr>
          <w:rFonts w:ascii="Calibri" w:hAnsi="Calibri" w:cs="Calibri"/>
        </w:rPr>
        <w:t>Current guidance does not give staff clear instructions for disentangling this legal complexity. NHS England's safeguarding framework gives the Gillick competence assessment only a passing mention and does not explain what the assessment involves.</w:t>
      </w:r>
      <w:r w:rsidRPr="00DC6460">
        <w:rPr>
          <w:rFonts w:ascii="Calibri" w:hAnsi="Calibri" w:cs="Calibri"/>
        </w:rPr>
        <w:fldChar w:fldCharType="begin"/>
      </w:r>
      <w:r w:rsidRPr="00DC6460">
        <w:rPr>
          <w:rFonts w:ascii="Calibri" w:hAnsi="Calibri" w:cs="Calibri"/>
        </w:rPr>
        <w:instrText xml:space="preserve"> ADDIN ZOTERO_ITEM CSL_CITATION {"citationID":"J4oLFeo9","properties":{"unsorted":false,"formattedCitation":"\\super 4\\nosupersub{}","plainCitation":"4","noteIndex":0},"citationItems":[{"id":8634,"uris":["http://zotero.org/users/4924067/items/723KPEHK"],"itemData":{"id":8634,"type":"document","citation-key":"zotero-item-8634","note":"Version 3, 21 July 2022. Publication reference: PAR818.","title":"Safeguarding accountability and assurance framework: Safeguarding children, young people and adults at risk i</w:instrText>
      </w:r>
      <w:r w:rsidRPr="00DC6460">
        <w:rPr>
          <w:rFonts w:ascii="Calibri" w:hAnsi="Calibri" w:cs="Calibri"/>
        </w:rPr>
        <w:instrText xml:space="preserve">n the NHS","URL":"https://www.england.nhs.uk/wp-content/uploads/2015/07/B0818_Safeguarding-children-young-people-and-adults-at-risk-in-the-NHS-Safeguarding-accountability-and-assuran.pdf","author":[{"literal":"NHS England"}],"accessed":{"date-parts":[["2026",5,10]]},"issued":{"date-parts":[["2022",7,21]]}},"locator":"10","label":"page"}],"schema":"https://github.com/citation-style-language/schema/raw/master/csl-citation.json"} </w:instrText>
      </w:r>
      <w:r w:rsidRPr="00DC6460">
        <w:rPr>
          <w:rFonts w:ascii="Calibri" w:hAnsi="Calibri" w:cs="Calibri"/>
        </w:rPr>
        <w:fldChar w:fldCharType="separate"/>
      </w:r>
      <w:r w:rsidRPr="00DC6460">
        <w:rPr>
          <w:rFonts w:ascii="Calibri" w:hAnsi="Calibri" w:cs="Calibri"/>
          <w:kern w:val="0"/>
          <w:vertAlign w:val="superscript"/>
        </w:rPr>
        <w:t>4</w:t>
      </w:r>
      <w:r w:rsidRPr="00DC6460">
        <w:rPr>
          <w:rFonts w:ascii="Calibri" w:hAnsi="Calibri" w:cs="Calibri"/>
        </w:rPr>
        <w:fldChar w:fldCharType="end"/>
      </w:r>
      <w:r w:rsidRPr="00DC6460">
        <w:rPr>
          <w:rFonts w:ascii="Calibri" w:hAnsi="Calibri" w:cs="Calibri"/>
        </w:rPr>
        <w:t xml:space="preserve"> The General Medical Council</w:t>
      </w:r>
      <w:r w:rsidRPr="00DC6460">
        <w:rPr>
          <w:rFonts w:ascii="Calibri" w:hAnsi="Calibri" w:cs="Calibri"/>
        </w:rPr>
        <w:t xml:space="preserve"> (GMC)</w:t>
      </w:r>
      <w:r w:rsidRPr="00DC6460">
        <w:rPr>
          <w:rFonts w:ascii="Calibri" w:hAnsi="Calibri" w:cs="Calibri"/>
        </w:rPr>
        <w:t xml:space="preserve">'s 0-18 years </w:t>
      </w:r>
      <w:r w:rsidRPr="00DC6460">
        <w:rPr>
          <w:rFonts w:ascii="Calibri" w:hAnsi="Calibri" w:cs="Calibri"/>
        </w:rPr>
        <w:t>professional standards</w:t>
      </w:r>
      <w:r w:rsidRPr="00DC6460">
        <w:rPr>
          <w:rFonts w:ascii="Calibri" w:hAnsi="Calibri" w:cs="Calibri"/>
        </w:rPr>
        <w:t xml:space="preserve"> do not explain when, or why, a doctor should understand themselves to be applying Gillick rather than the MCA; instead, it applies the same functional elements across the whole 0-18 age range</w:t>
      </w:r>
      <w:r w:rsidRPr="00DC6460">
        <w:rPr>
          <w:rFonts w:ascii="Calibri" w:hAnsi="Calibri" w:cs="Calibri"/>
        </w:rPr>
        <w:t>.</w:t>
      </w:r>
      <w:r w:rsidRPr="00DC6460">
        <w:rPr>
          <w:rFonts w:ascii="Calibri" w:hAnsi="Calibri" w:cs="Calibri"/>
        </w:rPr>
        <w:fldChar w:fldCharType="begin"/>
      </w:r>
      <w:r w:rsidRPr="00DC6460">
        <w:rPr>
          <w:rFonts w:ascii="Calibri" w:hAnsi="Calibri" w:cs="Calibri"/>
        </w:rPr>
        <w:instrText xml:space="preserve"> ADDIN ZOTERO_ITEM CSL_CITATION {"citationID":"cWvO2VTX","properties":{"unsorted":false,"formattedCitation":"\\super 5\\nosupersub{}","plainCitation":"5","noteIndex":0},"citationItems":[{"id":8591,"uris":["http://zotero.org/users/4924067/items/QGVGTAI8"],"itemData":{"id":8591,"type":"document","archive":"2026-05-10","citation-key":"zotero-item-8591","note":"Professional standards guidance in effect from 15 October 2007; last updated 13 December 2024. Relevant section: Making decisions, paras 22-33.","title"</w:instrText>
      </w:r>
      <w:r w:rsidRPr="00DC6460">
        <w:rPr>
          <w:rFonts w:ascii="Calibri" w:hAnsi="Calibri" w:cs="Calibri"/>
        </w:rPr>
        <w:instrText xml:space="preserve">:"Professional standards: 0-18 years","URL":"https://www.gmc-uk.org/professional-standards/the-professional-standards/0-18-years/making-decisions","author":[{"literal":"General Medical Council"}],"accessed":{"date-parts":[["2026",5,10]]},"issued":{"date-parts":[["2007",10,15]]}},"locator":"24-25","label":"page"}],"schema":"https://github.com/citation-style-language/schema/raw/master/csl-citation.json"} </w:instrText>
      </w:r>
      <w:r w:rsidRPr="00DC6460">
        <w:rPr>
          <w:rFonts w:ascii="Calibri" w:hAnsi="Calibri" w:cs="Calibri"/>
        </w:rPr>
        <w:fldChar w:fldCharType="separate"/>
      </w:r>
      <w:r w:rsidRPr="00DC6460">
        <w:rPr>
          <w:rFonts w:ascii="Calibri" w:hAnsi="Calibri" w:cs="Calibri"/>
          <w:kern w:val="0"/>
          <w:vertAlign w:val="superscript"/>
        </w:rPr>
        <w:t>5</w:t>
      </w:r>
      <w:r w:rsidRPr="00DC6460">
        <w:rPr>
          <w:rFonts w:ascii="Calibri" w:hAnsi="Calibri" w:cs="Calibri"/>
        </w:rPr>
        <w:fldChar w:fldCharType="end"/>
      </w:r>
      <w:r w:rsidRPr="00DC6460">
        <w:rPr>
          <w:rFonts w:ascii="Calibri" w:hAnsi="Calibri" w:cs="Calibri"/>
        </w:rPr>
        <w:t xml:space="preserve"> The Mental Health Act 1983 Code of Practice recognises the legal distinction between Gillick competence and MCA, yet its practical guidance on Gillick largely mirrors the structure of the MCA’s test.</w:t>
      </w:r>
      <w:r w:rsidRPr="00DC6460">
        <w:rPr>
          <w:rFonts w:ascii="Calibri" w:hAnsi="Calibri" w:cs="Calibri"/>
        </w:rPr>
        <w:fldChar w:fldCharType="begin"/>
      </w:r>
      <w:r w:rsidRPr="00DC6460">
        <w:rPr>
          <w:rFonts w:ascii="Calibri" w:hAnsi="Calibri" w:cs="Calibri"/>
        </w:rPr>
        <w:instrText xml:space="preserve"> ADDIN ZOTERO_ITEM CSL_CITATION {"citationID":"JdYixK3W","properties":{"unsorted":false,"formattedCitation":"\\super 6\\nosupersub{}","plainCitation":"6","noteIndex":0},"citationItems":[{"id":8633,"uris":["http://zotero.org/users/4924067/items/PRIC6WVE"],"itemData":{"id":8633,"type":"document","citation-key":"zotero-item-8633","note":"First published 2015. Presented to Parliament pursuant to section 118 of the Mental Health Act 1983. ISBN 9780113230068. Effective from 1 April 2015.","title":"Mental Health A</w:instrText>
      </w:r>
      <w:r w:rsidRPr="00DC6460">
        <w:rPr>
          <w:rFonts w:ascii="Calibri" w:hAnsi="Calibri" w:cs="Calibri"/>
        </w:rPr>
        <w:instrText xml:space="preserve">ct 1983: Code of Practice","URL":"https://www.gov.uk/government/publications/code-of-practice-mental-health-act-1983","author":[{"literal":"Department of Health and Social Care"}],"accessed":{"date-parts":[["2026",5,10]]},"issued":{"date-parts":[["2015",1,15]]}}}],"schema":"https://github.com/citation-style-language/schema/raw/master/csl-citation.json"} </w:instrText>
      </w:r>
      <w:r w:rsidRPr="00DC6460">
        <w:rPr>
          <w:rFonts w:ascii="Calibri" w:hAnsi="Calibri" w:cs="Calibri"/>
        </w:rPr>
        <w:fldChar w:fldCharType="separate"/>
      </w:r>
      <w:r w:rsidRPr="00DC6460">
        <w:rPr>
          <w:rFonts w:ascii="Calibri" w:hAnsi="Calibri" w:cs="Calibri"/>
          <w:kern w:val="0"/>
          <w:vertAlign w:val="superscript"/>
        </w:rPr>
        <w:t>6</w:t>
      </w:r>
      <w:r w:rsidRPr="00DC6460">
        <w:rPr>
          <w:rFonts w:ascii="Calibri" w:hAnsi="Calibri" w:cs="Calibri"/>
        </w:rPr>
        <w:fldChar w:fldCharType="end"/>
      </w:r>
      <w:r w:rsidRPr="00DC6460">
        <w:rPr>
          <w:rFonts w:ascii="Calibri" w:hAnsi="Calibri" w:cs="Calibri"/>
        </w:rPr>
        <w:t xml:space="preserve"> The British Medical Association</w:t>
      </w:r>
      <w:r w:rsidRPr="00DC6460">
        <w:rPr>
          <w:rFonts w:ascii="Calibri" w:hAnsi="Calibri" w:cs="Calibri"/>
        </w:rPr>
        <w:t xml:space="preserve"> (BMA)</w:t>
      </w:r>
      <w:r w:rsidRPr="00DC6460">
        <w:rPr>
          <w:rFonts w:ascii="Calibri" w:hAnsi="Calibri" w:cs="Calibri"/>
        </w:rPr>
        <w:t xml:space="preserve">'s Ethics Toolkit for </w:t>
      </w:r>
      <w:r w:rsidRPr="00DC6460">
        <w:rPr>
          <w:rFonts w:ascii="Calibri" w:hAnsi="Calibri" w:cs="Calibri"/>
        </w:rPr>
        <w:t xml:space="preserve">children </w:t>
      </w:r>
      <w:r w:rsidRPr="00DC6460">
        <w:rPr>
          <w:rFonts w:ascii="Calibri" w:hAnsi="Calibri" w:cs="Calibri"/>
        </w:rPr>
        <w:t xml:space="preserve">and </w:t>
      </w:r>
      <w:r w:rsidRPr="00DC6460">
        <w:rPr>
          <w:rFonts w:ascii="Calibri" w:hAnsi="Calibri" w:cs="Calibri"/>
        </w:rPr>
        <w:t>y</w:t>
      </w:r>
      <w:r w:rsidRPr="00DC6460">
        <w:rPr>
          <w:rFonts w:ascii="Calibri" w:hAnsi="Calibri" w:cs="Calibri"/>
        </w:rPr>
        <w:t xml:space="preserve">oung </w:t>
      </w:r>
      <w:r w:rsidRPr="00DC6460">
        <w:rPr>
          <w:rFonts w:ascii="Calibri" w:hAnsi="Calibri" w:cs="Calibri"/>
        </w:rPr>
        <w:t>people under</w:t>
      </w:r>
      <w:r w:rsidRPr="00DC6460">
        <w:rPr>
          <w:rFonts w:ascii="Calibri" w:hAnsi="Calibri" w:cs="Calibri"/>
        </w:rPr>
        <w:t xml:space="preserve"> 16 takes a different route: it partly adopts MCA-style language, omitting the ability to retain relevant information, while adding an expanded list of what the young person must understand, including the nature and purpose of the proposed treatment, its risks and side effects, available alternatives, and the consequences of not having it.</w:t>
      </w:r>
      <w:r w:rsidRPr="00DC6460">
        <w:rPr>
          <w:rFonts w:ascii="Calibri" w:hAnsi="Calibri" w:cs="Calibri"/>
        </w:rPr>
        <w:fldChar w:fldCharType="begin"/>
      </w:r>
      <w:r w:rsidRPr="00DC6460">
        <w:rPr>
          <w:rFonts w:ascii="Calibri" w:hAnsi="Calibri" w:cs="Calibri"/>
        </w:rPr>
        <w:instrText xml:space="preserve"> ADDIN ZOTERO_ITEM CSL_CITATION {"citationID":"LsDBwoCA","properties":{"unsorted":false,"formattedCitation":"\\super 7\\nosupersub{}","plainCitation":"7","noteIndex":0},"citationItems":[{"id":8590,"uris":["http://zotero.org/users/4924067/items/IUM3C5B3"],"itemData":{"id":8590,"type":"document","citation-key":"zotero-item-8590","note":"Published/updated by BMA: 13 February 2025.","title":"Children and young people under 16: Ethics toolkit","URL":"https://www.bma.org.uk/media/swsfdkbw/children-and-young-peopl</w:instrText>
      </w:r>
      <w:r w:rsidRPr="00DC6460">
        <w:rPr>
          <w:rFonts w:ascii="Calibri" w:hAnsi="Calibri" w:cs="Calibri"/>
        </w:rPr>
        <w:instrText xml:space="preserve">e-under-16-toolkit.pdf","author":[{"literal":"British Medical Association"}],"accessed":{"date-parts":[["2026",5,10]]},"issued":{"date-parts":[["2025",2,13]]}},"locator":"4","label":"page"}],"schema":"https://github.com/citation-style-language/schema/raw/master/csl-citation.json"} </w:instrText>
      </w:r>
      <w:r w:rsidRPr="00DC6460">
        <w:rPr>
          <w:rFonts w:ascii="Calibri" w:hAnsi="Calibri" w:cs="Calibri"/>
        </w:rPr>
        <w:fldChar w:fldCharType="separate"/>
      </w:r>
      <w:r w:rsidRPr="00DC6460">
        <w:rPr>
          <w:rFonts w:ascii="Calibri" w:hAnsi="Calibri" w:cs="Calibri"/>
          <w:kern w:val="0"/>
          <w:vertAlign w:val="superscript"/>
        </w:rPr>
        <w:t>7</w:t>
      </w:r>
      <w:r w:rsidRPr="00DC6460">
        <w:rPr>
          <w:rFonts w:ascii="Calibri" w:hAnsi="Calibri" w:cs="Calibri"/>
        </w:rPr>
        <w:fldChar w:fldCharType="end"/>
      </w:r>
    </w:p>
    <w:p w:rsidR="00AB2823" w:rsidRPr="00DC6460" w:rsidP="000F4C16">
      <w:pPr>
        <w:pStyle w:val="ListParagraph"/>
        <w:numPr>
          <w:ilvl w:val="0"/>
          <w:numId w:val="1"/>
        </w:numPr>
        <w:adjustRightInd w:val="0"/>
        <w:snapToGrid w:val="0"/>
        <w:spacing w:after="240" w:line="240" w:lineRule="auto"/>
        <w:ind w:left="448" w:hanging="448"/>
        <w:contextualSpacing w:val="0"/>
        <w:rPr>
          <w:rFonts w:ascii="Calibri" w:hAnsi="Calibri" w:cs="Calibri"/>
        </w:rPr>
      </w:pPr>
      <w:r w:rsidRPr="00DC6460">
        <w:rPr>
          <w:rFonts w:ascii="Calibri" w:hAnsi="Calibri" w:cs="Calibri"/>
        </w:rPr>
        <w:t>This problem is not created by guidance alone. Scholars have long argued that Gillick leaves key questions unanswered, including what a child must know and whether competence to consent also means competence to refuse</w:t>
      </w:r>
      <w:r w:rsidRPr="00DC6460">
        <w:rPr>
          <w:rFonts w:ascii="Calibri" w:hAnsi="Calibri" w:cs="Calibri"/>
        </w:rPr>
        <w:t>.</w:t>
      </w:r>
      <w:r w:rsidRPr="00DC6460">
        <w:rPr>
          <w:rFonts w:ascii="Calibri" w:hAnsi="Calibri" w:cs="Calibri"/>
        </w:rPr>
        <w:fldChar w:fldCharType="begin"/>
      </w:r>
      <w:r w:rsidRPr="00DC6460">
        <w:rPr>
          <w:rFonts w:ascii="Calibri" w:hAnsi="Calibri" w:cs="Calibri"/>
        </w:rPr>
        <w:instrText xml:space="preserve"> ADDIN ZOTERO_ITEM CSL_CITATION {"citationID":"8f5dky0C","properties":{"unsorted":false,"formattedCitation":"\\super 8\\uc0\\u8211{}10\\nosupersub{}","plainCitation":"8–10","noteIndex":0},"citationItems":[{"id":510,"uris":["http://zotero.org/users/4924067/items/4XRGHA24"],"itemData":{"id":510,"type":"article-journal","abstract":"The landmark decision of Gillick v West Norfolk Area Health Authority was a victory for advocates of adolescent autonomy. It established a test by which the court could measure chil</w:instrText>
      </w:r>
      <w:r w:rsidRPr="00DC6460">
        <w:rPr>
          <w:rFonts w:ascii="Calibri" w:hAnsi="Calibri" w:cs="Calibri"/>
        </w:rPr>
        <w:instrText>dren's competence with a view to them authorising medical treatment. However, application of the test by clinicians reveals a number of ambiguities which are compounded by subsequent interpretation of Gillick in the law courts. What must be understood by minors in order for them to be deemed competent? At what point in the consent process should competence be assessed? Does competence confer on minors the authority to refuse as well as to accept medical treatment? These are questions which vex clinicians, m</w:instrText>
      </w:r>
      <w:r w:rsidRPr="00DC6460">
        <w:rPr>
          <w:rFonts w:ascii="Calibri" w:hAnsi="Calibri" w:cs="Calibri"/>
        </w:rPr>
        <w:instrText>inors and their families. A growing number of commentators favour application of parts of the Mental Capacity Act 2005 to minors. In this paper, the limitations of this approach are exposed and more radical reform is proposed.","citation-key":"cave2014","container-title":"Legal Studies","DOI":"10.1111/lest.12009","ISSN":"0261-3875, 1748-121X","issue":"1","language":"en","page":"103-122","publisher":"Cambridge University Press","source":"Cambridge University Press","title":"Goodbye Gillick? Identifying and r</w:instrText>
      </w:r>
      <w:r w:rsidRPr="00DC6460">
        <w:rPr>
          <w:rFonts w:ascii="Calibri" w:hAnsi="Calibri" w:cs="Calibri"/>
        </w:rPr>
        <w:instrText xml:space="preserve">esolving problems with the concept of child competence","title-short":"Goodbye Gillick?","volume":"34","author":[{"family":"Cave","given":"Emma"}],"issued":{"date-parts":[["2014",3]]}}},{"id":508,"uris":["http://zotero.org/users/4924067/items/ZCVJLWCN"],"itemData":{"id":508,"type":"article-journal","abstract":"Developmentally, adolescence sits in transition between childhood and adulthood. Involving adolescents in their medical decision-making prompts important and complex ethical questions. Originating in </w:instrText>
      </w:r>
      <w:r w:rsidRPr="00DC6460">
        <w:rPr>
          <w:rFonts w:ascii="Calibri" w:hAnsi="Calibri" w:cs="Calibri"/>
        </w:rPr>
        <w:instrText>the UK, the concept of Gillick competence is a dominant framework for navigating adolescent medical decision-making from legal, ethical and clinical perspectives and is commonly treated as comprehensive. In this paper, we argue that its utility is far more limited, and hence over-reliance on Gillick risks undermining rather than promoting ethically appropriate adolescent involvement. We demonstrate that Gillick only provides guidance in the limited range of cases where legal decisional authority needs to be</w:instrText>
      </w:r>
      <w:r w:rsidRPr="00DC6460">
        <w:rPr>
          <w:rFonts w:ascii="Calibri" w:hAnsi="Calibri" w:cs="Calibri"/>
        </w:rPr>
        <w:instrText xml:space="preserve"> clarified. The range of cases where use of Gillick actually promotes adolescent involvement is narrower still, because several features must be present for Gillick to be enacted. Each of these features can, and do, act as barriers to adolescent involvement. Within these limited situations, we argue that Gillick is not specific or strong enough and is reliant on ethically contestable principles. Moreover, in most situations in adolescent healthcare, Gillick is silent on the ethical questions around involvin</w:instrText>
      </w:r>
      <w:r w:rsidRPr="00DC6460">
        <w:rPr>
          <w:rFonts w:ascii="Calibri" w:hAnsi="Calibri" w:cs="Calibri"/>
        </w:rPr>
        <w:instrText>g adolescents. This is because it focuses on decisional authority—having the final say in decision-making—which is one small subset of the many ways adolescents could be involved in decision-making. The implication of our analysis is that use of Gillick competence tends to limit or undermine adolescent involvement opportunities. We propose that those working with adolescents should be judicious in seeking Gillick’s guidance, instead drawing on and developing alternative frameworks that provide a comprehensi</w:instrText>
      </w:r>
      <w:r w:rsidRPr="00DC6460">
        <w:rPr>
          <w:rFonts w:ascii="Calibri" w:hAnsi="Calibri" w:cs="Calibri"/>
        </w:rPr>
        <w:instrText>ve model for adolescent involvement.","citation-key":"bart2023","container-title":"Journal of Medical Ethics","DOI":"10.1136/jme-2023-108930","ISSN":"0306-6800, 1473-4257","language":"en","license":"© Author(s) (or their employer(s)) 2023. No commercial re-use. See rights and permissions. Published by BMJ.","PMID":"37169548","publisher":"Institute of Medical Ethics","section":"Original research","source":"jme.bmj.com","title":"Gillick competence: an inadequate guide to the ethics of involving adolescents in</w:instrText>
      </w:r>
      <w:r w:rsidRPr="00DC6460">
        <w:rPr>
          <w:rFonts w:ascii="Calibri" w:hAnsi="Calibri" w:cs="Calibri"/>
        </w:rPr>
        <w:instrText xml:space="preserve"> decision-making","title-short":"Gillick competence","URL":"https://jme.bmj.com/content/early/2023/05/10/jme-2023-108930","author":[{"family":"Bart","given":"Avraham"},{"family":"Hall","given":"Georgina Antonia"},{"family":"Gillam","given":"Lynn"}],"accessed":{"date-parts":[["2023",11,2]]},"issued":{"date-parts":[["2023",5,11]]}}},{"id":778,"uris":["http://zotero.org/users/4924067/items/HS6FYIP2"],"itemData":{"id":778,"type":"article-journal","abstract":"This is the second of a pair of articles reviewing th</w:instrText>
      </w:r>
      <w:r w:rsidRPr="00DC6460">
        <w:rPr>
          <w:rFonts w:ascii="Calibri" w:hAnsi="Calibri" w:cs="Calibri"/>
        </w:rPr>
        <w:instrText>e topic of consent in minors. Both articles have a particular emphasis, drawing on theory and case law, on the differential treatment of acceptance and refusal in minors. This article considers the concept of capacity in young people (aged 16 and over) and competence in children (under the age of 16) by reviewing underpinning statute and case law with particular reference to England and Wales. This provides a platform for consideration of the reach of capacity in minors with regard to acceptance and refusal</w:instrText>
      </w:r>
      <w:r w:rsidRPr="00DC6460">
        <w:rPr>
          <w:rFonts w:ascii="Calibri" w:hAnsi="Calibri" w:cs="Calibri"/>
        </w:rPr>
        <w:instrText xml:space="preserve"> of treatment. In doing so the article explores the key, but still elusive, ingredient of maturity, which has significance to the process. Fictitious vignettes allow consideration of the application of the concepts of maturity and autonomy in clinical practice. The article also considers the potential for the UK's Parliament to make changes to current statute regarding consent in minors.","citation-key":"hawkins2024a","container-title":"BJPsych Advances","DOI":"10.1192/bja.2022.76","ISSN":"2056-4678, 2056-4</w:instrText>
      </w:r>
      <w:r w:rsidRPr="00DC6460">
        <w:rPr>
          <w:rFonts w:ascii="Calibri" w:hAnsi="Calibri" w:cs="Calibri"/>
        </w:rPr>
        <w:instrText xml:space="preserve">686","issue":"3","language":"en","page":"177-188","source":"Cambridge University Press","title":"Consent in minors: the differential treatment of acceptance and refusal. Part 2 Minors’ decision-making and the reach of their capacity","title-short":"Consent in minors","volume":"30","author":[{"family":"Hawkins","given":"Tim"},{"family":"Curtice","given":"Martin"}],"issued":{"date-parts":[["2024",5]]}}}],"schema":"https://github.com/citation-style-language/schema/raw/master/csl-citation.json"} </w:instrText>
      </w:r>
      <w:r w:rsidRPr="00DC6460">
        <w:rPr>
          <w:rFonts w:ascii="Calibri" w:hAnsi="Calibri" w:cs="Calibri"/>
        </w:rPr>
        <w:fldChar w:fldCharType="separate"/>
      </w:r>
      <w:r w:rsidRPr="00DC6460">
        <w:rPr>
          <w:rFonts w:ascii="Calibri" w:hAnsi="Calibri" w:cs="Calibri"/>
          <w:kern w:val="0"/>
          <w:vertAlign w:val="superscript"/>
        </w:rPr>
        <w:t>8–10</w:t>
      </w:r>
      <w:r w:rsidRPr="00DC6460">
        <w:rPr>
          <w:rFonts w:ascii="Calibri" w:hAnsi="Calibri" w:cs="Calibri"/>
        </w:rPr>
        <w:fldChar w:fldCharType="end"/>
      </w:r>
      <w:r w:rsidRPr="00DC6460">
        <w:rPr>
          <w:rFonts w:ascii="Calibri" w:hAnsi="Calibri" w:cs="Calibri"/>
        </w:rPr>
        <w:t xml:space="preserve"> The courts have not removed that uncertainty. Recent High Court cases show different emphases in interpreting what "understanding" requires under Gillick: one focused closely on weighing risks and benefits,</w:t>
      </w:r>
      <w:r w:rsidRPr="00DC6460">
        <w:rPr>
          <w:rFonts w:ascii="Calibri" w:hAnsi="Calibri" w:cs="Calibri"/>
        </w:rPr>
        <w:fldChar w:fldCharType="begin"/>
      </w:r>
      <w:r w:rsidRPr="00DC6460">
        <w:rPr>
          <w:rFonts w:ascii="Calibri" w:hAnsi="Calibri" w:cs="Calibri"/>
        </w:rPr>
        <w:instrText xml:space="preserve"> ADDIN ZOTERO_ITEM CSL_CITATION {"citationID":"CoJyI40R","properties":{"unsorted":false,"formattedCitation":"\\super 11\\nosupersub{}","plainCitation":"11","noteIndex":0},"citationItems":[{"id":8631,"uris":["http://zotero.org/users/4924067/items/C6UKICIZ"],"itemData":{"id":8631,"type":"legal_case","authority":"High Court (Family Division)","citation-key":"zotero-item-8631","note":"OSCOLA: An NHS Foundation Trust v AB &amp; Ors [2020] EWHC 3221 (Fam)\nJudge: Lieven J","title":"An NHS Foundation Trust v AB &amp; Ors </w:instrText>
      </w:r>
      <w:r w:rsidRPr="00DC6460">
        <w:rPr>
          <w:rFonts w:ascii="Calibri" w:hAnsi="Calibri" w:cs="Calibri"/>
        </w:rPr>
        <w:instrText xml:space="preserve">[2020] EWHC 3221 (Fam)","issued":{"date-parts":[["2020",10,21]]}}}],"schema":"https://github.com/citation-style-language/schema/raw/master/csl-citation.json"} </w:instrText>
      </w:r>
      <w:r w:rsidRPr="00DC6460">
        <w:rPr>
          <w:rFonts w:ascii="Calibri" w:hAnsi="Calibri" w:cs="Calibri"/>
        </w:rPr>
        <w:fldChar w:fldCharType="separate"/>
      </w:r>
      <w:r w:rsidRPr="00DC6460">
        <w:rPr>
          <w:rFonts w:ascii="Calibri" w:hAnsi="Calibri" w:cs="Calibri"/>
          <w:kern w:val="0"/>
          <w:vertAlign w:val="superscript"/>
        </w:rPr>
        <w:t>11</w:t>
      </w:r>
      <w:r w:rsidRPr="00DC6460">
        <w:rPr>
          <w:rFonts w:ascii="Calibri" w:hAnsi="Calibri" w:cs="Calibri"/>
        </w:rPr>
        <w:fldChar w:fldCharType="end"/>
      </w:r>
      <w:r w:rsidRPr="00DC6460">
        <w:rPr>
          <w:rFonts w:ascii="Calibri" w:hAnsi="Calibri" w:cs="Calibri"/>
        </w:rPr>
        <w:t xml:space="preserve"> while another stressed the nature of the treatment and the need for a full grasp of the treatment itself.</w:t>
      </w:r>
      <w:r w:rsidRPr="00DC6460">
        <w:rPr>
          <w:rFonts w:ascii="Calibri" w:hAnsi="Calibri" w:cs="Calibri"/>
        </w:rPr>
        <w:fldChar w:fldCharType="begin"/>
      </w:r>
      <w:r w:rsidRPr="00DC6460">
        <w:rPr>
          <w:rFonts w:ascii="Calibri" w:hAnsi="Calibri" w:cs="Calibri"/>
        </w:rPr>
        <w:instrText xml:space="preserve"> ADDIN ZOTERO_ITEM CSL_CITATION {"citationID":"3yJmHNYx","properties":{"unsorted":false,"formattedCitation":"\\super 12\\nosupersub{}","plainCitation":"12","noteIndex":0},"citationItems":[{"id":8632,"uris":["http://zotero.org/users/4924067/items/BEBHN4H9"],"itemData":{"id":8632,"type":"legal_case","authority":"High Court (Family Division)","citation-key":"zotero-item-8632","note":"OSCOLA: Great Ormond Street Hospital for Children NHS Foundation Trust v A &amp; Ors [2021] EWHC 2517 (Fam)\nJudge: Arbuthnot J","ti</w:instrText>
      </w:r>
      <w:r w:rsidRPr="00DC6460">
        <w:rPr>
          <w:rFonts w:ascii="Calibri" w:hAnsi="Calibri" w:cs="Calibri"/>
        </w:rPr>
        <w:instrText xml:space="preserve">tle":"Great Ormond Street Hospital for Children NHS Foundation Trust v A &amp; Ors [2021] EWHC 2517 (Fam)","issued":{"date-parts":[["2021",9,15]]}}}],"schema":"https://github.com/citation-style-language/schema/raw/master/csl-citation.json"} </w:instrText>
      </w:r>
      <w:r w:rsidRPr="00DC6460">
        <w:rPr>
          <w:rFonts w:ascii="Calibri" w:hAnsi="Calibri" w:cs="Calibri"/>
        </w:rPr>
        <w:fldChar w:fldCharType="separate"/>
      </w:r>
      <w:r w:rsidRPr="00DC6460">
        <w:rPr>
          <w:rFonts w:ascii="Calibri" w:hAnsi="Calibri" w:cs="Calibri"/>
          <w:kern w:val="0"/>
          <w:vertAlign w:val="superscript"/>
        </w:rPr>
        <w:t>12</w:t>
      </w:r>
      <w:r w:rsidRPr="00DC6460">
        <w:rPr>
          <w:rFonts w:ascii="Calibri" w:hAnsi="Calibri" w:cs="Calibri"/>
        </w:rPr>
        <w:fldChar w:fldCharType="end"/>
      </w:r>
      <w:r w:rsidRPr="00DC6460">
        <w:rPr>
          <w:rFonts w:ascii="Calibri" w:hAnsi="Calibri" w:cs="Calibri"/>
        </w:rPr>
        <w:t xml:space="preserve"> Ultimately, therefore, it may be that the law, itself, needs amending.  In advance of any such change, however, </w:t>
      </w:r>
      <w:r w:rsidRPr="00DC6460">
        <w:rPr>
          <w:rFonts w:ascii="Calibri" w:hAnsi="Calibri" w:cs="Calibri"/>
        </w:rPr>
        <w:t xml:space="preserve">clear guidance is vital.  </w:t>
      </w:r>
    </w:p>
    <w:p w:rsidR="00AB2823" w:rsidRPr="00DC6460" w:rsidP="006671AF">
      <w:pPr>
        <w:adjustRightInd w:val="0"/>
        <w:snapToGrid w:val="0"/>
        <w:spacing w:after="240" w:line="240" w:lineRule="auto"/>
        <w:rPr>
          <w:rFonts w:ascii="Calibri" w:hAnsi="Calibri" w:cs="Calibri"/>
        </w:rPr>
      </w:pPr>
    </w:p>
    <w:p w:rsidR="00AB2823" w:rsidRPr="00DC6460" w:rsidP="006671AF">
      <w:pPr>
        <w:adjustRightInd w:val="0"/>
        <w:snapToGrid w:val="0"/>
        <w:spacing w:after="240" w:line="240" w:lineRule="auto"/>
        <w:rPr>
          <w:rFonts w:ascii="Calibri" w:hAnsi="Calibri" w:cs="Calibri"/>
          <w:b/>
          <w:bCs/>
        </w:rPr>
      </w:pPr>
      <w:r w:rsidRPr="00DC6460">
        <w:rPr>
          <w:rFonts w:ascii="Calibri" w:hAnsi="Calibri" w:cs="Calibri"/>
          <w:b/>
          <w:bCs/>
        </w:rPr>
        <w:t>Is the level of training and education provided to staff appropriate for the needs of young people at the point of transition?</w:t>
      </w:r>
    </w:p>
    <w:p w:rsidR="00AB2823" w:rsidRPr="00DC6460" w:rsidP="000F4C16">
      <w:pPr>
        <w:pStyle w:val="ListParagraph"/>
        <w:numPr>
          <w:ilvl w:val="0"/>
          <w:numId w:val="1"/>
        </w:numPr>
        <w:adjustRightInd w:val="0"/>
        <w:snapToGrid w:val="0"/>
        <w:spacing w:after="240" w:line="240" w:lineRule="auto"/>
        <w:ind w:left="448" w:hanging="448"/>
        <w:contextualSpacing w:val="0"/>
        <w:rPr>
          <w:rFonts w:ascii="Calibri" w:hAnsi="Calibri" w:cs="Calibri"/>
        </w:rPr>
      </w:pPr>
      <w:r w:rsidRPr="00DC6460">
        <w:rPr>
          <w:rFonts w:ascii="Calibri" w:hAnsi="Calibri" w:cs="Calibri"/>
        </w:rPr>
        <w:t>Current training is not adequate if adequacy means staff can confidently apply the law in real transition decisions. It is not enough for training to cover "competence" and "capacity" as a topic. Staff need to distinguish Gillick competence, 16- and 17-year-old consent under the Family Law Reform Act 1969,</w:t>
      </w:r>
      <w:r w:rsidRPr="00DC6460">
        <w:rPr>
          <w:rFonts w:ascii="Calibri" w:hAnsi="Calibri" w:cs="Calibri"/>
        </w:rPr>
        <w:fldChar w:fldCharType="begin"/>
      </w:r>
      <w:r w:rsidRPr="00DC6460">
        <w:rPr>
          <w:rFonts w:ascii="Calibri" w:hAnsi="Calibri" w:cs="Calibri"/>
        </w:rPr>
        <w:instrText xml:space="preserve"> ADDIN ZOTERO_ITEM CSL_CITATION {"citationID":"bdyyRih1","properties":{"unsorted":false,"formattedCitation":"\\super 13\\nosupersub{}","plainCitation":"13","noteIndex":0},"citationItems":[{"id":8599,"uris":["http://zotero.org/users/4924067/items/UXVT2SH8"],"itemData":{"id":8599,"type":"legal_case","citation-key":"zotero-item-8599","note":"OSCOLA: Family Law Reform Act 1969, c 46\nRelevant provision: section 8 (consent by persons over 16 to surgical, medical and dental treatment). Official legislation.gov.uk</w:instrText>
      </w:r>
      <w:r w:rsidRPr="00DC6460">
        <w:rPr>
          <w:rFonts w:ascii="Calibri" w:hAnsi="Calibri" w:cs="Calibri"/>
        </w:rPr>
        <w:instrText xml:space="preserve"> text.","title":"Family Law Reform Act 1969, c 46","URL":"https://www.legislation.gov.uk/ukpga/1969/46","accessed":{"date-parts":[["2026",5,10]]}}}],"schema":"https://github.com/citation-style-language/schema/raw/master/csl-citation.json"} </w:instrText>
      </w:r>
      <w:r w:rsidRPr="00DC6460">
        <w:rPr>
          <w:rFonts w:ascii="Calibri" w:hAnsi="Calibri" w:cs="Calibri"/>
        </w:rPr>
        <w:fldChar w:fldCharType="separate"/>
      </w:r>
      <w:r w:rsidRPr="00DC6460">
        <w:rPr>
          <w:rFonts w:ascii="Calibri" w:hAnsi="Calibri" w:cs="Calibri"/>
          <w:kern w:val="0"/>
          <w:vertAlign w:val="superscript"/>
        </w:rPr>
        <w:t>13</w:t>
      </w:r>
      <w:r w:rsidRPr="00DC6460">
        <w:rPr>
          <w:rFonts w:ascii="Calibri" w:hAnsi="Calibri" w:cs="Calibri"/>
        </w:rPr>
        <w:fldChar w:fldCharType="end"/>
      </w:r>
      <w:r w:rsidRPr="00DC6460">
        <w:rPr>
          <w:rFonts w:ascii="Calibri" w:hAnsi="Calibri" w:cs="Calibri"/>
        </w:rPr>
        <w:t xml:space="preserve"> MCA, parental responsibility, safeguarding, best-interests and circumstances requiring legal advice.</w:t>
      </w:r>
    </w:p>
    <w:p w:rsidR="00AB2823" w:rsidRPr="00DC6460" w:rsidP="000F4C16">
      <w:pPr>
        <w:pStyle w:val="ListParagraph"/>
        <w:numPr>
          <w:ilvl w:val="0"/>
          <w:numId w:val="1"/>
        </w:numPr>
        <w:adjustRightInd w:val="0"/>
        <w:snapToGrid w:val="0"/>
        <w:spacing w:after="240" w:line="240" w:lineRule="auto"/>
        <w:ind w:left="448" w:hanging="448"/>
        <w:contextualSpacing w:val="0"/>
        <w:rPr>
          <w:rFonts w:ascii="Calibri" w:hAnsi="Calibri" w:cs="Calibri"/>
        </w:rPr>
      </w:pPr>
      <w:r w:rsidRPr="00DC6460">
        <w:rPr>
          <w:rFonts w:ascii="Calibri" w:hAnsi="Calibri" w:cs="Calibri"/>
        </w:rPr>
        <w:t>In one CAMHS survey, clinicians reported confusion about parental consent, Gillick competence and the MCA, including low identification of Gillick criteria and variable confidence across professional groups.</w:t>
      </w:r>
      <w:r w:rsidRPr="00DC6460">
        <w:rPr>
          <w:rFonts w:ascii="Calibri" w:hAnsi="Calibri" w:cs="Calibri"/>
        </w:rPr>
        <w:fldChar w:fldCharType="begin"/>
      </w:r>
      <w:r w:rsidRPr="00DC6460">
        <w:rPr>
          <w:rFonts w:ascii="Calibri" w:hAnsi="Calibri" w:cs="Calibri"/>
        </w:rPr>
        <w:instrText xml:space="preserve"> ADDIN ZOTERO_ITEM CSL_CITATION {"citationID":"JzSkJZG8","properties":{"unsorted":false,"formattedCitation":"\\super 14\\nosupersub{}","plainCitation":"14","noteIndex":0},"citationItems":[{"id":952,"uris":["http://zotero.org/users/4924067/items/NJBDDDDX"],"itemData":{"id":952,"type":"article-journal","abstract":"All professionals engaged in clinical work should be competent to assess consent for the interventions they provide. This study assesses CAMHS clinicians confidence and knowledge in the various form</w:instrText>
      </w:r>
      <w:r w:rsidRPr="00DC6460">
        <w:rPr>
          <w:rFonts w:ascii="Calibri" w:hAnsi="Calibri" w:cs="Calibri"/>
        </w:rPr>
        <w:instrText xml:space="preserve">s of consent and the number of minors admitted to mental health units in England under parental consent alone.An online questionnaire using vignettes of possible scenarios was sent to child and adolescent mental health practitioners in Tees Esk and Wear Valleys Trust. A freedom of information request was used to determine the number of young people admitted through parental consent.Thirteen of the 20 trusts contacted had no knowledge of the number of young people admitted under parental consent. A total of </w:instrText>
      </w:r>
      <w:r w:rsidRPr="00DC6460">
        <w:rPr>
          <w:rFonts w:ascii="Calibri" w:hAnsi="Calibri" w:cs="Calibri"/>
        </w:rPr>
        <w:instrText>93 participants completed the survey. Out of six vignettes, there were two where the majority of responses were discordant with current legal advice. Both of these vignettes considered the use of parental consent for admission to a mental health unit.This study provides further evidence to indicate that the current consent processes in CAMHS causes confusion for clinicians. There continues to be very few safeguards for children admitted under parental consent, with most trusts in England and Wales having no</w:instrText>
      </w:r>
      <w:r w:rsidRPr="00DC6460">
        <w:rPr>
          <w:rFonts w:ascii="Calibri" w:hAnsi="Calibri" w:cs="Calibri"/>
        </w:rPr>
        <w:instrText xml:space="preserve"> centralised knowledge of whether this is occurring and the numbers involved if it is.","citation-key":"fenton2020","container-title":"Clinical Child Psychology and Psychiatry","DOI":"10.1177/1359104520931586","ISSN":"1359-1045","issue":"4","journalAbbreviation":"Clin Child Psychol Psychiatry","language":"en","page":"922-931","publisher":"SAGE Publications Ltd","source":"SAGE Journals","title":"Is consent causing confusion for clinicians? A survey of child and adolescent mental health professional's confide</w:instrText>
      </w:r>
      <w:r w:rsidRPr="00DC6460">
        <w:rPr>
          <w:rFonts w:ascii="Calibri" w:hAnsi="Calibri" w:cs="Calibri"/>
        </w:rPr>
        <w:instrText xml:space="preserve">nce in using parental consent, Gillick competence and the Mental Capacity Act","title-short":"Is consent causing confusion for clinicians?","volume":"25","author":[{"family":"Fenton","given":"Clare"}],"issued":{"date-parts":[["2020",10,1]]}}}],"schema":"https://github.com/citation-style-language/schema/raw/master/csl-citation.json"} </w:instrText>
      </w:r>
      <w:r w:rsidRPr="00DC6460">
        <w:rPr>
          <w:rFonts w:ascii="Calibri" w:hAnsi="Calibri" w:cs="Calibri"/>
        </w:rPr>
        <w:fldChar w:fldCharType="separate"/>
      </w:r>
      <w:r w:rsidRPr="00DC6460">
        <w:rPr>
          <w:rFonts w:ascii="Calibri" w:hAnsi="Calibri" w:cs="Calibri"/>
          <w:kern w:val="0"/>
          <w:vertAlign w:val="superscript"/>
        </w:rPr>
        <w:t>14</w:t>
      </w:r>
      <w:r w:rsidRPr="00DC6460">
        <w:rPr>
          <w:rFonts w:ascii="Calibri" w:hAnsi="Calibri" w:cs="Calibri"/>
        </w:rPr>
        <w:fldChar w:fldCharType="end"/>
      </w:r>
      <w:r w:rsidRPr="00DC6460">
        <w:rPr>
          <w:rFonts w:ascii="Calibri" w:hAnsi="Calibri" w:cs="Calibri"/>
        </w:rPr>
        <w:t xml:space="preserve"> The CQC evidence found that MCA training was present within safeguarding training, but that staff still had knowledge gaps and lacked confidence in applying decision-making and best-interests processes during transition.</w:t>
      </w:r>
      <w:r w:rsidRPr="00DC6460">
        <w:rPr>
          <w:rFonts w:ascii="Calibri" w:hAnsi="Calibri" w:cs="Calibri"/>
        </w:rPr>
        <w:fldChar w:fldCharType="begin"/>
      </w:r>
      <w:r w:rsidRPr="00DC6460">
        <w:rPr>
          <w:rFonts w:ascii="Calibri" w:hAnsi="Calibri" w:cs="Calibri"/>
        </w:rPr>
        <w:instrText xml:space="preserve"> ADDIN ZOTERO_ITEM CSL_CITATION {"citationID":"hUKL4b3k","properties":{"unsorted":false,"formattedCitation":"\\super 15\\nosupersub{}","plainCitation":"15","noteIndex":0},"citationItems":[{"id":8586,"uris":["http://zotero.org/users/4924067/items/MZ23TZN7"],"itemData":{"id":8586,"type":"report","citation-key":"zotero-item-8586","note":"Official CQC report, June 2014.","title":"From the pond into the sea: Children's transition to adult health services","URL":"https://www.cqc.org.uk/sites/default/files/CQC_Tra</w:instrText>
      </w:r>
      <w:r w:rsidRPr="00DC6460">
        <w:rPr>
          <w:rFonts w:ascii="Calibri" w:hAnsi="Calibri" w:cs="Calibri"/>
        </w:rPr>
        <w:instrText xml:space="preserve">nsition%20Report.pdf","author":[{"literal":"Care Quality Commission"}],"accessed":{"date-parts":[["2026",5,10]]},"issued":{"date-parts":[["2014",6]]}}}],"schema":"https://github.com/citation-style-language/schema/raw/master/csl-citation.json"} </w:instrText>
      </w:r>
      <w:r w:rsidRPr="00DC6460">
        <w:rPr>
          <w:rFonts w:ascii="Calibri" w:hAnsi="Calibri" w:cs="Calibri"/>
        </w:rPr>
        <w:fldChar w:fldCharType="separate"/>
      </w:r>
      <w:r w:rsidRPr="00DC6460">
        <w:rPr>
          <w:rFonts w:ascii="Calibri" w:hAnsi="Calibri" w:cs="Calibri"/>
          <w:kern w:val="0"/>
          <w:vertAlign w:val="superscript"/>
        </w:rPr>
        <w:t>15</w:t>
      </w:r>
      <w:r w:rsidRPr="00DC6460">
        <w:rPr>
          <w:rFonts w:ascii="Calibri" w:hAnsi="Calibri" w:cs="Calibri"/>
        </w:rPr>
        <w:fldChar w:fldCharType="end"/>
      </w:r>
      <w:r w:rsidRPr="00DC6460">
        <w:rPr>
          <w:rFonts w:ascii="Calibri" w:hAnsi="Calibri" w:cs="Calibri"/>
        </w:rPr>
        <w:t xml:space="preserve"> In </w:t>
      </w:r>
      <w:r w:rsidRPr="00DC6460">
        <w:rPr>
          <w:rFonts w:ascii="Calibri" w:hAnsi="Calibri" w:cs="Calibri"/>
        </w:rPr>
        <w:t>the NCEPOD survey of health and social care professional</w:t>
      </w:r>
      <w:r w:rsidRPr="00DC6460">
        <w:rPr>
          <w:rFonts w:ascii="Calibri" w:hAnsi="Calibri" w:cs="Calibri"/>
        </w:rPr>
        <w:t>s</w:t>
      </w:r>
      <w:r w:rsidRPr="00DC6460">
        <w:rPr>
          <w:rFonts w:ascii="Calibri" w:hAnsi="Calibri" w:cs="Calibri"/>
        </w:rPr>
        <w:t xml:space="preserve">, 66.3% of respondents reported training on the use of the </w:t>
      </w:r>
      <w:r w:rsidRPr="00DC6460">
        <w:rPr>
          <w:rFonts w:ascii="Calibri" w:hAnsi="Calibri" w:cs="Calibri"/>
        </w:rPr>
        <w:t>MCA</w:t>
      </w:r>
      <w:r w:rsidRPr="00DC6460">
        <w:rPr>
          <w:rFonts w:ascii="Calibri" w:hAnsi="Calibri" w:cs="Calibri"/>
        </w:rPr>
        <w:t xml:space="preserve"> in relation to young people, 66.0% on consent for young people and 64.2% on confidentiality for young people. Yet fewer than half of staff had received training in developmentally appropriate healthcare and/or transition, and 18.9% had received no training in any of the surveyed areas.</w:t>
      </w:r>
      <w:r w:rsidRPr="00DC6460">
        <w:rPr>
          <w:rFonts w:ascii="Calibri" w:hAnsi="Calibri" w:cs="Calibri"/>
        </w:rPr>
        <w:t xml:space="preserve"> The practical consequence is that young people may enter transition with services that endorse involv</w:t>
      </w:r>
      <w:r w:rsidRPr="00DC6460">
        <w:rPr>
          <w:rFonts w:ascii="Calibri" w:hAnsi="Calibri" w:cs="Calibri"/>
        </w:rPr>
        <w:t xml:space="preserve">ement in principle, but lack the </w:t>
      </w:r>
      <w:r w:rsidRPr="00DC6460">
        <w:rPr>
          <w:rFonts w:ascii="Calibri" w:hAnsi="Calibri" w:cs="Calibri"/>
        </w:rPr>
        <w:t>knowledge and practical skills</w:t>
      </w:r>
      <w:r w:rsidRPr="00DC6460">
        <w:rPr>
          <w:rFonts w:ascii="Calibri" w:hAnsi="Calibri" w:cs="Calibri"/>
        </w:rPr>
        <w:t xml:space="preserve"> to make that involvement</w:t>
      </w:r>
      <w:r w:rsidRPr="00DC6460">
        <w:rPr>
          <w:rFonts w:ascii="Calibri" w:hAnsi="Calibri" w:cs="Calibri"/>
        </w:rPr>
        <w:t xml:space="preserve"> </w:t>
      </w:r>
      <w:r w:rsidRPr="00DC6460">
        <w:rPr>
          <w:rFonts w:ascii="Calibri" w:hAnsi="Calibri" w:cs="Calibri"/>
        </w:rPr>
        <w:t>meaningful.</w:t>
      </w:r>
    </w:p>
    <w:p w:rsidR="00AB2823" w:rsidRPr="00DC6460" w:rsidP="000F4C16">
      <w:pPr>
        <w:pStyle w:val="ListParagraph"/>
        <w:numPr>
          <w:ilvl w:val="0"/>
          <w:numId w:val="1"/>
        </w:numPr>
        <w:adjustRightInd w:val="0"/>
        <w:snapToGrid w:val="0"/>
        <w:spacing w:after="240" w:line="240" w:lineRule="auto"/>
        <w:ind w:left="448" w:hanging="448"/>
        <w:contextualSpacing w:val="0"/>
        <w:rPr>
          <w:rFonts w:ascii="Calibri" w:hAnsi="Calibri" w:cs="Calibri"/>
        </w:rPr>
      </w:pPr>
      <w:r w:rsidRPr="00DC6460">
        <w:rPr>
          <w:rFonts w:ascii="Calibri" w:hAnsi="Calibri" w:cs="Calibri"/>
        </w:rPr>
        <w:t xml:space="preserve">A review of </w:t>
      </w:r>
      <w:r w:rsidRPr="00DC6460">
        <w:rPr>
          <w:rFonts w:ascii="Calibri" w:hAnsi="Calibri" w:cs="Calibri"/>
        </w:rPr>
        <w:t>16 studies revealed that while health and social care workers appreciate hands-on, scenario-based education, these programs rarely alter real-world clinical behaviour. The authors note that systemic factors like institutional norms and work environments play a major role in preventing staff from applying what they learn</w:t>
      </w:r>
      <w:r w:rsidRPr="00DC6460">
        <w:rPr>
          <w:rFonts w:ascii="Calibri" w:hAnsi="Calibri" w:cs="Calibri"/>
        </w:rPr>
        <w:t>.</w:t>
      </w:r>
      <w:r w:rsidRPr="00DC6460">
        <w:rPr>
          <w:rFonts w:ascii="Calibri" w:hAnsi="Calibri" w:cs="Calibri"/>
        </w:rPr>
        <w:fldChar w:fldCharType="begin"/>
      </w:r>
      <w:r w:rsidRPr="00DC6460">
        <w:rPr>
          <w:rFonts w:ascii="Calibri" w:hAnsi="Calibri" w:cs="Calibri"/>
        </w:rPr>
        <w:instrText xml:space="preserve"> ADDIN ZOTERO_ITEM CSL_CITATION {"citationID":"MpY8DXZB","properties":{"unsorted":false,"formattedCitation":"\\super 16\\nosupersub{}","plainCitation":"16","noteIndex":0},"citationItems":[{"id":7574,"uris":["http://zotero.org/users/4924067/items/9ZYBVJUJ"],"itemData":{"id":7574,"type":"article-journal","abstract":"Aim and objective To identify training strategies and determine how registered health and social care practitioners change their practice after Mental Capacity Act training. Design Narrative liter</w:instrText>
      </w:r>
      <w:r w:rsidRPr="00DC6460">
        <w:rPr>
          <w:rFonts w:ascii="Calibri" w:hAnsi="Calibri" w:cs="Calibri"/>
        </w:rPr>
        <w:instrText>ature review. Data sources Seventeen databases were searched up to December 2019: CINAHL, Social Care Online, PubMed, Social Policy and Practice, Discover, MEDLINE, Science Direct, Ovid, 0of Science, British Nursing Index, DH-Data and King's Fund Library Catalogue. Review Methods Empirical studies of any design investigating Mental Capacity Act training were searched and screened. Data were extracted to a bespoke spreadsheet and quality assessed. Reporting followed the Preferred Reporting Items for Systemat</w:instrText>
      </w:r>
      <w:r w:rsidRPr="00DC6460">
        <w:rPr>
          <w:rFonts w:ascii="Calibri" w:hAnsi="Calibri" w:cs="Calibri"/>
        </w:rPr>
        <w:instrText>ic Reviews and Meta-Analyses (PRISMA). Results Of 162 papers identified, 16 were included comprising qualitative, quantitative and mixed-methods studies. Trainees valued interactive training with close alignment to practice. Training did not lead to demonstrable practice change. Barriers in the context and cultures of care environments were identified. Conclusion To facilitate application of Mental Capacity Act legislation, identified barriers should be addressed. Future training should be interactive, scen</w:instrText>
      </w:r>
      <w:r w:rsidRPr="00DC6460">
        <w:rPr>
          <w:rFonts w:ascii="Calibri" w:hAnsi="Calibri" w:cs="Calibri"/>
        </w:rPr>
        <w:instrText xml:space="preserve">ario-based and relevant to trainees’ practice. Relevance to Clinical Practice The Mental Capacity Act is widely misunderstood and implemented poor. Training is proposed as a solution, but the nature of training that will positively affect practice remains unknown. This review aims to address this gap in the evidence base. Interactive training, using scenarios that reflect practice complexities, has the most positive impact. Cultural norms in care environments may impede application of this legislation. The </w:instrText>
      </w:r>
      <w:r w:rsidRPr="00DC6460">
        <w:rPr>
          <w:rFonts w:ascii="Calibri" w:hAnsi="Calibri" w:cs="Calibri"/>
        </w:rPr>
        <w:instrText>review has international relevance as there is a global imperative to adhere to the United Nations Convention on the Rights of Persons with Disabilities. The review will inform training design and delivery to ensure that people with impaired capacity to make decisions are given the best opportunity to act autonomously.","citation-key":"jenkins2020","container-title":"Journal of Clinical Nursing","DOI":"10.1111/jocn.15256","ISSN":"1365-2702","issue":"13-14","language":"en","note":"_eprint: https://onlinelibr</w:instrText>
      </w:r>
      <w:r w:rsidRPr="00DC6460">
        <w:rPr>
          <w:rFonts w:ascii="Calibri" w:hAnsi="Calibri" w:cs="Calibri"/>
        </w:rPr>
        <w:instrText>ary.wiley.com/doi/pdf/10.1111/jocn.15256","page":"2093-2106","source":"Wiley Online Library","title":"What is the nature of Mental Capacity Act training and how do health and social care practitioners change their practice post-training? A narrative review","title-short":"What is the nature of Mental Capacity Act training and how do health and social care practitioners change their practice post-training?","volume":"29","author":[{"family":"Jenkins","given":"Catharine"},{"family":"Webster","given":"Natalie"</w:instrText>
      </w:r>
      <w:r w:rsidRPr="00DC6460">
        <w:rPr>
          <w:rFonts w:ascii="Calibri" w:hAnsi="Calibri" w:cs="Calibri"/>
        </w:rPr>
        <w:instrText xml:space="preserve">},{"family":"Smythe","given":"Analisa"},{"family":"Cowdell","given":"Fiona"}],"issued":{"date-parts":[["2020"]]}}}],"schema":"https://github.com/citation-style-language/schema/raw/master/csl-citation.json"} </w:instrText>
      </w:r>
      <w:r w:rsidRPr="00DC6460">
        <w:rPr>
          <w:rFonts w:ascii="Calibri" w:hAnsi="Calibri" w:cs="Calibri"/>
        </w:rPr>
        <w:fldChar w:fldCharType="separate"/>
      </w:r>
      <w:r w:rsidRPr="00DC6460">
        <w:rPr>
          <w:rFonts w:ascii="Calibri" w:hAnsi="Calibri" w:cs="Calibri"/>
          <w:kern w:val="0"/>
          <w:vertAlign w:val="superscript"/>
        </w:rPr>
        <w:t>16</w:t>
      </w:r>
      <w:r w:rsidRPr="00DC6460">
        <w:rPr>
          <w:rFonts w:ascii="Calibri" w:hAnsi="Calibri" w:cs="Calibri"/>
        </w:rPr>
        <w:fldChar w:fldCharType="end"/>
      </w:r>
      <w:r w:rsidRPr="00DC6460">
        <w:rPr>
          <w:rFonts w:ascii="Calibri" w:hAnsi="Calibri" w:cs="Calibri"/>
        </w:rPr>
        <w:t xml:space="preserve"> For transition, this means training should be tied to case recording, supervision, legal escalation routes and service audit.</w:t>
      </w:r>
    </w:p>
    <w:p w:rsidR="00AB2823" w:rsidRPr="00DC6460" w:rsidP="006671AF">
      <w:pPr>
        <w:adjustRightInd w:val="0"/>
        <w:snapToGrid w:val="0"/>
        <w:spacing w:after="240" w:line="240" w:lineRule="auto"/>
        <w:rPr>
          <w:rFonts w:ascii="Calibri" w:hAnsi="Calibri" w:cs="Calibri"/>
        </w:rPr>
      </w:pPr>
    </w:p>
    <w:p w:rsidR="00AB2823" w:rsidRPr="00DC6460" w:rsidP="00502CEB">
      <w:pPr>
        <w:adjustRightInd w:val="0"/>
        <w:snapToGrid w:val="0"/>
        <w:spacing w:after="240" w:line="240" w:lineRule="auto"/>
        <w:ind w:left="448" w:hanging="448"/>
        <w:rPr>
          <w:rFonts w:ascii="Calibri" w:hAnsi="Calibri" w:cs="Calibri"/>
          <w:b/>
          <w:bCs/>
        </w:rPr>
      </w:pPr>
      <w:r w:rsidRPr="00DC6460">
        <w:rPr>
          <w:rFonts w:ascii="Calibri" w:hAnsi="Calibri" w:cs="Calibri"/>
          <w:b/>
          <w:bCs/>
        </w:rPr>
        <w:t>Recommendations</w:t>
      </w:r>
    </w:p>
    <w:p w:rsidR="00AB2823" w:rsidRPr="00DC6460" w:rsidP="000F4C16">
      <w:pPr>
        <w:pStyle w:val="ListParagraph"/>
        <w:numPr>
          <w:ilvl w:val="0"/>
          <w:numId w:val="1"/>
        </w:numPr>
        <w:adjustRightInd w:val="0"/>
        <w:snapToGrid w:val="0"/>
        <w:spacing w:after="240" w:line="240" w:lineRule="auto"/>
        <w:ind w:left="448" w:hanging="448"/>
        <w:contextualSpacing w:val="0"/>
        <w:rPr>
          <w:rFonts w:ascii="Calibri" w:hAnsi="Calibri" w:cs="Calibri"/>
        </w:rPr>
      </w:pPr>
      <w:r w:rsidRPr="00DC6460">
        <w:rPr>
          <w:rFonts w:ascii="Calibri" w:hAnsi="Calibri" w:cs="Calibri"/>
        </w:rPr>
        <w:t>Transition plans should record involvement and decision-making authority together. They should state the decision in question, the legal framework being used, the assessment made, the support offered, the carer's role, the limits of that role, and the trigger for reassessment or legal advice.</w:t>
      </w:r>
    </w:p>
    <w:p w:rsidR="00AB2823" w:rsidRPr="00DC6460" w:rsidP="000F4C16">
      <w:pPr>
        <w:pStyle w:val="ListParagraph"/>
        <w:numPr>
          <w:ilvl w:val="0"/>
          <w:numId w:val="1"/>
        </w:numPr>
        <w:adjustRightInd w:val="0"/>
        <w:snapToGrid w:val="0"/>
        <w:spacing w:after="240" w:line="240" w:lineRule="auto"/>
        <w:ind w:left="448" w:hanging="448"/>
        <w:contextualSpacing w:val="0"/>
        <w:rPr>
          <w:rFonts w:ascii="Calibri" w:hAnsi="Calibri" w:cs="Calibri"/>
        </w:rPr>
      </w:pPr>
      <w:r w:rsidRPr="00DC6460">
        <w:rPr>
          <w:rFonts w:ascii="Calibri" w:hAnsi="Calibri" w:cs="Calibri"/>
        </w:rPr>
        <w:t xml:space="preserve">National guidance and staff training should go beyond identifying when each framework applies, and equip staff to conceptualise </w:t>
      </w:r>
      <w:r w:rsidRPr="00DC6460">
        <w:rPr>
          <w:rFonts w:ascii="Calibri" w:hAnsi="Calibri" w:cs="Calibri"/>
        </w:rPr>
        <w:t>decision-making ability</w:t>
      </w:r>
      <w:r w:rsidRPr="00DC6460">
        <w:rPr>
          <w:rFonts w:ascii="Calibri" w:hAnsi="Calibri" w:cs="Calibri"/>
        </w:rPr>
        <w:t xml:space="preserve"> </w:t>
      </w:r>
      <w:r w:rsidRPr="00DC6460">
        <w:rPr>
          <w:rFonts w:ascii="Calibri" w:hAnsi="Calibri" w:cs="Calibri"/>
        </w:rPr>
        <w:t xml:space="preserve">and operationalise </w:t>
      </w:r>
      <w:r w:rsidRPr="00DC6460">
        <w:rPr>
          <w:rFonts w:ascii="Calibri" w:hAnsi="Calibri" w:cs="Calibri"/>
        </w:rPr>
        <w:t>assessment</w:t>
      </w:r>
      <w:r w:rsidRPr="00DC6460">
        <w:rPr>
          <w:rFonts w:ascii="Calibri" w:hAnsi="Calibri" w:cs="Calibri"/>
        </w:rPr>
        <w:t xml:space="preserve"> properly and consistently in real transition decisions. Training should be grounded in real cases, with supervision and clear escalation</w:t>
      </w:r>
      <w:r w:rsidRPr="00DC6460">
        <w:rPr>
          <w:rFonts w:ascii="Calibri" w:hAnsi="Calibri" w:cs="Calibri"/>
        </w:rPr>
        <w:t xml:space="preserve"> </w:t>
      </w:r>
      <w:r w:rsidRPr="00DC6460">
        <w:rPr>
          <w:rFonts w:ascii="Calibri" w:hAnsi="Calibri" w:cs="Calibri"/>
        </w:rPr>
        <w:t xml:space="preserve">routes for the cases </w:t>
      </w:r>
      <w:r w:rsidRPr="00DC6460">
        <w:rPr>
          <w:rFonts w:ascii="Calibri" w:hAnsi="Calibri" w:cs="Calibri"/>
        </w:rPr>
        <w:t>where the law is contested.</w:t>
      </w:r>
    </w:p>
    <w:p w:rsidR="00AB2823" w:rsidRPr="00DC6460" w:rsidP="000F4C16">
      <w:pPr>
        <w:pStyle w:val="ListParagraph"/>
        <w:numPr>
          <w:ilvl w:val="0"/>
          <w:numId w:val="1"/>
        </w:numPr>
        <w:adjustRightInd w:val="0"/>
        <w:snapToGrid w:val="0"/>
        <w:spacing w:after="240" w:line="240" w:lineRule="auto"/>
        <w:ind w:left="448" w:hanging="448"/>
        <w:contextualSpacing w:val="0"/>
        <w:rPr>
          <w:rFonts w:ascii="Calibri" w:hAnsi="Calibri" w:cs="Calibri"/>
        </w:rPr>
      </w:pPr>
      <w:r w:rsidRPr="00DC6460">
        <w:rPr>
          <w:rFonts w:ascii="Calibri" w:hAnsi="Calibri" w:cs="Calibri"/>
        </w:rPr>
        <w:t xml:space="preserve">Future guidance should be informed by empirical work on how </w:t>
      </w:r>
      <w:r w:rsidRPr="00DC6460">
        <w:rPr>
          <w:rFonts w:ascii="Calibri" w:hAnsi="Calibri" w:cs="Calibri"/>
        </w:rPr>
        <w:t>decision-making ability</w:t>
      </w:r>
      <w:r w:rsidRPr="00DC6460">
        <w:rPr>
          <w:rFonts w:ascii="Calibri" w:hAnsi="Calibri" w:cs="Calibri"/>
        </w:rPr>
        <w:t xml:space="preserve"> are actually assessed. Court judgments should be examined to understand how legal concepts of young people's </w:t>
      </w:r>
      <w:r w:rsidRPr="00DC6460">
        <w:rPr>
          <w:rFonts w:ascii="Calibri" w:hAnsi="Calibri" w:cs="Calibri"/>
        </w:rPr>
        <w:t>decision-making ability</w:t>
      </w:r>
      <w:r w:rsidRPr="00DC6460">
        <w:rPr>
          <w:rFonts w:ascii="Calibri" w:hAnsi="Calibri" w:cs="Calibri"/>
        </w:rPr>
        <w:t xml:space="preserve"> are constructed in practice, so that clinical guidance rests on a clearer legal framework rather than broad references to involvement or capacity. Clinical records and practitioner accounts should also be studied to understand how assessment is performed</w:t>
      </w:r>
      <w:r w:rsidRPr="00DC6460">
        <w:rPr>
          <w:rFonts w:ascii="Calibri" w:hAnsi="Calibri" w:cs="Calibri"/>
        </w:rPr>
        <w:t xml:space="preserve"> in frontline</w:t>
      </w:r>
      <w:r w:rsidRPr="00DC6460">
        <w:rPr>
          <w:rFonts w:ascii="Calibri" w:hAnsi="Calibri" w:cs="Calibri"/>
        </w:rPr>
        <w:t xml:space="preserve">, how law is translated into clinical practice, and whether training changes what staff </w:t>
      </w:r>
      <w:r w:rsidRPr="00DC6460">
        <w:rPr>
          <w:rFonts w:ascii="Calibri" w:hAnsi="Calibri" w:cs="Calibri"/>
        </w:rPr>
        <w:t>record and do. Evidence from clinical contexts can then be used to reshape guidance so that it is legally accurate, operationally usable and grounded in the realities of frontline practice.</w:t>
      </w:r>
    </w:p>
    <w:p w:rsidR="00AB2823" w:rsidRPr="00DC6460" w:rsidP="006671AF">
      <w:pPr>
        <w:adjustRightInd w:val="0"/>
        <w:snapToGrid w:val="0"/>
        <w:spacing w:after="240" w:line="240" w:lineRule="auto"/>
        <w:rPr>
          <w:rFonts w:ascii="Calibri" w:hAnsi="Calibri" w:cs="Calibri"/>
        </w:rPr>
      </w:pPr>
    </w:p>
    <w:p w:rsidR="00AB2823" w:rsidRPr="00DC6460" w:rsidP="006671AF">
      <w:pPr>
        <w:adjustRightInd w:val="0"/>
        <w:snapToGrid w:val="0"/>
        <w:spacing w:after="240" w:line="240" w:lineRule="auto"/>
        <w:rPr>
          <w:rFonts w:ascii="Calibri" w:hAnsi="Calibri" w:cs="Calibri"/>
          <w:b/>
          <w:bCs/>
        </w:rPr>
      </w:pPr>
      <w:r w:rsidRPr="00DC6460">
        <w:rPr>
          <w:rFonts w:ascii="Calibri" w:hAnsi="Calibri" w:cs="Calibri"/>
          <w:b/>
          <w:bCs/>
        </w:rPr>
        <w:t>Acknowledgement</w:t>
      </w:r>
      <w:r w:rsidRPr="00DC6460">
        <w:rPr>
          <w:rFonts w:ascii="Calibri" w:hAnsi="Calibri" w:cs="Calibri"/>
          <w:b/>
          <w:bCs/>
        </w:rPr>
        <w:t>s</w:t>
      </w:r>
    </w:p>
    <w:p w:rsidR="00AB2823" w:rsidRPr="00DC6460" w:rsidP="004B230E">
      <w:pPr>
        <w:adjustRightInd w:val="0"/>
        <w:snapToGrid w:val="0"/>
        <w:spacing w:after="240" w:line="240" w:lineRule="auto"/>
        <w:rPr>
          <w:rFonts w:ascii="Calibri" w:hAnsi="Calibri" w:cs="Calibri"/>
        </w:rPr>
      </w:pPr>
      <w:r w:rsidRPr="00DC6460">
        <w:rPr>
          <w:rFonts w:ascii="Calibri" w:hAnsi="Calibri" w:cs="Calibri"/>
        </w:rPr>
        <w:t>I am very grateful to Professor Alex Ruck-Keene, Professor Gareth Owen and Dr Leslie-Anne Duvic-Paoli for reading earlier drafts and giving me thoughtful feedback. The submission is much better thanks to their input. Any errors, or contentious views that remain, are mine alone.</w:t>
      </w:r>
    </w:p>
    <w:p w:rsidR="00AB2823" w:rsidRPr="00DC6460" w:rsidP="004B230E">
      <w:pPr>
        <w:adjustRightInd w:val="0"/>
        <w:snapToGrid w:val="0"/>
        <w:spacing w:after="240" w:line="240" w:lineRule="auto"/>
        <w:rPr>
          <w:rFonts w:ascii="Calibri" w:hAnsi="Calibri" w:cs="Calibri"/>
          <w:lang w:val="en-US"/>
        </w:rPr>
      </w:pPr>
    </w:p>
    <w:p w:rsidR="00AB2823" w:rsidRPr="00DC6460" w:rsidP="006671AF">
      <w:pPr>
        <w:adjustRightInd w:val="0"/>
        <w:snapToGrid w:val="0"/>
        <w:spacing w:after="240" w:line="240" w:lineRule="auto"/>
        <w:rPr>
          <w:rFonts w:ascii="Calibri" w:hAnsi="Calibri" w:cs="Calibri"/>
          <w:b/>
          <w:bCs/>
        </w:rPr>
      </w:pPr>
      <w:r w:rsidRPr="00DC6460">
        <w:rPr>
          <w:rFonts w:ascii="Calibri" w:hAnsi="Calibri" w:cs="Calibri"/>
          <w:b/>
          <w:bCs/>
        </w:rPr>
        <w:t>References</w:t>
      </w:r>
    </w:p>
    <w:p w:rsidR="00AB2823" w:rsidRPr="00DC6460" w:rsidP="00921CC6">
      <w:pPr>
        <w:pStyle w:val="Bibliography"/>
        <w:tabs>
          <w:tab w:val="clear" w:pos="260"/>
          <w:tab w:val="clear" w:pos="380"/>
        </w:tabs>
        <w:spacing w:after="0"/>
        <w:ind w:left="448" w:hanging="448"/>
        <w:rPr>
          <w:rFonts w:ascii="Calibri" w:hAnsi="Calibri" w:cs="Calibri"/>
        </w:rPr>
      </w:pPr>
      <w:r w:rsidRPr="00DC6460">
        <w:rPr>
          <w:rFonts w:ascii="Calibri" w:hAnsi="Calibri" w:cs="Calibri"/>
        </w:rPr>
        <w:fldChar w:fldCharType="begin"/>
      </w:r>
      <w:r w:rsidRPr="00DC6460">
        <w:rPr>
          <w:rFonts w:ascii="Calibri" w:hAnsi="Calibri" w:cs="Calibri"/>
        </w:rPr>
        <w:instrText xml:space="preserve"> ADDIN ZOTERO_BIBL {"uncited":[],"omitted":[],"custom":[]} CSL_BIBLIOGRAPHY </w:instrText>
      </w:r>
      <w:r w:rsidRPr="00DC6460">
        <w:rPr>
          <w:rFonts w:ascii="Calibri" w:hAnsi="Calibri" w:cs="Calibri"/>
        </w:rPr>
        <w:fldChar w:fldCharType="separate"/>
      </w:r>
      <w:r w:rsidRPr="00DC6460">
        <w:rPr>
          <w:rFonts w:ascii="Calibri" w:hAnsi="Calibri" w:cs="Calibri"/>
        </w:rPr>
        <w:t>1</w:t>
      </w:r>
      <w:r w:rsidRPr="00DC6460">
        <w:rPr>
          <w:rFonts w:ascii="Calibri" w:hAnsi="Calibri" w:cs="Calibri"/>
        </w:rPr>
        <w:tab/>
        <w:t>National Institute for Health and Care Excellence. Transition from children’s to adults’ services for young people using health or social care services. 2016; published online Feb 24. https://www.nice.org.uk/guidance/ng43 (accessed May 10, 2026).</w:t>
      </w:r>
    </w:p>
    <w:p w:rsidR="00AB2823" w:rsidRPr="00DC6460" w:rsidP="00921CC6">
      <w:pPr>
        <w:pStyle w:val="Bibliography"/>
        <w:tabs>
          <w:tab w:val="clear" w:pos="260"/>
          <w:tab w:val="clear" w:pos="380"/>
        </w:tabs>
        <w:spacing w:after="0"/>
        <w:ind w:left="448" w:hanging="448"/>
        <w:rPr>
          <w:rFonts w:ascii="Calibri" w:hAnsi="Calibri" w:cs="Calibri"/>
        </w:rPr>
      </w:pPr>
      <w:r w:rsidRPr="00DC6460">
        <w:rPr>
          <w:rFonts w:ascii="Calibri" w:hAnsi="Calibri" w:cs="Calibri"/>
        </w:rPr>
        <w:t>2</w:t>
      </w:r>
      <w:r w:rsidRPr="00DC6460">
        <w:rPr>
          <w:rFonts w:ascii="Calibri" w:hAnsi="Calibri" w:cs="Calibri"/>
        </w:rPr>
        <w:tab/>
        <w:t>Gillick v West Norfolk and Wisbech Health Authority [1986] AC 112. .</w:t>
      </w:r>
    </w:p>
    <w:p w:rsidR="00AB2823" w:rsidRPr="00DC6460" w:rsidP="00921CC6">
      <w:pPr>
        <w:pStyle w:val="Bibliography"/>
        <w:tabs>
          <w:tab w:val="clear" w:pos="260"/>
          <w:tab w:val="clear" w:pos="380"/>
        </w:tabs>
        <w:spacing w:after="0"/>
        <w:ind w:left="448" w:hanging="448"/>
        <w:rPr>
          <w:rFonts w:ascii="Calibri" w:hAnsi="Calibri" w:cs="Calibri"/>
        </w:rPr>
      </w:pPr>
      <w:r w:rsidRPr="00DC6460">
        <w:rPr>
          <w:rFonts w:ascii="Calibri" w:hAnsi="Calibri" w:cs="Calibri"/>
        </w:rPr>
        <w:t>3</w:t>
      </w:r>
      <w:r w:rsidRPr="00DC6460">
        <w:rPr>
          <w:rFonts w:ascii="Calibri" w:hAnsi="Calibri" w:cs="Calibri"/>
        </w:rPr>
        <w:tab/>
      </w:r>
      <w:r w:rsidRPr="00DC6460">
        <w:rPr>
          <w:rFonts w:ascii="Calibri" w:hAnsi="Calibri" w:cs="Calibri"/>
        </w:rPr>
        <w:t>Mental Capacity Act 2005. https://www.legislation.gov.uk/ukpga/2005/9/contents (accessed May 10, 2026).</w:t>
      </w:r>
    </w:p>
    <w:p w:rsidR="00AB2823" w:rsidRPr="00DC6460" w:rsidP="00921CC6">
      <w:pPr>
        <w:pStyle w:val="Bibliography"/>
        <w:tabs>
          <w:tab w:val="clear" w:pos="260"/>
          <w:tab w:val="clear" w:pos="380"/>
        </w:tabs>
        <w:spacing w:after="0"/>
        <w:ind w:left="448" w:hanging="448"/>
        <w:rPr>
          <w:rFonts w:ascii="Calibri" w:hAnsi="Calibri" w:cs="Calibri"/>
        </w:rPr>
      </w:pPr>
      <w:r w:rsidRPr="00DC6460">
        <w:rPr>
          <w:rFonts w:ascii="Calibri" w:hAnsi="Calibri" w:cs="Calibri"/>
        </w:rPr>
        <w:t>4</w:t>
      </w:r>
      <w:r w:rsidRPr="00DC6460">
        <w:rPr>
          <w:rFonts w:ascii="Calibri" w:hAnsi="Calibri" w:cs="Calibri"/>
        </w:rPr>
        <w:tab/>
        <w:t>NHS England. Safeguarding accountability and assurance framework: Safeguarding children, young people and adults at risk in the NHS. 2022; published online July 21. https://www.england.nhs.uk/wp-content/uploads/2015/07/B0818_Safeguarding-children-young-people-and-adults-at-risk-in-the-NHS-Safeguarding-accountability-and-assuran.pdf (accessed May 10, 2026).</w:t>
      </w:r>
    </w:p>
    <w:p w:rsidR="00AB2823" w:rsidRPr="00DC6460" w:rsidP="00921CC6">
      <w:pPr>
        <w:pStyle w:val="Bibliography"/>
        <w:tabs>
          <w:tab w:val="clear" w:pos="260"/>
          <w:tab w:val="clear" w:pos="380"/>
        </w:tabs>
        <w:spacing w:after="0"/>
        <w:ind w:left="448" w:hanging="448"/>
        <w:rPr>
          <w:rFonts w:ascii="Calibri" w:hAnsi="Calibri" w:cs="Calibri"/>
        </w:rPr>
      </w:pPr>
      <w:r w:rsidRPr="00DC6460">
        <w:rPr>
          <w:rFonts w:ascii="Calibri" w:hAnsi="Calibri" w:cs="Calibri"/>
        </w:rPr>
        <w:t>5</w:t>
      </w:r>
      <w:r w:rsidRPr="00DC6460">
        <w:rPr>
          <w:rFonts w:ascii="Calibri" w:hAnsi="Calibri" w:cs="Calibri"/>
        </w:rPr>
        <w:tab/>
        <w:t>General Medical Council. Professional standards: 0-18 years. 2007; published online Oct 15. https://www.gmc-uk.org/professional-standards/the-professional-standards/0-18-years/making-decisions (accessed May 10, 2026).</w:t>
      </w:r>
    </w:p>
    <w:p w:rsidR="00AB2823" w:rsidRPr="00DC6460" w:rsidP="00921CC6">
      <w:pPr>
        <w:pStyle w:val="Bibliography"/>
        <w:tabs>
          <w:tab w:val="clear" w:pos="260"/>
          <w:tab w:val="clear" w:pos="380"/>
        </w:tabs>
        <w:spacing w:after="0"/>
        <w:ind w:left="448" w:hanging="448"/>
        <w:rPr>
          <w:rFonts w:ascii="Calibri" w:hAnsi="Calibri" w:cs="Calibri"/>
        </w:rPr>
      </w:pPr>
      <w:r w:rsidRPr="00DC6460">
        <w:rPr>
          <w:rFonts w:ascii="Calibri" w:hAnsi="Calibri" w:cs="Calibri"/>
        </w:rPr>
        <w:t>6</w:t>
      </w:r>
      <w:r w:rsidRPr="00DC6460">
        <w:rPr>
          <w:rFonts w:ascii="Calibri" w:hAnsi="Calibri" w:cs="Calibri"/>
        </w:rPr>
        <w:tab/>
        <w:t>Department of Health and Social Care. Mental Health Act 1983: Code of Practice. 2015; published online Jan 15. https://www.gov.uk/government/publications/code-of-practice-mental-health-act-1983 (accessed May 10, 2026).</w:t>
      </w:r>
    </w:p>
    <w:p w:rsidR="00AB2823" w:rsidRPr="00DC6460" w:rsidP="00921CC6">
      <w:pPr>
        <w:pStyle w:val="Bibliography"/>
        <w:tabs>
          <w:tab w:val="clear" w:pos="260"/>
          <w:tab w:val="clear" w:pos="380"/>
        </w:tabs>
        <w:spacing w:after="0"/>
        <w:ind w:left="448" w:hanging="448"/>
        <w:rPr>
          <w:rFonts w:ascii="Calibri" w:hAnsi="Calibri" w:cs="Calibri"/>
        </w:rPr>
      </w:pPr>
      <w:r w:rsidRPr="00DC6460">
        <w:rPr>
          <w:rFonts w:ascii="Calibri" w:hAnsi="Calibri" w:cs="Calibri"/>
        </w:rPr>
        <w:t>7</w:t>
      </w:r>
      <w:r w:rsidRPr="00DC6460">
        <w:rPr>
          <w:rFonts w:ascii="Calibri" w:hAnsi="Calibri" w:cs="Calibri"/>
        </w:rPr>
        <w:tab/>
        <w:t>British Medical Association. Children and young people under 16: Ethics toolkit. 2025; published online Feb 13. https://www.bma.org.uk/media/swsfdkbw/children-and-young-people-under-16-toolkit.pdf (accessed May 10, 2026).</w:t>
      </w:r>
    </w:p>
    <w:p w:rsidR="00AB2823" w:rsidRPr="00DC6460" w:rsidP="00921CC6">
      <w:pPr>
        <w:pStyle w:val="Bibliography"/>
        <w:tabs>
          <w:tab w:val="clear" w:pos="260"/>
          <w:tab w:val="clear" w:pos="380"/>
        </w:tabs>
        <w:spacing w:after="0"/>
        <w:ind w:left="448" w:hanging="448"/>
        <w:rPr>
          <w:rFonts w:ascii="Calibri" w:hAnsi="Calibri" w:cs="Calibri"/>
        </w:rPr>
      </w:pPr>
      <w:r w:rsidRPr="00DC6460">
        <w:rPr>
          <w:rFonts w:ascii="Calibri" w:hAnsi="Calibri" w:cs="Calibri"/>
        </w:rPr>
        <w:t>8</w:t>
      </w:r>
      <w:r w:rsidRPr="00DC6460">
        <w:rPr>
          <w:rFonts w:ascii="Calibri" w:hAnsi="Calibri" w:cs="Calibri"/>
        </w:rPr>
        <w:tab/>
        <w:t xml:space="preserve">Cave E. Goodbye Gillick? Identifying and resolving problems with the concept of child competence. </w:t>
      </w:r>
      <w:r w:rsidRPr="00DC6460">
        <w:rPr>
          <w:rFonts w:ascii="Calibri" w:hAnsi="Calibri" w:cs="Calibri"/>
          <w:i/>
          <w:iCs/>
        </w:rPr>
        <w:t>Leg Stud</w:t>
      </w:r>
      <w:r w:rsidRPr="00DC6460">
        <w:rPr>
          <w:rFonts w:ascii="Calibri" w:hAnsi="Calibri" w:cs="Calibri"/>
        </w:rPr>
        <w:t xml:space="preserve"> 2014; </w:t>
      </w:r>
      <w:r w:rsidRPr="00DC6460">
        <w:rPr>
          <w:rFonts w:ascii="Calibri" w:hAnsi="Calibri" w:cs="Calibri"/>
          <w:b/>
          <w:bCs/>
        </w:rPr>
        <w:t>34</w:t>
      </w:r>
      <w:r w:rsidRPr="00DC6460">
        <w:rPr>
          <w:rFonts w:ascii="Calibri" w:hAnsi="Calibri" w:cs="Calibri"/>
        </w:rPr>
        <w:t>: 103–22.</w:t>
      </w:r>
    </w:p>
    <w:p w:rsidR="00AB2823" w:rsidRPr="00DC6460" w:rsidP="00921CC6">
      <w:pPr>
        <w:pStyle w:val="Bibliography"/>
        <w:tabs>
          <w:tab w:val="clear" w:pos="260"/>
          <w:tab w:val="clear" w:pos="380"/>
        </w:tabs>
        <w:spacing w:after="0"/>
        <w:ind w:left="448" w:hanging="448"/>
        <w:rPr>
          <w:rFonts w:ascii="Calibri" w:hAnsi="Calibri" w:cs="Calibri"/>
        </w:rPr>
      </w:pPr>
      <w:r w:rsidRPr="00DC6460">
        <w:rPr>
          <w:rFonts w:ascii="Calibri" w:hAnsi="Calibri" w:cs="Calibri"/>
        </w:rPr>
        <w:t>9</w:t>
      </w:r>
      <w:r w:rsidRPr="00DC6460">
        <w:rPr>
          <w:rFonts w:ascii="Calibri" w:hAnsi="Calibri" w:cs="Calibri"/>
        </w:rPr>
        <w:tab/>
        <w:t xml:space="preserve">Bart A, Hall GA, Gillam L. Gillick competence: an inadequate guide to the ethics of involving adolescents in decision-making. </w:t>
      </w:r>
      <w:r w:rsidRPr="00DC6460">
        <w:rPr>
          <w:rFonts w:ascii="Calibri" w:hAnsi="Calibri" w:cs="Calibri"/>
          <w:i/>
          <w:iCs/>
        </w:rPr>
        <w:t>J Med Ethics</w:t>
      </w:r>
      <w:r w:rsidRPr="00DC6460">
        <w:rPr>
          <w:rFonts w:ascii="Calibri" w:hAnsi="Calibri" w:cs="Calibri"/>
        </w:rPr>
        <w:t xml:space="preserve"> 2023; published online May 11. DOI:10.1136/jme-2023-108930.</w:t>
      </w:r>
    </w:p>
    <w:p w:rsidR="00AB2823" w:rsidRPr="00DC6460" w:rsidP="00921CC6">
      <w:pPr>
        <w:pStyle w:val="Bibliography"/>
        <w:tabs>
          <w:tab w:val="clear" w:pos="260"/>
          <w:tab w:val="clear" w:pos="380"/>
        </w:tabs>
        <w:spacing w:after="0"/>
        <w:ind w:left="448" w:hanging="448"/>
        <w:rPr>
          <w:rFonts w:ascii="Calibri" w:hAnsi="Calibri" w:cs="Calibri"/>
        </w:rPr>
      </w:pPr>
      <w:r w:rsidRPr="00DC6460">
        <w:rPr>
          <w:rFonts w:ascii="Calibri" w:hAnsi="Calibri" w:cs="Calibri"/>
        </w:rPr>
        <w:t>10</w:t>
      </w:r>
      <w:r w:rsidRPr="00DC6460">
        <w:rPr>
          <w:rFonts w:ascii="Calibri" w:hAnsi="Calibri" w:cs="Calibri"/>
        </w:rPr>
        <w:tab/>
        <w:t xml:space="preserve">Hawkins T, Curtice M. Consent in minors: the differential treatment of acceptance and refusal. Part 2 Minors’ decision-making and the reach of their capacity. </w:t>
      </w:r>
      <w:r w:rsidRPr="00DC6460">
        <w:rPr>
          <w:rFonts w:ascii="Calibri" w:hAnsi="Calibri" w:cs="Calibri"/>
          <w:i/>
          <w:iCs/>
        </w:rPr>
        <w:t>BJPsych Adv</w:t>
      </w:r>
      <w:r w:rsidRPr="00DC6460">
        <w:rPr>
          <w:rFonts w:ascii="Calibri" w:hAnsi="Calibri" w:cs="Calibri"/>
        </w:rPr>
        <w:t xml:space="preserve"> 2024; </w:t>
      </w:r>
      <w:r w:rsidRPr="00DC6460">
        <w:rPr>
          <w:rFonts w:ascii="Calibri" w:hAnsi="Calibri" w:cs="Calibri"/>
          <w:b/>
          <w:bCs/>
        </w:rPr>
        <w:t>30</w:t>
      </w:r>
      <w:r w:rsidRPr="00DC6460">
        <w:rPr>
          <w:rFonts w:ascii="Calibri" w:hAnsi="Calibri" w:cs="Calibri"/>
        </w:rPr>
        <w:t>: 177–88.</w:t>
      </w:r>
    </w:p>
    <w:p w:rsidR="00AB2823" w:rsidRPr="00DC6460" w:rsidP="00921CC6">
      <w:pPr>
        <w:pStyle w:val="Bibliography"/>
        <w:tabs>
          <w:tab w:val="clear" w:pos="260"/>
          <w:tab w:val="clear" w:pos="380"/>
        </w:tabs>
        <w:spacing w:after="0"/>
        <w:ind w:left="448" w:hanging="448"/>
        <w:rPr>
          <w:rFonts w:ascii="Calibri" w:hAnsi="Calibri" w:cs="Calibri"/>
        </w:rPr>
      </w:pPr>
      <w:r w:rsidRPr="00DC6460">
        <w:rPr>
          <w:rFonts w:ascii="Calibri" w:hAnsi="Calibri" w:cs="Calibri"/>
        </w:rPr>
        <w:t>11</w:t>
      </w:r>
      <w:r w:rsidRPr="00DC6460">
        <w:rPr>
          <w:rFonts w:ascii="Calibri" w:hAnsi="Calibri" w:cs="Calibri"/>
        </w:rPr>
        <w:tab/>
        <w:t>An NHS Foundation Trust v AB &amp; Ors [2020] EWHC 3221 (Fam). 2020.</w:t>
      </w:r>
    </w:p>
    <w:p w:rsidR="00AB2823" w:rsidRPr="00DC6460" w:rsidP="00921CC6">
      <w:pPr>
        <w:pStyle w:val="Bibliography"/>
        <w:tabs>
          <w:tab w:val="clear" w:pos="260"/>
          <w:tab w:val="clear" w:pos="380"/>
        </w:tabs>
        <w:spacing w:after="0"/>
        <w:ind w:left="448" w:hanging="448"/>
        <w:rPr>
          <w:rFonts w:ascii="Calibri" w:hAnsi="Calibri" w:cs="Calibri"/>
        </w:rPr>
      </w:pPr>
      <w:r w:rsidRPr="00DC6460">
        <w:rPr>
          <w:rFonts w:ascii="Calibri" w:hAnsi="Calibri" w:cs="Calibri"/>
        </w:rPr>
        <w:t>12</w:t>
      </w:r>
      <w:r w:rsidRPr="00DC6460">
        <w:rPr>
          <w:rFonts w:ascii="Calibri" w:hAnsi="Calibri" w:cs="Calibri"/>
        </w:rPr>
        <w:tab/>
        <w:t>Great Ormond Street Hospital for Children NHS Foundation Trust v A &amp; Ors [2021] EWHC 2517 (Fam). 2021.</w:t>
      </w:r>
    </w:p>
    <w:p w:rsidR="00AB2823" w:rsidRPr="00DC6460" w:rsidP="00921CC6">
      <w:pPr>
        <w:pStyle w:val="Bibliography"/>
        <w:tabs>
          <w:tab w:val="clear" w:pos="260"/>
          <w:tab w:val="clear" w:pos="380"/>
        </w:tabs>
        <w:spacing w:after="0"/>
        <w:ind w:left="448" w:hanging="448"/>
        <w:rPr>
          <w:rFonts w:ascii="Calibri" w:hAnsi="Calibri" w:cs="Calibri"/>
        </w:rPr>
      </w:pPr>
      <w:r w:rsidRPr="00DC6460">
        <w:rPr>
          <w:rFonts w:ascii="Calibri" w:hAnsi="Calibri" w:cs="Calibri"/>
        </w:rPr>
        <w:t>13</w:t>
      </w:r>
      <w:r w:rsidRPr="00DC6460">
        <w:rPr>
          <w:rFonts w:ascii="Calibri" w:hAnsi="Calibri" w:cs="Calibri"/>
        </w:rPr>
        <w:tab/>
        <w:t>Family Law Reform Act 1969, c 46. https://www.legislation.gov.uk/ukpga/1969/46 (accessed May 10, 2026).</w:t>
      </w:r>
    </w:p>
    <w:p w:rsidR="00AB2823" w:rsidRPr="00DC6460" w:rsidP="00921CC6">
      <w:pPr>
        <w:pStyle w:val="Bibliography"/>
        <w:tabs>
          <w:tab w:val="clear" w:pos="260"/>
          <w:tab w:val="clear" w:pos="380"/>
        </w:tabs>
        <w:spacing w:after="0"/>
        <w:ind w:left="448" w:hanging="448"/>
        <w:rPr>
          <w:rFonts w:ascii="Calibri" w:hAnsi="Calibri" w:cs="Calibri"/>
        </w:rPr>
      </w:pPr>
      <w:r w:rsidRPr="00DC6460">
        <w:rPr>
          <w:rFonts w:ascii="Calibri" w:hAnsi="Calibri" w:cs="Calibri"/>
        </w:rPr>
        <w:t>14</w:t>
      </w:r>
      <w:r w:rsidRPr="00DC6460">
        <w:rPr>
          <w:rFonts w:ascii="Calibri" w:hAnsi="Calibri" w:cs="Calibri"/>
        </w:rPr>
        <w:tab/>
        <w:t xml:space="preserve">Fenton C. Is consent causing confusion for clinicians? A survey of child and adolescent mental health professional’s confidence in using parental consent, Gillick competence and the Mental Capacity Act. </w:t>
      </w:r>
      <w:r w:rsidRPr="00DC6460">
        <w:rPr>
          <w:rFonts w:ascii="Calibri" w:hAnsi="Calibri" w:cs="Calibri"/>
          <w:i/>
          <w:iCs/>
        </w:rPr>
        <w:t>Clin Child Psychol Psychiatry</w:t>
      </w:r>
      <w:r w:rsidRPr="00DC6460">
        <w:rPr>
          <w:rFonts w:ascii="Calibri" w:hAnsi="Calibri" w:cs="Calibri"/>
        </w:rPr>
        <w:t xml:space="preserve"> 2020; </w:t>
      </w:r>
      <w:r w:rsidRPr="00DC6460">
        <w:rPr>
          <w:rFonts w:ascii="Calibri" w:hAnsi="Calibri" w:cs="Calibri"/>
          <w:b/>
          <w:bCs/>
        </w:rPr>
        <w:t>25</w:t>
      </w:r>
      <w:r w:rsidRPr="00DC6460">
        <w:rPr>
          <w:rFonts w:ascii="Calibri" w:hAnsi="Calibri" w:cs="Calibri"/>
        </w:rPr>
        <w:t>: 922–31.</w:t>
      </w:r>
    </w:p>
    <w:p w:rsidR="00AB2823" w:rsidRPr="00DC6460" w:rsidP="00921CC6">
      <w:pPr>
        <w:pStyle w:val="Bibliography"/>
        <w:tabs>
          <w:tab w:val="clear" w:pos="260"/>
          <w:tab w:val="clear" w:pos="380"/>
        </w:tabs>
        <w:spacing w:after="0"/>
        <w:ind w:left="448" w:hanging="448"/>
        <w:rPr>
          <w:rFonts w:ascii="Calibri" w:hAnsi="Calibri" w:cs="Calibri"/>
        </w:rPr>
      </w:pPr>
      <w:r w:rsidRPr="00DC6460">
        <w:rPr>
          <w:rFonts w:ascii="Calibri" w:hAnsi="Calibri" w:cs="Calibri"/>
        </w:rPr>
        <w:t>15</w:t>
      </w:r>
      <w:r w:rsidRPr="00DC6460">
        <w:rPr>
          <w:rFonts w:ascii="Calibri" w:hAnsi="Calibri" w:cs="Calibri"/>
        </w:rPr>
        <w:tab/>
        <w:t>Care Quality Commission. From the pond into the sea: Children’s transition to adult health services. 2014 https://www.cqc.org.uk/sites/default/files/CQC_Transition%20Report.pdf (accessed May 10, 2026).</w:t>
      </w:r>
    </w:p>
    <w:p w:rsidR="00AB2823" w:rsidRPr="00DC6460" w:rsidP="00921CC6">
      <w:pPr>
        <w:pStyle w:val="Bibliography"/>
        <w:tabs>
          <w:tab w:val="clear" w:pos="260"/>
          <w:tab w:val="clear" w:pos="380"/>
        </w:tabs>
        <w:spacing w:after="0"/>
        <w:ind w:left="448" w:hanging="448"/>
        <w:rPr>
          <w:rFonts w:ascii="Calibri" w:hAnsi="Calibri" w:cs="Calibri"/>
        </w:rPr>
      </w:pPr>
      <w:r w:rsidRPr="00DC6460">
        <w:rPr>
          <w:rFonts w:ascii="Calibri" w:hAnsi="Calibri" w:cs="Calibri"/>
        </w:rPr>
        <w:t>16</w:t>
      </w:r>
      <w:r w:rsidRPr="00DC6460">
        <w:rPr>
          <w:rFonts w:ascii="Calibri" w:hAnsi="Calibri" w:cs="Calibri"/>
        </w:rPr>
        <w:tab/>
        <w:t xml:space="preserve">Jenkins C, Webster N, Smythe A, Cowdell F. What is the nature of Mental Capacity Act training and how do health and social care practitioners change their practice post-training? A narrative review. </w:t>
      </w:r>
      <w:r w:rsidRPr="00DC6460">
        <w:rPr>
          <w:rFonts w:ascii="Calibri" w:hAnsi="Calibri" w:cs="Calibri"/>
          <w:i/>
          <w:iCs/>
        </w:rPr>
        <w:t>J Clin Nurs</w:t>
      </w:r>
      <w:r w:rsidRPr="00DC6460">
        <w:rPr>
          <w:rFonts w:ascii="Calibri" w:hAnsi="Calibri" w:cs="Calibri"/>
        </w:rPr>
        <w:t xml:space="preserve"> 2020; </w:t>
      </w:r>
      <w:r w:rsidRPr="00DC6460">
        <w:rPr>
          <w:rFonts w:ascii="Calibri" w:hAnsi="Calibri" w:cs="Calibri"/>
          <w:b/>
          <w:bCs/>
        </w:rPr>
        <w:t>29</w:t>
      </w:r>
      <w:r w:rsidRPr="00DC6460">
        <w:rPr>
          <w:rFonts w:ascii="Calibri" w:hAnsi="Calibri" w:cs="Calibri"/>
        </w:rPr>
        <w:t>: 2093–106.</w:t>
      </w:r>
    </w:p>
    <w:p w:rsidR="00AB2823" w:rsidP="00921CC6">
      <w:pPr>
        <w:pStyle w:val="Bibliography"/>
        <w:tabs>
          <w:tab w:val="clear" w:pos="260"/>
          <w:tab w:val="clear" w:pos="380"/>
        </w:tabs>
        <w:spacing w:after="0"/>
        <w:ind w:left="448" w:hanging="448"/>
        <w:rPr>
          <w:rFonts w:ascii="Calibri" w:hAnsi="Calibri" w:cs="Calibri"/>
        </w:rPr>
      </w:pPr>
      <w:r w:rsidRPr="00DC6460">
        <w:rPr>
          <w:rFonts w:ascii="Calibri" w:hAnsi="Calibri" w:cs="Calibri"/>
        </w:rPr>
        <w:fldChar w:fldCharType="end"/>
      </w:r>
    </w:p>
    <w:p w:rsidR="00DC6460" w:rsidP="00DC6460"/>
    <w:p w:rsidR="00DC6460" w:rsidRPr="00DC6460" w:rsidP="00DC6460">
      <w:pPr>
        <w:rPr>
          <w:i/>
          <w:iCs/>
        </w:rPr>
      </w:pPr>
      <w:r w:rsidRPr="00DC6460">
        <w:rPr>
          <w:i/>
          <w:iCs/>
        </w:rPr>
        <w:t>May 2026</w:t>
      </w:r>
    </w:p>
    <w:sectPr w:rsidSect="00BC0C63">
      <w:pgSz w:w="11906" w:h="16838"/>
      <w:pgMar w:top="1418" w:right="1134" w:bottom="1797"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ptos">
    <w:charset w:val="00"/>
    <w:family w:val="swiss"/>
    <w:pitch w:val="variable"/>
    <w:sig w:usb0="20000287" w:usb1="00000003" w:usb2="00000000" w:usb3="00000000" w:csb0="0000019F" w:csb1="00000000"/>
  </w:font>
  <w:font w:name="Yu Gothic">
    <w:altName w:val="游ゴシック"/>
    <w:panose1 w:val="020B0400000000000000"/>
    <w:charset w:val="80"/>
    <w:family w:val="swiss"/>
    <w:pitch w:val="variable"/>
    <w:sig w:usb0="E00002FF" w:usb1="2AC7FDFF" w:usb2="00000016" w:usb3="00000000" w:csb0="000200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43C46C2C"/>
    <w:multiLevelType w:val="hybridMultilevel"/>
    <w:tmpl w:val="68E81178"/>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proofState w:spelling="clean" w:grammar="clean"/>
  <w:doNotTrackMoves/>
  <w:defaultTabStop w:val="720"/>
  <w:drawingGridHorizontalSpacing w:val="120"/>
  <w:displayHorizontalDrawingGridEvery w:val="2"/>
  <w:displayVerticalDrawingGridEvery w:val="2"/>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4"/>
        <w:lang w:val="en-GB" w:eastAsia="zh-TW"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Heading1">
    <w:name w:val="heading 1"/>
    <w:basedOn w:val="Normal"/>
    <w:next w:val="Normal"/>
    <w:link w:val="Heading1Char"/>
    <w:uiPriority w:val="9"/>
    <w:qFormat/>
    <w:rsid w:val="000E18E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E18E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E18E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E18E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E18E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E18E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E18E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E18E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E18E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E18E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E18E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E18E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E18E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E18E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E18E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E18E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E18E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E18EA"/>
    <w:rPr>
      <w:rFonts w:eastAsiaTheme="majorEastAsia" w:cstheme="majorBidi"/>
      <w:color w:val="272727" w:themeColor="text1" w:themeTint="D8"/>
    </w:rPr>
  </w:style>
  <w:style w:type="paragraph" w:styleId="Title">
    <w:name w:val="Title"/>
    <w:basedOn w:val="Normal"/>
    <w:next w:val="Normal"/>
    <w:link w:val="TitleChar"/>
    <w:uiPriority w:val="10"/>
    <w:qFormat/>
    <w:rsid w:val="000E18E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E18E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E18E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E18E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E18EA"/>
    <w:pPr>
      <w:spacing w:before="160"/>
      <w:jc w:val="center"/>
    </w:pPr>
    <w:rPr>
      <w:i/>
      <w:iCs/>
      <w:color w:val="404040" w:themeColor="text1" w:themeTint="BF"/>
    </w:rPr>
  </w:style>
  <w:style w:type="character" w:customStyle="1" w:styleId="QuoteChar">
    <w:name w:val="Quote Char"/>
    <w:basedOn w:val="DefaultParagraphFont"/>
    <w:link w:val="Quote"/>
    <w:uiPriority w:val="29"/>
    <w:rsid w:val="000E18EA"/>
    <w:rPr>
      <w:i/>
      <w:iCs/>
      <w:color w:val="404040" w:themeColor="text1" w:themeTint="BF"/>
    </w:rPr>
  </w:style>
  <w:style w:type="paragraph" w:styleId="ListParagraph">
    <w:name w:val="List Paragraph"/>
    <w:basedOn w:val="Normal"/>
    <w:uiPriority w:val="34"/>
    <w:qFormat/>
    <w:rsid w:val="000E18EA"/>
    <w:pPr>
      <w:ind w:left="720"/>
      <w:contextualSpacing/>
    </w:pPr>
  </w:style>
  <w:style w:type="character" w:styleId="IntenseEmphasis">
    <w:name w:val="Intense Emphasis"/>
    <w:basedOn w:val="DefaultParagraphFont"/>
    <w:uiPriority w:val="21"/>
    <w:qFormat/>
    <w:rsid w:val="000E18EA"/>
    <w:rPr>
      <w:i/>
      <w:iCs/>
      <w:color w:val="0F4761" w:themeColor="accent1" w:themeShade="BF"/>
    </w:rPr>
  </w:style>
  <w:style w:type="paragraph" w:styleId="IntenseQuote">
    <w:name w:val="Intense Quote"/>
    <w:basedOn w:val="Normal"/>
    <w:next w:val="Normal"/>
    <w:link w:val="IntenseQuoteChar"/>
    <w:uiPriority w:val="30"/>
    <w:qFormat/>
    <w:rsid w:val="000E18E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E18EA"/>
    <w:rPr>
      <w:i/>
      <w:iCs/>
      <w:color w:val="0F4761" w:themeColor="accent1" w:themeShade="BF"/>
    </w:rPr>
  </w:style>
  <w:style w:type="character" w:styleId="IntenseReference">
    <w:name w:val="Intense Reference"/>
    <w:basedOn w:val="DefaultParagraphFont"/>
    <w:uiPriority w:val="32"/>
    <w:qFormat/>
    <w:rsid w:val="000E18EA"/>
    <w:rPr>
      <w:b/>
      <w:bCs/>
      <w:smallCaps/>
      <w:color w:val="0F4761" w:themeColor="accent1" w:themeShade="BF"/>
      <w:spacing w:val="5"/>
    </w:rPr>
  </w:style>
  <w:style w:type="paragraph" w:styleId="Bibliography">
    <w:name w:val="Bibliography"/>
    <w:basedOn w:val="Normal"/>
    <w:next w:val="Normal"/>
    <w:uiPriority w:val="37"/>
    <w:unhideWhenUsed/>
    <w:rsid w:val="006671AF"/>
    <w:pPr>
      <w:tabs>
        <w:tab w:val="left" w:pos="260"/>
        <w:tab w:val="left" w:pos="380"/>
      </w:tabs>
      <w:spacing w:after="240" w:line="240" w:lineRule="auto"/>
      <w:ind w:left="264" w:hanging="264"/>
    </w:p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Revision">
    <w:name w:val="Revision"/>
    <w:hidden/>
    <w:uiPriority w:val="99"/>
    <w:semiHidden/>
    <w:rsid w:val="004C20CD"/>
    <w:pPr>
      <w:spacing w:after="0" w:line="240" w:lineRule="auto"/>
    </w:pPr>
  </w:style>
  <w:style w:type="paragraph" w:styleId="Header">
    <w:name w:val="header"/>
    <w:basedOn w:val="Normal"/>
    <w:link w:val="HeaderChar"/>
    <w:uiPriority w:val="99"/>
    <w:unhideWhenUsed/>
    <w:rsid w:val="00523220"/>
    <w:pPr>
      <w:tabs>
        <w:tab w:val="center" w:pos="4513"/>
        <w:tab w:val="right" w:pos="9026"/>
      </w:tabs>
      <w:spacing w:after="0" w:line="240" w:lineRule="auto"/>
    </w:pPr>
  </w:style>
  <w:style w:type="character" w:customStyle="1" w:styleId="HeaderChar">
    <w:name w:val="Header Char"/>
    <w:basedOn w:val="DefaultParagraphFont"/>
    <w:link w:val="Header"/>
    <w:uiPriority w:val="99"/>
    <w:rsid w:val="00523220"/>
  </w:style>
  <w:style w:type="paragraph" w:styleId="Footer">
    <w:name w:val="footer"/>
    <w:basedOn w:val="Normal"/>
    <w:link w:val="FooterChar"/>
    <w:uiPriority w:val="99"/>
    <w:unhideWhenUsed/>
    <w:rsid w:val="00523220"/>
    <w:pPr>
      <w:tabs>
        <w:tab w:val="center" w:pos="4513"/>
        <w:tab w:val="right" w:pos="9026"/>
      </w:tabs>
      <w:spacing w:after="0" w:line="240" w:lineRule="auto"/>
    </w:pPr>
  </w:style>
  <w:style w:type="character" w:customStyle="1" w:styleId="FooterChar">
    <w:name w:val="Footer Char"/>
    <w:basedOn w:val="DefaultParagraphFont"/>
    <w:link w:val="Footer"/>
    <w:uiPriority w:val="99"/>
    <w:rsid w:val="00523220"/>
  </w:style>
  <w:style w:type="character" w:styleId="PageNumber">
    <w:name w:val="page number"/>
    <w:basedOn w:val="DefaultParagraphFont"/>
    <w:uiPriority w:val="99"/>
    <w:semiHidden/>
    <w:unhideWhenUsed/>
    <w:rsid w:val="0052322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theme" Target="theme/theme1.xml" /><Relationship Id="rId5" Type="http://schemas.openxmlformats.org/officeDocument/2006/relationships/numbering" Target="numbering.xml" /><Relationship Id="rId6"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a8f77787-5df4-43b6-a2a8-8d8b678a318b}" enabled="1" method="Standard" siteId="{1ce6dd9e-b337-4088-be5e-8dbbec04b34a}" contentBits="0" removed="0"/>
</clbl:labelList>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Written evidence - TRN0060</dc:title>
  <cp:revision>0</cp:revision>
</cp:coreProperties>
</file>