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04997" w:rsidRPr="00204997" w:rsidP="00204997">
      <w:pPr>
        <w:pStyle w:val="Heading1"/>
        <w:jc w:val="center"/>
        <w:rPr>
          <w:rFonts w:ascii="Calibri" w:hAnsi="Calibri" w:cs="Calibri"/>
          <w:b/>
          <w:bCs/>
          <w:color w:val="auto"/>
          <w:sz w:val="28"/>
          <w:szCs w:val="28"/>
        </w:rPr>
      </w:pPr>
      <w:r w:rsidRPr="00204997">
        <w:rPr>
          <w:rFonts w:ascii="Calibri" w:hAnsi="Calibri" w:cs="Calibri"/>
          <w:b/>
          <w:bCs/>
          <w:color w:val="auto"/>
          <w:sz w:val="28"/>
          <w:szCs w:val="28"/>
        </w:rPr>
        <w:t>Written Evidence submitted by Care Quality Commission (TRN005</w:t>
      </w:r>
      <w:r>
        <w:rPr>
          <w:rFonts w:ascii="Calibri" w:hAnsi="Calibri" w:cs="Calibri"/>
          <w:b/>
          <w:bCs/>
          <w:color w:val="auto"/>
          <w:sz w:val="28"/>
          <w:szCs w:val="28"/>
        </w:rPr>
        <w:t>9</w:t>
      </w:r>
      <w:r w:rsidRPr="00204997">
        <w:rPr>
          <w:rFonts w:ascii="Calibri" w:hAnsi="Calibri" w:cs="Calibri"/>
          <w:b/>
          <w:bCs/>
          <w:color w:val="auto"/>
          <w:sz w:val="28"/>
          <w:szCs w:val="28"/>
        </w:rPr>
        <w:t>)</w:t>
      </w:r>
    </w:p>
    <w:p w:rsidR="00204997" w:rsidRPr="00204997" w:rsidP="004A0318">
      <w:pPr>
        <w:pStyle w:val="Heading1"/>
        <w:rPr>
          <w:rFonts w:ascii="Calibri" w:hAnsi="Calibri" w:cs="Calibri"/>
          <w:b/>
          <w:bCs/>
          <w:color w:val="auto"/>
          <w:sz w:val="28"/>
          <w:szCs w:val="28"/>
        </w:rPr>
      </w:pPr>
    </w:p>
    <w:p w:rsidR="00204997" w:rsidRPr="00204997" w:rsidP="004A0318">
      <w:pPr>
        <w:pStyle w:val="Heading1"/>
        <w:rPr>
          <w:rFonts w:ascii="Calibri" w:hAnsi="Calibri" w:cs="Calibri"/>
          <w:b/>
          <w:bCs/>
          <w:color w:val="auto"/>
          <w:sz w:val="28"/>
          <w:szCs w:val="28"/>
        </w:rPr>
      </w:pPr>
    </w:p>
    <w:p w:rsidR="00204997" w:rsidRPr="00204997" w:rsidP="004A0318">
      <w:pPr>
        <w:pStyle w:val="Heading1"/>
        <w:rPr>
          <w:rFonts w:ascii="Calibri" w:hAnsi="Calibri" w:cs="Calibri"/>
          <w:b/>
          <w:bCs/>
          <w:color w:val="auto"/>
          <w:sz w:val="28"/>
          <w:szCs w:val="28"/>
        </w:rPr>
      </w:pPr>
    </w:p>
    <w:p w:rsidR="00B46497" w:rsidRPr="00204997" w:rsidP="004A0318">
      <w:pPr>
        <w:pStyle w:val="Heading1"/>
        <w:rPr>
          <w:rFonts w:ascii="Calibri" w:hAnsi="Calibri" w:cs="Calibri"/>
          <w:b/>
          <w:bCs/>
          <w:color w:val="auto"/>
          <w:sz w:val="28"/>
          <w:szCs w:val="28"/>
        </w:rPr>
      </w:pPr>
      <w:r w:rsidRPr="00204997">
        <w:rPr>
          <w:rFonts w:ascii="Calibri" w:hAnsi="Calibri" w:cs="Calibri"/>
          <w:b/>
          <w:bCs/>
          <w:color w:val="auto"/>
          <w:sz w:val="28"/>
          <w:szCs w:val="28"/>
        </w:rPr>
        <w:t>Care Quality Commission written evidence: Health and Social Care Select Committee Expert Panel on the Transition from Child to Adult Health and Social Care Services</w:t>
      </w:r>
    </w:p>
    <w:p w:rsidR="00B46497" w:rsidRPr="00204997" w:rsidP="004A0318">
      <w:pPr>
        <w:pStyle w:val="Heading2"/>
        <w:rPr>
          <w:rFonts w:ascii="Calibri" w:hAnsi="Calibri" w:cs="Calibri"/>
          <w:color w:val="auto"/>
        </w:rPr>
      </w:pPr>
      <w:r w:rsidRPr="00204997">
        <w:rPr>
          <w:rFonts w:ascii="Calibri" w:hAnsi="Calibri" w:cs="Calibri"/>
          <w:color w:val="auto"/>
        </w:rPr>
        <w:t>Introduction</w:t>
      </w:r>
    </w:p>
    <w:p w:rsidR="00B46497" w:rsidRPr="00204997" w:rsidP="00204997">
      <w:pPr>
        <w:pStyle w:val="ListParagraph"/>
        <w:rPr>
          <w:rFonts w:ascii="Calibri" w:eastAsia="Aptos" w:hAnsi="Calibri" w:cs="Calibri"/>
        </w:rPr>
      </w:pPr>
      <w:r w:rsidRPr="00204997">
        <w:rPr>
          <w:rFonts w:ascii="Calibri" w:hAnsi="Calibri" w:cs="Calibri"/>
        </w:rPr>
        <w:t>CQC is the independent regulator of health and social care in England.</w:t>
      </w:r>
      <w:r w:rsidRPr="00204997">
        <w:rPr>
          <w:rFonts w:ascii="Calibri" w:hAnsi="Calibri" w:cs="Calibri"/>
        </w:rPr>
        <w:t> We</w:t>
      </w:r>
      <w:r w:rsidRPr="00204997">
        <w:rPr>
          <w:rFonts w:ascii="Calibri" w:hAnsi="Calibri" w:cs="Calibri"/>
        </w:rPr>
        <w:t xml:space="preserve"> work together with the public,</w:t>
      </w:r>
      <w:r w:rsidRPr="00204997">
        <w:rPr>
          <w:rFonts w:ascii="Calibri" w:hAnsi="Calibri" w:cs="Calibri"/>
        </w:rPr>
        <w:t> systems and</w:t>
      </w:r>
      <w:r w:rsidRPr="00204997">
        <w:rPr>
          <w:rFonts w:ascii="Calibri" w:hAnsi="Calibri" w:cs="Calibri"/>
        </w:rPr>
        <w:t xml:space="preserve"> providers of care to protect people, and to promote and improve the quality of care.</w:t>
      </w:r>
      <w:r w:rsidRPr="00204997">
        <w:rPr>
          <w:rFonts w:ascii="Calibri" w:hAnsi="Calibri" w:cs="Calibri"/>
        </w:rPr>
        <w:t> </w:t>
      </w:r>
    </w:p>
    <w:p w:rsidR="00B46497" w:rsidRPr="00204997" w:rsidP="00204997">
      <w:pPr>
        <w:pStyle w:val="ListParagraph"/>
        <w:rPr>
          <w:rFonts w:ascii="Calibri" w:eastAsia="Aptos" w:hAnsi="Calibri" w:cs="Calibri"/>
        </w:rPr>
      </w:pPr>
      <w:r w:rsidRPr="00204997">
        <w:rPr>
          <w:rFonts w:ascii="Calibri" w:eastAsia="Aptos" w:hAnsi="Calibri" w:cs="Calibri"/>
        </w:rPr>
        <w:t>We assess how well local authorities in England are meeting their adult social care duties under Part 1 of the Care Act 2014, including sections 58 to 65, which set out specific duties relating to the transition from children's</w:t>
      </w:r>
      <w:r w:rsidRPr="00204997">
        <w:rPr>
          <w:rFonts w:ascii="Calibri" w:eastAsia="Aptos" w:hAnsi="Calibri" w:cs="Calibri"/>
        </w:rPr>
        <w:t xml:space="preserve"> services</w:t>
      </w:r>
      <w:r w:rsidRPr="00204997">
        <w:rPr>
          <w:rFonts w:ascii="Calibri" w:eastAsia="Aptos" w:hAnsi="Calibri" w:cs="Calibri"/>
        </w:rPr>
        <w:t xml:space="preserve"> to adult care and support. We publish a rating and report for each local authority, providing independent assurance that supports local accountability and</w:t>
      </w:r>
      <w:r w:rsidRPr="00204997">
        <w:rPr>
          <w:rFonts w:ascii="Calibri" w:eastAsia="Aptos" w:hAnsi="Calibri" w:cs="Calibri"/>
        </w:rPr>
        <w:t xml:space="preserve"> helps</w:t>
      </w:r>
      <w:r w:rsidRPr="00204997">
        <w:rPr>
          <w:rFonts w:ascii="Calibri" w:eastAsia="Aptos" w:hAnsi="Calibri" w:cs="Calibri"/>
        </w:rPr>
        <w:t xml:space="preserve"> drive improvement in outcomes for local people.</w:t>
      </w:r>
    </w:p>
    <w:p w:rsidR="00B46497" w:rsidRPr="00204997" w:rsidP="00204997">
      <w:pPr>
        <w:pStyle w:val="pf0"/>
        <w:rPr>
          <w:rFonts w:ascii="Calibri" w:hAnsi="Calibri" w:cs="Calibri"/>
          <w:sz w:val="28"/>
          <w:szCs w:val="28"/>
        </w:rPr>
      </w:pPr>
      <w:r w:rsidRPr="00204997">
        <w:rPr>
          <w:rStyle w:val="cf01"/>
          <w:rFonts w:ascii="Calibri" w:hAnsi="Calibri" w:eastAsiaTheme="majorEastAsia" w:cs="Calibri"/>
          <w:sz w:val="24"/>
          <w:szCs w:val="24"/>
        </w:rPr>
        <w:t xml:space="preserve">In 2014, </w:t>
      </w:r>
      <w:r w:rsidRPr="00204997">
        <w:rPr>
          <w:rStyle w:val="cf01"/>
          <w:rFonts w:ascii="Calibri" w:hAnsi="Calibri" w:eastAsiaTheme="majorEastAsia" w:cs="Calibri"/>
          <w:sz w:val="24"/>
          <w:szCs w:val="24"/>
        </w:rPr>
        <w:t>before t</w:t>
      </w:r>
      <w:r w:rsidRPr="00204997">
        <w:rPr>
          <w:rStyle w:val="cf01"/>
          <w:rFonts w:ascii="Calibri" w:hAnsi="Calibri" w:eastAsiaTheme="majorEastAsia" w:cs="Calibri"/>
          <w:sz w:val="24"/>
          <w:szCs w:val="24"/>
        </w:rPr>
        <w:t>he</w:t>
      </w:r>
      <w:r w:rsidRPr="00204997">
        <w:rPr>
          <w:rStyle w:val="cf01"/>
          <w:rFonts w:ascii="Calibri" w:hAnsi="Calibri" w:eastAsiaTheme="majorEastAsia" w:cs="Calibri"/>
          <w:sz w:val="24"/>
          <w:szCs w:val="24"/>
        </w:rPr>
        <w:t xml:space="preserve"> Care Act 2014</w:t>
      </w:r>
      <w:r w:rsidRPr="00204997">
        <w:rPr>
          <w:rStyle w:val="cf01"/>
          <w:rFonts w:ascii="Calibri" w:hAnsi="Calibri" w:eastAsiaTheme="majorEastAsia" w:cs="Calibri"/>
          <w:sz w:val="24"/>
          <w:szCs w:val="24"/>
        </w:rPr>
        <w:t xml:space="preserve"> </w:t>
      </w:r>
      <w:r w:rsidRPr="00204997">
        <w:rPr>
          <w:rStyle w:val="cf01"/>
          <w:rFonts w:ascii="Calibri" w:hAnsi="Calibri" w:eastAsiaTheme="majorEastAsia" w:cs="Calibri"/>
          <w:sz w:val="24"/>
          <w:szCs w:val="24"/>
        </w:rPr>
        <w:t>received Royal Assent</w:t>
      </w:r>
      <w:r w:rsidRPr="00204997">
        <w:rPr>
          <w:rStyle w:val="cf01"/>
          <w:rFonts w:ascii="Calibri" w:hAnsi="Calibri" w:eastAsiaTheme="majorEastAsia" w:cs="Calibri"/>
          <w:sz w:val="24"/>
          <w:szCs w:val="24"/>
        </w:rPr>
        <w:t xml:space="preserve">, </w:t>
      </w:r>
      <w:r w:rsidRPr="00204997">
        <w:rPr>
          <w:rStyle w:val="cf01"/>
          <w:rFonts w:ascii="Calibri" w:hAnsi="Calibri" w:eastAsiaTheme="majorEastAsia" w:cs="Calibri"/>
          <w:sz w:val="24"/>
          <w:szCs w:val="24"/>
        </w:rPr>
        <w:t>CQC published ‘</w:t>
      </w:r>
      <w:r w:rsidRPr="00204997">
        <w:rPr>
          <w:rStyle w:val="cf01"/>
          <w:rFonts w:ascii="Calibri" w:hAnsi="Calibri" w:eastAsiaTheme="majorEastAsia" w:cs="Calibri"/>
          <w:sz w:val="24"/>
          <w:szCs w:val="24"/>
        </w:rPr>
        <w:t xml:space="preserve">From </w:t>
      </w:r>
      <w:r w:rsidRPr="00204997">
        <w:rPr>
          <w:rStyle w:val="cf01"/>
          <w:rFonts w:ascii="Calibri" w:hAnsi="Calibri" w:eastAsiaTheme="majorEastAsia" w:cs="Calibri"/>
          <w:sz w:val="24"/>
          <w:szCs w:val="24"/>
        </w:rPr>
        <w:t>t</w:t>
      </w:r>
      <w:r w:rsidRPr="00204997">
        <w:rPr>
          <w:rStyle w:val="cf01"/>
          <w:rFonts w:ascii="Calibri" w:hAnsi="Calibri" w:eastAsiaTheme="majorEastAsia" w:cs="Calibri"/>
          <w:sz w:val="24"/>
          <w:szCs w:val="24"/>
        </w:rPr>
        <w:t xml:space="preserve">he Pond to </w:t>
      </w:r>
      <w:r w:rsidRPr="00204997">
        <w:rPr>
          <w:rStyle w:val="cf01"/>
          <w:rFonts w:ascii="Calibri" w:hAnsi="Calibri" w:eastAsiaTheme="majorEastAsia" w:cs="Calibri"/>
          <w:sz w:val="24"/>
          <w:szCs w:val="24"/>
        </w:rPr>
        <w:t>t</w:t>
      </w:r>
      <w:r w:rsidRPr="00204997">
        <w:rPr>
          <w:rStyle w:val="cf01"/>
          <w:rFonts w:ascii="Calibri" w:hAnsi="Calibri" w:eastAsiaTheme="majorEastAsia" w:cs="Calibri"/>
          <w:sz w:val="24"/>
          <w:szCs w:val="24"/>
        </w:rPr>
        <w:t>he Sea’</w:t>
      </w:r>
      <w:r>
        <w:rPr>
          <w:rStyle w:val="FootnoteReference"/>
          <w:rFonts w:ascii="Calibri" w:hAnsi="Calibri" w:eastAsiaTheme="majorEastAsia" w:cs="Calibri"/>
        </w:rPr>
        <w:footnoteReference w:id="2"/>
      </w:r>
      <w:r w:rsidRPr="00204997">
        <w:rPr>
          <w:rStyle w:val="cf01"/>
          <w:rFonts w:ascii="Calibri" w:hAnsi="Calibri" w:eastAsiaTheme="majorEastAsia" w:cs="Calibri"/>
          <w:sz w:val="24"/>
          <w:szCs w:val="24"/>
        </w:rPr>
        <w:t xml:space="preserve"> which focussed on transition from children’s to adults health services. Many of the issues highlighted in this report still exist today. </w:t>
      </w:r>
    </w:p>
    <w:p w:rsidR="00B46497" w:rsidRPr="00204997" w:rsidP="00204997">
      <w:pPr>
        <w:pStyle w:val="ListParagraph"/>
        <w:rPr>
          <w:rFonts w:ascii="Calibri" w:eastAsia="Aptos" w:hAnsi="Calibri" w:cs="Calibri"/>
        </w:rPr>
      </w:pPr>
      <w:r w:rsidRPr="00204997">
        <w:rPr>
          <w:rFonts w:ascii="Calibri" w:eastAsia="Aptos" w:hAnsi="Calibri" w:cs="Calibri"/>
        </w:rPr>
        <w:t>CQC and Ofsted jointly inspect local area arrangements for children and young people with special educational needs and/or disabilities (SEND).</w:t>
      </w:r>
      <w:r w:rsidRPr="00204997">
        <w:rPr>
          <w:rFonts w:ascii="Calibri" w:eastAsia="Aptos" w:hAnsi="Calibri" w:cs="Calibri"/>
        </w:rPr>
        <w:t xml:space="preserve"> </w:t>
      </w:r>
      <w:r w:rsidRPr="00204997">
        <w:rPr>
          <w:rFonts w:ascii="Calibri" w:eastAsia="Aptos" w:hAnsi="Calibri" w:cs="Calibri"/>
        </w:rPr>
        <w:t>Each year, we also conduct a small number of thematic visits with Ofsted to investigate a particular aspect of the SEND system in depth. In 2024, these visits focused on preparation for adulthood, with a joint report published in December 2024</w:t>
      </w:r>
      <w:r w:rsidRPr="00204997">
        <w:rPr>
          <w:rFonts w:ascii="Calibri" w:eastAsia="Aptos" w:hAnsi="Calibri" w:cs="Calibri"/>
        </w:rPr>
        <w:t>.</w:t>
      </w:r>
      <w:r>
        <w:rPr>
          <w:rStyle w:val="FootnoteReference"/>
          <w:rFonts w:ascii="Calibri" w:eastAsia="Aptos" w:hAnsi="Calibri" w:cs="Calibri"/>
        </w:rPr>
        <w:footnoteReference w:id="3"/>
      </w:r>
    </w:p>
    <w:p w:rsidR="00B46497" w:rsidRPr="00204997" w:rsidP="00204997">
      <w:pPr>
        <w:pStyle w:val="ListParagraph"/>
        <w:rPr>
          <w:rFonts w:ascii="Calibri" w:eastAsia="Aptos" w:hAnsi="Calibri" w:cs="Calibri"/>
        </w:rPr>
      </w:pPr>
      <w:r w:rsidRPr="00204997">
        <w:rPr>
          <w:rFonts w:ascii="Calibri" w:eastAsia="Arial" w:hAnsi="Calibri" w:cs="Calibri"/>
          <w:lang w:eastAsia="en-GB"/>
        </w:rPr>
        <w:t xml:space="preserve">This submission draws on these areas of our work to assist the Expert Panel in its evaluation of the transition from child to adult health and social care services. We are also finalising a national report bringing together findings and examples of good practice and innovation from local authority assessments, focusing on key themes including transitions. We aim to publish this in Summer 2026 and will keep the Expert Panel updated so that its findings can inform the </w:t>
      </w:r>
      <w:r w:rsidRPr="00204997">
        <w:rPr>
          <w:rFonts w:ascii="Calibri" w:eastAsia="Arial" w:hAnsi="Calibri" w:cs="Calibri"/>
          <w:lang w:eastAsia="en-GB"/>
        </w:rPr>
        <w:t>evaluation</w:t>
      </w:r>
      <w:r w:rsidRPr="00204997">
        <w:rPr>
          <w:rFonts w:ascii="Calibri" w:eastAsia="Arial" w:hAnsi="Calibri" w:cs="Calibri"/>
          <w:lang w:eastAsia="en-GB"/>
        </w:rPr>
        <w:t>.</w:t>
      </w:r>
    </w:p>
    <w:p w:rsidR="00B46497" w:rsidRPr="00204997" w:rsidP="00204997">
      <w:pPr>
        <w:pStyle w:val="Heading2"/>
        <w:rPr>
          <w:rFonts w:ascii="Calibri" w:eastAsia="Aptos" w:hAnsi="Calibri" w:cs="Calibri"/>
          <w:b/>
          <w:color w:val="auto"/>
          <w:sz w:val="24"/>
          <w:szCs w:val="24"/>
        </w:rPr>
      </w:pPr>
      <w:r w:rsidRPr="00204997">
        <w:rPr>
          <w:rFonts w:ascii="Calibri" w:hAnsi="Calibri" w:cs="Calibri"/>
          <w:b/>
          <w:color w:val="auto"/>
          <w:sz w:val="24"/>
          <w:szCs w:val="24"/>
        </w:rPr>
        <w:t>Focus area 1: Timeliness and pace of the transition to adult services</w:t>
      </w:r>
    </w:p>
    <w:p w:rsidR="00B46497" w:rsidRPr="00204997" w:rsidP="00204997">
      <w:pPr>
        <w:pStyle w:val="ListParagraph"/>
        <w:rPr>
          <w:rFonts w:ascii="Calibri" w:hAnsi="Calibri" w:cs="Calibri"/>
        </w:rPr>
      </w:pPr>
      <w:r w:rsidRPr="00204997">
        <w:rPr>
          <w:rFonts w:ascii="Calibri" w:eastAsia="Aptos" w:hAnsi="Calibri" w:cs="Calibri"/>
        </w:rPr>
        <w:t>Our local authority assessment framework considers how local authorities work with people, provide support, ensure safety and exercise leadership. Transitions from children's to adult care and support are assessed through the 'Safe systems, pathways and transitions' quality statement within the safety theme. This looks at whether local authorities are identifying young people who will need adult care and support in good time, planning effectively with them and their families, and ensuring that transitions a</w:t>
      </w:r>
      <w:r w:rsidRPr="00204997">
        <w:rPr>
          <w:rFonts w:ascii="Calibri" w:eastAsia="Aptos" w:hAnsi="Calibri" w:cs="Calibri"/>
        </w:rPr>
        <w:t>re safe, timely and person-centred.</w:t>
      </w:r>
    </w:p>
    <w:p w:rsidR="00B46497" w:rsidRPr="00204997" w:rsidP="00204997">
      <w:pPr>
        <w:pStyle w:val="ListParagraph"/>
        <w:rPr>
          <w:rFonts w:ascii="Calibri" w:hAnsi="Calibri" w:cs="Calibri"/>
        </w:rPr>
      </w:pPr>
      <w:r w:rsidRPr="00204997">
        <w:rPr>
          <w:rFonts w:ascii="Calibri" w:eastAsia="Aptos" w:hAnsi="Calibri" w:cs="Calibri"/>
        </w:rPr>
        <w:t>Our assessments to date show that transitions is often an area of challenge, particularly where planning does not begin early enough. Local authorities that perform well in this area tend to start preparing young people for transition from age 14, working closely with families and taking a thorough approach to early, clear planning.</w:t>
      </w:r>
      <w:r w:rsidRPr="00204997">
        <w:rPr>
          <w:rStyle w:val="FootnoteReference"/>
          <w:rFonts w:ascii="Calibri" w:hAnsi="Calibri" w:cs="Calibri"/>
        </w:rPr>
        <w:t xml:space="preserve"> </w:t>
      </w:r>
      <w:r>
        <w:rPr>
          <w:rStyle w:val="FootnoteReference"/>
          <w:rFonts w:ascii="Calibri" w:hAnsi="Calibri" w:cs="Calibri"/>
        </w:rPr>
        <w:footnoteReference w:id="4"/>
      </w:r>
      <w:r w:rsidRPr="00204997">
        <w:rPr>
          <w:rFonts w:ascii="Calibri" w:hAnsi="Calibri" w:cs="Calibri"/>
        </w:rPr>
        <w:t xml:space="preserve"> </w:t>
      </w:r>
      <w:r w:rsidRPr="00204997">
        <w:rPr>
          <w:rFonts w:ascii="Calibri" w:eastAsia="Aptos" w:hAnsi="Calibri" w:cs="Calibri"/>
        </w:rPr>
        <w:t>Where gaps exist, we expect local authorities to strengthen their approach, ensuring the process begins early and is co-produced with the young person and their family.</w:t>
      </w:r>
    </w:p>
    <w:p w:rsidR="00B46497" w:rsidRPr="00204997" w:rsidP="00204997">
      <w:pPr>
        <w:pStyle w:val="ListParagraph"/>
        <w:rPr>
          <w:rFonts w:ascii="Calibri" w:eastAsia="Aptos" w:hAnsi="Calibri" w:cs="Calibri"/>
        </w:rPr>
      </w:pPr>
      <w:r w:rsidRPr="00204997">
        <w:rPr>
          <w:rFonts w:ascii="Calibri" w:eastAsia="Aptos" w:hAnsi="Calibri" w:cs="Calibri"/>
        </w:rPr>
        <w:t xml:space="preserve">Our joint thematic review with Ofsted on preparation for adulthood similarly found longstanding systemic barriers to effective transition planning. Weaker local area partnerships were typically slow to initiate transition from children's to adult health services. </w:t>
      </w:r>
      <w:r w:rsidRPr="00204997">
        <w:rPr>
          <w:rFonts w:ascii="Calibri" w:eastAsia="Aptos" w:hAnsi="Calibri" w:cs="Calibri"/>
        </w:rPr>
        <w:t>S</w:t>
      </w:r>
      <w:r w:rsidRPr="00204997">
        <w:rPr>
          <w:rFonts w:ascii="Calibri" w:eastAsia="Aptos" w:hAnsi="Calibri" w:cs="Calibri"/>
        </w:rPr>
        <w:t xml:space="preserve">tronger partnerships ensured that preparation for adulthood began in the early years and was embedded consistently within a child or young person's education, health and care (EHC) plan, with clear </w:t>
      </w:r>
      <w:r w:rsidRPr="00204997">
        <w:rPr>
          <w:rFonts w:ascii="Calibri" w:eastAsia="Aptos" w:hAnsi="Calibri" w:cs="Calibri"/>
        </w:rPr>
        <w:t xml:space="preserve">comprehensive </w:t>
      </w:r>
      <w:r w:rsidRPr="00204997">
        <w:rPr>
          <w:rFonts w:ascii="Calibri" w:eastAsia="Aptos" w:hAnsi="Calibri" w:cs="Calibri"/>
        </w:rPr>
        <w:t>goals across all areas.</w:t>
      </w:r>
      <w:r w:rsidRPr="00204997">
        <w:rPr>
          <w:rStyle w:val="FootnoteReference"/>
          <w:rFonts w:ascii="Calibri" w:eastAsia="Aptos" w:hAnsi="Calibri" w:cs="Calibri"/>
        </w:rPr>
        <w:t xml:space="preserve"> </w:t>
      </w:r>
      <w:r>
        <w:rPr>
          <w:rStyle w:val="FootnoteReference"/>
          <w:rFonts w:ascii="Calibri" w:eastAsia="Aptos" w:hAnsi="Calibri" w:cs="Calibri"/>
        </w:rPr>
        <w:footnoteReference w:id="5"/>
      </w:r>
      <w:r w:rsidRPr="00204997">
        <w:rPr>
          <w:rFonts w:ascii="Calibri" w:eastAsia="Aptos" w:hAnsi="Calibri" w:cs="Calibri"/>
        </w:rPr>
        <w:t xml:space="preserve"> Area SEND inspections have also highlighted that timely annual reviews are a key component of successful transition planning.</w:t>
      </w:r>
    </w:p>
    <w:p w:rsidR="00B46497" w:rsidRPr="00204997" w:rsidP="00204997">
      <w:pPr>
        <w:pStyle w:val="ListParagraph"/>
        <w:rPr>
          <w:rFonts w:ascii="Calibri" w:eastAsia="Aptos" w:hAnsi="Calibri" w:cs="Calibri"/>
        </w:rPr>
      </w:pPr>
      <w:r w:rsidRPr="00204997">
        <w:rPr>
          <w:rFonts w:ascii="Calibri" w:eastAsia="Aptos" w:hAnsi="Calibri" w:cs="Calibri"/>
        </w:rPr>
        <w:t>Our assessments of local authorities in England found a range of approaches to identifying those who will need to transition to adult services and to monitoring their transition planning. These include transitions trackers, dashboards combining education, health and care data, and multiagency panels that support early identification, action planning and prioritisation of support. In some areas, Adults Services transitions staff attend EHC Plan reviews from age 14, creating early links with adult social care</w:t>
      </w:r>
      <w:r w:rsidRPr="00204997">
        <w:rPr>
          <w:rFonts w:ascii="Calibri" w:eastAsia="Aptos" w:hAnsi="Calibri" w:cs="Calibri"/>
        </w:rPr>
        <w:t xml:space="preserve"> before a Care Act assessment is required. Close working between transitions workers, schools and special educational needs coordinators also helps to identify young people who may be eligible for a Care Act assessment or require other support.</w:t>
      </w:r>
    </w:p>
    <w:p w:rsidR="00B46497" w:rsidRPr="00204997" w:rsidP="00204997">
      <w:pPr>
        <w:pStyle w:val="ListParagraph"/>
        <w:rPr>
          <w:rFonts w:ascii="Calibri" w:eastAsia="Aptos" w:hAnsi="Calibri" w:cs="Calibri"/>
        </w:rPr>
      </w:pPr>
      <w:r w:rsidRPr="00204997">
        <w:rPr>
          <w:rFonts w:ascii="Calibri" w:eastAsia="Aptos" w:hAnsi="Calibri" w:cs="Calibri"/>
        </w:rPr>
        <w:t>However, we have also found areas where no formal transitions pathways are in place, and inconsistency in whether preparation for adulthood features in EHC plans.</w:t>
      </w:r>
    </w:p>
    <w:p w:rsidR="00B46497" w:rsidRPr="00204997" w:rsidP="00204997">
      <w:pPr>
        <w:pStyle w:val="ListParagraph"/>
        <w:rPr>
          <w:rFonts w:ascii="Calibri" w:eastAsia="Aptos" w:hAnsi="Calibri" w:cs="Calibri"/>
        </w:rPr>
      </w:pPr>
      <w:r w:rsidRPr="00204997">
        <w:rPr>
          <w:rFonts w:ascii="Calibri" w:eastAsia="Aptos" w:hAnsi="Calibri" w:cs="Calibri"/>
        </w:rPr>
        <w:t>The following examples from our assessments and inspections illustrate this range of practice.</w:t>
      </w:r>
    </w:p>
    <w:p w:rsidR="00B46497" w:rsidRPr="00204997" w:rsidP="00204997">
      <w:pPr>
        <w:rPr>
          <w:rFonts w:ascii="Calibri" w:hAnsi="Calibri" w:cs="Calibri"/>
          <w:b/>
          <w:bCs/>
        </w:rPr>
      </w:pPr>
    </w:p>
    <w:p w:rsidR="00B46497" w:rsidRPr="00204997" w:rsidP="00204997">
      <w:pPr>
        <w:rPr>
          <w:rFonts w:ascii="Calibri" w:hAnsi="Calibri" w:cs="Calibri"/>
          <w:b/>
        </w:rPr>
      </w:pPr>
      <w:r w:rsidRPr="00204997">
        <w:rPr>
          <w:rFonts w:ascii="Calibri" w:hAnsi="Calibri" w:cs="Calibri"/>
          <w:b/>
        </w:rPr>
        <w:t>London Borough of Merton - Local Authority Assessment</w:t>
      </w:r>
      <w:r>
        <w:rPr>
          <w:rStyle w:val="FootnoteReference"/>
          <w:rFonts w:ascii="Calibri" w:hAnsi="Calibri" w:cs="Calibri"/>
          <w:b/>
          <w:bCs/>
        </w:rPr>
        <w:footnoteReference w:id="6"/>
      </w:r>
      <w:r w:rsidRPr="00204997">
        <w:rPr>
          <w:rFonts w:ascii="Calibri" w:hAnsi="Calibri" w:cs="Calibri"/>
          <w:b/>
        </w:rPr>
        <w:t xml:space="preserve"> </w:t>
      </w:r>
    </w:p>
    <w:p w:rsidR="00B46497" w:rsidRPr="00204997" w:rsidP="00204997">
      <w:pPr>
        <w:pStyle w:val="ListParagraph"/>
        <w:rPr>
          <w:rFonts w:ascii="Calibri" w:hAnsi="Calibri" w:cs="Calibri"/>
          <w:b/>
        </w:rPr>
      </w:pPr>
      <w:r w:rsidRPr="00204997">
        <w:rPr>
          <w:rFonts w:ascii="Calibri" w:hAnsi="Calibri" w:cs="Calibri"/>
        </w:rPr>
        <w:t xml:space="preserve">We found that transitions were of a good standard. </w:t>
      </w:r>
      <w:r w:rsidRPr="00204997">
        <w:rPr>
          <w:rFonts w:ascii="Calibri" w:hAnsi="Calibri" w:cs="Calibri"/>
        </w:rPr>
        <w:t>Merton's transitions team had been restructured to more effectively identify young people with Care Act needs approaching transition, and a transitions tracker supported multi-agency collaboration around which agency would lead on each young person's transition. Leaders reported that young people were identified from age 14, with planning commencing at 16. However, partners indicated that communication from the local authority could be improved at this planning stage, with one partner describing having to c</w:t>
      </w:r>
      <w:r w:rsidRPr="00204997">
        <w:rPr>
          <w:rFonts w:ascii="Calibri" w:hAnsi="Calibri" w:cs="Calibri"/>
        </w:rPr>
        <w:t xml:space="preserve">hase the local authority for information needed to identify risks and arrange appropriate care. </w:t>
      </w:r>
    </w:p>
    <w:p w:rsidR="00B46497" w:rsidRPr="00204997" w:rsidP="00204997">
      <w:pPr>
        <w:rPr>
          <w:rFonts w:ascii="Calibri" w:hAnsi="Calibri" w:cs="Calibri"/>
        </w:rPr>
      </w:pPr>
    </w:p>
    <w:p w:rsidR="00B46497" w:rsidRPr="00204997" w:rsidP="00204997">
      <w:pPr>
        <w:rPr>
          <w:rFonts w:ascii="Calibri" w:hAnsi="Calibri" w:cs="Calibri"/>
          <w:b/>
        </w:rPr>
      </w:pPr>
      <w:r w:rsidRPr="00204997">
        <w:rPr>
          <w:rFonts w:ascii="Calibri" w:hAnsi="Calibri" w:cs="Calibri"/>
          <w:b/>
        </w:rPr>
        <w:t>Wigan Council</w:t>
      </w:r>
      <w:r w:rsidRPr="00204997">
        <w:rPr>
          <w:rFonts w:ascii="Calibri" w:hAnsi="Calibri" w:cs="Calibri"/>
          <w:b/>
        </w:rPr>
        <w:t xml:space="preserve"> - Local Authority Assessment</w:t>
      </w:r>
      <w:r>
        <w:rPr>
          <w:rStyle w:val="FootnoteReference"/>
          <w:rFonts w:ascii="Calibri" w:hAnsi="Calibri" w:cs="Calibri"/>
          <w:b/>
        </w:rPr>
        <w:footnoteReference w:id="7"/>
      </w:r>
      <w:r w:rsidRPr="00204997">
        <w:rPr>
          <w:rFonts w:ascii="Calibri" w:hAnsi="Calibri" w:cs="Calibri"/>
          <w:b/>
        </w:rPr>
        <w:t xml:space="preserve"> </w:t>
      </w:r>
    </w:p>
    <w:p w:rsidR="00B46497" w:rsidRPr="00204997" w:rsidP="00204997">
      <w:pPr>
        <w:pStyle w:val="ListParagraph"/>
        <w:rPr>
          <w:rFonts w:ascii="Calibri" w:hAnsi="Calibri" w:cs="Calibri"/>
        </w:rPr>
      </w:pPr>
      <w:r w:rsidRPr="00204997">
        <w:rPr>
          <w:rFonts w:ascii="Calibri" w:hAnsi="Calibri" w:cs="Calibri"/>
        </w:rPr>
        <w:t xml:space="preserve">Wigan had established dashboards to monitor the volume of referrals for young people approaching adulthood, alongside multiagency panels attended by children's and adult services staff and health partners, supporting early identification, action planning and prioritisation of support. In February 2025, the local authority facilitated multiagency transition workshops bringing together a wide range of professionals and providers to ensure young people with the most complex needs were being considered earlier </w:t>
      </w:r>
      <w:r w:rsidRPr="00204997">
        <w:rPr>
          <w:rFonts w:ascii="Calibri" w:hAnsi="Calibri" w:cs="Calibri"/>
        </w:rPr>
        <w:t>and in a more joined-up way.</w:t>
      </w:r>
    </w:p>
    <w:p w:rsidR="00B46497" w:rsidRPr="00204997" w:rsidP="00204997">
      <w:pPr>
        <w:rPr>
          <w:rFonts w:ascii="Calibri" w:hAnsi="Calibri" w:cs="Calibri"/>
        </w:rPr>
      </w:pPr>
    </w:p>
    <w:p w:rsidR="00B46497" w:rsidRPr="00204997" w:rsidP="00204997">
      <w:pPr>
        <w:rPr>
          <w:rFonts w:ascii="Calibri" w:hAnsi="Calibri" w:cs="Calibri"/>
          <w:b/>
        </w:rPr>
      </w:pPr>
      <w:r w:rsidRPr="00204997">
        <w:rPr>
          <w:rFonts w:ascii="Calibri" w:hAnsi="Calibri" w:cs="Calibri"/>
          <w:b/>
        </w:rPr>
        <w:t>Cumberland Council - Local Authority Assessment</w:t>
      </w:r>
      <w:r>
        <w:rPr>
          <w:rStyle w:val="FootnoteReference"/>
          <w:rFonts w:ascii="Calibri" w:hAnsi="Calibri" w:cs="Calibri"/>
          <w:b/>
          <w:bCs/>
        </w:rPr>
        <w:footnoteReference w:id="8"/>
      </w:r>
      <w:r w:rsidRPr="00204997">
        <w:rPr>
          <w:rFonts w:ascii="Calibri" w:hAnsi="Calibri" w:cs="Calibri"/>
          <w:b/>
        </w:rPr>
        <w:t xml:space="preserve"> </w:t>
      </w:r>
    </w:p>
    <w:p w:rsidR="00B46497" w:rsidRPr="00204997" w:rsidP="00204997">
      <w:pPr>
        <w:pStyle w:val="ListParagraph"/>
        <w:rPr>
          <w:rFonts w:ascii="Calibri" w:hAnsi="Calibri" w:cs="Calibri"/>
        </w:rPr>
      </w:pPr>
      <w:r w:rsidRPr="00204997">
        <w:rPr>
          <w:rFonts w:ascii="Calibri" w:hAnsi="Calibri" w:cs="Calibri"/>
        </w:rPr>
        <w:t xml:space="preserve">Cumberland's transitions-focused practitioners </w:t>
      </w:r>
      <w:r w:rsidRPr="00204997">
        <w:rPr>
          <w:rFonts w:ascii="Calibri" w:hAnsi="Calibri" w:cs="Calibri"/>
        </w:rPr>
        <w:t xml:space="preserve">who worked in the learning disability, autism and transitions team </w:t>
      </w:r>
      <w:r w:rsidRPr="00204997">
        <w:rPr>
          <w:rFonts w:ascii="Calibri" w:hAnsi="Calibri" w:cs="Calibri"/>
        </w:rPr>
        <w:t xml:space="preserve">attended EHC Plan reviews from age 14, helping to establish early links with adult social care. </w:t>
      </w:r>
      <w:r w:rsidRPr="00204997">
        <w:rPr>
          <w:rFonts w:ascii="Calibri" w:hAnsi="Calibri" w:cs="Calibri"/>
        </w:rPr>
        <w:t>While transitions workers completed assessments with young people and their families, staff noted that the subsequent handover to another worker for ongoing support could be challenging for young people, given the relationships they had built.</w:t>
      </w:r>
    </w:p>
    <w:p w:rsidR="00B46497" w:rsidRPr="00204997" w:rsidP="00204997">
      <w:pPr>
        <w:pStyle w:val="ListParagraph"/>
        <w:rPr>
          <w:rFonts w:ascii="Calibri" w:hAnsi="Calibri" w:cs="Calibri"/>
        </w:rPr>
      </w:pPr>
      <w:r w:rsidRPr="00204997">
        <w:rPr>
          <w:rFonts w:ascii="Calibri" w:hAnsi="Calibri" w:cs="Calibri"/>
        </w:rPr>
        <w:t>Staff and leaders highlighted that strong relationships between children's and adult services, including a meeting every eight weeks with children's services, relevant partners and the young person, helped to ensure young people were identified and not missed. Transitions workers also worked closely with schools and SENCOs to identify young people who might be eligible for a Care Act assessment.</w:t>
      </w:r>
    </w:p>
    <w:p w:rsidR="00B46497" w:rsidRPr="00204997" w:rsidP="00204997">
      <w:pPr>
        <w:rPr>
          <w:rFonts w:ascii="Calibri" w:hAnsi="Calibri" w:cs="Calibri"/>
          <w:b/>
          <w:u w:val="single"/>
        </w:rPr>
      </w:pPr>
      <w:r w:rsidRPr="00204997">
        <w:rPr>
          <w:rFonts w:ascii="Calibri" w:hAnsi="Calibri" w:cs="Calibri"/>
        </w:rPr>
        <w:t xml:space="preserve"> </w:t>
      </w:r>
    </w:p>
    <w:p w:rsidR="00B46497" w:rsidRPr="00204997" w:rsidP="00204997">
      <w:pPr>
        <w:rPr>
          <w:rFonts w:ascii="Calibri" w:hAnsi="Calibri" w:cs="Calibri"/>
          <w:b/>
        </w:rPr>
      </w:pPr>
      <w:r w:rsidRPr="00204997">
        <w:rPr>
          <w:rFonts w:ascii="Calibri" w:hAnsi="Calibri" w:cs="Calibri"/>
          <w:b/>
        </w:rPr>
        <w:t>Thurrock Council</w:t>
      </w:r>
      <w:r w:rsidRPr="00204997">
        <w:rPr>
          <w:rFonts w:ascii="Calibri" w:hAnsi="Calibri" w:cs="Calibri"/>
          <w:b/>
        </w:rPr>
        <w:t xml:space="preserve"> - Area SEND Inspection</w:t>
      </w:r>
      <w:r>
        <w:rPr>
          <w:rStyle w:val="FootnoteReference"/>
          <w:rFonts w:ascii="Calibri" w:hAnsi="Calibri" w:cs="Calibri"/>
          <w:b/>
        </w:rPr>
        <w:footnoteReference w:id="9"/>
      </w:r>
    </w:p>
    <w:p w:rsidR="00B46497" w:rsidRPr="00204997" w:rsidP="00204997">
      <w:pPr>
        <w:pStyle w:val="ListParagraph"/>
        <w:rPr>
          <w:rFonts w:ascii="Calibri" w:hAnsi="Calibri" w:cs="Calibri"/>
        </w:rPr>
      </w:pPr>
      <w:r w:rsidRPr="00204997">
        <w:rPr>
          <w:rFonts w:ascii="Calibri" w:hAnsi="Calibri" w:cs="Calibri"/>
        </w:rPr>
        <w:t>The</w:t>
      </w:r>
      <w:r w:rsidRPr="00204997">
        <w:rPr>
          <w:rFonts w:ascii="Calibri" w:hAnsi="Calibri" w:cs="Calibri"/>
        </w:rPr>
        <w:t xml:space="preserve"> inspection found the</w:t>
      </w:r>
      <w:r w:rsidRPr="00204997">
        <w:rPr>
          <w:rFonts w:ascii="Calibri" w:hAnsi="Calibri" w:cs="Calibri"/>
        </w:rPr>
        <w:t xml:space="preserve">re </w:t>
      </w:r>
      <w:r w:rsidRPr="00204997">
        <w:rPr>
          <w:rFonts w:ascii="Calibri" w:hAnsi="Calibri" w:cs="Calibri"/>
        </w:rPr>
        <w:t>were</w:t>
      </w:r>
      <w:r w:rsidRPr="00204997">
        <w:rPr>
          <w:rFonts w:ascii="Calibri" w:hAnsi="Calibri" w:cs="Calibri"/>
        </w:rPr>
        <w:t xml:space="preserve"> no formal transition pathways to help children and young people with SEND manage their health needs as they enter adulthood</w:t>
      </w:r>
      <w:r w:rsidRPr="00204997">
        <w:rPr>
          <w:rFonts w:ascii="Calibri" w:hAnsi="Calibri" w:cs="Calibri"/>
        </w:rPr>
        <w:t>, representing</w:t>
      </w:r>
      <w:r w:rsidRPr="00204997">
        <w:rPr>
          <w:rFonts w:ascii="Calibri" w:hAnsi="Calibri" w:cs="Calibri"/>
        </w:rPr>
        <w:t xml:space="preserve"> a missed opportunity to create continuity of care.</w:t>
      </w:r>
    </w:p>
    <w:p w:rsidR="00B46497" w:rsidRPr="00204997" w:rsidP="00204997">
      <w:pPr>
        <w:pStyle w:val="ListParagraph"/>
        <w:rPr>
          <w:rFonts w:ascii="Calibri" w:hAnsi="Calibri" w:cs="Calibri"/>
        </w:rPr>
      </w:pPr>
    </w:p>
    <w:p w:rsidR="00B46497" w:rsidRPr="00204997" w:rsidP="00204997">
      <w:pPr>
        <w:rPr>
          <w:rFonts w:ascii="Calibri" w:hAnsi="Calibri" w:cs="Calibri"/>
          <w:b/>
        </w:rPr>
      </w:pPr>
      <w:r w:rsidRPr="00204997">
        <w:rPr>
          <w:rFonts w:ascii="Calibri" w:hAnsi="Calibri" w:cs="Calibri"/>
          <w:b/>
        </w:rPr>
        <w:t>East Riding of Yorkshire Local Area Partnership</w:t>
      </w:r>
      <w:r w:rsidRPr="00204997">
        <w:rPr>
          <w:rFonts w:ascii="Calibri" w:hAnsi="Calibri" w:cs="Calibri"/>
          <w:b/>
        </w:rPr>
        <w:t xml:space="preserve"> - Area SEND Inspection </w:t>
      </w:r>
      <w:r>
        <w:rPr>
          <w:rStyle w:val="FootnoteReference"/>
          <w:rFonts w:ascii="Calibri" w:hAnsi="Calibri" w:cs="Calibri"/>
          <w:b/>
        </w:rPr>
        <w:footnoteReference w:id="10"/>
      </w:r>
    </w:p>
    <w:p w:rsidR="00B46497" w:rsidRPr="00204997" w:rsidP="00204997">
      <w:pPr>
        <w:pStyle w:val="ListParagraph"/>
        <w:rPr>
          <w:rFonts w:ascii="Calibri" w:hAnsi="Calibri" w:cs="Calibri"/>
        </w:rPr>
      </w:pPr>
      <w:r w:rsidRPr="00204997">
        <w:rPr>
          <w:rFonts w:ascii="Calibri" w:hAnsi="Calibri" w:cs="Calibri"/>
        </w:rPr>
        <w:t>The inspection identified that the local area partnership should improve the quality and consistency of EHC plans by ensuring all key partners are included in annual reviews, that plans accurately reflect each child or young person's primary area of need, that health and social care advice is effectively embedded, and that preparation for adulthood planning is included consistently and reflects the child or young person's aspirations, talents and interests in a timely way.</w:t>
      </w:r>
      <w:r w:rsidRPr="00204997">
        <w:rPr>
          <w:rFonts w:ascii="Calibri" w:hAnsi="Calibri" w:cs="Calibri"/>
        </w:rPr>
        <w:t xml:space="preserve"> </w:t>
      </w:r>
    </w:p>
    <w:p w:rsidR="00B46497" w:rsidRPr="00204997" w:rsidP="00204997">
      <w:pPr>
        <w:pStyle w:val="ListParagraph"/>
        <w:rPr>
          <w:rFonts w:ascii="Calibri" w:hAnsi="Calibri" w:cs="Calibri"/>
        </w:rPr>
      </w:pPr>
    </w:p>
    <w:p w:rsidR="00B46497" w:rsidRPr="00204997" w:rsidP="00204997">
      <w:pPr>
        <w:rPr>
          <w:rFonts w:ascii="Calibri" w:hAnsi="Calibri" w:cs="Calibri"/>
          <w:b/>
        </w:rPr>
      </w:pPr>
      <w:r w:rsidRPr="00204997">
        <w:rPr>
          <w:rFonts w:ascii="Calibri" w:hAnsi="Calibri" w:cs="Calibri"/>
          <w:b/>
        </w:rPr>
        <w:t>Leicester</w:t>
      </w:r>
      <w:r w:rsidRPr="00204997">
        <w:rPr>
          <w:rFonts w:ascii="Calibri" w:hAnsi="Calibri" w:cs="Calibri"/>
          <w:b/>
        </w:rPr>
        <w:t xml:space="preserve"> Local Area Partnership</w:t>
      </w:r>
      <w:r w:rsidRPr="00204997">
        <w:rPr>
          <w:rFonts w:ascii="Calibri" w:hAnsi="Calibri" w:cs="Calibri"/>
          <w:b/>
        </w:rPr>
        <w:t xml:space="preserve"> - Area SEND Inspection</w:t>
      </w:r>
      <w:r>
        <w:rPr>
          <w:rStyle w:val="FootnoteReference"/>
          <w:rFonts w:ascii="Calibri" w:hAnsi="Calibri" w:cs="Calibri"/>
          <w:b/>
        </w:rPr>
        <w:footnoteReference w:id="11"/>
      </w:r>
    </w:p>
    <w:p w:rsidR="00B46497" w:rsidRPr="00204997" w:rsidP="00204997">
      <w:pPr>
        <w:pStyle w:val="ListParagraph"/>
        <w:rPr>
          <w:rFonts w:ascii="Calibri" w:hAnsi="Calibri" w:cs="Calibri"/>
        </w:rPr>
      </w:pPr>
      <w:r w:rsidRPr="00204997">
        <w:rPr>
          <w:rFonts w:ascii="Calibri" w:hAnsi="Calibri" w:cs="Calibri"/>
        </w:rPr>
        <w:t xml:space="preserve">The inspection found that the local area partnership should ensure their strategic approach to transition enables children and young people to receive the right help and support in preparation for adulthood, with a particular focus on how preparation for adulthood outcomes are met across education, health and social care. </w:t>
      </w:r>
    </w:p>
    <w:p w:rsidR="00B46497" w:rsidRPr="00204997" w:rsidP="00204997">
      <w:pPr>
        <w:pStyle w:val="Heading2"/>
        <w:rPr>
          <w:rFonts w:ascii="Calibri" w:hAnsi="Calibri" w:cs="Calibri"/>
          <w:b/>
          <w:color w:val="auto"/>
          <w:sz w:val="24"/>
          <w:szCs w:val="24"/>
        </w:rPr>
      </w:pPr>
      <w:r w:rsidRPr="00204997">
        <w:rPr>
          <w:rFonts w:ascii="Calibri" w:hAnsi="Calibri" w:cs="Calibri"/>
          <w:b/>
          <w:color w:val="auto"/>
          <w:sz w:val="24"/>
          <w:szCs w:val="24"/>
        </w:rPr>
        <w:t>Managing transfers from children's to adult services, gaps in provision and how they are monitored</w:t>
      </w:r>
    </w:p>
    <w:p w:rsidR="00B46497" w:rsidRPr="00204997" w:rsidP="00204997">
      <w:pPr>
        <w:pStyle w:val="ListParagraph"/>
        <w:rPr>
          <w:rFonts w:ascii="Calibri" w:hAnsi="Calibri" w:cs="Calibri"/>
          <w:b/>
          <w:bCs/>
          <w:i/>
          <w:iCs/>
        </w:rPr>
      </w:pPr>
      <w:r w:rsidRPr="00204997">
        <w:rPr>
          <w:rFonts w:ascii="Calibri" w:eastAsia="Aptos" w:hAnsi="Calibri" w:cs="Calibri"/>
        </w:rPr>
        <w:t xml:space="preserve">The offer, practice and approach under adult services is often markedly different to that under children’s, across a range of different services. </w:t>
      </w:r>
      <w:r w:rsidRPr="00204997">
        <w:rPr>
          <w:rFonts w:ascii="Calibri" w:hAnsi="Calibri" w:cs="Calibri"/>
        </w:rPr>
        <w:t>There are also very different statutory frameworks for children and adults, all making transitions particularly significant for young people, their parents and carers.</w:t>
      </w:r>
      <w:r>
        <w:rPr>
          <w:rStyle w:val="FootnoteReference"/>
          <w:rFonts w:ascii="Calibri" w:eastAsia="Aptos" w:hAnsi="Calibri" w:cs="Calibri"/>
        </w:rPr>
        <w:footnoteReference w:id="12"/>
      </w:r>
    </w:p>
    <w:p w:rsidR="00B46497" w:rsidRPr="00204997" w:rsidP="00204997">
      <w:pPr>
        <w:pStyle w:val="ListParagraph"/>
        <w:rPr>
          <w:rFonts w:ascii="Calibri" w:hAnsi="Calibri" w:cs="Calibri"/>
        </w:rPr>
      </w:pPr>
      <w:r w:rsidRPr="00204997">
        <w:rPr>
          <w:rFonts w:ascii="Calibri" w:hAnsi="Calibri" w:cs="Calibri"/>
        </w:rPr>
        <w:t xml:space="preserve">The focus of </w:t>
      </w:r>
      <w:r w:rsidRPr="00204997">
        <w:rPr>
          <w:rFonts w:ascii="Calibri" w:hAnsi="Calibri" w:cs="Calibri"/>
        </w:rPr>
        <w:t>the</w:t>
      </w:r>
      <w:r w:rsidRPr="00204997">
        <w:rPr>
          <w:rFonts w:ascii="Calibri" w:hAnsi="Calibri" w:cs="Calibri"/>
        </w:rPr>
        <w:t xml:space="preserve"> legislation for children and adults services</w:t>
      </w:r>
      <w:r w:rsidRPr="00204997">
        <w:rPr>
          <w:rFonts w:ascii="Calibri" w:hAnsi="Calibri" w:cs="Calibri"/>
        </w:rPr>
        <w:t xml:space="preserve"> is </w:t>
      </w:r>
      <w:r w:rsidRPr="00204997">
        <w:rPr>
          <w:rFonts w:ascii="Calibri" w:hAnsi="Calibri" w:cs="Calibri"/>
        </w:rPr>
        <w:t xml:space="preserve">also </w:t>
      </w:r>
      <w:r w:rsidRPr="00204997">
        <w:rPr>
          <w:rFonts w:ascii="Calibri" w:hAnsi="Calibri" w:cs="Calibri"/>
        </w:rPr>
        <w:t>different, from more care and support for children to promoting independence under adult legislation in the Care Act</w:t>
      </w:r>
      <w:r w:rsidRPr="00204997">
        <w:rPr>
          <w:rFonts w:ascii="Calibri" w:hAnsi="Calibri" w:cs="Calibri"/>
        </w:rPr>
        <w:t xml:space="preserve"> (2014)</w:t>
      </w:r>
      <w:r w:rsidRPr="00204997">
        <w:rPr>
          <w:rFonts w:ascii="Calibri" w:hAnsi="Calibri" w:cs="Calibri"/>
        </w:rPr>
        <w:t>. This needs to be communicated effectively with people and their families/carers</w:t>
      </w:r>
      <w:r w:rsidRPr="00204997">
        <w:rPr>
          <w:rFonts w:ascii="Calibri" w:hAnsi="Calibri" w:cs="Calibri"/>
        </w:rPr>
        <w:t xml:space="preserve"> </w:t>
      </w:r>
    </w:p>
    <w:p w:rsidR="00B46497" w:rsidRPr="00204997" w:rsidP="00204997">
      <w:pPr>
        <w:pStyle w:val="ListParagraph"/>
        <w:rPr>
          <w:rFonts w:ascii="Calibri" w:hAnsi="Calibri" w:cs="Calibri"/>
          <w:b/>
          <w:bCs/>
          <w:i/>
          <w:iCs/>
        </w:rPr>
      </w:pPr>
      <w:r w:rsidRPr="00204997">
        <w:rPr>
          <w:rFonts w:ascii="Calibri" w:hAnsi="Calibri" w:cs="Calibri"/>
        </w:rPr>
        <w:t>It is also important to consider the difference in transitions for young people depending on their diagnosis, or whether they have a diagnosis at all. As part of our joint review with Ofsted, we found that children and young people are more likely to face a ‘cliff edge’ in support when they do not meet thresholds for adult health services. For example, in one area we visited, there was no service to support young people who do not have a diagnosis of a learning disability or a mental health condition once t</w:t>
      </w:r>
      <w:r w:rsidRPr="00204997">
        <w:rPr>
          <w:rFonts w:ascii="Calibri" w:hAnsi="Calibri" w:cs="Calibri"/>
        </w:rPr>
        <w:t>hey reach adulthood. Overall, we found that transition planning for those with complex needs who have an EHC plan was often much stronger than for those receiving special educational needs (SEN) support without an EHC plan.</w:t>
      </w:r>
      <w:r>
        <w:rPr>
          <w:rStyle w:val="FootnoteReference"/>
          <w:rFonts w:ascii="Calibri" w:hAnsi="Calibri" w:cs="Calibri"/>
        </w:rPr>
        <w:footnoteReference w:id="13"/>
      </w:r>
      <w:r w:rsidRPr="00204997">
        <w:rPr>
          <w:rFonts w:ascii="Calibri" w:hAnsi="Calibri" w:cs="Calibri"/>
        </w:rPr>
        <w:t xml:space="preserve">   </w:t>
      </w:r>
    </w:p>
    <w:p w:rsidR="00B46497" w:rsidRPr="00204997" w:rsidP="00204997">
      <w:pPr>
        <w:pStyle w:val="ListParagraph"/>
        <w:rPr>
          <w:rFonts w:ascii="Calibri" w:hAnsi="Calibri" w:cs="Calibri"/>
          <w:b/>
          <w:bCs/>
          <w:i/>
          <w:iCs/>
        </w:rPr>
      </w:pPr>
      <w:r w:rsidRPr="00204997">
        <w:rPr>
          <w:rFonts w:ascii="Calibri" w:hAnsi="Calibri" w:cs="Calibri"/>
        </w:rPr>
        <w:t>Care pathways for autistic people and pathways for young people transitioning to adult services are not always clear.</w:t>
      </w:r>
      <w:r>
        <w:rPr>
          <w:rStyle w:val="FootnoteReference"/>
          <w:rFonts w:ascii="Calibri" w:hAnsi="Calibri" w:cs="Calibri"/>
        </w:rPr>
        <w:footnoteReference w:id="14"/>
      </w:r>
      <w:r w:rsidRPr="00204997">
        <w:rPr>
          <w:rFonts w:ascii="Calibri" w:hAnsi="Calibri" w:cs="Calibri"/>
        </w:rPr>
        <w:t xml:space="preserve">  </w:t>
      </w:r>
    </w:p>
    <w:p w:rsidR="00B46497" w:rsidRPr="00204997" w:rsidP="00204997">
      <w:pPr>
        <w:pStyle w:val="ListParagraph"/>
        <w:rPr>
          <w:rFonts w:ascii="Calibri" w:hAnsi="Calibri" w:cs="Calibri"/>
        </w:rPr>
      </w:pPr>
      <w:r w:rsidRPr="00204997">
        <w:rPr>
          <w:rFonts w:ascii="Calibri" w:hAnsi="Calibri" w:cs="Calibri"/>
        </w:rPr>
        <w:t>The following examples illustrate some of the challenges we have found in practice.</w:t>
      </w:r>
    </w:p>
    <w:p w:rsidR="00B46497" w:rsidRPr="00204997" w:rsidP="00204997">
      <w:pPr>
        <w:rPr>
          <w:rFonts w:ascii="Calibri" w:hAnsi="Calibri" w:cs="Calibri"/>
          <w:b/>
        </w:rPr>
      </w:pPr>
      <w:r w:rsidRPr="00204997">
        <w:rPr>
          <w:rFonts w:ascii="Calibri" w:hAnsi="Calibri" w:cs="Calibri"/>
          <w:b/>
          <w:bCs/>
        </w:rPr>
        <w:t>London Borough of Brent</w:t>
      </w:r>
      <w:r w:rsidRPr="00204997">
        <w:rPr>
          <w:rFonts w:ascii="Calibri" w:hAnsi="Calibri" w:cs="Calibri"/>
          <w:b/>
          <w:bCs/>
        </w:rPr>
        <w:t xml:space="preserve"> - </w:t>
      </w:r>
      <w:r w:rsidRPr="00204997">
        <w:rPr>
          <w:rFonts w:ascii="Calibri" w:hAnsi="Calibri" w:cs="Calibri"/>
          <w:b/>
        </w:rPr>
        <w:t>Local Authority Assessment</w:t>
      </w:r>
      <w:r>
        <w:rPr>
          <w:rStyle w:val="FootnoteReference"/>
          <w:rFonts w:ascii="Calibri" w:hAnsi="Calibri" w:cs="Calibri"/>
          <w:b/>
        </w:rPr>
        <w:footnoteReference w:id="15"/>
      </w:r>
      <w:r w:rsidRPr="00204997">
        <w:rPr>
          <w:rFonts w:ascii="Calibri" w:hAnsi="Calibri" w:cs="Calibri"/>
          <w:b/>
        </w:rPr>
        <w:t xml:space="preserve"> </w:t>
      </w:r>
    </w:p>
    <w:p w:rsidR="00B46497" w:rsidRPr="00204997" w:rsidP="00204997">
      <w:pPr>
        <w:pStyle w:val="ListParagraph"/>
        <w:rPr>
          <w:rFonts w:ascii="Calibri" w:hAnsi="Calibri" w:cs="Calibri"/>
        </w:rPr>
      </w:pPr>
      <w:r w:rsidRPr="00204997">
        <w:rPr>
          <w:rFonts w:ascii="Calibri" w:hAnsi="Calibri" w:cs="Calibri"/>
        </w:rPr>
        <w:t>Our assessment found gaps in the health offer for young people with mental health, autism and ADHD needs, limiting opportunities for preventive work and increasing the risk of young people requiring acute mental health care. Staff described how some support ceased when a young person turned 18, with limited provision available in adulthood.</w:t>
      </w:r>
      <w:r>
        <w:rPr>
          <w:rStyle w:val="FootnoteReference"/>
          <w:rFonts w:ascii="Calibri" w:hAnsi="Calibri" w:cs="Calibri"/>
        </w:rPr>
        <w:footnoteReference w:id="16"/>
      </w:r>
      <w:r w:rsidRPr="00204997">
        <w:rPr>
          <w:rFonts w:ascii="Calibri" w:hAnsi="Calibri" w:cs="Calibri"/>
        </w:rPr>
        <w:t xml:space="preserve"> </w:t>
      </w:r>
    </w:p>
    <w:p w:rsidR="00B46497" w:rsidRPr="00204997" w:rsidP="00204997">
      <w:pPr>
        <w:rPr>
          <w:rFonts w:ascii="Calibri" w:hAnsi="Calibri" w:cs="Calibri"/>
          <w:b/>
        </w:rPr>
      </w:pPr>
      <w:r w:rsidRPr="00204997">
        <w:rPr>
          <w:rFonts w:ascii="Calibri" w:hAnsi="Calibri" w:cs="Calibri"/>
          <w:b/>
          <w:bCs/>
        </w:rPr>
        <w:t>Hull City Council – Local Authority Assessment</w:t>
      </w:r>
      <w:r>
        <w:rPr>
          <w:rStyle w:val="FootnoteReference"/>
          <w:rFonts w:ascii="Calibri" w:hAnsi="Calibri" w:cs="Calibri"/>
          <w:b/>
          <w:bCs/>
        </w:rPr>
        <w:footnoteReference w:id="17"/>
      </w:r>
    </w:p>
    <w:p w:rsidR="00B46497" w:rsidRPr="00204997" w:rsidP="00204997">
      <w:pPr>
        <w:pStyle w:val="ListParagraph"/>
        <w:rPr>
          <w:rFonts w:ascii="Calibri" w:hAnsi="Calibri" w:cs="Calibri"/>
        </w:rPr>
      </w:pPr>
      <w:r w:rsidRPr="00204997">
        <w:rPr>
          <w:rFonts w:ascii="Calibri" w:hAnsi="Calibri" w:cs="Calibri"/>
        </w:rPr>
        <w:t xml:space="preserve">Our assessment found mixed experiences of the pathway supporting people transitioning from children's to adult services. Those supported by the specialist High Needs team had a stronger experience, while those assessed as less complex by a locality team reported poorer </w:t>
      </w:r>
      <w:r w:rsidRPr="00204997">
        <w:rPr>
          <w:rFonts w:ascii="Calibri" w:hAnsi="Calibri" w:cs="Calibri"/>
        </w:rPr>
        <w:t>experiences</w:t>
      </w:r>
      <w:r w:rsidRPr="00204997">
        <w:rPr>
          <w:rFonts w:ascii="Calibri" w:hAnsi="Calibri" w:cs="Calibri"/>
        </w:rPr>
        <w:t xml:space="preserve">. People told us they found the differences between children's and adult services confusing. Staff reported late referrals from children's services despite the pathway specifying that referrals should be made from age 14, </w:t>
      </w:r>
      <w:r w:rsidRPr="00204997">
        <w:rPr>
          <w:rFonts w:ascii="Calibri" w:hAnsi="Calibri" w:cs="Calibri"/>
        </w:rPr>
        <w:t>impacting</w:t>
      </w:r>
      <w:r w:rsidRPr="00204997">
        <w:rPr>
          <w:rFonts w:ascii="Calibri" w:hAnsi="Calibri" w:cs="Calibri"/>
        </w:rPr>
        <w:t xml:space="preserve"> the planning that could take place before a young person turned 18. </w:t>
      </w:r>
    </w:p>
    <w:p w:rsidR="00B46497" w:rsidRPr="00204997" w:rsidP="00204997">
      <w:pPr>
        <w:pStyle w:val="ListParagraph"/>
        <w:rPr>
          <w:rFonts w:ascii="Calibri" w:hAnsi="Calibri" w:cs="Calibri"/>
        </w:rPr>
      </w:pPr>
      <w:r w:rsidRPr="00204997">
        <w:rPr>
          <w:rFonts w:ascii="Calibri" w:hAnsi="Calibri" w:cs="Calibri"/>
        </w:rPr>
        <w:t>Local authority data showed the average age for assessment of young people with complex needs was 17 years and 2 months in December 2024, and additional resource had been identified to improve capacity to assess people earlier. The local authority also recognised that young people not in formal education or open to children's services could be missed, and was conducting outreach through parent carer forums and community events to raise awareness of the transitions offer.</w:t>
      </w:r>
    </w:p>
    <w:p w:rsidR="00B46497" w:rsidRPr="00204997" w:rsidP="00204997">
      <w:pPr>
        <w:rPr>
          <w:rFonts w:ascii="Calibri" w:hAnsi="Calibri" w:cs="Calibri"/>
          <w:b/>
        </w:rPr>
      </w:pPr>
      <w:r w:rsidRPr="00204997">
        <w:rPr>
          <w:rFonts w:ascii="Calibri" w:hAnsi="Calibri" w:cs="Calibri"/>
          <w:b/>
        </w:rPr>
        <w:t xml:space="preserve">Thurrock </w:t>
      </w:r>
      <w:r w:rsidRPr="00204997">
        <w:rPr>
          <w:rFonts w:ascii="Calibri" w:hAnsi="Calibri" w:cs="Calibri"/>
          <w:b/>
        </w:rPr>
        <w:t>Local Area Partnership</w:t>
      </w:r>
      <w:r w:rsidRPr="00204997">
        <w:rPr>
          <w:rFonts w:ascii="Calibri" w:hAnsi="Calibri" w:cs="Calibri"/>
          <w:b/>
          <w:bCs/>
        </w:rPr>
        <w:t xml:space="preserve"> – Area SEND Inspection</w:t>
      </w:r>
      <w:r>
        <w:rPr>
          <w:rStyle w:val="FootnoteReference"/>
          <w:rFonts w:ascii="Calibri" w:hAnsi="Calibri" w:cs="Calibri"/>
          <w:b/>
          <w:bCs/>
        </w:rPr>
        <w:footnoteReference w:id="18"/>
      </w:r>
    </w:p>
    <w:p w:rsidR="00B46497" w:rsidRPr="00204997" w:rsidP="00204997">
      <w:pPr>
        <w:pStyle w:val="ListParagraph"/>
        <w:rPr>
          <w:rStyle w:val="cf01"/>
          <w:rFonts w:ascii="Calibri" w:hAnsi="Calibri" w:eastAsiaTheme="majorEastAsia" w:cs="Calibri"/>
          <w:sz w:val="24"/>
          <w:szCs w:val="24"/>
        </w:rPr>
      </w:pPr>
      <w:r w:rsidRPr="00204997">
        <w:rPr>
          <w:rStyle w:val="cf01"/>
          <w:rFonts w:ascii="Calibri" w:hAnsi="Calibri" w:eastAsiaTheme="majorEastAsia" w:cs="Calibri"/>
          <w:sz w:val="24"/>
          <w:szCs w:val="24"/>
        </w:rPr>
        <w:t xml:space="preserve">The inspection found insufficient capacity on adult neurodevelopmental pathways for 18 to 25 year olds, leading to extensive delays in diagnosis and intervention. These delays affect the mental health of young people </w:t>
      </w:r>
      <w:r w:rsidRPr="00204997">
        <w:rPr>
          <w:rStyle w:val="cf01"/>
          <w:rFonts w:ascii="Calibri" w:hAnsi="Calibri" w:eastAsiaTheme="majorEastAsia" w:cs="Calibri"/>
          <w:sz w:val="24"/>
          <w:szCs w:val="24"/>
        </w:rPr>
        <w:t>with SE</w:t>
      </w:r>
      <w:r w:rsidRPr="00204997">
        <w:rPr>
          <w:rStyle w:val="cf01"/>
          <w:rFonts w:ascii="Calibri" w:hAnsi="Calibri" w:eastAsiaTheme="majorEastAsia" w:cs="Calibri"/>
          <w:sz w:val="24"/>
          <w:szCs w:val="24"/>
        </w:rPr>
        <w:t xml:space="preserve">ND </w:t>
      </w:r>
      <w:r w:rsidRPr="00204997">
        <w:rPr>
          <w:rStyle w:val="cf01"/>
          <w:rFonts w:ascii="Calibri" w:hAnsi="Calibri" w:eastAsiaTheme="majorEastAsia" w:cs="Calibri"/>
          <w:sz w:val="24"/>
          <w:szCs w:val="24"/>
        </w:rPr>
        <w:t>whose needs were not identified in childhood, and are compounded by further delays in accessing medication and reviews following diagnosis.</w:t>
      </w:r>
    </w:p>
    <w:p w:rsidR="00B46497" w:rsidRPr="00204997" w:rsidP="00204997">
      <w:pPr>
        <w:rPr>
          <w:rFonts w:ascii="Calibri" w:hAnsi="Calibri" w:cs="Calibri"/>
          <w:b/>
        </w:rPr>
      </w:pPr>
      <w:r w:rsidRPr="00204997">
        <w:rPr>
          <w:rFonts w:ascii="Calibri" w:hAnsi="Calibri" w:cs="Calibri"/>
          <w:b/>
        </w:rPr>
        <w:t>Ealing Local Area Partnership</w:t>
      </w:r>
      <w:r w:rsidRPr="00204997">
        <w:rPr>
          <w:rFonts w:ascii="Calibri" w:hAnsi="Calibri" w:cs="Calibri"/>
          <w:b/>
        </w:rPr>
        <w:t xml:space="preserve"> – Area SEND Inspection</w:t>
      </w:r>
      <w:r>
        <w:rPr>
          <w:rStyle w:val="FootnoteReference"/>
          <w:rFonts w:ascii="Calibri" w:hAnsi="Calibri" w:cs="Calibri"/>
          <w:b/>
        </w:rPr>
        <w:footnoteReference w:id="19"/>
      </w:r>
    </w:p>
    <w:p w:rsidR="00B46497" w:rsidRPr="00204997" w:rsidP="00204997">
      <w:pPr>
        <w:pStyle w:val="ListParagraph"/>
        <w:rPr>
          <w:rFonts w:ascii="Calibri" w:hAnsi="Calibri" w:cs="Calibri"/>
        </w:rPr>
      </w:pPr>
      <w:r w:rsidRPr="00204997">
        <w:rPr>
          <w:rFonts w:ascii="Calibri" w:hAnsi="Calibri" w:cs="Calibri"/>
        </w:rPr>
        <w:t xml:space="preserve">The inspection found that children and young people with SEND experience inconsistent support and guidance to prepare them for adulthood. Practitioners </w:t>
      </w:r>
      <w:r w:rsidRPr="00204997">
        <w:rPr>
          <w:rFonts w:ascii="Calibri" w:hAnsi="Calibri" w:cs="Calibri"/>
        </w:rPr>
        <w:t>across education, health and social care do not always collaborate effectively, resulting in significant variation in the quality of support provided. For example, travel training and access to transition services are not universally available. This variability is also reflected in EHC plans, which often lack appropriately personalised transition planning.</w:t>
      </w:r>
    </w:p>
    <w:p w:rsidR="00B46497" w:rsidRPr="00204997" w:rsidP="00204997">
      <w:pPr>
        <w:pStyle w:val="Heading2"/>
        <w:rPr>
          <w:rFonts w:ascii="Calibri" w:hAnsi="Calibri" w:cs="Calibri"/>
          <w:b/>
          <w:color w:val="auto"/>
          <w:sz w:val="24"/>
          <w:szCs w:val="24"/>
        </w:rPr>
      </w:pPr>
      <w:r w:rsidRPr="00204997">
        <w:rPr>
          <w:rFonts w:ascii="Calibri" w:hAnsi="Calibri" w:cs="Calibri"/>
          <w:b/>
          <w:color w:val="auto"/>
          <w:sz w:val="24"/>
          <w:szCs w:val="24"/>
        </w:rPr>
        <w:t xml:space="preserve">Focus area 2: Effectiveness of the transition process and cross-service coordination   </w:t>
      </w:r>
    </w:p>
    <w:p w:rsidR="00B46497" w:rsidRPr="00204997" w:rsidP="00204997">
      <w:pPr>
        <w:pStyle w:val="Heading2"/>
        <w:rPr>
          <w:rFonts w:ascii="Calibri" w:hAnsi="Calibri" w:cs="Calibri"/>
          <w:b/>
          <w:color w:val="auto"/>
          <w:sz w:val="24"/>
          <w:szCs w:val="24"/>
        </w:rPr>
      </w:pPr>
      <w:r w:rsidRPr="00204997">
        <w:rPr>
          <w:rFonts w:ascii="Calibri" w:hAnsi="Calibri" w:cs="Calibri"/>
          <w:b/>
          <w:bCs/>
          <w:color w:val="auto"/>
          <w:sz w:val="24"/>
          <w:szCs w:val="24"/>
        </w:rPr>
        <w:t>Joint</w:t>
      </w:r>
      <w:r w:rsidRPr="00204997">
        <w:rPr>
          <w:rFonts w:ascii="Calibri" w:hAnsi="Calibri" w:cs="Calibri"/>
          <w:b/>
          <w:color w:val="auto"/>
          <w:sz w:val="24"/>
          <w:szCs w:val="24"/>
        </w:rPr>
        <w:t xml:space="preserve"> commissioning and coordinated delivery of care at the point of transition</w:t>
      </w:r>
    </w:p>
    <w:p w:rsidR="00B46497" w:rsidRPr="00204997" w:rsidP="00204997">
      <w:pPr>
        <w:pStyle w:val="ListParagraph"/>
        <w:rPr>
          <w:rFonts w:ascii="Calibri" w:hAnsi="Calibri" w:cs="Calibri"/>
          <w:b/>
          <w:bCs/>
        </w:rPr>
      </w:pPr>
      <w:r w:rsidRPr="00204997">
        <w:rPr>
          <w:rFonts w:ascii="Calibri" w:eastAsia="Aptos" w:hAnsi="Calibri" w:cs="Calibri"/>
        </w:rPr>
        <w:t xml:space="preserve">We expect local authorities to work with people and partners to establish and maintain safe systems of care, in which safety is managed, monitored and assured. We expect them to ensure continuity of care, including when people move between different services.  </w:t>
      </w:r>
    </w:p>
    <w:p w:rsidR="00B46497" w:rsidRPr="00204997" w:rsidP="00204997">
      <w:pPr>
        <w:pStyle w:val="ListParagraph"/>
        <w:rPr>
          <w:rFonts w:ascii="Calibri" w:hAnsi="Calibri" w:cs="Calibri"/>
          <w:b/>
          <w:bCs/>
        </w:rPr>
      </w:pPr>
      <w:r w:rsidRPr="00204997">
        <w:rPr>
          <w:rFonts w:ascii="Calibri" w:eastAsia="Aptos" w:hAnsi="Calibri" w:cs="Calibri"/>
        </w:rPr>
        <w:t>Our joint review with Ofsted on preparation for adulthood arrangements in local areas looked at the local approach through the lens of partnership. It found that stronger local area partnerships worked collaboratively to share expertise and enhance provision in a way that is informed by the views and wishes of children and young people. The local area partnerships worked together to develop services that are ‘all age’ and support children and young people with SEND through to the age of 25 and had staff tha</w:t>
      </w:r>
      <w:r w:rsidRPr="00204997">
        <w:rPr>
          <w:rFonts w:ascii="Calibri" w:eastAsia="Aptos" w:hAnsi="Calibri" w:cs="Calibri"/>
        </w:rPr>
        <w:t>t are dedicated to helping children and young people to prepare for adulthood.</w:t>
      </w:r>
      <w:r>
        <w:rPr>
          <w:rStyle w:val="FootnoteReference"/>
          <w:rFonts w:ascii="Calibri" w:eastAsia="Aptos" w:hAnsi="Calibri" w:cs="Calibri"/>
        </w:rPr>
        <w:footnoteReference w:id="20"/>
      </w:r>
    </w:p>
    <w:p w:rsidR="00B46497" w:rsidRPr="00204997" w:rsidP="00204997">
      <w:pPr>
        <w:pStyle w:val="ListParagraph"/>
        <w:rPr>
          <w:rFonts w:ascii="Calibri" w:hAnsi="Calibri" w:cs="Calibri"/>
          <w:b/>
          <w:bCs/>
        </w:rPr>
      </w:pPr>
      <w:r w:rsidRPr="00204997">
        <w:rPr>
          <w:rFonts w:ascii="Calibri" w:eastAsia="Aptos" w:hAnsi="Calibri" w:cs="Calibri"/>
        </w:rPr>
        <w:t>Where local partnerships were weaker, we found that they typically did not jointly commission or coordinate services effectively to make sure that professionals across the partnership were brought together; did not always share information and data across the partnership to inform service development and enhance provision, and they did not communicate effectively with parents and carers or inform them of local services that were available.</w:t>
      </w:r>
      <w:r>
        <w:rPr>
          <w:rStyle w:val="FootnoteReference"/>
          <w:rFonts w:ascii="Calibri" w:eastAsia="Aptos" w:hAnsi="Calibri" w:cs="Calibri"/>
        </w:rPr>
        <w:footnoteReference w:id="21"/>
      </w:r>
    </w:p>
    <w:p w:rsidR="00B46497" w:rsidRPr="00204997" w:rsidP="00204997">
      <w:pPr>
        <w:pStyle w:val="ListParagraph"/>
        <w:rPr>
          <w:rFonts w:ascii="Calibri" w:hAnsi="Calibri" w:cs="Calibri"/>
          <w:b/>
          <w:bCs/>
        </w:rPr>
      </w:pPr>
      <w:r w:rsidRPr="00204997">
        <w:rPr>
          <w:rFonts w:ascii="Calibri" w:hAnsi="Calibri" w:cs="Calibri"/>
        </w:rPr>
        <w:t>The following examples illustrate this range of practice.</w:t>
      </w:r>
    </w:p>
    <w:p w:rsidR="00B46497" w:rsidRPr="00204997" w:rsidP="00204997">
      <w:pPr>
        <w:rPr>
          <w:rFonts w:ascii="Calibri" w:hAnsi="Calibri" w:cs="Calibri"/>
          <w:b/>
        </w:rPr>
      </w:pPr>
      <w:r w:rsidRPr="00204997">
        <w:rPr>
          <w:rFonts w:ascii="Calibri" w:hAnsi="Calibri" w:cs="Calibri"/>
          <w:b/>
        </w:rPr>
        <w:t>Torbay Local Area Partnership</w:t>
      </w:r>
      <w:r w:rsidRPr="00204997">
        <w:rPr>
          <w:rFonts w:ascii="Calibri" w:hAnsi="Calibri" w:cs="Calibri"/>
          <w:b/>
          <w:bCs/>
        </w:rPr>
        <w:t xml:space="preserve"> – Area SEND Inspection</w:t>
      </w:r>
      <w:r>
        <w:rPr>
          <w:rStyle w:val="FootnoteReference"/>
          <w:rFonts w:ascii="Calibri" w:hAnsi="Calibri" w:cs="Calibri"/>
          <w:b/>
        </w:rPr>
        <w:footnoteReference w:id="22"/>
      </w:r>
      <w:r w:rsidRPr="00204997">
        <w:rPr>
          <w:rFonts w:ascii="Calibri" w:hAnsi="Calibri" w:cs="Calibri"/>
          <w:b/>
        </w:rPr>
        <w:t xml:space="preserve"> </w:t>
      </w:r>
    </w:p>
    <w:p w:rsidR="00B46497" w:rsidRPr="00204997" w:rsidP="00204997">
      <w:pPr>
        <w:pStyle w:val="ListParagraph"/>
        <w:rPr>
          <w:rFonts w:ascii="Calibri" w:eastAsia="Aptos" w:hAnsi="Calibri" w:cs="Calibri"/>
        </w:rPr>
      </w:pPr>
      <w:r w:rsidRPr="00204997">
        <w:rPr>
          <w:rFonts w:ascii="Calibri" w:hAnsi="Calibri" w:cs="Calibri"/>
        </w:rPr>
        <w:t>The inspection found that preparation for adulthood does not happen soon enough across education, health and social care. Transition arrangements from children's to adult health services are made more difficult by differing thresholds for accessing adult services and gaps in equivalent provision. In some cases, a lack of suitable residential placements means disabled young people and their families do not have clarity about where they will live or whether their wider needs will be met before their 18th birt</w:t>
      </w:r>
      <w:r w:rsidRPr="00204997">
        <w:rPr>
          <w:rFonts w:ascii="Calibri" w:hAnsi="Calibri" w:cs="Calibri"/>
        </w:rPr>
        <w:t xml:space="preserve">hday. </w:t>
      </w:r>
    </w:p>
    <w:p w:rsidR="00B46497" w:rsidRPr="00204997" w:rsidP="00204997">
      <w:pPr>
        <w:pStyle w:val="ListParagraph"/>
        <w:rPr>
          <w:rFonts w:ascii="Calibri" w:eastAsia="Aptos" w:hAnsi="Calibri" w:cs="Calibri"/>
        </w:rPr>
      </w:pPr>
      <w:r w:rsidRPr="00204997">
        <w:rPr>
          <w:rFonts w:ascii="Calibri" w:hAnsi="Calibri" w:cs="Calibri"/>
        </w:rPr>
        <w:t xml:space="preserve">The inspection recommended that leaders across the partnership improve their oversight and strengthen joint working to support preparation for adulthood, including improving the way </w:t>
      </w:r>
      <w:r w:rsidRPr="00204997">
        <w:rPr>
          <w:rFonts w:ascii="Calibri" w:eastAsia="Aptos" w:hAnsi="Calibri" w:cs="Calibri"/>
        </w:rPr>
        <w:t xml:space="preserve">that child and adult services are joined across all health </w:t>
      </w:r>
      <w:r w:rsidRPr="00204997">
        <w:rPr>
          <w:rFonts w:ascii="Calibri" w:eastAsia="Aptos" w:hAnsi="Calibri" w:cs="Calibri"/>
        </w:rPr>
        <w:t>services for children and young people with SEND so that the journey into adult health services is easier and more accessible.</w:t>
      </w:r>
    </w:p>
    <w:p w:rsidR="00B46497" w:rsidRPr="00204997" w:rsidP="00204997">
      <w:pPr>
        <w:rPr>
          <w:rFonts w:ascii="Calibri" w:eastAsia="Aptos" w:hAnsi="Calibri" w:cs="Calibri"/>
          <w:b/>
        </w:rPr>
      </w:pPr>
      <w:r w:rsidRPr="00204997">
        <w:rPr>
          <w:rFonts w:ascii="Calibri" w:eastAsia="Aptos" w:hAnsi="Calibri" w:cs="Calibri"/>
          <w:b/>
        </w:rPr>
        <w:t>Lewisham Local Area Partnership</w:t>
      </w:r>
      <w:r w:rsidRPr="00204997">
        <w:rPr>
          <w:rFonts w:ascii="Calibri" w:eastAsia="Aptos" w:hAnsi="Calibri" w:cs="Calibri"/>
          <w:b/>
          <w:bCs/>
        </w:rPr>
        <w:t xml:space="preserve"> – Area SEND Inspection</w:t>
      </w:r>
      <w:r>
        <w:rPr>
          <w:rStyle w:val="FootnoteReference"/>
          <w:rFonts w:ascii="Calibri" w:eastAsia="Aptos" w:hAnsi="Calibri" w:cs="Calibri"/>
          <w:b/>
        </w:rPr>
        <w:footnoteReference w:id="23"/>
      </w:r>
      <w:r w:rsidRPr="00204997">
        <w:rPr>
          <w:rFonts w:ascii="Calibri" w:eastAsia="Aptos" w:hAnsi="Calibri" w:cs="Calibri"/>
          <w:b/>
        </w:rPr>
        <w:t xml:space="preserve">  </w:t>
      </w:r>
    </w:p>
    <w:p w:rsidR="00B46497" w:rsidRPr="00204997" w:rsidP="00204997">
      <w:pPr>
        <w:pStyle w:val="ListParagraph"/>
        <w:rPr>
          <w:rFonts w:ascii="Calibri" w:eastAsia="Aptos" w:hAnsi="Calibri" w:cs="Calibri"/>
        </w:rPr>
      </w:pPr>
      <w:r w:rsidRPr="00204997">
        <w:rPr>
          <w:rFonts w:ascii="Calibri" w:eastAsia="Aptos" w:hAnsi="Calibri" w:cs="Calibri"/>
        </w:rPr>
        <w:t>The inspection found good pathways supporting transition for children and young people with complex health needs and those in specialist settings. For example, a transition speech and language therapist employed across both children's and adult services works with young people and families as they approach adulthood. Young people aged 17 are prioritised for autism and ADHD assessments, and a clear process is in place to ensure continuity of ADHD medication when young people move to adult services.</w:t>
      </w:r>
    </w:p>
    <w:p w:rsidR="00B46497" w:rsidRPr="00204997" w:rsidP="00204997">
      <w:pPr>
        <w:pStyle w:val="Heading2"/>
        <w:rPr>
          <w:rFonts w:ascii="Calibri" w:hAnsi="Calibri" w:cs="Calibri"/>
          <w:b/>
          <w:bCs/>
          <w:color w:val="auto"/>
          <w:sz w:val="24"/>
          <w:szCs w:val="24"/>
        </w:rPr>
      </w:pPr>
      <w:r w:rsidRPr="00204997">
        <w:rPr>
          <w:rFonts w:ascii="Calibri" w:hAnsi="Calibri" w:cs="Calibri"/>
          <w:b/>
          <w:bCs/>
          <w:color w:val="auto"/>
          <w:sz w:val="24"/>
          <w:szCs w:val="24"/>
        </w:rPr>
        <w:t>Improving joint working</w:t>
      </w:r>
    </w:p>
    <w:p w:rsidR="00B46497" w:rsidRPr="00204997" w:rsidP="00204997">
      <w:pPr>
        <w:pStyle w:val="ListParagraph"/>
        <w:rPr>
          <w:rFonts w:ascii="Calibri" w:eastAsia="Aptos" w:hAnsi="Calibri" w:cs="Calibri"/>
        </w:rPr>
      </w:pPr>
      <w:r w:rsidRPr="00204997">
        <w:rPr>
          <w:rFonts w:ascii="Calibri" w:hAnsi="Calibri" w:cs="Calibri"/>
        </w:rPr>
        <w:t>From our framework and the thematic analyses, local authorities that are assessed as ‘Good’ (or better) tend to show strong partnership and collaboration, across the health, social care, education, and voluntary sectors. There are good, shared information systems, and a clear delineation of responsibilities during transitions. Where there are shortfalls in this area, we expect local authorities to enhance joint working and information sharing with partners (health services, providers, etc) to avoid gaps and</w:t>
      </w:r>
      <w:r w:rsidRPr="00204997">
        <w:rPr>
          <w:rFonts w:ascii="Calibri" w:hAnsi="Calibri" w:cs="Calibri"/>
        </w:rPr>
        <w:t xml:space="preserve"> delays. </w:t>
      </w:r>
    </w:p>
    <w:p w:rsidR="00B46497" w:rsidRPr="00204997" w:rsidP="00204997">
      <w:pPr>
        <w:pStyle w:val="ListParagraph"/>
        <w:rPr>
          <w:rFonts w:ascii="Calibri" w:eastAsia="Aptos" w:hAnsi="Calibri" w:cs="Calibri"/>
        </w:rPr>
      </w:pPr>
      <w:r w:rsidRPr="00204997">
        <w:rPr>
          <w:rFonts w:ascii="Calibri" w:eastAsia="Aptos" w:hAnsi="Calibri" w:cs="Calibri"/>
        </w:rPr>
        <w:t>The following examples illustrate different joint working practices.</w:t>
      </w:r>
    </w:p>
    <w:p w:rsidR="00B46497" w:rsidRPr="00204997" w:rsidP="00204997">
      <w:pPr>
        <w:rPr>
          <w:rFonts w:ascii="Calibri" w:hAnsi="Calibri" w:cs="Calibri"/>
          <w:b/>
        </w:rPr>
      </w:pPr>
      <w:r w:rsidRPr="00204997">
        <w:rPr>
          <w:rFonts w:ascii="Calibri" w:hAnsi="Calibri" w:cs="Calibri"/>
          <w:b/>
        </w:rPr>
        <w:t>Tameside Local Area Partnership</w:t>
      </w:r>
      <w:r w:rsidRPr="00204997">
        <w:rPr>
          <w:rFonts w:ascii="Calibri" w:hAnsi="Calibri" w:cs="Calibri"/>
          <w:b/>
          <w:bCs/>
        </w:rPr>
        <w:t xml:space="preserve"> – Area SEND Inspection</w:t>
      </w:r>
      <w:r>
        <w:rPr>
          <w:rStyle w:val="FootnoteReference"/>
          <w:rFonts w:ascii="Calibri" w:hAnsi="Calibri" w:cs="Calibri"/>
          <w:b/>
        </w:rPr>
        <w:footnoteReference w:id="24"/>
      </w:r>
    </w:p>
    <w:p w:rsidR="00B46497" w:rsidRPr="00204997" w:rsidP="00204997">
      <w:pPr>
        <w:pStyle w:val="ListParagraph"/>
        <w:rPr>
          <w:rFonts w:ascii="Calibri" w:hAnsi="Calibri" w:cs="Calibri"/>
        </w:rPr>
      </w:pPr>
      <w:r w:rsidRPr="00204997">
        <w:rPr>
          <w:rFonts w:ascii="Calibri" w:hAnsi="Calibri" w:cs="Calibri"/>
        </w:rPr>
        <w:t>The inspection identified significant gaps in joint working across a range of services. Until</w:t>
      </w:r>
      <w:r w:rsidRPr="00204997">
        <w:rPr>
          <w:rFonts w:ascii="Calibri" w:hAnsi="Calibri" w:cs="Calibri"/>
        </w:rPr>
        <w:t xml:space="preserve"> recently, there </w:t>
      </w:r>
      <w:r w:rsidRPr="00204997">
        <w:rPr>
          <w:rFonts w:ascii="Calibri" w:hAnsi="Calibri" w:cs="Calibri"/>
        </w:rPr>
        <w:t>had</w:t>
      </w:r>
      <w:r w:rsidRPr="00204997">
        <w:rPr>
          <w:rFonts w:ascii="Calibri" w:hAnsi="Calibri" w:cs="Calibri"/>
        </w:rPr>
        <w:t xml:space="preserve"> been a significant gap in commissioned CAMHS for young people aged 16 to 18</w:t>
      </w:r>
      <w:r w:rsidRPr="00204997">
        <w:rPr>
          <w:rFonts w:ascii="Calibri" w:hAnsi="Calibri" w:cs="Calibri"/>
        </w:rPr>
        <w:t>, and transition</w:t>
      </w:r>
      <w:r w:rsidRPr="00204997">
        <w:rPr>
          <w:rFonts w:ascii="Calibri" w:hAnsi="Calibri" w:cs="Calibri"/>
        </w:rPr>
        <w:t xml:space="preserve"> to adult mental health services </w:t>
      </w:r>
      <w:r w:rsidRPr="00204997">
        <w:rPr>
          <w:rFonts w:ascii="Calibri" w:hAnsi="Calibri" w:cs="Calibri"/>
        </w:rPr>
        <w:t>had</w:t>
      </w:r>
      <w:r w:rsidRPr="00204997">
        <w:rPr>
          <w:rFonts w:ascii="Calibri" w:hAnsi="Calibri" w:cs="Calibri"/>
        </w:rPr>
        <w:t xml:space="preserve"> been inconsistent</w:t>
      </w:r>
      <w:r w:rsidRPr="00204997">
        <w:rPr>
          <w:rFonts w:ascii="Calibri" w:hAnsi="Calibri" w:cs="Calibri"/>
        </w:rPr>
        <w:t xml:space="preserve">. Transitions across health services more broadly, including occupational therapy, physiotherapy, speech and language therapy and nursing, were found to be underdeveloped. </w:t>
      </w:r>
    </w:p>
    <w:p w:rsidR="00B46497" w:rsidRPr="00204997" w:rsidP="00204997">
      <w:pPr>
        <w:pStyle w:val="ListParagraph"/>
        <w:rPr>
          <w:rFonts w:ascii="Calibri" w:hAnsi="Calibri" w:cs="Calibri"/>
        </w:rPr>
      </w:pPr>
      <w:r w:rsidRPr="00204997">
        <w:rPr>
          <w:rFonts w:ascii="Calibri" w:hAnsi="Calibri" w:cs="Calibri"/>
        </w:rPr>
        <w:t>Transitions</w:t>
      </w:r>
      <w:r w:rsidRPr="00204997">
        <w:rPr>
          <w:rFonts w:ascii="Calibri" w:hAnsi="Calibri" w:cs="Calibri"/>
        </w:rPr>
        <w:t xml:space="preserve"> into </w:t>
      </w:r>
      <w:r w:rsidRPr="00204997">
        <w:rPr>
          <w:rFonts w:ascii="Calibri" w:hAnsi="Calibri" w:cs="Calibri"/>
        </w:rPr>
        <w:t>and</w:t>
      </w:r>
      <w:r w:rsidRPr="00204997">
        <w:rPr>
          <w:rFonts w:ascii="Calibri" w:hAnsi="Calibri" w:cs="Calibri"/>
        </w:rPr>
        <w:t xml:space="preserve"> between education settings and into adulthood</w:t>
      </w:r>
      <w:r w:rsidRPr="00204997">
        <w:rPr>
          <w:rFonts w:ascii="Calibri" w:hAnsi="Calibri" w:cs="Calibri"/>
        </w:rPr>
        <w:t xml:space="preserve"> were</w:t>
      </w:r>
      <w:r w:rsidRPr="00204997">
        <w:rPr>
          <w:rFonts w:ascii="Calibri" w:hAnsi="Calibri" w:cs="Calibri"/>
        </w:rPr>
        <w:t xml:space="preserve"> not always well planned, timely or appropriate</w:t>
      </w:r>
      <w:r w:rsidRPr="00204997">
        <w:rPr>
          <w:rFonts w:ascii="Calibri" w:hAnsi="Calibri" w:cs="Calibri"/>
        </w:rPr>
        <w:t xml:space="preserve">, with </w:t>
      </w:r>
      <w:r w:rsidRPr="00204997">
        <w:rPr>
          <w:rFonts w:ascii="Calibri" w:hAnsi="Calibri" w:cs="Calibri"/>
        </w:rPr>
        <w:t xml:space="preserve">poor multi-agency working </w:t>
      </w:r>
      <w:r w:rsidRPr="00204997">
        <w:rPr>
          <w:rFonts w:ascii="Calibri" w:hAnsi="Calibri" w:cs="Calibri"/>
        </w:rPr>
        <w:t>contributing</w:t>
      </w:r>
      <w:r w:rsidRPr="00204997">
        <w:rPr>
          <w:rFonts w:ascii="Calibri" w:hAnsi="Calibri" w:cs="Calibri"/>
        </w:rPr>
        <w:t xml:space="preserve"> to a disjointed approach. As a result, the needs of individual children and young people with SEND </w:t>
      </w:r>
      <w:r w:rsidRPr="00204997">
        <w:rPr>
          <w:rFonts w:ascii="Calibri" w:hAnsi="Calibri" w:cs="Calibri"/>
        </w:rPr>
        <w:t>were</w:t>
      </w:r>
      <w:r w:rsidRPr="00204997">
        <w:rPr>
          <w:rFonts w:ascii="Calibri" w:hAnsi="Calibri" w:cs="Calibri"/>
        </w:rPr>
        <w:t xml:space="preserve"> not </w:t>
      </w:r>
      <w:r w:rsidRPr="00204997">
        <w:rPr>
          <w:rFonts w:ascii="Calibri" w:hAnsi="Calibri" w:cs="Calibri"/>
        </w:rPr>
        <w:t xml:space="preserve">consistently </w:t>
      </w:r>
      <w:r w:rsidRPr="00204997">
        <w:rPr>
          <w:rFonts w:ascii="Calibri" w:hAnsi="Calibri" w:cs="Calibri"/>
        </w:rPr>
        <w:t>being met, and in some cases</w:t>
      </w:r>
      <w:r w:rsidRPr="00204997">
        <w:rPr>
          <w:rFonts w:ascii="Calibri" w:hAnsi="Calibri" w:cs="Calibri"/>
        </w:rPr>
        <w:t xml:space="preserve"> were</w:t>
      </w:r>
      <w:r w:rsidRPr="00204997">
        <w:rPr>
          <w:rFonts w:ascii="Calibri" w:hAnsi="Calibri" w:cs="Calibri"/>
        </w:rPr>
        <w:t xml:space="preserve"> being missed entirely. </w:t>
      </w:r>
    </w:p>
    <w:p w:rsidR="00B46497" w:rsidRPr="00204997" w:rsidP="00204997">
      <w:pPr>
        <w:pStyle w:val="ListParagraph"/>
        <w:rPr>
          <w:rFonts w:ascii="Calibri" w:hAnsi="Calibri" w:cs="Calibri"/>
        </w:rPr>
      </w:pPr>
      <w:r w:rsidRPr="00204997">
        <w:rPr>
          <w:rFonts w:ascii="Calibri" w:hAnsi="Calibri" w:cs="Calibri"/>
        </w:rPr>
        <w:t>The inspection found that the quality of transition work was largely dependent on the knowledge and expertise of individual practitioners rather than being embedded systematically</w:t>
      </w:r>
      <w:r w:rsidRPr="00204997">
        <w:rPr>
          <w:rFonts w:ascii="Calibri" w:hAnsi="Calibri" w:cs="Calibri"/>
        </w:rPr>
        <w:t>.</w:t>
      </w:r>
    </w:p>
    <w:p w:rsidR="00B46497" w:rsidRPr="00204997" w:rsidP="00204997">
      <w:pPr>
        <w:rPr>
          <w:rFonts w:ascii="Calibri" w:hAnsi="Calibri" w:cs="Calibri"/>
          <w:b/>
        </w:rPr>
      </w:pPr>
      <w:r w:rsidRPr="00204997">
        <w:rPr>
          <w:rFonts w:ascii="Calibri" w:hAnsi="Calibri" w:cs="Calibri"/>
          <w:b/>
        </w:rPr>
        <w:t>Newham Local Area Partnership</w:t>
      </w:r>
      <w:r w:rsidRPr="00204997">
        <w:rPr>
          <w:rFonts w:ascii="Calibri" w:hAnsi="Calibri" w:cs="Calibri"/>
          <w:b/>
          <w:bCs/>
        </w:rPr>
        <w:t xml:space="preserve"> – Area SEND Inspection</w:t>
      </w:r>
      <w:r>
        <w:rPr>
          <w:rStyle w:val="FootnoteReference"/>
          <w:rFonts w:ascii="Calibri" w:hAnsi="Calibri" w:cs="Calibri"/>
          <w:b/>
        </w:rPr>
        <w:footnoteReference w:id="25"/>
      </w:r>
    </w:p>
    <w:p w:rsidR="00B46497" w:rsidRPr="00204997" w:rsidP="00204997">
      <w:pPr>
        <w:pStyle w:val="ListParagraph"/>
        <w:rPr>
          <w:rFonts w:ascii="Calibri" w:hAnsi="Calibri" w:cs="Calibri"/>
        </w:rPr>
      </w:pPr>
      <w:r w:rsidRPr="00204997">
        <w:rPr>
          <w:rFonts w:ascii="Calibri" w:hAnsi="Calibri" w:cs="Calibri"/>
        </w:rPr>
        <w:t xml:space="preserve">The inspection found that children and young people with SEND do not consistently experience a smooth transition from children's to adult health services. While transition nurses provide valuable support where they are involved, limited capacity reduces their ability to contribute to strategic work to improve transition arrangements more widely. </w:t>
      </w:r>
    </w:p>
    <w:p w:rsidR="00B46497" w:rsidRPr="00204997" w:rsidP="00204997">
      <w:pPr>
        <w:pStyle w:val="ListParagraph"/>
        <w:rPr>
          <w:rFonts w:ascii="Calibri" w:hAnsi="Calibri" w:cs="Calibri"/>
        </w:rPr>
      </w:pPr>
      <w:r w:rsidRPr="00204997">
        <w:rPr>
          <w:rFonts w:ascii="Calibri" w:hAnsi="Calibri" w:cs="Calibri"/>
        </w:rPr>
        <w:t xml:space="preserve">In children's to adult social care transitions, planning by professionals was found to be inconsistent, with some children experiencing delays in having Care Act assessments completed before turning 18. </w:t>
      </w:r>
      <w:r w:rsidRPr="00204997">
        <w:rPr>
          <w:rFonts w:ascii="Calibri" w:hAnsi="Calibri" w:cs="Calibri"/>
        </w:rPr>
        <w:t>Transition does</w:t>
      </w:r>
      <w:r w:rsidRPr="00204997">
        <w:rPr>
          <w:rFonts w:ascii="Calibri" w:hAnsi="Calibri" w:cs="Calibri"/>
        </w:rPr>
        <w:t xml:space="preserve"> not </w:t>
      </w:r>
      <w:r w:rsidRPr="00204997">
        <w:rPr>
          <w:rFonts w:ascii="Calibri" w:hAnsi="Calibri" w:cs="Calibri"/>
        </w:rPr>
        <w:t>start</w:t>
      </w:r>
      <w:r w:rsidRPr="00204997">
        <w:rPr>
          <w:rFonts w:ascii="Calibri" w:hAnsi="Calibri" w:cs="Calibri"/>
        </w:rPr>
        <w:t xml:space="preserve"> early enough</w:t>
      </w:r>
      <w:r w:rsidRPr="00204997">
        <w:rPr>
          <w:rFonts w:ascii="Calibri" w:hAnsi="Calibri" w:cs="Calibri"/>
        </w:rPr>
        <w:t xml:space="preserve"> to allow</w:t>
      </w:r>
      <w:r w:rsidRPr="00204997">
        <w:rPr>
          <w:rFonts w:ascii="Calibri" w:hAnsi="Calibri" w:cs="Calibri"/>
        </w:rPr>
        <w:t xml:space="preserve"> children and families </w:t>
      </w:r>
      <w:r w:rsidRPr="00204997">
        <w:rPr>
          <w:rFonts w:ascii="Calibri" w:hAnsi="Calibri" w:cs="Calibri"/>
        </w:rPr>
        <w:t>to have assessments undertaken and support planned for them. This m</w:t>
      </w:r>
      <w:r w:rsidRPr="00204997">
        <w:rPr>
          <w:rFonts w:ascii="Calibri" w:hAnsi="Calibri" w:cs="Calibri"/>
        </w:rPr>
        <w:t>eans they</w:t>
      </w:r>
      <w:r w:rsidRPr="00204997">
        <w:rPr>
          <w:rFonts w:ascii="Calibri" w:hAnsi="Calibri" w:cs="Calibri"/>
        </w:rPr>
        <w:t xml:space="preserve"> are left without</w:t>
      </w:r>
      <w:r w:rsidRPr="00204997">
        <w:rPr>
          <w:rFonts w:ascii="Calibri" w:hAnsi="Calibri" w:cs="Calibri"/>
        </w:rPr>
        <w:t xml:space="preserve"> the information they need to make informed decisions about their lives.</w:t>
      </w:r>
    </w:p>
    <w:p w:rsidR="00B46497" w:rsidRPr="00204997" w:rsidP="00204997">
      <w:pPr>
        <w:pStyle w:val="Heading2"/>
        <w:rPr>
          <w:rFonts w:ascii="Calibri" w:hAnsi="Calibri" w:cs="Calibri"/>
          <w:b/>
          <w:color w:val="auto"/>
          <w:sz w:val="24"/>
          <w:szCs w:val="24"/>
        </w:rPr>
      </w:pPr>
      <w:r w:rsidRPr="00204997">
        <w:rPr>
          <w:rFonts w:ascii="Calibri" w:hAnsi="Calibri" w:cs="Calibri"/>
          <w:b/>
          <w:bCs/>
          <w:color w:val="auto"/>
          <w:sz w:val="24"/>
          <w:szCs w:val="24"/>
        </w:rPr>
        <w:t>Impact on children and young people</w:t>
      </w:r>
    </w:p>
    <w:p w:rsidR="00B46497" w:rsidRPr="00204997" w:rsidP="00204997">
      <w:pPr>
        <w:pStyle w:val="ListParagraph"/>
        <w:rPr>
          <w:rFonts w:ascii="Calibri" w:hAnsi="Calibri" w:cs="Calibri"/>
        </w:rPr>
      </w:pPr>
      <w:r w:rsidRPr="00204997">
        <w:rPr>
          <w:rFonts w:ascii="Calibri" w:hAnsi="Calibri" w:cs="Calibri"/>
        </w:rPr>
        <w:t>The following</w:t>
      </w:r>
      <w:r w:rsidRPr="00204997">
        <w:rPr>
          <w:rFonts w:ascii="Calibri" w:hAnsi="Calibri" w:cs="Calibri"/>
        </w:rPr>
        <w:t xml:space="preserve"> examples </w:t>
      </w:r>
      <w:r w:rsidRPr="00204997">
        <w:rPr>
          <w:rFonts w:ascii="Calibri" w:hAnsi="Calibri" w:cs="Calibri"/>
        </w:rPr>
        <w:t>illustrate</w:t>
      </w:r>
      <w:r w:rsidRPr="00204997">
        <w:rPr>
          <w:rFonts w:ascii="Calibri" w:hAnsi="Calibri" w:cs="Calibri"/>
        </w:rPr>
        <w:t xml:space="preserve"> the impact </w:t>
      </w:r>
      <w:r w:rsidRPr="00204997">
        <w:rPr>
          <w:rFonts w:ascii="Calibri" w:hAnsi="Calibri" w:cs="Calibri"/>
        </w:rPr>
        <w:t>on children</w:t>
      </w:r>
      <w:r w:rsidRPr="00204997">
        <w:rPr>
          <w:rFonts w:ascii="Calibri" w:hAnsi="Calibri" w:cs="Calibri"/>
        </w:rPr>
        <w:t xml:space="preserve"> and </w:t>
      </w:r>
      <w:r w:rsidRPr="00204997">
        <w:rPr>
          <w:rFonts w:ascii="Calibri" w:hAnsi="Calibri" w:cs="Calibri"/>
        </w:rPr>
        <w:t>young people where</w:t>
      </w:r>
      <w:r w:rsidRPr="00204997">
        <w:rPr>
          <w:rFonts w:ascii="Calibri" w:hAnsi="Calibri" w:cs="Calibri"/>
        </w:rPr>
        <w:t xml:space="preserve"> organisations </w:t>
      </w:r>
      <w:r w:rsidRPr="00204997">
        <w:rPr>
          <w:rFonts w:ascii="Calibri" w:hAnsi="Calibri" w:cs="Calibri"/>
        </w:rPr>
        <w:t xml:space="preserve">have </w:t>
      </w:r>
      <w:r w:rsidRPr="00204997">
        <w:rPr>
          <w:rFonts w:ascii="Calibri" w:hAnsi="Calibri" w:cs="Calibri"/>
        </w:rPr>
        <w:t xml:space="preserve">not </w:t>
      </w:r>
      <w:r w:rsidRPr="00204997">
        <w:rPr>
          <w:rFonts w:ascii="Calibri" w:hAnsi="Calibri" w:cs="Calibri"/>
        </w:rPr>
        <w:t>been</w:t>
      </w:r>
      <w:r w:rsidRPr="00204997">
        <w:rPr>
          <w:rFonts w:ascii="Calibri" w:hAnsi="Calibri" w:cs="Calibri"/>
        </w:rPr>
        <w:t xml:space="preserve"> able to </w:t>
      </w:r>
      <w:r w:rsidRPr="00204997">
        <w:rPr>
          <w:rFonts w:ascii="Calibri" w:hAnsi="Calibri" w:cs="Calibri"/>
        </w:rPr>
        <w:t>meet their responsibilities around transition.</w:t>
      </w:r>
    </w:p>
    <w:p w:rsidR="00B46497" w:rsidRPr="00204997" w:rsidP="00204997">
      <w:pPr>
        <w:rPr>
          <w:rFonts w:ascii="Calibri" w:eastAsia="Aptos" w:hAnsi="Calibri" w:cs="Calibri"/>
          <w:b/>
        </w:rPr>
      </w:pPr>
      <w:r w:rsidRPr="00204997">
        <w:rPr>
          <w:rFonts w:ascii="Calibri" w:eastAsia="Aptos" w:hAnsi="Calibri" w:cs="Calibri"/>
          <w:b/>
        </w:rPr>
        <w:t xml:space="preserve">Slough </w:t>
      </w:r>
      <w:r w:rsidRPr="00204997">
        <w:rPr>
          <w:rFonts w:ascii="Calibri" w:eastAsia="Aptos" w:hAnsi="Calibri" w:cs="Calibri"/>
          <w:b/>
        </w:rPr>
        <w:t>Local Area Partnership</w:t>
      </w:r>
      <w:r w:rsidRPr="00204997">
        <w:rPr>
          <w:rFonts w:ascii="Calibri" w:eastAsia="Aptos" w:hAnsi="Calibri" w:cs="Calibri"/>
          <w:b/>
          <w:bCs/>
        </w:rPr>
        <w:t xml:space="preserve"> – Area SEND Inspection</w:t>
      </w:r>
      <w:r>
        <w:rPr>
          <w:rStyle w:val="FootnoteReference"/>
          <w:rFonts w:ascii="Calibri" w:eastAsia="Aptos" w:hAnsi="Calibri" w:cs="Calibri"/>
          <w:b/>
        </w:rPr>
        <w:footnoteReference w:id="26"/>
      </w:r>
    </w:p>
    <w:p w:rsidR="00B46497" w:rsidRPr="00204997" w:rsidP="00204997">
      <w:pPr>
        <w:pStyle w:val="ListParagraph"/>
        <w:rPr>
          <w:rFonts w:ascii="Calibri" w:eastAsia="Aptos" w:hAnsi="Calibri" w:cs="Calibri"/>
        </w:rPr>
      </w:pPr>
      <w:r w:rsidRPr="00204997">
        <w:rPr>
          <w:rFonts w:ascii="Calibri" w:eastAsia="Aptos" w:hAnsi="Calibri" w:cs="Calibri"/>
        </w:rPr>
        <w:t xml:space="preserve">The inspection found that too many children and young people with SEND face difficult transitions as a result of inconsistent guidance, delayed consultations and unclear post-19 pathways. Limited alternative provision and outdated EHC plans further </w:t>
      </w:r>
      <w:r w:rsidRPr="00204997">
        <w:rPr>
          <w:rFonts w:ascii="Calibri" w:eastAsia="Aptos" w:hAnsi="Calibri" w:cs="Calibri"/>
        </w:rPr>
        <w:t>impact</w:t>
      </w:r>
      <w:r w:rsidRPr="00204997">
        <w:rPr>
          <w:rFonts w:ascii="Calibri" w:eastAsia="Aptos" w:hAnsi="Calibri" w:cs="Calibri"/>
        </w:rPr>
        <w:t xml:space="preserve"> placement decisions and support. Joint commissioning between children's and adult services was found to be underdeveloped, and suitable education, training and employment opportunities, such as apprenticeships and internships, were limited or unavailable, </w:t>
      </w:r>
      <w:r w:rsidRPr="00204997">
        <w:rPr>
          <w:rFonts w:ascii="Calibri" w:eastAsia="Aptos" w:hAnsi="Calibri" w:cs="Calibri"/>
        </w:rPr>
        <w:t>meaning support for</w:t>
      </w:r>
      <w:r w:rsidRPr="00204997">
        <w:rPr>
          <w:rFonts w:ascii="Calibri" w:eastAsia="Aptos" w:hAnsi="Calibri" w:cs="Calibri"/>
        </w:rPr>
        <w:t xml:space="preserve"> young people with SEND </w:t>
      </w:r>
      <w:r w:rsidRPr="00204997">
        <w:rPr>
          <w:rFonts w:ascii="Calibri" w:eastAsia="Aptos" w:hAnsi="Calibri" w:cs="Calibri"/>
        </w:rPr>
        <w:t>was wea</w:t>
      </w:r>
      <w:r w:rsidRPr="00204997">
        <w:rPr>
          <w:rFonts w:ascii="Calibri" w:eastAsia="Aptos" w:hAnsi="Calibri" w:cs="Calibri"/>
        </w:rPr>
        <w:t>k</w:t>
      </w:r>
      <w:r w:rsidRPr="00204997">
        <w:rPr>
          <w:rFonts w:ascii="Calibri" w:eastAsia="Aptos" w:hAnsi="Calibri" w:cs="Calibri"/>
        </w:rPr>
        <w:t xml:space="preserve"> as they move into adulthood.</w:t>
      </w:r>
    </w:p>
    <w:p w:rsidR="00B46497" w:rsidRPr="00204997" w:rsidP="00204997">
      <w:pPr>
        <w:rPr>
          <w:rFonts w:ascii="Calibri" w:eastAsia="Aptos" w:hAnsi="Calibri" w:cs="Calibri"/>
          <w:b/>
        </w:rPr>
      </w:pPr>
      <w:r w:rsidRPr="00204997">
        <w:rPr>
          <w:rFonts w:ascii="Calibri" w:eastAsia="Aptos" w:hAnsi="Calibri" w:cs="Calibri"/>
          <w:b/>
        </w:rPr>
        <w:t>Redbridge Local Area Partnership</w:t>
      </w:r>
      <w:r w:rsidRPr="00204997">
        <w:rPr>
          <w:rFonts w:ascii="Calibri" w:eastAsia="Aptos" w:hAnsi="Calibri" w:cs="Calibri"/>
          <w:b/>
          <w:bCs/>
        </w:rPr>
        <w:t xml:space="preserve"> – Area SEND Inspection</w:t>
      </w:r>
      <w:r>
        <w:rPr>
          <w:rStyle w:val="FootnoteReference"/>
          <w:rFonts w:ascii="Calibri" w:eastAsia="Aptos" w:hAnsi="Calibri" w:cs="Calibri"/>
          <w:b/>
        </w:rPr>
        <w:footnoteReference w:id="27"/>
      </w:r>
    </w:p>
    <w:p w:rsidR="00B46497" w:rsidRPr="00204997" w:rsidP="00204997">
      <w:pPr>
        <w:pStyle w:val="ListParagraph"/>
        <w:rPr>
          <w:rFonts w:ascii="Calibri" w:eastAsia="Aptos" w:hAnsi="Calibri" w:cs="Calibri"/>
        </w:rPr>
      </w:pPr>
      <w:r w:rsidRPr="00204997">
        <w:rPr>
          <w:rFonts w:ascii="Calibri" w:eastAsia="Aptos" w:hAnsi="Calibri" w:cs="Calibri"/>
        </w:rPr>
        <w:t xml:space="preserve">The inspection found that the partnership should urgently develop and embed a formal, joint strategic framework for preparation for adulthood. This should include a fully coordinated and accountable approach across education, health and social care, strengthened strategic capacity to plan and commission sufficient post-16 provision, and clear oversight and formalised processes to monitor outcomes. </w:t>
      </w:r>
      <w:r w:rsidRPr="00204997">
        <w:rPr>
          <w:rFonts w:ascii="Calibri" w:eastAsia="Aptos" w:hAnsi="Calibri" w:cs="Calibri"/>
        </w:rPr>
        <w:t xml:space="preserve">This would </w:t>
      </w:r>
      <w:r w:rsidRPr="00204997">
        <w:rPr>
          <w:rFonts w:ascii="Calibri" w:eastAsia="Aptos" w:hAnsi="Calibri" w:cs="Calibri"/>
        </w:rPr>
        <w:t>be to</w:t>
      </w:r>
      <w:r w:rsidRPr="00204997">
        <w:rPr>
          <w:rFonts w:ascii="Calibri" w:eastAsia="Aptos" w:hAnsi="Calibri" w:cs="Calibri"/>
        </w:rPr>
        <w:t xml:space="preserve"> ensure</w:t>
      </w:r>
      <w:r w:rsidRPr="00204997">
        <w:rPr>
          <w:rFonts w:ascii="Calibri" w:eastAsia="Aptos" w:hAnsi="Calibri" w:cs="Calibri"/>
        </w:rPr>
        <w:t xml:space="preserve"> young people with SEND </w:t>
      </w:r>
      <w:r w:rsidRPr="00204997">
        <w:rPr>
          <w:rFonts w:ascii="Calibri" w:eastAsia="Aptos" w:hAnsi="Calibri" w:cs="Calibri"/>
        </w:rPr>
        <w:t>are</w:t>
      </w:r>
      <w:r w:rsidRPr="00204997">
        <w:rPr>
          <w:rFonts w:ascii="Calibri" w:eastAsia="Aptos" w:hAnsi="Calibri" w:cs="Calibri"/>
        </w:rPr>
        <w:t xml:space="preserve"> supported into sustained education, employment or training, </w:t>
      </w:r>
      <w:r w:rsidRPr="00204997">
        <w:rPr>
          <w:rFonts w:ascii="Calibri" w:eastAsia="Aptos" w:hAnsi="Calibri" w:cs="Calibri"/>
        </w:rPr>
        <w:t>reducing</w:t>
      </w:r>
      <w:r w:rsidRPr="00204997">
        <w:rPr>
          <w:rFonts w:ascii="Calibri" w:eastAsia="Aptos" w:hAnsi="Calibri" w:cs="Calibri"/>
        </w:rPr>
        <w:t xml:space="preserve"> the likelihood of them becoming NEET (not in education, employment or training).</w:t>
      </w:r>
    </w:p>
    <w:p w:rsidR="00B46497" w:rsidRPr="00204997" w:rsidP="00204997">
      <w:pPr>
        <w:pStyle w:val="Heading2"/>
        <w:rPr>
          <w:rFonts w:ascii="Calibri" w:hAnsi="Calibri" w:cs="Calibri"/>
          <w:b/>
          <w:color w:val="auto"/>
          <w:sz w:val="24"/>
          <w:szCs w:val="24"/>
        </w:rPr>
      </w:pPr>
      <w:r w:rsidRPr="00204997">
        <w:rPr>
          <w:rFonts w:ascii="Calibri" w:hAnsi="Calibri" w:cs="Calibri"/>
          <w:b/>
          <w:color w:val="auto"/>
          <w:sz w:val="24"/>
          <w:szCs w:val="24"/>
        </w:rPr>
        <w:t xml:space="preserve">Focus area 3: Meaningful involvement of children, young people and their carers  </w:t>
      </w:r>
    </w:p>
    <w:p w:rsidR="00B46497" w:rsidRPr="00204997" w:rsidP="00204997">
      <w:pPr>
        <w:pStyle w:val="ListParagraph"/>
        <w:rPr>
          <w:rFonts w:ascii="Calibri" w:hAnsi="Calibri" w:cs="Calibri"/>
        </w:rPr>
      </w:pPr>
      <w:r w:rsidRPr="00204997">
        <w:rPr>
          <w:rFonts w:ascii="Calibri" w:hAnsi="Calibri" w:cs="Calibri"/>
        </w:rPr>
        <w:t>Communication and availability of information is something that young people and their parents and carers have raised with us during our assessments</w:t>
      </w:r>
      <w:r w:rsidRPr="00204997">
        <w:rPr>
          <w:rFonts w:ascii="Calibri" w:hAnsi="Calibri" w:cs="Calibri"/>
        </w:rPr>
        <w:t xml:space="preserve"> of local authorities</w:t>
      </w:r>
      <w:r w:rsidRPr="00204997">
        <w:rPr>
          <w:rFonts w:ascii="Calibri" w:hAnsi="Calibri" w:cs="Calibri"/>
        </w:rPr>
        <w:t xml:space="preserve">. Parents found that unclear and poor communication meant they were </w:t>
      </w:r>
      <w:r w:rsidRPr="00204997">
        <w:rPr>
          <w:rFonts w:ascii="Calibri" w:hAnsi="Calibri" w:cs="Calibri"/>
        </w:rPr>
        <w:t>unable to access the right support or having to repeat their story.</w:t>
      </w:r>
      <w:r>
        <w:rPr>
          <w:rStyle w:val="FootnoteReference"/>
          <w:rFonts w:ascii="Calibri" w:hAnsi="Calibri" w:cs="Calibri"/>
        </w:rPr>
        <w:footnoteReference w:id="28"/>
      </w:r>
      <w:r w:rsidRPr="00204997">
        <w:rPr>
          <w:rFonts w:ascii="Calibri" w:hAnsi="Calibri" w:cs="Calibri"/>
        </w:rPr>
        <w:t xml:space="preserve">  Similarly, our preparation for adulthood thematic </w:t>
      </w:r>
      <w:r w:rsidRPr="00204997">
        <w:rPr>
          <w:rFonts w:ascii="Calibri" w:hAnsi="Calibri" w:cs="Calibri"/>
        </w:rPr>
        <w:t xml:space="preserve">review </w:t>
      </w:r>
      <w:r w:rsidRPr="00204997">
        <w:rPr>
          <w:rFonts w:ascii="Calibri" w:hAnsi="Calibri" w:cs="Calibri"/>
        </w:rPr>
        <w:t>with Ofsted found weaker local area partnerships did not communicate effectively with parents</w:t>
      </w:r>
      <w:r w:rsidRPr="00204997">
        <w:rPr>
          <w:rFonts w:ascii="Calibri" w:hAnsi="Calibri" w:cs="Calibri"/>
        </w:rPr>
        <w:t xml:space="preserve"> </w:t>
      </w:r>
      <w:r w:rsidRPr="00204997">
        <w:rPr>
          <w:rFonts w:ascii="Calibri" w:hAnsi="Calibri" w:cs="Calibri"/>
        </w:rPr>
        <w:t>and carers</w:t>
      </w:r>
      <w:r w:rsidRPr="00204997">
        <w:rPr>
          <w:rFonts w:ascii="Calibri" w:hAnsi="Calibri" w:cs="Calibri"/>
        </w:rPr>
        <w:t xml:space="preserve"> </w:t>
      </w:r>
      <w:r w:rsidRPr="00204997">
        <w:rPr>
          <w:rFonts w:ascii="Calibri" w:hAnsi="Calibri" w:cs="Calibri"/>
        </w:rPr>
        <w:t>or inform them of local services that were available.</w:t>
      </w:r>
    </w:p>
    <w:p w:rsidR="00B46497" w:rsidRPr="00204997" w:rsidP="00204997">
      <w:pPr>
        <w:pStyle w:val="ListParagraph"/>
        <w:rPr>
          <w:rFonts w:ascii="Calibri" w:hAnsi="Calibri" w:cs="Calibri"/>
        </w:rPr>
      </w:pPr>
      <w:r w:rsidRPr="00204997">
        <w:rPr>
          <w:rFonts w:ascii="Calibri" w:hAnsi="Calibri" w:cs="Calibri"/>
        </w:rPr>
        <w:t xml:space="preserve">The following examples illustrate </w:t>
      </w:r>
      <w:r w:rsidRPr="00204997">
        <w:rPr>
          <w:rFonts w:ascii="Calibri" w:hAnsi="Calibri" w:cs="Calibri"/>
        </w:rPr>
        <w:t>different</w:t>
      </w:r>
      <w:r w:rsidRPr="00204997">
        <w:rPr>
          <w:rFonts w:ascii="Calibri" w:hAnsi="Calibri" w:cs="Calibri"/>
        </w:rPr>
        <w:t xml:space="preserve"> practice </w:t>
      </w:r>
      <w:r w:rsidRPr="00204997">
        <w:rPr>
          <w:rFonts w:ascii="Calibri" w:hAnsi="Calibri" w:cs="Calibri"/>
        </w:rPr>
        <w:t>for</w:t>
      </w:r>
      <w:r w:rsidRPr="00204997">
        <w:rPr>
          <w:rFonts w:ascii="Calibri" w:hAnsi="Calibri" w:cs="Calibri"/>
        </w:rPr>
        <w:t xml:space="preserve"> involvement of young people and their families </w:t>
      </w:r>
      <w:r w:rsidRPr="00204997">
        <w:rPr>
          <w:rFonts w:ascii="Calibri" w:hAnsi="Calibri" w:cs="Calibri"/>
        </w:rPr>
        <w:t>in transitions</w:t>
      </w:r>
      <w:r w:rsidRPr="00204997">
        <w:rPr>
          <w:rFonts w:ascii="Calibri" w:hAnsi="Calibri" w:cs="Calibri"/>
        </w:rPr>
        <w:t>, across our local authority assessments and Area SEND inspections</w:t>
      </w:r>
      <w:r w:rsidRPr="00204997">
        <w:rPr>
          <w:rFonts w:ascii="Calibri" w:hAnsi="Calibri" w:cs="Calibri"/>
        </w:rPr>
        <w:t>.</w:t>
      </w:r>
    </w:p>
    <w:p w:rsidR="00B46497" w:rsidRPr="00204997" w:rsidP="00204997">
      <w:pPr>
        <w:rPr>
          <w:rFonts w:ascii="Calibri" w:hAnsi="Calibri" w:cs="Calibri"/>
          <w:b/>
        </w:rPr>
      </w:pPr>
      <w:r w:rsidRPr="00204997">
        <w:rPr>
          <w:rFonts w:ascii="Calibri" w:hAnsi="Calibri" w:cs="Calibri"/>
          <w:b/>
          <w:bCs/>
        </w:rPr>
        <w:t>Wigan Council – Local Authority Assessment</w:t>
      </w:r>
      <w:r>
        <w:rPr>
          <w:rStyle w:val="FootnoteReference"/>
          <w:rFonts w:ascii="Calibri" w:hAnsi="Calibri" w:cs="Calibri"/>
          <w:b/>
          <w:bCs/>
        </w:rPr>
        <w:footnoteReference w:id="29"/>
      </w:r>
    </w:p>
    <w:p w:rsidR="00B46497" w:rsidRPr="00204997" w:rsidP="00204997">
      <w:pPr>
        <w:pStyle w:val="ListParagraph"/>
        <w:rPr>
          <w:rFonts w:ascii="Calibri" w:hAnsi="Calibri" w:cs="Calibri"/>
        </w:rPr>
      </w:pPr>
      <w:r w:rsidRPr="00204997">
        <w:rPr>
          <w:rFonts w:ascii="Calibri" w:hAnsi="Calibri" w:cs="Calibri"/>
        </w:rPr>
        <w:t>Drop-in sessions delivered through family hubs by the transitions and SEND team gave families the opportunity to find out what support was available, with unpaid carers reporting these had been helpful and had a positive impact. Unpaid carers also described increased opportunities to feed into processes and access information through a range of channels and partners, including co-producing a preparing for adulthood toolkit with the local authority, designed for young people from Year 9 onwards. A six-week p</w:t>
      </w:r>
      <w:r w:rsidRPr="00204997">
        <w:rPr>
          <w:rFonts w:ascii="Calibri" w:hAnsi="Calibri" w:cs="Calibri"/>
        </w:rPr>
        <w:t>rogramme delivered by the preparing for adulthood team for families from Year 9 was also highlighted by carers as helpful in supporting their understanding of the transition process.</w:t>
      </w:r>
    </w:p>
    <w:p w:rsidR="00B46497" w:rsidRPr="00204997" w:rsidP="00204997">
      <w:pPr>
        <w:rPr>
          <w:rFonts w:ascii="Calibri" w:hAnsi="Calibri" w:cs="Calibri"/>
        </w:rPr>
      </w:pPr>
    </w:p>
    <w:p w:rsidR="00B46497" w:rsidRPr="00204997" w:rsidP="00204997">
      <w:pPr>
        <w:rPr>
          <w:rFonts w:ascii="Calibri" w:hAnsi="Calibri" w:cs="Calibri"/>
        </w:rPr>
      </w:pPr>
      <w:r w:rsidRPr="00204997">
        <w:rPr>
          <w:rFonts w:ascii="Calibri" w:hAnsi="Calibri" w:cs="Calibri"/>
          <w:b/>
        </w:rPr>
        <w:t xml:space="preserve">Kirklees </w:t>
      </w:r>
      <w:r w:rsidRPr="00204997">
        <w:rPr>
          <w:rFonts w:ascii="Calibri" w:hAnsi="Calibri" w:cs="Calibri"/>
          <w:b/>
        </w:rPr>
        <w:t>Local Area Partnership</w:t>
      </w:r>
      <w:r w:rsidRPr="00204997">
        <w:rPr>
          <w:rFonts w:ascii="Calibri" w:hAnsi="Calibri" w:cs="Calibri"/>
          <w:b/>
          <w:bCs/>
        </w:rPr>
        <w:t xml:space="preserve"> – Area SEND Inspection</w:t>
      </w:r>
      <w:r>
        <w:rPr>
          <w:rStyle w:val="FootnoteReference"/>
          <w:rFonts w:ascii="Calibri" w:hAnsi="Calibri" w:cs="Calibri"/>
          <w:b/>
        </w:rPr>
        <w:footnoteReference w:id="30"/>
      </w:r>
      <w:r w:rsidRPr="00204997">
        <w:rPr>
          <w:rFonts w:ascii="Calibri" w:hAnsi="Calibri" w:cs="Calibri"/>
        </w:rPr>
        <w:t xml:space="preserve"> </w:t>
      </w:r>
    </w:p>
    <w:p w:rsidR="00B46497" w:rsidRPr="00204997" w:rsidP="00204997">
      <w:pPr>
        <w:pStyle w:val="ListParagraph"/>
        <w:rPr>
          <w:rFonts w:ascii="Calibri" w:hAnsi="Calibri" w:cs="Calibri"/>
        </w:rPr>
      </w:pPr>
      <w:r w:rsidRPr="00204997">
        <w:rPr>
          <w:rFonts w:ascii="Calibri" w:hAnsi="Calibri" w:cs="Calibri"/>
        </w:rPr>
        <w:t>The inspection found that some</w:t>
      </w:r>
      <w:r w:rsidRPr="00204997">
        <w:rPr>
          <w:rFonts w:ascii="Calibri" w:hAnsi="Calibri" w:cs="Calibri"/>
        </w:rPr>
        <w:t xml:space="preserve"> EHC plans miss key steps to help families navigate upcoming transitions</w:t>
      </w:r>
      <w:r w:rsidRPr="00204997">
        <w:rPr>
          <w:rFonts w:ascii="Calibri" w:hAnsi="Calibri" w:cs="Calibri"/>
        </w:rPr>
        <w:t xml:space="preserve">, and that where preparation for adulthood is planned, it often starts too late, leaving children, young people and their families feeling unprepared. The specialist pathway team was not involved early enough to ensure Care Act assessments supported transitions into adulthood. </w:t>
      </w:r>
      <w:r w:rsidRPr="00204997">
        <w:rPr>
          <w:rFonts w:ascii="Calibri" w:hAnsi="Calibri" w:cs="Calibri"/>
        </w:rPr>
        <w:t>These delays leave children and families feeling uncertain and unprepared for the future.</w:t>
      </w:r>
    </w:p>
    <w:p w:rsidR="00B46497" w:rsidRPr="00204997" w:rsidP="00204997">
      <w:pPr>
        <w:pStyle w:val="ListParagraph"/>
        <w:rPr>
          <w:rFonts w:ascii="Calibri" w:hAnsi="Calibri" w:cs="Calibri"/>
        </w:rPr>
      </w:pPr>
      <w:r w:rsidRPr="00204997">
        <w:rPr>
          <w:rFonts w:ascii="Calibri" w:hAnsi="Calibri" w:cs="Calibri"/>
        </w:rPr>
        <w:t>The inspection set out an area for improvement requiring leaders across the partnership to improve how effectively children and young people are prepared for adulthood. This includes ensuring that strategic action planning for preparation for adulthood is coordinated with clear and measurable outcomes, that education, health and social care practitioners work together more effectively and at an earlier stage, that annual reviews reflect a clear focus on how children and young people will achieve their goals</w:t>
      </w:r>
      <w:r w:rsidRPr="00204997">
        <w:rPr>
          <w:rFonts w:ascii="Calibri" w:hAnsi="Calibri" w:cs="Calibri"/>
        </w:rPr>
        <w:t xml:space="preserve"> and participate fully in adulthood, and that there is a sufficient breadth of education, employment and training routes for young people with SEND to pursue their ambitions post-16.</w:t>
      </w:r>
    </w:p>
    <w:p w:rsidR="00B46497" w:rsidRPr="00204997" w:rsidP="00204997">
      <w:pPr>
        <w:pStyle w:val="Heading2"/>
        <w:rPr>
          <w:rFonts w:ascii="Calibri" w:eastAsia="Aptos" w:hAnsi="Calibri" w:cs="Calibri"/>
          <w:b/>
          <w:bCs/>
          <w:color w:val="auto"/>
          <w:sz w:val="24"/>
          <w:szCs w:val="24"/>
        </w:rPr>
      </w:pPr>
      <w:r w:rsidRPr="00204997">
        <w:rPr>
          <w:rFonts w:ascii="Calibri" w:hAnsi="Calibri" w:cs="Calibri"/>
          <w:b/>
          <w:bCs/>
          <w:color w:val="auto"/>
          <w:sz w:val="24"/>
          <w:szCs w:val="24"/>
        </w:rPr>
        <w:t>Defining, measuring and monitoring effective transitions</w:t>
      </w:r>
    </w:p>
    <w:p w:rsidR="00B46497" w:rsidRPr="00204997" w:rsidP="00204997">
      <w:pPr>
        <w:pStyle w:val="ListParagraph"/>
        <w:rPr>
          <w:rFonts w:ascii="Calibri" w:eastAsia="Aptos" w:hAnsi="Calibri" w:cs="Calibri"/>
        </w:rPr>
      </w:pPr>
      <w:r w:rsidRPr="00204997">
        <w:rPr>
          <w:rFonts w:ascii="Calibri" w:eastAsia="Aptos" w:hAnsi="Calibri" w:cs="Calibri"/>
        </w:rPr>
        <w:t xml:space="preserve">We expect local authorities to work with people and partners to establish and maintain safe systems of care, in which safety is managed, monitored and assured. We expect them to ensure continuity of care, including when people move between different services.  </w:t>
      </w:r>
      <w:r w:rsidRPr="00204997">
        <w:rPr>
          <w:rFonts w:ascii="Calibri" w:hAnsi="Calibri" w:cs="Calibri"/>
          <w:szCs w:val="22"/>
        </w:rPr>
        <w:t xml:space="preserve">We expect local authorities to have consistent documented procedures and process maps, so that transitions are not ad-hoc but follow reliable paths. </w:t>
      </w:r>
    </w:p>
    <w:p w:rsidR="00B46497" w:rsidRPr="00204997" w:rsidP="00204997">
      <w:pPr>
        <w:pStyle w:val="ListParagraph"/>
        <w:rPr>
          <w:rFonts w:ascii="Calibri" w:hAnsi="Calibri" w:cs="Calibri"/>
          <w:szCs w:val="22"/>
        </w:rPr>
      </w:pPr>
      <w:r w:rsidRPr="00204997">
        <w:rPr>
          <w:rFonts w:ascii="Calibri" w:hAnsi="Calibri" w:cs="Calibri"/>
          <w:szCs w:val="22"/>
        </w:rPr>
        <w:t>Examples of good practice in transitions in findings from local authority assessments include where the local authority had clear documented processes, understood risk, and carried out proactive work to avoid people falling through gaps.</w:t>
      </w:r>
      <w:r>
        <w:rPr>
          <w:rStyle w:val="FootnoteReference"/>
          <w:rFonts w:ascii="Calibri" w:hAnsi="Calibri" w:cs="Calibri"/>
          <w:szCs w:val="22"/>
        </w:rPr>
        <w:footnoteReference w:id="31"/>
      </w:r>
    </w:p>
    <w:p w:rsidR="00B46497" w:rsidRPr="00204997" w:rsidP="00204997">
      <w:pPr>
        <w:pStyle w:val="ListParagraph"/>
        <w:rPr>
          <w:rFonts w:ascii="Calibri" w:hAnsi="Calibri" w:cs="Calibri"/>
          <w:szCs w:val="22"/>
        </w:rPr>
      </w:pPr>
      <w:r w:rsidRPr="00204997">
        <w:rPr>
          <w:rFonts w:ascii="Calibri" w:hAnsi="Calibri" w:cs="Calibri"/>
          <w:szCs w:val="22"/>
        </w:rPr>
        <w:t>Other examples of good practice include:</w:t>
      </w:r>
    </w:p>
    <w:p w:rsidR="00B46497" w:rsidRPr="00204997" w:rsidP="00204997">
      <w:pPr>
        <w:pStyle w:val="ListParagraph"/>
        <w:rPr>
          <w:rFonts w:ascii="Calibri" w:hAnsi="Calibri" w:cs="Calibri"/>
        </w:rPr>
      </w:pPr>
      <w:r w:rsidRPr="00204997">
        <w:rPr>
          <w:rFonts w:ascii="Calibri" w:hAnsi="Calibri" w:cs="Calibri"/>
        </w:rPr>
        <w:t>documented internal service move processes</w:t>
      </w:r>
    </w:p>
    <w:p w:rsidR="00B46497" w:rsidRPr="00204997" w:rsidP="00204997">
      <w:pPr>
        <w:pStyle w:val="ListParagraph"/>
        <w:rPr>
          <w:rFonts w:ascii="Calibri" w:hAnsi="Calibri" w:cs="Calibri"/>
        </w:rPr>
      </w:pPr>
      <w:r w:rsidRPr="00204997">
        <w:rPr>
          <w:rFonts w:ascii="Calibri" w:hAnsi="Calibri" w:cs="Calibri"/>
        </w:rPr>
        <w:t>escalation processes where risk arises during transitions</w:t>
      </w:r>
    </w:p>
    <w:p w:rsidR="00B46497" w:rsidRPr="00204997" w:rsidP="00204997">
      <w:pPr>
        <w:pStyle w:val="ListParagraph"/>
        <w:rPr>
          <w:rFonts w:ascii="Calibri" w:hAnsi="Calibri" w:cs="Calibri"/>
        </w:rPr>
      </w:pPr>
      <w:r w:rsidRPr="00204997">
        <w:rPr>
          <w:rFonts w:ascii="Calibri" w:hAnsi="Calibri" w:cs="Calibri"/>
        </w:rPr>
        <w:t>staff awareness of dual/overlapping needs</w:t>
      </w:r>
    </w:p>
    <w:p w:rsidR="00B46497" w:rsidRPr="00204997" w:rsidP="00204997">
      <w:pPr>
        <w:pStyle w:val="ListParagraph"/>
        <w:rPr>
          <w:rFonts w:ascii="Calibri" w:hAnsi="Calibri" w:cs="Calibri"/>
        </w:rPr>
      </w:pPr>
      <w:r w:rsidRPr="00204997">
        <w:rPr>
          <w:rFonts w:ascii="Calibri" w:hAnsi="Calibri" w:cs="Calibri"/>
        </w:rPr>
        <w:t xml:space="preserve">maintaining continuity, for example the same provider staying involved into adulthood. </w:t>
      </w:r>
    </w:p>
    <w:p w:rsidR="00B46497" w:rsidRPr="00204997" w:rsidP="00204997">
      <w:pPr>
        <w:pStyle w:val="ListParagraph"/>
        <w:rPr>
          <w:rStyle w:val="FootnoteReference"/>
          <w:rFonts w:ascii="Calibri" w:hAnsi="Calibri" w:cs="Calibri"/>
        </w:rPr>
      </w:pPr>
      <w:r w:rsidRPr="00204997">
        <w:rPr>
          <w:rFonts w:ascii="Calibri" w:hAnsi="Calibri" w:cs="Calibri"/>
        </w:rPr>
        <w:t>Our</w:t>
      </w:r>
      <w:r w:rsidRPr="00204997">
        <w:rPr>
          <w:rFonts w:ascii="Calibri" w:hAnsi="Calibri" w:cs="Calibri"/>
        </w:rPr>
        <w:t xml:space="preserve"> new</w:t>
      </w:r>
      <w:r w:rsidRPr="00204997">
        <w:rPr>
          <w:rFonts w:ascii="Calibri" w:hAnsi="Calibri" w:cs="Calibri"/>
        </w:rPr>
        <w:t xml:space="preserve"> ratings characteristics for the 'Safe systems, pathways and transitions' quality statement set out what assessors look for when evaluating how local authorities ensure safety within the system.</w:t>
      </w:r>
      <w:r w:rsidRPr="00204997">
        <w:rPr>
          <w:rFonts w:ascii="Calibri" w:hAnsi="Calibri" w:cs="Calibri"/>
        </w:rPr>
        <w:t xml:space="preserve"> </w:t>
      </w:r>
      <w:r w:rsidRPr="00204997">
        <w:rPr>
          <w:rStyle w:val="FootnoteReference"/>
          <w:rFonts w:ascii="Calibri" w:hAnsi="Calibri" w:cs="Calibri"/>
          <w:vertAlign w:val="baseline"/>
        </w:rPr>
        <w:t>Each rating characteristics describing some of the key features we might expect at each judgement level (exceptional standard, good standard, some shortfalls, significant shortfalls) are displayed under the relevant quality statement on our website.</w:t>
      </w:r>
      <w:r w:rsidRPr="00204997">
        <w:rPr>
          <w:rStyle w:val="FootnoteReference"/>
          <w:rFonts w:ascii="Calibri" w:hAnsi="Calibri" w:cs="Calibri"/>
        </w:rPr>
        <w:t xml:space="preserve"> </w:t>
      </w:r>
      <w:r>
        <w:rPr>
          <w:rStyle w:val="FootnoteReference"/>
          <w:rFonts w:ascii="Calibri" w:hAnsi="Calibri" w:cs="Calibri"/>
        </w:rPr>
        <w:footnoteReference w:id="32"/>
      </w:r>
    </w:p>
    <w:p w:rsidR="00B46497" w:rsidRPr="00204997" w:rsidP="00204997">
      <w:pPr>
        <w:pStyle w:val="ListParagraph"/>
        <w:rPr>
          <w:rFonts w:ascii="Calibri" w:hAnsi="Calibri" w:cs="Calibri"/>
          <w:szCs w:val="22"/>
        </w:rPr>
      </w:pPr>
      <w:r w:rsidRPr="00204997">
        <w:rPr>
          <w:rFonts w:ascii="Calibri" w:hAnsi="Calibri" w:cs="Calibri"/>
          <w:szCs w:val="22"/>
        </w:rPr>
        <w:t xml:space="preserve">A local authority may meet a good standard, </w:t>
      </w:r>
      <w:r w:rsidRPr="00204997">
        <w:rPr>
          <w:rFonts w:ascii="Calibri" w:hAnsi="Calibri" w:cs="Calibri"/>
          <w:szCs w:val="22"/>
        </w:rPr>
        <w:t xml:space="preserve">when </w:t>
      </w:r>
      <w:r w:rsidRPr="00204997">
        <w:rPr>
          <w:rFonts w:ascii="Calibri" w:hAnsi="Calibri" w:cs="Calibri"/>
          <w:szCs w:val="22"/>
        </w:rPr>
        <w:t>preparing for adulthood arrangements begin early, from age 14, ensuring that young people and their families and carers experience smooth transitions in care and support. People with experience of preparing for adulthood report positive experiences, and the local authority listen</w:t>
      </w:r>
      <w:r w:rsidRPr="00204997">
        <w:rPr>
          <w:rFonts w:ascii="Calibri" w:hAnsi="Calibri" w:cs="Calibri"/>
          <w:szCs w:val="22"/>
        </w:rPr>
        <w:t>s</w:t>
      </w:r>
      <w:r w:rsidRPr="00204997">
        <w:rPr>
          <w:rFonts w:ascii="Calibri" w:hAnsi="Calibri" w:cs="Calibri"/>
          <w:szCs w:val="22"/>
        </w:rPr>
        <w:t>, adapt</w:t>
      </w:r>
      <w:r w:rsidRPr="00204997">
        <w:rPr>
          <w:rFonts w:ascii="Calibri" w:hAnsi="Calibri" w:cs="Calibri"/>
          <w:szCs w:val="22"/>
        </w:rPr>
        <w:t>s</w:t>
      </w:r>
      <w:r w:rsidRPr="00204997">
        <w:rPr>
          <w:rFonts w:ascii="Calibri" w:hAnsi="Calibri" w:cs="Calibri"/>
          <w:szCs w:val="22"/>
        </w:rPr>
        <w:t xml:space="preserve"> and act</w:t>
      </w:r>
      <w:r w:rsidRPr="00204997">
        <w:rPr>
          <w:rFonts w:ascii="Calibri" w:hAnsi="Calibri" w:cs="Calibri"/>
          <w:szCs w:val="22"/>
        </w:rPr>
        <w:t>s</w:t>
      </w:r>
      <w:r w:rsidRPr="00204997">
        <w:rPr>
          <w:rFonts w:ascii="Calibri" w:hAnsi="Calibri" w:cs="Calibri"/>
          <w:szCs w:val="22"/>
        </w:rPr>
        <w:t xml:space="preserve"> on feedback to drive improvement.</w:t>
      </w:r>
    </w:p>
    <w:p w:rsidR="00B46497" w:rsidRPr="00204997" w:rsidP="00204997">
      <w:pPr>
        <w:pStyle w:val="ListParagraph"/>
        <w:rPr>
          <w:rFonts w:ascii="Calibri" w:hAnsi="Calibri" w:cs="Calibri"/>
        </w:rPr>
      </w:pPr>
      <w:r w:rsidRPr="00204997">
        <w:rPr>
          <w:rFonts w:ascii="Calibri" w:hAnsi="Calibri" w:cs="Calibri"/>
        </w:rPr>
        <w:t>A local authority may meet</w:t>
      </w:r>
      <w:r w:rsidRPr="00204997">
        <w:rPr>
          <w:rFonts w:ascii="Calibri" w:hAnsi="Calibri" w:cs="Calibri"/>
        </w:rPr>
        <w:t xml:space="preserve"> an exceptional standard, </w:t>
      </w:r>
      <w:r w:rsidRPr="00204997">
        <w:rPr>
          <w:rFonts w:ascii="Calibri" w:hAnsi="Calibri" w:cs="Calibri"/>
        </w:rPr>
        <w:t xml:space="preserve">when </w:t>
      </w:r>
      <w:r w:rsidRPr="00204997">
        <w:rPr>
          <w:rFonts w:ascii="Calibri" w:hAnsi="Calibri" w:cs="Calibri"/>
        </w:rPr>
        <w:t>in addition to meeting</w:t>
      </w:r>
      <w:r w:rsidRPr="00204997">
        <w:rPr>
          <w:rFonts w:ascii="Calibri" w:hAnsi="Calibri" w:cs="Calibri"/>
        </w:rPr>
        <w:t xml:space="preserve"> the </w:t>
      </w:r>
      <w:r w:rsidRPr="00204997">
        <w:rPr>
          <w:rFonts w:ascii="Calibri" w:hAnsi="Calibri" w:cs="Calibri"/>
        </w:rPr>
        <w:t>standard for good</w:t>
      </w:r>
      <w:r w:rsidRPr="00204997">
        <w:rPr>
          <w:rFonts w:ascii="Calibri" w:hAnsi="Calibri" w:cs="Calibri"/>
        </w:rPr>
        <w:t>,</w:t>
      </w:r>
      <w:r w:rsidRPr="00204997">
        <w:rPr>
          <w:rFonts w:ascii="Calibri" w:hAnsi="Calibri" w:cs="Calibri"/>
        </w:rPr>
        <w:t xml:space="preserve"> arrangements </w:t>
      </w:r>
      <w:r w:rsidRPr="00204997">
        <w:rPr>
          <w:rFonts w:ascii="Calibri" w:hAnsi="Calibri" w:cs="Calibri"/>
        </w:rPr>
        <w:t>begin</w:t>
      </w:r>
      <w:r w:rsidRPr="00204997">
        <w:rPr>
          <w:rFonts w:ascii="Calibri" w:hAnsi="Calibri" w:cs="Calibri"/>
        </w:rPr>
        <w:t xml:space="preserve"> early in a child's life and plac</w:t>
      </w:r>
      <w:r w:rsidRPr="00204997">
        <w:rPr>
          <w:rFonts w:ascii="Calibri" w:hAnsi="Calibri" w:cs="Calibri"/>
        </w:rPr>
        <w:t>e</w:t>
      </w:r>
      <w:r w:rsidRPr="00204997">
        <w:rPr>
          <w:rFonts w:ascii="Calibri" w:hAnsi="Calibri" w:cs="Calibri"/>
        </w:rPr>
        <w:t xml:space="preserve"> young people at the centre of decision-making, giving them genuine choice and control over their future. People with experience of this transition consistently report that the local authority listens and responds to their feedback. There </w:t>
      </w:r>
      <w:r w:rsidRPr="00204997">
        <w:rPr>
          <w:rFonts w:ascii="Calibri" w:hAnsi="Calibri" w:cs="Calibri"/>
        </w:rPr>
        <w:t>is also</w:t>
      </w:r>
      <w:r w:rsidRPr="00204997">
        <w:rPr>
          <w:rFonts w:ascii="Calibri" w:hAnsi="Calibri" w:cs="Calibri"/>
        </w:rPr>
        <w:t xml:space="preserve"> a strong collaborative culture across the workforce, care providers and families and carers, supporting a genuinely people-led approach, reflected in consistently positive feedback from people and partners.</w:t>
      </w:r>
    </w:p>
    <w:p w:rsidR="00B46497" w:rsidRPr="00204997" w:rsidP="00204997">
      <w:pPr>
        <w:pStyle w:val="ListParagraph"/>
        <w:rPr>
          <w:rFonts w:ascii="Calibri" w:hAnsi="Calibri" w:cs="Calibri"/>
        </w:rPr>
      </w:pPr>
      <w:r w:rsidRPr="00204997">
        <w:rPr>
          <w:rFonts w:ascii="Calibri" w:hAnsi="Calibri" w:cs="Calibri"/>
        </w:rPr>
        <w:t>An example of what good transition service looks like is included below.</w:t>
      </w:r>
    </w:p>
    <w:p w:rsidR="00B46497" w:rsidRPr="00204997" w:rsidP="00204997">
      <w:pPr>
        <w:rPr>
          <w:rFonts w:ascii="Calibri" w:hAnsi="Calibri" w:cs="Calibri"/>
          <w:b/>
          <w:bCs/>
        </w:rPr>
      </w:pPr>
      <w:r w:rsidRPr="00204997">
        <w:rPr>
          <w:rFonts w:ascii="Calibri" w:hAnsi="Calibri" w:cs="Calibri"/>
          <w:b/>
          <w:bCs/>
        </w:rPr>
        <w:t xml:space="preserve">Camden Council – </w:t>
      </w:r>
      <w:r w:rsidRPr="00204997">
        <w:rPr>
          <w:rFonts w:ascii="Calibri" w:hAnsi="Calibri" w:cs="Calibri"/>
          <w:b/>
        </w:rPr>
        <w:t>Local Authority Assessment</w:t>
      </w:r>
      <w:r>
        <w:rPr>
          <w:rStyle w:val="FootnoteReference"/>
          <w:rFonts w:ascii="Calibri" w:eastAsia="Aptos" w:hAnsi="Calibri" w:cs="Calibri"/>
          <w:b/>
          <w:szCs w:val="22"/>
        </w:rPr>
        <w:footnoteReference w:id="33"/>
      </w:r>
    </w:p>
    <w:p w:rsidR="00B46497" w:rsidRPr="00204997" w:rsidP="00204997">
      <w:pPr>
        <w:pStyle w:val="ListParagraph"/>
        <w:rPr>
          <w:rFonts w:ascii="Calibri" w:hAnsi="Calibri" w:cs="Calibri"/>
          <w:szCs w:val="22"/>
        </w:rPr>
      </w:pPr>
      <w:r w:rsidRPr="00204997">
        <w:rPr>
          <w:rFonts w:ascii="Calibri" w:hAnsi="Calibri" w:cs="Calibri"/>
          <w:szCs w:val="22"/>
        </w:rPr>
        <w:t xml:space="preserve">The London Borough of Camden received a score of 4 (evidence shows an exceptional standard) for the 'Safe pathways, systems and transitions' quality statement. Our assessment found that transitional arrangements for young people were excellent. </w:t>
      </w:r>
    </w:p>
    <w:p w:rsidR="00B46497" w:rsidRPr="00204997" w:rsidP="00204997">
      <w:pPr>
        <w:pStyle w:val="ListParagraph"/>
        <w:rPr>
          <w:rFonts w:ascii="Calibri" w:hAnsi="Calibri" w:cs="Calibri"/>
          <w:szCs w:val="22"/>
        </w:rPr>
      </w:pPr>
      <w:r w:rsidRPr="00204997">
        <w:rPr>
          <w:rFonts w:ascii="Calibri" w:hAnsi="Calibri" w:cs="Calibri"/>
          <w:szCs w:val="22"/>
        </w:rPr>
        <w:t>Partners consistently highlighted the effective use of 'planning together' meetings to meet young people's needs, and the 'good life steering group' placed young people at the centre of decision-making, giving them genuine choice and control over their future. These forums also supported strong relationships between the local authority and providers and fostered a collaborative culture across the sector. Workshops for parents and carers covered subjects relating to transition, and service opportunities such</w:t>
      </w:r>
      <w:r w:rsidRPr="00204997">
        <w:rPr>
          <w:rFonts w:ascii="Calibri" w:hAnsi="Calibri" w:cs="Calibri"/>
          <w:szCs w:val="22"/>
        </w:rPr>
        <w:t xml:space="preserve"> as internships, education and workplace placements were clearly available.</w:t>
      </w:r>
    </w:p>
    <w:p w:rsidR="00B46497" w:rsidRPr="00204997" w:rsidP="00204997">
      <w:pPr>
        <w:pStyle w:val="ListParagraph"/>
        <w:rPr>
          <w:rFonts w:ascii="Calibri" w:hAnsi="Calibri" w:cs="Calibri"/>
          <w:szCs w:val="22"/>
        </w:rPr>
      </w:pPr>
      <w:r w:rsidRPr="00204997">
        <w:rPr>
          <w:rFonts w:ascii="Calibri" w:hAnsi="Calibri" w:cs="Calibri"/>
          <w:szCs w:val="22"/>
        </w:rPr>
        <w:t xml:space="preserve">Young people were supported from age 14, </w:t>
      </w:r>
      <w:r w:rsidRPr="00204997">
        <w:rPr>
          <w:rFonts w:ascii="Calibri" w:hAnsi="Calibri" w:cs="Calibri"/>
          <w:szCs w:val="22"/>
        </w:rPr>
        <w:t>and at</w:t>
      </w:r>
      <w:r w:rsidRPr="00204997">
        <w:rPr>
          <w:rFonts w:ascii="Calibri" w:hAnsi="Calibri" w:cs="Calibri"/>
          <w:szCs w:val="22"/>
        </w:rPr>
        <w:t xml:space="preserve"> handover to health services at 16. </w:t>
      </w:r>
      <w:r w:rsidRPr="00204997">
        <w:rPr>
          <w:rFonts w:ascii="Calibri" w:hAnsi="Calibri" w:cs="Calibri"/>
          <w:szCs w:val="22"/>
        </w:rPr>
        <w:t xml:space="preserve">Although there had been cases which were held until the person was aged 25 and a half, this was very unusual. </w:t>
      </w:r>
      <w:r w:rsidRPr="00204997">
        <w:rPr>
          <w:rFonts w:ascii="Calibri" w:hAnsi="Calibri" w:cs="Calibri"/>
          <w:szCs w:val="22"/>
        </w:rPr>
        <w:t>Collaborative planning was proactive, person-centred and supported both individuals and their families and carers to choose the best outcome from a healthy market offer.</w:t>
      </w:r>
    </w:p>
    <w:p w:rsidR="00B46497" w:rsidRPr="00204997" w:rsidP="00204997">
      <w:pPr>
        <w:pStyle w:val="Heading2"/>
        <w:rPr>
          <w:rFonts w:ascii="Calibri" w:hAnsi="Calibri" w:cs="Calibri"/>
          <w:b/>
          <w:color w:val="auto"/>
          <w:sz w:val="24"/>
          <w:szCs w:val="24"/>
        </w:rPr>
      </w:pPr>
      <w:r w:rsidRPr="00204997">
        <w:rPr>
          <w:rFonts w:ascii="Calibri" w:hAnsi="Calibri" w:cs="Calibri"/>
          <w:b/>
          <w:color w:val="auto"/>
          <w:sz w:val="24"/>
          <w:szCs w:val="24"/>
        </w:rPr>
        <w:t xml:space="preserve">Focus area 4: Workforce and training  </w:t>
      </w:r>
    </w:p>
    <w:p w:rsidR="00B46497" w:rsidRPr="00204997" w:rsidP="00204997">
      <w:pPr>
        <w:pStyle w:val="ListParagraph"/>
        <w:rPr>
          <w:rFonts w:ascii="Calibri" w:hAnsi="Calibri" w:cs="Calibri"/>
        </w:rPr>
      </w:pPr>
      <w:r w:rsidRPr="00204997">
        <w:rPr>
          <w:rFonts w:ascii="Calibri" w:hAnsi="Calibri" w:cs="Calibri"/>
        </w:rPr>
        <w:t xml:space="preserve">Area SEND inspections </w:t>
      </w:r>
      <w:r w:rsidRPr="00204997">
        <w:rPr>
          <w:rFonts w:ascii="Calibri" w:hAnsi="Calibri" w:cs="Calibri"/>
        </w:rPr>
        <w:t xml:space="preserve">show that where </w:t>
      </w:r>
      <w:r w:rsidRPr="00204997">
        <w:rPr>
          <w:rFonts w:ascii="Calibri" w:hAnsi="Calibri" w:cs="Calibri"/>
        </w:rPr>
        <w:t xml:space="preserve">dedicated staff resource is available, </w:t>
      </w:r>
      <w:r w:rsidRPr="00204997">
        <w:rPr>
          <w:rFonts w:ascii="Calibri" w:hAnsi="Calibri" w:cs="Calibri"/>
        </w:rPr>
        <w:t>there can be</w:t>
      </w:r>
      <w:r w:rsidRPr="00204997">
        <w:rPr>
          <w:rFonts w:ascii="Calibri" w:hAnsi="Calibri" w:cs="Calibri"/>
        </w:rPr>
        <w:t xml:space="preserve"> positive outcome</w:t>
      </w:r>
      <w:r w:rsidRPr="00204997">
        <w:rPr>
          <w:rFonts w:ascii="Calibri" w:hAnsi="Calibri" w:cs="Calibri"/>
        </w:rPr>
        <w:t>s</w:t>
      </w:r>
      <w:r w:rsidRPr="00204997">
        <w:rPr>
          <w:rFonts w:ascii="Calibri" w:hAnsi="Calibri" w:cs="Calibri"/>
        </w:rPr>
        <w:t xml:space="preserve">. </w:t>
      </w:r>
      <w:r w:rsidRPr="00204997">
        <w:rPr>
          <w:rFonts w:ascii="Calibri" w:hAnsi="Calibri" w:cs="Calibri"/>
        </w:rPr>
        <w:t>For example, in Newham</w:t>
      </w:r>
      <w:r w:rsidRPr="00204997">
        <w:rPr>
          <w:rFonts w:ascii="Calibri" w:hAnsi="Calibri" w:cs="Calibri"/>
        </w:rPr>
        <w:t>,</w:t>
      </w:r>
      <w:r w:rsidRPr="00204997">
        <w:rPr>
          <w:rFonts w:ascii="Calibri" w:hAnsi="Calibri" w:cs="Calibri"/>
        </w:rPr>
        <w:t xml:space="preserve"> Transition nurses provide helpful support where they are involved. However, lack of capacity in this service reduces the nurses’ ability to be involved in strategic development work to improve transition</w:t>
      </w:r>
      <w:r w:rsidRPr="00204997">
        <w:rPr>
          <w:rFonts w:ascii="Calibri" w:hAnsi="Calibri" w:cs="Calibri"/>
        </w:rPr>
        <w:t>.</w:t>
      </w:r>
      <w:r>
        <w:rPr>
          <w:rStyle w:val="FootnoteReference"/>
          <w:rFonts w:ascii="Calibri" w:hAnsi="Calibri" w:cs="Calibri"/>
          <w:b/>
        </w:rPr>
        <w:footnoteReference w:id="34"/>
      </w:r>
    </w:p>
    <w:p w:rsidR="00B46497" w:rsidRPr="00204997" w:rsidP="00204997">
      <w:pPr>
        <w:pStyle w:val="ListParagraph"/>
        <w:rPr>
          <w:rFonts w:ascii="Calibri" w:hAnsi="Calibri" w:cs="Calibri"/>
        </w:rPr>
      </w:pPr>
      <w:r w:rsidRPr="00204997">
        <w:rPr>
          <w:rFonts w:ascii="Calibri" w:hAnsi="Calibri" w:cs="Calibri"/>
        </w:rPr>
        <w:t>Area SEND inspections have also demonstrated the i</w:t>
      </w:r>
      <w:r w:rsidRPr="00204997">
        <w:rPr>
          <w:rFonts w:ascii="Calibri" w:hAnsi="Calibri" w:cs="Calibri"/>
        </w:rPr>
        <w:t>mportance</w:t>
      </w:r>
      <w:r w:rsidRPr="00204997">
        <w:rPr>
          <w:rFonts w:ascii="Calibri" w:hAnsi="Calibri" w:cs="Calibri"/>
        </w:rPr>
        <w:t xml:space="preserve"> of ensuring a</w:t>
      </w:r>
      <w:r w:rsidRPr="00204997">
        <w:rPr>
          <w:rFonts w:ascii="Calibri" w:hAnsi="Calibri" w:cs="Calibri"/>
        </w:rPr>
        <w:t xml:space="preserve"> </w:t>
      </w:r>
      <w:r w:rsidRPr="00204997">
        <w:rPr>
          <w:rFonts w:ascii="Calibri" w:hAnsi="Calibri" w:cs="Calibri"/>
        </w:rPr>
        <w:t>consistent approach to diagnosing young people with a learning disability</w:t>
      </w:r>
      <w:r w:rsidRPr="00204997">
        <w:rPr>
          <w:rFonts w:ascii="Calibri" w:hAnsi="Calibri" w:cs="Calibri"/>
        </w:rPr>
        <w:t xml:space="preserve">, and the importance of this </w:t>
      </w:r>
      <w:r w:rsidRPr="00204997">
        <w:rPr>
          <w:rFonts w:ascii="Calibri" w:hAnsi="Calibri" w:cs="Calibri"/>
        </w:rPr>
        <w:t>learning disability diagnosis</w:t>
      </w:r>
      <w:r w:rsidRPr="00204997">
        <w:rPr>
          <w:rFonts w:ascii="Calibri" w:hAnsi="Calibri" w:cs="Calibri"/>
        </w:rPr>
        <w:t xml:space="preserve"> </w:t>
      </w:r>
      <w:r w:rsidRPr="00204997">
        <w:rPr>
          <w:rFonts w:ascii="Calibri" w:hAnsi="Calibri" w:cs="Calibri"/>
        </w:rPr>
        <w:t>in ensuring a smooth transition to adult services. This requires</w:t>
      </w:r>
      <w:r w:rsidRPr="00204997">
        <w:rPr>
          <w:rFonts w:ascii="Calibri" w:hAnsi="Calibri" w:cs="Calibri"/>
        </w:rPr>
        <w:t xml:space="preserve"> commissioned services and trained practitioners who are able to diagnose learning disability, or convert a </w:t>
      </w:r>
      <w:r w:rsidRPr="00204997">
        <w:rPr>
          <w:rFonts w:ascii="Calibri" w:hAnsi="Calibri" w:cs="Calibri"/>
        </w:rPr>
        <w:t>g</w:t>
      </w:r>
      <w:r w:rsidRPr="00204997">
        <w:rPr>
          <w:rFonts w:ascii="Calibri" w:hAnsi="Calibri" w:cs="Calibri"/>
        </w:rPr>
        <w:t xml:space="preserve">lobal </w:t>
      </w:r>
      <w:r w:rsidRPr="00204997">
        <w:rPr>
          <w:rFonts w:ascii="Calibri" w:hAnsi="Calibri" w:cs="Calibri"/>
        </w:rPr>
        <w:t>d</w:t>
      </w:r>
      <w:r w:rsidRPr="00204997">
        <w:rPr>
          <w:rFonts w:ascii="Calibri" w:hAnsi="Calibri" w:cs="Calibri"/>
        </w:rPr>
        <w:t xml:space="preserve">evelopment </w:t>
      </w:r>
      <w:r w:rsidRPr="00204997">
        <w:rPr>
          <w:rFonts w:ascii="Calibri" w:hAnsi="Calibri" w:cs="Calibri"/>
        </w:rPr>
        <w:t>d</w:t>
      </w:r>
      <w:r w:rsidRPr="00204997">
        <w:rPr>
          <w:rFonts w:ascii="Calibri" w:hAnsi="Calibri" w:cs="Calibri"/>
        </w:rPr>
        <w:t>elay</w:t>
      </w:r>
      <w:r w:rsidRPr="00204997">
        <w:rPr>
          <w:rFonts w:ascii="Calibri" w:hAnsi="Calibri" w:cs="Calibri"/>
        </w:rPr>
        <w:t xml:space="preserve"> </w:t>
      </w:r>
      <w:r w:rsidRPr="00204997">
        <w:rPr>
          <w:rFonts w:ascii="Calibri" w:hAnsi="Calibri" w:cs="Calibri"/>
        </w:rPr>
        <w:t xml:space="preserve">(GDD) </w:t>
      </w:r>
      <w:r w:rsidRPr="00204997">
        <w:rPr>
          <w:rFonts w:ascii="Calibri" w:hAnsi="Calibri" w:cs="Calibri"/>
        </w:rPr>
        <w:t>diagnosis.</w:t>
      </w:r>
    </w:p>
    <w:p w:rsidR="00B46497" w:rsidRPr="00204997" w:rsidP="00204997">
      <w:pPr>
        <w:rPr>
          <w:rFonts w:ascii="Calibri" w:hAnsi="Calibri" w:cs="Calibri"/>
          <w:b/>
        </w:rPr>
      </w:pPr>
      <w:r w:rsidRPr="00204997">
        <w:rPr>
          <w:rFonts w:ascii="Calibri" w:hAnsi="Calibri" w:cs="Calibri"/>
          <w:b/>
          <w:bCs/>
        </w:rPr>
        <w:t xml:space="preserve">Tower Hamlets – </w:t>
      </w:r>
      <w:r w:rsidRPr="00204997">
        <w:rPr>
          <w:rFonts w:ascii="Calibri" w:hAnsi="Calibri" w:cs="Calibri"/>
          <w:b/>
        </w:rPr>
        <w:t>Area SEND Inspection</w:t>
      </w:r>
      <w:r>
        <w:rPr>
          <w:rStyle w:val="FootnoteReference"/>
          <w:rFonts w:ascii="Calibri" w:hAnsi="Calibri" w:cs="Calibri"/>
          <w:b/>
        </w:rPr>
        <w:footnoteReference w:id="35"/>
      </w:r>
      <w:r w:rsidRPr="00204997">
        <w:rPr>
          <w:rFonts w:ascii="Calibri" w:hAnsi="Calibri" w:cs="Calibri"/>
          <w:b/>
        </w:rPr>
        <w:t xml:space="preserve"> </w:t>
      </w:r>
    </w:p>
    <w:p w:rsidR="00B46497" w:rsidRPr="00204997" w:rsidP="00204997">
      <w:pPr>
        <w:pStyle w:val="ListParagraph"/>
        <w:rPr>
          <w:rFonts w:ascii="Calibri" w:hAnsi="Calibri" w:cs="Calibri"/>
        </w:rPr>
      </w:pPr>
      <w:r w:rsidRPr="00204997">
        <w:rPr>
          <w:rFonts w:ascii="Calibri" w:hAnsi="Calibri" w:cs="Calibri"/>
        </w:rPr>
        <w:t>The inspection found that leaders</w:t>
      </w:r>
      <w:r w:rsidRPr="00204997">
        <w:rPr>
          <w:rFonts w:ascii="Calibri" w:hAnsi="Calibri" w:cs="Calibri"/>
        </w:rPr>
        <w:t xml:space="preserve"> across the partnership should improve their </w:t>
      </w:r>
      <w:r w:rsidRPr="00204997">
        <w:rPr>
          <w:rFonts w:ascii="Calibri" w:hAnsi="Calibri" w:cs="Calibri"/>
        </w:rPr>
        <w:t>preparation for adulthood</w:t>
      </w:r>
      <w:r w:rsidRPr="00204997">
        <w:rPr>
          <w:rFonts w:ascii="Calibri" w:hAnsi="Calibri" w:cs="Calibri"/>
        </w:rPr>
        <w:t xml:space="preserve"> support</w:t>
      </w:r>
      <w:r w:rsidRPr="00204997">
        <w:rPr>
          <w:rFonts w:ascii="Calibri" w:hAnsi="Calibri" w:cs="Calibri"/>
        </w:rPr>
        <w:t>, with a particular</w:t>
      </w:r>
      <w:r w:rsidRPr="00204997">
        <w:rPr>
          <w:rFonts w:ascii="Calibri" w:hAnsi="Calibri" w:cs="Calibri"/>
        </w:rPr>
        <w:t xml:space="preserve"> focus on</w:t>
      </w:r>
      <w:r w:rsidRPr="00204997">
        <w:rPr>
          <w:rFonts w:ascii="Calibri" w:hAnsi="Calibri" w:cs="Calibri"/>
        </w:rPr>
        <w:t xml:space="preserve"> </w:t>
      </w:r>
      <w:r w:rsidRPr="00204997">
        <w:rPr>
          <w:rFonts w:ascii="Calibri" w:hAnsi="Calibri" w:cs="Calibri"/>
        </w:rPr>
        <w:t>ensuring a consistent approach to diagnosing young people with a learning disability</w:t>
      </w:r>
      <w:r w:rsidRPr="00204997">
        <w:rPr>
          <w:rFonts w:ascii="Calibri" w:hAnsi="Calibri" w:cs="Calibri"/>
        </w:rPr>
        <w:t>, so that</w:t>
      </w:r>
      <w:r w:rsidRPr="00204997">
        <w:rPr>
          <w:rFonts w:ascii="Calibri" w:hAnsi="Calibri" w:cs="Calibri"/>
        </w:rPr>
        <w:t xml:space="preserve"> their needs </w:t>
      </w:r>
      <w:r w:rsidRPr="00204997">
        <w:rPr>
          <w:rFonts w:ascii="Calibri" w:hAnsi="Calibri" w:cs="Calibri"/>
        </w:rPr>
        <w:t xml:space="preserve">are accurately reflected </w:t>
      </w:r>
      <w:r w:rsidRPr="00204997">
        <w:rPr>
          <w:rFonts w:ascii="Calibri" w:hAnsi="Calibri" w:cs="Calibri"/>
        </w:rPr>
        <w:t xml:space="preserve">and a well-planned transition to adult services </w:t>
      </w:r>
      <w:r w:rsidRPr="00204997">
        <w:rPr>
          <w:rFonts w:ascii="Calibri" w:hAnsi="Calibri" w:cs="Calibri"/>
        </w:rPr>
        <w:t>can take place.</w:t>
      </w:r>
    </w:p>
    <w:p w:rsidR="00B46497" w:rsidRPr="00204997" w:rsidP="00204997">
      <w:pPr>
        <w:rPr>
          <w:rFonts w:ascii="Calibri" w:hAnsi="Calibri" w:cs="Calibri"/>
          <w:b/>
        </w:rPr>
      </w:pPr>
      <w:r w:rsidRPr="00204997">
        <w:rPr>
          <w:rFonts w:ascii="Calibri" w:hAnsi="Calibri" w:cs="Calibri"/>
          <w:b/>
          <w:bCs/>
        </w:rPr>
        <w:t xml:space="preserve">Hillingdon – </w:t>
      </w:r>
      <w:r w:rsidRPr="00204997">
        <w:rPr>
          <w:rFonts w:ascii="Calibri" w:hAnsi="Calibri" w:cs="Calibri"/>
          <w:b/>
        </w:rPr>
        <w:t>Area SEND Inspection</w:t>
      </w:r>
      <w:r>
        <w:rPr>
          <w:rStyle w:val="FootnoteReference"/>
          <w:rFonts w:ascii="Calibri" w:hAnsi="Calibri" w:cs="Calibri"/>
          <w:b/>
        </w:rPr>
        <w:footnoteReference w:id="36"/>
      </w:r>
      <w:r w:rsidRPr="00204997">
        <w:rPr>
          <w:rFonts w:ascii="Calibri" w:hAnsi="Calibri" w:cs="Calibri"/>
          <w:b/>
        </w:rPr>
        <w:t xml:space="preserve"> </w:t>
      </w:r>
    </w:p>
    <w:p w:rsidR="00B46497" w:rsidRPr="00204997" w:rsidP="00204997">
      <w:pPr>
        <w:pStyle w:val="ListParagraph"/>
        <w:rPr>
          <w:rFonts w:ascii="Calibri" w:hAnsi="Calibri" w:cs="Calibri"/>
        </w:rPr>
      </w:pPr>
      <w:r w:rsidRPr="00204997">
        <w:rPr>
          <w:rFonts w:ascii="Calibri" w:hAnsi="Calibri" w:cs="Calibri"/>
        </w:rPr>
        <w:t xml:space="preserve">The inspection found that leaders should </w:t>
      </w:r>
      <w:r w:rsidRPr="00204997">
        <w:rPr>
          <w:rFonts w:ascii="Calibri" w:hAnsi="Calibri" w:cs="Calibri"/>
        </w:rPr>
        <w:t xml:space="preserve">further improve </w:t>
      </w:r>
      <w:r w:rsidRPr="00204997">
        <w:rPr>
          <w:rFonts w:ascii="Calibri" w:hAnsi="Calibri" w:cs="Calibri"/>
        </w:rPr>
        <w:t>preparation for adulthood</w:t>
      </w:r>
      <w:r w:rsidRPr="00204997">
        <w:rPr>
          <w:rFonts w:ascii="Calibri" w:hAnsi="Calibri" w:cs="Calibri"/>
        </w:rPr>
        <w:t xml:space="preserve"> support </w:t>
      </w:r>
      <w:r w:rsidRPr="00204997">
        <w:rPr>
          <w:rFonts w:ascii="Calibri" w:hAnsi="Calibri" w:cs="Calibri"/>
        </w:rPr>
        <w:t xml:space="preserve">by </w:t>
      </w:r>
      <w:r w:rsidRPr="00204997">
        <w:rPr>
          <w:rFonts w:ascii="Calibri" w:hAnsi="Calibri" w:cs="Calibri"/>
        </w:rPr>
        <w:t xml:space="preserve">ensuring that young people with a learning disability under the age of 18 </w:t>
      </w:r>
      <w:r w:rsidRPr="00204997">
        <w:rPr>
          <w:rFonts w:ascii="Calibri" w:hAnsi="Calibri" w:cs="Calibri"/>
        </w:rPr>
        <w:t>can receive a formal diagnosis when required</w:t>
      </w:r>
      <w:r w:rsidRPr="00204997">
        <w:rPr>
          <w:rFonts w:ascii="Calibri" w:hAnsi="Calibri" w:cs="Calibri"/>
        </w:rPr>
        <w:t>,</w:t>
      </w:r>
      <w:r w:rsidRPr="00204997">
        <w:rPr>
          <w:rFonts w:ascii="Calibri" w:hAnsi="Calibri" w:cs="Calibri"/>
        </w:rPr>
        <w:t xml:space="preserve"> to </w:t>
      </w:r>
      <w:r w:rsidRPr="00204997">
        <w:rPr>
          <w:rFonts w:ascii="Calibri" w:hAnsi="Calibri" w:cs="Calibri"/>
        </w:rPr>
        <w:t>enable</w:t>
      </w:r>
      <w:r w:rsidRPr="00204997">
        <w:rPr>
          <w:rFonts w:ascii="Calibri" w:hAnsi="Calibri" w:cs="Calibri"/>
        </w:rPr>
        <w:t xml:space="preserve"> a smooth and planned transition to adult services</w:t>
      </w:r>
      <w:r w:rsidRPr="00204997">
        <w:rPr>
          <w:rFonts w:ascii="Calibri" w:hAnsi="Calibri" w:cs="Calibri"/>
        </w:rPr>
        <w:t>. Leaders should also ensure</w:t>
      </w:r>
      <w:r w:rsidRPr="00204997">
        <w:rPr>
          <w:rFonts w:ascii="Calibri" w:hAnsi="Calibri" w:cs="Calibri"/>
        </w:rPr>
        <w:t xml:space="preserve"> that all children and young people benefit from an effective and timely presentation to the transition panel</w:t>
      </w:r>
      <w:r w:rsidRPr="00204997">
        <w:rPr>
          <w:rFonts w:ascii="Calibri" w:hAnsi="Calibri" w:cs="Calibri"/>
        </w:rPr>
        <w:t xml:space="preserve">, and </w:t>
      </w:r>
      <w:r w:rsidRPr="00204997">
        <w:rPr>
          <w:rFonts w:ascii="Calibri" w:hAnsi="Calibri" w:cs="Calibri"/>
        </w:rPr>
        <w:t>they</w:t>
      </w:r>
      <w:r w:rsidRPr="00204997">
        <w:rPr>
          <w:rFonts w:ascii="Calibri" w:hAnsi="Calibri" w:cs="Calibri"/>
        </w:rPr>
        <w:t xml:space="preserve"> </w:t>
      </w:r>
      <w:r w:rsidRPr="00204997">
        <w:rPr>
          <w:rFonts w:ascii="Calibri" w:hAnsi="Calibri" w:cs="Calibri"/>
        </w:rPr>
        <w:t xml:space="preserve">more robustly </w:t>
      </w:r>
      <w:r w:rsidRPr="00204997">
        <w:rPr>
          <w:rFonts w:ascii="Calibri" w:hAnsi="Calibri" w:cs="Calibri"/>
        </w:rPr>
        <w:t>capture</w:t>
      </w:r>
      <w:r w:rsidRPr="00204997">
        <w:rPr>
          <w:rFonts w:ascii="Calibri" w:hAnsi="Calibri" w:cs="Calibri"/>
        </w:rPr>
        <w:t xml:space="preserve"> the voice </w:t>
      </w:r>
      <w:r w:rsidRPr="00204997">
        <w:rPr>
          <w:rFonts w:ascii="Calibri" w:hAnsi="Calibri" w:cs="Calibri"/>
        </w:rPr>
        <w:t xml:space="preserve">and lived experience </w:t>
      </w:r>
      <w:r w:rsidRPr="00204997">
        <w:rPr>
          <w:rFonts w:ascii="Calibri" w:hAnsi="Calibri" w:cs="Calibri"/>
        </w:rPr>
        <w:t xml:space="preserve">of children and young people </w:t>
      </w:r>
      <w:r w:rsidRPr="00204997">
        <w:rPr>
          <w:rFonts w:ascii="Calibri" w:hAnsi="Calibri" w:cs="Calibri"/>
        </w:rPr>
        <w:t>in relation to the partnership's</w:t>
      </w:r>
      <w:r w:rsidRPr="00204997">
        <w:rPr>
          <w:rFonts w:ascii="Calibri" w:hAnsi="Calibri" w:cs="Calibri"/>
        </w:rPr>
        <w:t xml:space="preserve"> approach to </w:t>
      </w:r>
      <w:r w:rsidRPr="00204997">
        <w:rPr>
          <w:rFonts w:ascii="Calibri" w:hAnsi="Calibri" w:cs="Calibri"/>
        </w:rPr>
        <w:t>preparation for adulthood.</w:t>
      </w:r>
    </w:p>
    <w:p w:rsidR="00B46497" w:rsidRPr="00204997" w:rsidP="00204997">
      <w:pPr>
        <w:rPr>
          <w:rFonts w:ascii="Calibri" w:hAnsi="Calibri" w:cs="Calibri"/>
          <w:b/>
        </w:rPr>
      </w:pPr>
      <w:r w:rsidRPr="00204997">
        <w:rPr>
          <w:rFonts w:ascii="Calibri" w:hAnsi="Calibri" w:cs="Calibri"/>
          <w:b/>
          <w:bCs/>
        </w:rPr>
        <w:t xml:space="preserve">Worcester – </w:t>
      </w:r>
      <w:r w:rsidRPr="00204997">
        <w:rPr>
          <w:rFonts w:ascii="Calibri" w:hAnsi="Calibri" w:cs="Calibri"/>
          <w:b/>
        </w:rPr>
        <w:t>Area SEND Inspection</w:t>
      </w:r>
      <w:r>
        <w:rPr>
          <w:rStyle w:val="FootnoteReference"/>
          <w:rFonts w:ascii="Calibri" w:hAnsi="Calibri" w:cs="Calibri"/>
          <w:b/>
        </w:rPr>
        <w:footnoteReference w:id="37"/>
      </w:r>
    </w:p>
    <w:p w:rsidR="00B46497" w:rsidRPr="00204997" w:rsidP="00204997">
      <w:pPr>
        <w:pStyle w:val="ListParagraph"/>
        <w:rPr>
          <w:rFonts w:ascii="Calibri" w:hAnsi="Calibri" w:cs="Calibri"/>
        </w:rPr>
      </w:pPr>
      <w:r w:rsidRPr="00204997">
        <w:rPr>
          <w:rFonts w:ascii="Calibri" w:hAnsi="Calibri" w:cs="Calibri"/>
        </w:rPr>
        <w:t xml:space="preserve">The inspection </w:t>
      </w:r>
      <w:r w:rsidRPr="00204997">
        <w:rPr>
          <w:rFonts w:ascii="Calibri" w:hAnsi="Calibri" w:cs="Calibri"/>
        </w:rPr>
        <w:t>found</w:t>
      </w:r>
      <w:r w:rsidRPr="00204997">
        <w:rPr>
          <w:rFonts w:ascii="Calibri" w:hAnsi="Calibri" w:cs="Calibri"/>
        </w:rPr>
        <w:t xml:space="preserve"> all young people supported by CAMHS have access to a youth worker at the start of their transition out of CAMHS or into adult mental health services. This </w:t>
      </w:r>
      <w:r w:rsidRPr="00204997">
        <w:rPr>
          <w:rFonts w:ascii="Calibri" w:hAnsi="Calibri" w:cs="Calibri"/>
        </w:rPr>
        <w:t>innovative</w:t>
      </w:r>
      <w:r w:rsidRPr="00204997">
        <w:rPr>
          <w:rFonts w:ascii="Calibri" w:hAnsi="Calibri" w:cs="Calibri"/>
        </w:rPr>
        <w:t xml:space="preserve">, goal-based support is delivered at a time and place suited to the individual, empowering young people to </w:t>
      </w:r>
      <w:r w:rsidRPr="00204997">
        <w:rPr>
          <w:rFonts w:ascii="Calibri" w:hAnsi="Calibri" w:cs="Calibri"/>
        </w:rPr>
        <w:t>be clear about their next steps in</w:t>
      </w:r>
      <w:r w:rsidRPr="00204997">
        <w:rPr>
          <w:rFonts w:ascii="Calibri" w:hAnsi="Calibri" w:cs="Calibri"/>
        </w:rPr>
        <w:t xml:space="preserve"> managing their emotional and mental wellbeing as they move into adulthood.</w:t>
      </w:r>
    </w:p>
    <w:p w:rsidR="00B46497" w:rsidRPr="00204997" w:rsidP="00204997">
      <w:pPr>
        <w:pStyle w:val="Heading2"/>
        <w:rPr>
          <w:rFonts w:ascii="Calibri" w:hAnsi="Calibri" w:cs="Calibri"/>
          <w:b/>
          <w:color w:val="auto"/>
          <w:sz w:val="24"/>
          <w:szCs w:val="24"/>
        </w:rPr>
      </w:pPr>
      <w:r w:rsidRPr="00204997">
        <w:rPr>
          <w:rFonts w:ascii="Calibri" w:hAnsi="Calibri" w:cs="Calibri"/>
          <w:b/>
          <w:color w:val="auto"/>
          <w:sz w:val="24"/>
          <w:szCs w:val="24"/>
        </w:rPr>
        <w:t xml:space="preserve">Focus area 5: Enabling developmentally appropriate independence </w:t>
      </w:r>
    </w:p>
    <w:p w:rsidR="00B46497" w:rsidRPr="00204997" w:rsidP="00204997">
      <w:pPr>
        <w:pStyle w:val="ListParagraph"/>
        <w:rPr>
          <w:rFonts w:ascii="Calibri" w:hAnsi="Calibri" w:cs="Calibri"/>
        </w:rPr>
      </w:pPr>
      <w:r w:rsidRPr="00204997">
        <w:rPr>
          <w:rFonts w:ascii="Calibri" w:hAnsi="Calibri" w:cs="Calibri"/>
        </w:rPr>
        <w:t>Some</w:t>
      </w:r>
      <w:r w:rsidRPr="00204997">
        <w:rPr>
          <w:rFonts w:ascii="Calibri" w:hAnsi="Calibri" w:cs="Calibri"/>
        </w:rPr>
        <w:t xml:space="preserve"> Area SEND inspections </w:t>
      </w:r>
      <w:r w:rsidRPr="00204997">
        <w:rPr>
          <w:rFonts w:ascii="Calibri" w:hAnsi="Calibri" w:cs="Calibri"/>
        </w:rPr>
        <w:t xml:space="preserve">highlight </w:t>
      </w:r>
      <w:r w:rsidRPr="00204997">
        <w:rPr>
          <w:rFonts w:ascii="Calibri" w:hAnsi="Calibri" w:cs="Calibri"/>
        </w:rPr>
        <w:t xml:space="preserve">that </w:t>
      </w:r>
      <w:r w:rsidRPr="00204997">
        <w:rPr>
          <w:rFonts w:ascii="Calibri" w:hAnsi="Calibri" w:cs="Calibri"/>
        </w:rPr>
        <w:t>where</w:t>
      </w:r>
      <w:r w:rsidRPr="00204997">
        <w:rPr>
          <w:rFonts w:ascii="Calibri" w:hAnsi="Calibri" w:cs="Calibri"/>
        </w:rPr>
        <w:t xml:space="preserve"> </w:t>
      </w:r>
      <w:r w:rsidRPr="00204997">
        <w:rPr>
          <w:rFonts w:ascii="Calibri" w:hAnsi="Calibri" w:cs="Calibri"/>
        </w:rPr>
        <w:t xml:space="preserve">there </w:t>
      </w:r>
      <w:r w:rsidRPr="00204997">
        <w:rPr>
          <w:rFonts w:ascii="Calibri" w:hAnsi="Calibri" w:cs="Calibri"/>
        </w:rPr>
        <w:t>is a lack of</w:t>
      </w:r>
      <w:r w:rsidRPr="00204997">
        <w:rPr>
          <w:rFonts w:ascii="Calibri" w:hAnsi="Calibri" w:cs="Calibri"/>
        </w:rPr>
        <w:t xml:space="preserve"> co-ordination in preparation for adulthood</w:t>
      </w:r>
      <w:r w:rsidRPr="00204997">
        <w:rPr>
          <w:rFonts w:ascii="Calibri" w:hAnsi="Calibri" w:cs="Calibri"/>
        </w:rPr>
        <w:t>, the young person is less likely to be prepared for future education, training or employment.</w:t>
      </w:r>
      <w:r w:rsidRPr="00204997">
        <w:rPr>
          <w:rFonts w:ascii="Calibri" w:hAnsi="Calibri" w:cs="Calibri"/>
        </w:rPr>
        <w:t xml:space="preserve"> </w:t>
      </w:r>
    </w:p>
    <w:p w:rsidR="00B46497" w:rsidRPr="00204997" w:rsidP="00204997">
      <w:pPr>
        <w:pStyle w:val="ListParagraph"/>
        <w:rPr>
          <w:rFonts w:ascii="Calibri" w:hAnsi="Calibri" w:cs="Calibri"/>
        </w:rPr>
      </w:pPr>
      <w:r w:rsidRPr="00204997">
        <w:rPr>
          <w:rFonts w:ascii="Calibri" w:hAnsi="Calibri" w:cs="Calibri"/>
        </w:rPr>
        <w:t>Inspections</w:t>
      </w:r>
      <w:r w:rsidRPr="00204997">
        <w:rPr>
          <w:rFonts w:ascii="Calibri" w:hAnsi="Calibri" w:cs="Calibri"/>
        </w:rPr>
        <w:t xml:space="preserve"> have </w:t>
      </w:r>
      <w:r w:rsidRPr="00204997">
        <w:rPr>
          <w:rFonts w:ascii="Calibri" w:hAnsi="Calibri" w:cs="Calibri"/>
        </w:rPr>
        <w:t>highlighted that</w:t>
      </w:r>
      <w:r w:rsidRPr="00204997">
        <w:rPr>
          <w:rFonts w:ascii="Calibri" w:hAnsi="Calibri" w:cs="Calibri"/>
        </w:rPr>
        <w:t xml:space="preserve"> </w:t>
      </w:r>
      <w:r w:rsidRPr="00204997">
        <w:rPr>
          <w:rFonts w:ascii="Calibri" w:hAnsi="Calibri" w:cs="Calibri"/>
        </w:rPr>
        <w:t>EHC plans must accurately reflect the</w:t>
      </w:r>
      <w:r w:rsidRPr="00204997">
        <w:rPr>
          <w:rFonts w:ascii="Calibri" w:hAnsi="Calibri" w:cs="Calibri"/>
        </w:rPr>
        <w:t xml:space="preserve"> aspirations and interests </w:t>
      </w:r>
      <w:r w:rsidRPr="00204997">
        <w:rPr>
          <w:rFonts w:ascii="Calibri" w:hAnsi="Calibri" w:cs="Calibri"/>
        </w:rPr>
        <w:t>of a young person</w:t>
      </w:r>
      <w:r w:rsidRPr="00204997">
        <w:rPr>
          <w:rFonts w:ascii="Calibri" w:hAnsi="Calibri" w:cs="Calibri"/>
        </w:rPr>
        <w:t>,</w:t>
      </w:r>
      <w:r w:rsidRPr="00204997">
        <w:rPr>
          <w:rFonts w:ascii="Calibri" w:hAnsi="Calibri" w:cs="Calibri"/>
        </w:rPr>
        <w:t xml:space="preserve"> to ensure that post-16</w:t>
      </w:r>
      <w:r w:rsidRPr="00204997">
        <w:rPr>
          <w:rFonts w:ascii="Calibri" w:hAnsi="Calibri" w:cs="Calibri"/>
        </w:rPr>
        <w:t xml:space="preserve"> education, employment and training </w:t>
      </w:r>
      <w:r w:rsidRPr="00204997">
        <w:rPr>
          <w:rFonts w:ascii="Calibri" w:hAnsi="Calibri" w:cs="Calibri"/>
        </w:rPr>
        <w:t>in place post-16 i</w:t>
      </w:r>
      <w:r w:rsidRPr="00204997">
        <w:rPr>
          <w:rFonts w:ascii="Calibri" w:hAnsi="Calibri" w:cs="Calibri"/>
        </w:rPr>
        <w:t>s</w:t>
      </w:r>
      <w:r w:rsidRPr="00204997">
        <w:rPr>
          <w:rFonts w:ascii="Calibri" w:hAnsi="Calibri" w:cs="Calibri"/>
        </w:rPr>
        <w:t xml:space="preserve"> appropriate for them.</w:t>
      </w:r>
      <w:r w:rsidRPr="00204997">
        <w:rPr>
          <w:rFonts w:ascii="Calibri" w:hAnsi="Calibri" w:cs="Calibri"/>
        </w:rPr>
        <w:t xml:space="preserve"> </w:t>
      </w:r>
      <w:r w:rsidRPr="00204997">
        <w:rPr>
          <w:rFonts w:ascii="Calibri" w:hAnsi="Calibri" w:cs="Calibri"/>
        </w:rPr>
        <w:t xml:space="preserve"> </w:t>
      </w:r>
    </w:p>
    <w:p w:rsidR="00B46497" w:rsidRPr="00204997" w:rsidP="00204997">
      <w:pPr>
        <w:pStyle w:val="ListParagraph"/>
        <w:rPr>
          <w:rFonts w:ascii="Calibri" w:hAnsi="Calibri" w:cs="Calibri"/>
        </w:rPr>
      </w:pPr>
    </w:p>
    <w:p w:rsidR="00B46497" w:rsidRPr="00204997" w:rsidP="00204997">
      <w:pPr>
        <w:rPr>
          <w:rFonts w:ascii="Calibri" w:hAnsi="Calibri" w:cs="Calibri"/>
          <w:b/>
        </w:rPr>
      </w:pPr>
      <w:r w:rsidRPr="00204997">
        <w:rPr>
          <w:rFonts w:ascii="Calibri" w:hAnsi="Calibri" w:cs="Calibri"/>
          <w:b/>
        </w:rPr>
        <w:t>Tameside Local Area Partnership</w:t>
      </w:r>
      <w:r w:rsidRPr="00204997">
        <w:rPr>
          <w:rFonts w:ascii="Calibri" w:hAnsi="Calibri" w:cs="Calibri"/>
          <w:b/>
        </w:rPr>
        <w:t xml:space="preserve"> – Area SEND Inspection</w:t>
      </w:r>
      <w:r>
        <w:rPr>
          <w:rStyle w:val="FootnoteReference"/>
          <w:rFonts w:ascii="Calibri" w:hAnsi="Calibri" w:cs="Calibri"/>
          <w:b/>
        </w:rPr>
        <w:footnoteReference w:id="38"/>
      </w:r>
    </w:p>
    <w:p w:rsidR="00B46497" w:rsidRPr="00204997" w:rsidP="00204997">
      <w:pPr>
        <w:pStyle w:val="ListParagraph"/>
        <w:rPr>
          <w:rFonts w:ascii="Calibri" w:hAnsi="Calibri" w:cs="Calibri"/>
        </w:rPr>
      </w:pPr>
      <w:r w:rsidRPr="00204997">
        <w:rPr>
          <w:rFonts w:ascii="Calibri" w:hAnsi="Calibri" w:cs="Calibri"/>
        </w:rPr>
        <w:t>The inspection found that children</w:t>
      </w:r>
      <w:r w:rsidRPr="00204997">
        <w:rPr>
          <w:rFonts w:ascii="Calibri" w:hAnsi="Calibri" w:cs="Calibri"/>
        </w:rPr>
        <w:t xml:space="preserve"> and young people with SEND are not as well prepared for future education, training or employment as they should be</w:t>
      </w:r>
      <w:r w:rsidRPr="00204997">
        <w:rPr>
          <w:rFonts w:ascii="Calibri" w:hAnsi="Calibri" w:cs="Calibri"/>
        </w:rPr>
        <w:t xml:space="preserve">, due to </w:t>
      </w:r>
      <w:r w:rsidRPr="00204997">
        <w:rPr>
          <w:rFonts w:ascii="Calibri" w:hAnsi="Calibri" w:cs="Calibri"/>
        </w:rPr>
        <w:t xml:space="preserve">a lack of coordination around </w:t>
      </w:r>
      <w:r w:rsidRPr="00204997">
        <w:rPr>
          <w:rFonts w:ascii="Calibri" w:hAnsi="Calibri" w:cs="Calibri"/>
        </w:rPr>
        <w:t>preparation</w:t>
      </w:r>
      <w:r w:rsidRPr="00204997">
        <w:rPr>
          <w:rFonts w:ascii="Calibri" w:hAnsi="Calibri" w:cs="Calibri"/>
        </w:rPr>
        <w:t xml:space="preserve"> for adulthood</w:t>
      </w:r>
      <w:r w:rsidRPr="00204997">
        <w:rPr>
          <w:rFonts w:ascii="Calibri" w:hAnsi="Calibri" w:cs="Calibri"/>
        </w:rPr>
        <w:t>. Children</w:t>
      </w:r>
      <w:r w:rsidRPr="00204997">
        <w:rPr>
          <w:rFonts w:ascii="Calibri" w:hAnsi="Calibri" w:cs="Calibri"/>
        </w:rPr>
        <w:t xml:space="preserve"> and young people with SEND are </w:t>
      </w:r>
      <w:r w:rsidRPr="00204997">
        <w:rPr>
          <w:rFonts w:ascii="Calibri" w:hAnsi="Calibri" w:cs="Calibri"/>
        </w:rPr>
        <w:t xml:space="preserve">also </w:t>
      </w:r>
      <w:r w:rsidRPr="00204997">
        <w:rPr>
          <w:rFonts w:ascii="Calibri" w:hAnsi="Calibri" w:cs="Calibri"/>
        </w:rPr>
        <w:t xml:space="preserve">not always supported </w:t>
      </w:r>
      <w:r w:rsidRPr="00204997">
        <w:rPr>
          <w:rFonts w:ascii="Calibri" w:hAnsi="Calibri" w:cs="Calibri"/>
        </w:rPr>
        <w:t>effectively when transitioning</w:t>
      </w:r>
      <w:r w:rsidRPr="00204997">
        <w:rPr>
          <w:rFonts w:ascii="Calibri" w:hAnsi="Calibri" w:cs="Calibri"/>
        </w:rPr>
        <w:t xml:space="preserve"> between </w:t>
      </w:r>
      <w:r w:rsidRPr="00204997">
        <w:rPr>
          <w:rFonts w:ascii="Calibri" w:hAnsi="Calibri" w:cs="Calibri"/>
        </w:rPr>
        <w:t>children's</w:t>
      </w:r>
      <w:r w:rsidRPr="00204997">
        <w:rPr>
          <w:rFonts w:ascii="Calibri" w:hAnsi="Calibri" w:cs="Calibri"/>
        </w:rPr>
        <w:t xml:space="preserve"> and </w:t>
      </w:r>
      <w:r w:rsidRPr="00204997">
        <w:rPr>
          <w:rFonts w:ascii="Calibri" w:hAnsi="Calibri" w:cs="Calibri"/>
        </w:rPr>
        <w:t>adult</w:t>
      </w:r>
      <w:r w:rsidRPr="00204997">
        <w:rPr>
          <w:rFonts w:ascii="Calibri" w:hAnsi="Calibri" w:cs="Calibri"/>
        </w:rPr>
        <w:t xml:space="preserve"> health services.</w:t>
      </w:r>
    </w:p>
    <w:p w:rsidR="00B46497" w:rsidRPr="00204997" w:rsidP="00204997">
      <w:pPr>
        <w:rPr>
          <w:rFonts w:ascii="Calibri" w:eastAsia="Aptos" w:hAnsi="Calibri" w:cs="Calibri"/>
          <w:b/>
        </w:rPr>
      </w:pPr>
      <w:r w:rsidRPr="00204997">
        <w:rPr>
          <w:rFonts w:ascii="Calibri" w:hAnsi="Calibri" w:cs="Calibri"/>
          <w:b/>
        </w:rPr>
        <w:t>Sheffield Local Area Partnership</w:t>
      </w:r>
      <w:r w:rsidRPr="00204997">
        <w:rPr>
          <w:rFonts w:ascii="Calibri" w:hAnsi="Calibri" w:cs="Calibri"/>
          <w:b/>
          <w:bCs/>
        </w:rPr>
        <w:t xml:space="preserve"> – Area SEND Inspection</w:t>
      </w:r>
      <w:r>
        <w:rPr>
          <w:rStyle w:val="FootnoteReference"/>
          <w:rFonts w:ascii="Calibri" w:hAnsi="Calibri" w:cs="Calibri"/>
          <w:b/>
        </w:rPr>
        <w:footnoteReference w:id="39"/>
      </w:r>
      <w:r w:rsidRPr="00204997">
        <w:rPr>
          <w:rFonts w:ascii="Calibri" w:hAnsi="Calibri" w:cs="Calibri"/>
          <w:b/>
        </w:rPr>
        <w:t xml:space="preserve"> </w:t>
      </w:r>
    </w:p>
    <w:p w:rsidR="00B46497" w:rsidRPr="00204997" w:rsidP="00204997">
      <w:pPr>
        <w:pStyle w:val="ListParagraph"/>
        <w:rPr>
          <w:rFonts w:ascii="Calibri" w:hAnsi="Calibri" w:cs="Calibri"/>
        </w:rPr>
      </w:pPr>
      <w:r w:rsidRPr="00204997">
        <w:rPr>
          <w:rFonts w:ascii="Calibri" w:hAnsi="Calibri" w:cs="Calibri"/>
        </w:rPr>
        <w:t>The inspection found that EHC plans lack meaningful content about preparation for adulthood and do not sufficiently reflect the contributions, aspirations, talents and interests of the child or young person. As a result, some young people begin post-16 courses that are not appropriate for them, increasing the risk of them dropping out of education.</w:t>
      </w:r>
    </w:p>
    <w:p w:rsidR="00B46497" w:rsidRPr="00204997" w:rsidP="00204997">
      <w:pPr>
        <w:pStyle w:val="Heading2"/>
        <w:rPr>
          <w:rFonts w:ascii="Calibri" w:hAnsi="Calibri" w:cs="Calibri"/>
          <w:b/>
          <w:color w:val="auto"/>
          <w:sz w:val="24"/>
          <w:szCs w:val="24"/>
        </w:rPr>
      </w:pPr>
      <w:r w:rsidRPr="00204997">
        <w:rPr>
          <w:rFonts w:ascii="Calibri" w:hAnsi="Calibri" w:cs="Calibri"/>
          <w:b/>
          <w:color w:val="auto"/>
          <w:sz w:val="24"/>
          <w:szCs w:val="24"/>
        </w:rPr>
        <w:t>Focus are</w:t>
      </w:r>
      <w:r w:rsidRPr="00204997">
        <w:rPr>
          <w:rFonts w:ascii="Calibri" w:hAnsi="Calibri" w:cs="Calibri"/>
          <w:b/>
          <w:color w:val="auto"/>
          <w:sz w:val="24"/>
          <w:szCs w:val="24"/>
        </w:rPr>
        <w:t>a</w:t>
      </w:r>
      <w:r w:rsidRPr="00204997">
        <w:rPr>
          <w:rFonts w:ascii="Calibri" w:hAnsi="Calibri" w:cs="Calibri"/>
          <w:b/>
          <w:color w:val="auto"/>
          <w:sz w:val="24"/>
          <w:szCs w:val="24"/>
        </w:rPr>
        <w:t xml:space="preserve"> 6: Promoting equity across the transition  </w:t>
      </w:r>
    </w:p>
    <w:p w:rsidR="00B46497" w:rsidRPr="00204997" w:rsidP="00204997">
      <w:pPr>
        <w:pStyle w:val="ListParagraph"/>
        <w:rPr>
          <w:rFonts w:ascii="Calibri" w:hAnsi="Calibri" w:cs="Calibri"/>
          <w:b/>
        </w:rPr>
      </w:pPr>
      <w:r w:rsidRPr="00204997">
        <w:rPr>
          <w:rFonts w:ascii="Calibri" w:hAnsi="Calibri" w:cs="Calibri"/>
        </w:rPr>
        <w:t xml:space="preserve">Our </w:t>
      </w:r>
      <w:r w:rsidRPr="00204997">
        <w:rPr>
          <w:rFonts w:ascii="Calibri" w:hAnsi="Calibri" w:cs="Calibri"/>
        </w:rPr>
        <w:t xml:space="preserve">local authority </w:t>
      </w:r>
      <w:r w:rsidRPr="00204997">
        <w:rPr>
          <w:rFonts w:ascii="Calibri" w:hAnsi="Calibri" w:cs="Calibri"/>
        </w:rPr>
        <w:t>assessment report of Wakefield Council</w:t>
      </w:r>
      <w:r>
        <w:rPr>
          <w:rStyle w:val="FootnoteReference"/>
          <w:rFonts w:ascii="Calibri" w:hAnsi="Calibri" w:cs="Calibri"/>
        </w:rPr>
        <w:footnoteReference w:id="40"/>
      </w:r>
      <w:r w:rsidRPr="00204997">
        <w:rPr>
          <w:rFonts w:ascii="Calibri" w:hAnsi="Calibri" w:cs="Calibri"/>
        </w:rPr>
        <w:t xml:space="preserve"> includes an example of </w:t>
      </w:r>
      <w:r w:rsidRPr="00204997">
        <w:rPr>
          <w:rFonts w:ascii="Calibri" w:hAnsi="Calibri" w:cs="Calibri"/>
        </w:rPr>
        <w:t xml:space="preserve">how different communication needs are </w:t>
      </w:r>
      <w:r w:rsidRPr="00204997">
        <w:rPr>
          <w:rFonts w:ascii="Calibri" w:hAnsi="Calibri" w:cs="Calibri"/>
        </w:rPr>
        <w:t>accommodated</w:t>
      </w:r>
      <w:r w:rsidRPr="00204997">
        <w:rPr>
          <w:rFonts w:ascii="Calibri" w:hAnsi="Calibri" w:cs="Calibri"/>
        </w:rPr>
        <w:t>.</w:t>
      </w:r>
      <w:r w:rsidRPr="00204997">
        <w:rPr>
          <w:rFonts w:ascii="Calibri" w:hAnsi="Calibri" w:cs="Calibri"/>
        </w:rPr>
        <w:t xml:space="preserve"> </w:t>
      </w:r>
      <w:r w:rsidRPr="00204997">
        <w:rPr>
          <w:rFonts w:ascii="Calibri" w:hAnsi="Calibri" w:cs="Calibri"/>
        </w:rPr>
        <w:t>S</w:t>
      </w:r>
      <w:r w:rsidRPr="00204997">
        <w:rPr>
          <w:rFonts w:ascii="Calibri" w:hAnsi="Calibri" w:cs="Calibri"/>
          <w:iCs/>
        </w:rPr>
        <w:t xml:space="preserve">taff in the Sensory team </w:t>
      </w:r>
      <w:r w:rsidRPr="00204997">
        <w:rPr>
          <w:rFonts w:ascii="Calibri" w:hAnsi="Calibri" w:cs="Calibri"/>
          <w:iCs/>
        </w:rPr>
        <w:t>worked over sustained periods of time with young people transitioning to adult</w:t>
      </w:r>
      <w:r w:rsidRPr="00204997">
        <w:rPr>
          <w:rFonts w:ascii="Calibri" w:hAnsi="Calibri" w:cs="Calibri"/>
          <w:iCs/>
        </w:rPr>
        <w:t xml:space="preserve"> services</w:t>
      </w:r>
      <w:r w:rsidRPr="00204997">
        <w:rPr>
          <w:rFonts w:ascii="Calibri" w:hAnsi="Calibri" w:cs="Calibri"/>
          <w:iCs/>
        </w:rPr>
        <w:t>. An example was given of a young person who wanted to live independently, who was supported to develop BSL language skills that would facilitate independent living, build confidence and skills for life and to find and sustain employment. Staff were encouraged to build relationships to get to know the young people they wo</w:t>
      </w:r>
      <w:r w:rsidRPr="00204997">
        <w:rPr>
          <w:rFonts w:ascii="Calibri" w:hAnsi="Calibri" w:cs="Calibri"/>
          <w:iCs/>
        </w:rPr>
        <w:t>rked with so that the most appropriate and least restrictive support could be given to the young people growing into adulthood</w:t>
      </w:r>
      <w:r w:rsidRPr="00204997">
        <w:rPr>
          <w:rFonts w:ascii="Calibri" w:hAnsi="Calibri" w:cs="Calibri"/>
          <w:i/>
        </w:rPr>
        <w:t>.</w:t>
      </w:r>
    </w:p>
    <w:p w:rsidR="00B46497" w:rsidRPr="00204997" w:rsidP="005E68EC">
      <w:pPr>
        <w:rPr>
          <w:rFonts w:ascii="Calibri" w:hAnsi="Calibri" w:cs="Calibri"/>
        </w:rPr>
      </w:pPr>
    </w:p>
    <w:p w:rsidR="00B46497" w:rsidRPr="00204997" w:rsidP="00204997">
      <w:pPr>
        <w:rPr>
          <w:rFonts w:ascii="Calibri" w:hAnsi="Calibri" w:cs="Calibri"/>
          <w:i/>
          <w:iCs/>
        </w:rPr>
      </w:pPr>
      <w:r w:rsidRPr="00204997">
        <w:rPr>
          <w:rFonts w:ascii="Calibri" w:hAnsi="Calibri" w:cs="Calibri"/>
        </w:rPr>
        <w:t xml:space="preserve"> </w:t>
      </w:r>
      <w:r w:rsidRPr="00204997">
        <w:rPr>
          <w:rFonts w:ascii="Calibri" w:hAnsi="Calibri" w:cs="Calibri"/>
          <w:i/>
          <w:iCs/>
        </w:rPr>
        <w:t>May 2026</w:t>
      </w:r>
    </w:p>
    <w:p w:rsidR="00B46497" w:rsidRPr="00204997" w:rsidP="00204997">
      <w:pPr>
        <w:rPr>
          <w:rFonts w:ascii="Calibri" w:hAnsi="Calibri" w:cs="Calibri"/>
          <w:b/>
          <w:bCs/>
        </w:rPr>
      </w:pPr>
    </w:p>
    <w:sectPr w:rsidSect="00610B41">
      <w:pgSz w:w="11906" w:h="16838"/>
      <w:pgMar w:top="851"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46497" w:rsidP="002D5979">
      <w:pPr>
        <w:spacing w:after="0" w:line="240" w:lineRule="auto"/>
      </w:pPr>
      <w:r>
        <w:separator/>
      </w:r>
    </w:p>
  </w:footnote>
  <w:footnote w:type="continuationSeparator" w:id="1">
    <w:p w:rsidR="00B46497" w:rsidP="002D5979">
      <w:pPr>
        <w:spacing w:after="0" w:line="240" w:lineRule="auto"/>
      </w:pPr>
      <w:r>
        <w:continuationSeparator/>
      </w:r>
    </w:p>
  </w:footnote>
  <w:footnote w:id="2">
    <w:p w:rsidR="00B46497" w:rsidRPr="00FE554E">
      <w:pPr>
        <w:pStyle w:val="FootnoteText"/>
        <w:rPr>
          <w:rFonts w:ascii="Times New Roman" w:hAnsi="Times New Roman"/>
        </w:rPr>
      </w:pPr>
      <w:r>
        <w:rPr>
          <w:rStyle w:val="FootnoteReference"/>
        </w:rPr>
        <w:footnoteRef/>
      </w:r>
      <w:r>
        <w:t xml:space="preserve"> </w:t>
      </w:r>
      <w:r>
        <w:fldChar w:fldCharType="begin"/>
      </w:r>
      <w:r>
        <w:instrText xml:space="preserve"> HYPERLINK "https://www.cqc.org.uk/sites/default/files/CQC_Transition%20Report.pdf" </w:instrText>
      </w:r>
      <w:r>
        <w:fldChar w:fldCharType="separate"/>
      </w:r>
      <w:r>
        <w:rPr>
          <w:rStyle w:val="Hyperlink"/>
        </w:rPr>
        <w:t>From The Pond to the Sea: Children's transition to adult health services</w:t>
      </w:r>
      <w:r>
        <w:fldChar w:fldCharType="end"/>
      </w:r>
    </w:p>
  </w:footnote>
  <w:footnote w:id="3">
    <w:p w:rsidR="00B46497" w:rsidP="002D5979">
      <w:pPr>
        <w:pStyle w:val="FootnoteText"/>
      </w:pPr>
      <w:r>
        <w:rPr>
          <w:rStyle w:val="FootnoteReference"/>
        </w:rPr>
        <w:footnoteRef/>
      </w:r>
      <w:r>
        <w:t xml:space="preserve"> </w:t>
      </w:r>
      <w:r>
        <w:fldChar w:fldCharType="begin"/>
      </w:r>
      <w:r>
        <w:instrText xml:space="preserve"> HYPERLINK "https://www.gov.uk/government/publications/preparation-for-adulthood-arrangements-in-local-areas-a-thematic-review/preparation-for-adulthood-arrangements-in-local-areas-a-thematic-review" \l "introduction" </w:instrText>
      </w:r>
      <w:r>
        <w:fldChar w:fldCharType="separate"/>
      </w:r>
      <w:r w:rsidRPr="00D72D34">
        <w:rPr>
          <w:rStyle w:val="Hyperlink"/>
        </w:rPr>
        <w:t>Preparation for adulthood arrangements in local areas: a thematic review - GOV.UK</w:t>
      </w:r>
      <w:r>
        <w:fldChar w:fldCharType="end"/>
      </w:r>
    </w:p>
  </w:footnote>
  <w:footnote w:id="4">
    <w:p w:rsidR="00B46497" w:rsidP="00E24E03">
      <w:pPr>
        <w:pStyle w:val="FootnoteText"/>
      </w:pPr>
      <w:r>
        <w:rPr>
          <w:rStyle w:val="FootnoteReference"/>
        </w:rPr>
        <w:footnoteRef/>
      </w:r>
      <w:r>
        <w:t xml:space="preserve"> </w:t>
      </w:r>
      <w:r>
        <w:fldChar w:fldCharType="begin"/>
      </w:r>
      <w:r>
        <w:instrText xml:space="preserve"> HYPERLINK "https://www2.local.gov.uk/publications/analyis-local-authority-cqc-assessment-reports-what-does-good-look?utm_source=chatgpt.com" </w:instrText>
      </w:r>
      <w:r>
        <w:fldChar w:fldCharType="separate"/>
      </w:r>
      <w:r w:rsidRPr="00787B86">
        <w:rPr>
          <w:rStyle w:val="Hyperlink"/>
        </w:rPr>
        <w:t>An analysis of local authority CQC assessment reports: What does 'good' look like? | Local Government Association</w:t>
      </w:r>
      <w:r>
        <w:fldChar w:fldCharType="end"/>
      </w:r>
    </w:p>
  </w:footnote>
  <w:footnote w:id="5">
    <w:p w:rsidR="00B46497" w:rsidP="00E22F52">
      <w:pPr>
        <w:pStyle w:val="FootnoteText"/>
      </w:pPr>
      <w:r>
        <w:rPr>
          <w:rStyle w:val="FootnoteReference"/>
        </w:rPr>
        <w:footnoteRef/>
      </w:r>
      <w:r>
        <w:t xml:space="preserve"> </w:t>
      </w:r>
      <w:r>
        <w:fldChar w:fldCharType="begin"/>
      </w:r>
      <w:r>
        <w:instrText xml:space="preserve"> HYPERLINK "https://www.gov.uk/government/publications/preparation-for-adulthood-arrangements-in-local-areas-a-thematic-review/preparation-for-adulthood-arrangements-in-local-areas-a-thematic-review" \l "introduction" </w:instrText>
      </w:r>
      <w:r>
        <w:fldChar w:fldCharType="separate"/>
      </w:r>
      <w:r w:rsidRPr="00D72D34">
        <w:rPr>
          <w:rStyle w:val="Hyperlink"/>
        </w:rPr>
        <w:t>Preparation for adulthood arrangements in local areas: a thematic review - GOV.UK</w:t>
      </w:r>
      <w:r>
        <w:fldChar w:fldCharType="end"/>
      </w:r>
    </w:p>
  </w:footnote>
  <w:footnote w:id="6">
    <w:p w:rsidR="00B46497" w:rsidP="003B5B35">
      <w:pPr>
        <w:pStyle w:val="FootnoteText"/>
      </w:pPr>
      <w:r>
        <w:rPr>
          <w:rStyle w:val="FootnoteReference"/>
        </w:rPr>
        <w:footnoteRef/>
      </w:r>
      <w:r>
        <w:t xml:space="preserve"> </w:t>
      </w:r>
      <w:r>
        <w:fldChar w:fldCharType="begin"/>
      </w:r>
      <w:r>
        <w:instrText xml:space="preserve"> HYPERLINK "https://www.cqc.org.uk/care-services/local-authority-assessment-reports/merton-0825/theme3" </w:instrText>
      </w:r>
      <w:r>
        <w:fldChar w:fldCharType="separate"/>
      </w:r>
      <w:r w:rsidRPr="006D5473">
        <w:rPr>
          <w:rStyle w:val="Hyperlink"/>
        </w:rPr>
        <w:t>Theme 3: How London Borough of Merton ensures safety within the system - Care Quality Commission</w:t>
      </w:r>
      <w:r>
        <w:fldChar w:fldCharType="end"/>
      </w:r>
    </w:p>
  </w:footnote>
  <w:footnote w:id="7">
    <w:p w:rsidR="00B46497" w:rsidP="003B5B35">
      <w:pPr>
        <w:pStyle w:val="FootnoteText"/>
      </w:pPr>
      <w:r>
        <w:rPr>
          <w:rStyle w:val="FootnoteReference"/>
        </w:rPr>
        <w:footnoteRef/>
      </w:r>
      <w:r>
        <w:t xml:space="preserve"> </w:t>
      </w:r>
      <w:r>
        <w:fldChar w:fldCharType="begin"/>
      </w:r>
      <w:r>
        <w:instrText xml:space="preserve"> HYPERLINK "https://www.cqc.org.uk/care-services/local-authority-assessment-reports/wigan-0326/theme3/pathways" </w:instrText>
      </w:r>
      <w:r>
        <w:fldChar w:fldCharType="separate"/>
      </w:r>
      <w:r w:rsidRPr="004725C3">
        <w:rPr>
          <w:rStyle w:val="Hyperlink"/>
        </w:rPr>
        <w:t>Safe pathways, systems and transitions - Care Quality Commission</w:t>
      </w:r>
      <w:r>
        <w:fldChar w:fldCharType="end"/>
      </w:r>
    </w:p>
  </w:footnote>
  <w:footnote w:id="8">
    <w:p w:rsidR="00B46497" w:rsidP="003B5B35">
      <w:pPr>
        <w:pStyle w:val="FootnoteText"/>
      </w:pPr>
      <w:r>
        <w:rPr>
          <w:rStyle w:val="FootnoteReference"/>
        </w:rPr>
        <w:footnoteRef/>
      </w:r>
      <w:r>
        <w:t xml:space="preserve"> </w:t>
      </w:r>
      <w:r>
        <w:fldChar w:fldCharType="begin"/>
      </w:r>
      <w:r>
        <w:instrText xml:space="preserve"> HYPERLINK "https://www.cqc.org.uk/care-services/local-authority-assessment-reports/cumberland-0126/theme3/pathways" </w:instrText>
      </w:r>
      <w:r>
        <w:fldChar w:fldCharType="separate"/>
      </w:r>
      <w:r w:rsidRPr="00B84FC6">
        <w:rPr>
          <w:rStyle w:val="Hyperlink"/>
        </w:rPr>
        <w:t>Safe pathways, systems and transitions - Care Quality Commission</w:t>
      </w:r>
      <w:r>
        <w:fldChar w:fldCharType="end"/>
      </w:r>
    </w:p>
  </w:footnote>
  <w:footnote w:id="9">
    <w:p w:rsidR="00B46497">
      <w:pPr>
        <w:pStyle w:val="FootnoteText"/>
      </w:pPr>
      <w:r>
        <w:rPr>
          <w:rStyle w:val="FootnoteReference"/>
        </w:rPr>
        <w:footnoteRef/>
      </w:r>
      <w:r>
        <w:t xml:space="preserve"> </w:t>
      </w:r>
      <w:r>
        <w:fldChar w:fldCharType="begin"/>
      </w:r>
      <w:r>
        <w:instrText xml:space="preserve"> HYPERLINK "https://files.ofsted.gov.uk/v1/file/50296848" </w:instrText>
      </w:r>
      <w:r>
        <w:fldChar w:fldCharType="separate"/>
      </w:r>
      <w:r>
        <w:rPr>
          <w:rStyle w:val="Hyperlink"/>
        </w:rPr>
        <w:t>Thurrock Council Area SEND inspection</w:t>
      </w:r>
      <w:r>
        <w:fldChar w:fldCharType="end"/>
      </w:r>
    </w:p>
  </w:footnote>
  <w:footnote w:id="10">
    <w:p w:rsidR="00B46497">
      <w:pPr>
        <w:pStyle w:val="FootnoteText"/>
      </w:pPr>
      <w:r>
        <w:rPr>
          <w:rStyle w:val="FootnoteReference"/>
        </w:rPr>
        <w:footnoteRef/>
      </w:r>
      <w:r>
        <w:t xml:space="preserve"> </w:t>
      </w:r>
      <w:r>
        <w:fldChar w:fldCharType="begin"/>
      </w:r>
      <w:r>
        <w:instrText xml:space="preserve"> HYPERLINK "https://files.ofsted.gov.uk/v1/file/50291575" </w:instrText>
      </w:r>
      <w:r>
        <w:fldChar w:fldCharType="separate"/>
      </w:r>
      <w:r>
        <w:rPr>
          <w:rStyle w:val="Hyperlink"/>
        </w:rPr>
        <w:t>East Riding of Yorkshire Area SEND inspection</w:t>
      </w:r>
      <w:r>
        <w:fldChar w:fldCharType="end"/>
      </w:r>
    </w:p>
  </w:footnote>
  <w:footnote w:id="11">
    <w:p w:rsidR="00B46497">
      <w:pPr>
        <w:pStyle w:val="FootnoteText"/>
      </w:pPr>
      <w:r>
        <w:rPr>
          <w:rStyle w:val="FootnoteReference"/>
        </w:rPr>
        <w:footnoteRef/>
      </w:r>
      <w:r>
        <w:t xml:space="preserve"> </w:t>
      </w:r>
      <w:r>
        <w:fldChar w:fldCharType="begin"/>
      </w:r>
      <w:r>
        <w:instrText xml:space="preserve"> HYPERLINK "https://files.ofsted.gov.uk/v1/file/50291443" </w:instrText>
      </w:r>
      <w:r>
        <w:fldChar w:fldCharType="separate"/>
      </w:r>
      <w:r>
        <w:rPr>
          <w:rStyle w:val="Hyperlink"/>
        </w:rPr>
        <w:t>Leicester Area SEND Inspection</w:t>
      </w:r>
      <w:r>
        <w:fldChar w:fldCharType="end"/>
      </w:r>
    </w:p>
  </w:footnote>
  <w:footnote w:id="12">
    <w:p w:rsidR="00B46497" w:rsidP="000A00FB">
      <w:pPr>
        <w:pStyle w:val="FootnoteText"/>
      </w:pPr>
      <w:r>
        <w:rPr>
          <w:rStyle w:val="FootnoteReference"/>
        </w:rPr>
        <w:footnoteRef/>
      </w:r>
      <w:r>
        <w:t xml:space="preserve"> </w:t>
      </w:r>
      <w:r>
        <w:fldChar w:fldCharType="begin"/>
      </w:r>
      <w:r>
        <w:instrText xml:space="preserve"> HYPERLINK "https://www.cqc.org.uk/publications/major-report/state-care/2023-2024" </w:instrText>
      </w:r>
      <w:r>
        <w:fldChar w:fldCharType="separate"/>
      </w:r>
      <w:r w:rsidRPr="00397998">
        <w:rPr>
          <w:rStyle w:val="Hyperlink"/>
        </w:rPr>
        <w:t>The state of health care and adult social care in England 2023/24 - Care Quality Commission</w:t>
      </w:r>
      <w:r>
        <w:fldChar w:fldCharType="end"/>
      </w:r>
    </w:p>
  </w:footnote>
  <w:footnote w:id="13">
    <w:p w:rsidR="00B46497" w:rsidP="00A26D13">
      <w:pPr>
        <w:pStyle w:val="FootnoteText"/>
      </w:pPr>
      <w:r>
        <w:rPr>
          <w:rStyle w:val="FootnoteReference"/>
        </w:rPr>
        <w:footnoteRef/>
      </w:r>
      <w:r>
        <w:t xml:space="preserve"> </w:t>
      </w:r>
      <w:r>
        <w:fldChar w:fldCharType="begin"/>
      </w:r>
      <w:r>
        <w:instrText xml:space="preserve"> HYPERLINK "https://www.gov.uk/government/publications/preparation-for-adulthood-arrangements-in-local-areas-a-thematic-review/preparation-for-adulthood-arrangements-in-local-areas-a-thematic-review" \l "introduction" </w:instrText>
      </w:r>
      <w:r>
        <w:fldChar w:fldCharType="separate"/>
      </w:r>
      <w:r w:rsidRPr="00F06E31">
        <w:rPr>
          <w:rStyle w:val="Hyperlink"/>
        </w:rPr>
        <w:t>Preparation for adulthood arrangements in local areas: a thematic review - GOV.UK</w:t>
      </w:r>
      <w:r>
        <w:fldChar w:fldCharType="end"/>
      </w:r>
    </w:p>
  </w:footnote>
  <w:footnote w:id="14">
    <w:p w:rsidR="00B46497" w:rsidP="00897B0A">
      <w:pPr>
        <w:pStyle w:val="FootnoteText"/>
      </w:pPr>
      <w:r>
        <w:rPr>
          <w:rStyle w:val="FootnoteReference"/>
        </w:rPr>
        <w:footnoteRef/>
      </w:r>
      <w:r>
        <w:t xml:space="preserve"> </w:t>
      </w:r>
      <w:r>
        <w:fldChar w:fldCharType="begin"/>
      </w:r>
      <w:r>
        <w:instrText xml:space="preserve"> HYPERLINK "https://www.cqc.org.uk/publications/major-report/state-care/2023-2024" </w:instrText>
      </w:r>
      <w:r>
        <w:fldChar w:fldCharType="separate"/>
      </w:r>
      <w:r w:rsidRPr="00397998">
        <w:rPr>
          <w:rStyle w:val="Hyperlink"/>
        </w:rPr>
        <w:t>The state of health care and adult social care in England 2023/24 - Care Quality Commission</w:t>
      </w:r>
      <w:r>
        <w:fldChar w:fldCharType="end"/>
      </w:r>
    </w:p>
  </w:footnote>
  <w:footnote w:id="15">
    <w:p w:rsidR="00B46497">
      <w:pPr>
        <w:pStyle w:val="FootnoteText"/>
      </w:pPr>
      <w:r>
        <w:rPr>
          <w:rStyle w:val="FootnoteReference"/>
        </w:rPr>
        <w:footnoteRef/>
      </w:r>
      <w:r>
        <w:t xml:space="preserve"> </w:t>
      </w:r>
      <w:r>
        <w:fldChar w:fldCharType="begin"/>
      </w:r>
      <w:r>
        <w:instrText xml:space="preserve"> HYPERLINK "https://www.cqc.org.uk/care-services/local-authority-assessment-reports/brent-0824" </w:instrText>
      </w:r>
      <w:r>
        <w:fldChar w:fldCharType="separate"/>
      </w:r>
      <w:r w:rsidRPr="00A34D16">
        <w:rPr>
          <w:rStyle w:val="Hyperlink"/>
        </w:rPr>
        <w:t>London Borough of Brent: local authority assessment - Care Quality Commission</w:t>
      </w:r>
      <w:r>
        <w:fldChar w:fldCharType="end"/>
      </w:r>
    </w:p>
  </w:footnote>
  <w:footnote w:id="16">
    <w:p w:rsidR="00B46497" w:rsidP="007A7AF8">
      <w:pPr>
        <w:pStyle w:val="FootnoteText"/>
      </w:pPr>
      <w:r>
        <w:rPr>
          <w:rStyle w:val="FootnoteReference"/>
        </w:rPr>
        <w:footnoteRef/>
      </w:r>
      <w:r>
        <w:t xml:space="preserve"> </w:t>
      </w:r>
      <w:r>
        <w:fldChar w:fldCharType="begin"/>
      </w:r>
      <w:r>
        <w:instrText xml:space="preserve"> HYPERLINK "https://www.cqc.org.uk/care-services/local-authority-assessment-reports/brent-0824/theme3/pathways" </w:instrText>
      </w:r>
      <w:r>
        <w:fldChar w:fldCharType="separate"/>
      </w:r>
      <w:r w:rsidRPr="0023010E">
        <w:rPr>
          <w:rStyle w:val="Hyperlink"/>
        </w:rPr>
        <w:t>https://www.cqc.org.uk/care-services/local-authority-assessment-reports/brent-0824/theme3/pathways</w:t>
      </w:r>
      <w:r>
        <w:fldChar w:fldCharType="end"/>
      </w:r>
      <w:r>
        <w:t xml:space="preserve"> </w:t>
      </w:r>
    </w:p>
  </w:footnote>
  <w:footnote w:id="17">
    <w:p w:rsidR="00B46497" w:rsidP="007A7AF8">
      <w:pPr>
        <w:pStyle w:val="FootnoteText"/>
      </w:pPr>
      <w:r>
        <w:rPr>
          <w:rStyle w:val="FootnoteReference"/>
        </w:rPr>
        <w:footnoteRef/>
      </w:r>
      <w:r>
        <w:t xml:space="preserve"> </w:t>
      </w:r>
      <w:r>
        <w:fldChar w:fldCharType="begin"/>
      </w:r>
      <w:r>
        <w:instrText xml:space="preserve"> HYPERLINK "https://www.cqc.org.uk/care-services/local-authority-assessment-reports/hull-1025/theme3/pathways" </w:instrText>
      </w:r>
      <w:r>
        <w:fldChar w:fldCharType="separate"/>
      </w:r>
      <w:r w:rsidRPr="00A97D16">
        <w:rPr>
          <w:rStyle w:val="Hyperlink"/>
        </w:rPr>
        <w:t>Safe pathways, systems and transitions - Care Quality Commission</w:t>
      </w:r>
      <w:r>
        <w:fldChar w:fldCharType="end"/>
      </w:r>
    </w:p>
  </w:footnote>
  <w:footnote w:id="18">
    <w:p w:rsidR="00B46497" w:rsidP="0067685C">
      <w:pPr>
        <w:pStyle w:val="FootnoteText"/>
      </w:pPr>
      <w:r>
        <w:rPr>
          <w:rStyle w:val="FootnoteReference"/>
        </w:rPr>
        <w:footnoteRef/>
      </w:r>
      <w:r>
        <w:t xml:space="preserve"> </w:t>
      </w:r>
      <w:r>
        <w:fldChar w:fldCharType="begin"/>
      </w:r>
      <w:r>
        <w:instrText xml:space="preserve"> HYPERLINK "https://files.ofsted.gov.uk/v1/file/50296848" </w:instrText>
      </w:r>
      <w:r>
        <w:fldChar w:fldCharType="separate"/>
      </w:r>
      <w:r>
        <w:rPr>
          <w:rStyle w:val="Hyperlink"/>
        </w:rPr>
        <w:t>Thurrock Council Area SEND inspection</w:t>
      </w:r>
      <w:r>
        <w:fldChar w:fldCharType="end"/>
      </w:r>
    </w:p>
  </w:footnote>
  <w:footnote w:id="19">
    <w:p w:rsidR="00B46497" w:rsidP="00544351">
      <w:pPr>
        <w:pStyle w:val="FootnoteText"/>
      </w:pPr>
      <w:r>
        <w:rPr>
          <w:rStyle w:val="FootnoteReference"/>
        </w:rPr>
        <w:footnoteRef/>
      </w:r>
      <w:r>
        <w:t xml:space="preserve"> </w:t>
      </w:r>
      <w:r>
        <w:fldChar w:fldCharType="begin"/>
      </w:r>
      <w:r>
        <w:instrText xml:space="preserve"> HYPERLINK "https://files.ofsted.gov.uk/v1/file/50291199" </w:instrText>
      </w:r>
      <w:r>
        <w:fldChar w:fldCharType="separate"/>
      </w:r>
      <w:r>
        <w:rPr>
          <w:rStyle w:val="Hyperlink"/>
        </w:rPr>
        <w:t>Ealing Area SEND Inspection</w:t>
      </w:r>
      <w:r>
        <w:fldChar w:fldCharType="end"/>
      </w:r>
    </w:p>
  </w:footnote>
  <w:footnote w:id="20">
    <w:p w:rsidR="00B46497" w:rsidP="00F45E63">
      <w:pPr>
        <w:pStyle w:val="FootnoteText"/>
      </w:pPr>
      <w:r>
        <w:rPr>
          <w:rStyle w:val="FootnoteReference"/>
        </w:rPr>
        <w:footnoteRef/>
      </w:r>
      <w:r>
        <w:t xml:space="preserve"> </w:t>
      </w:r>
      <w:r>
        <w:fldChar w:fldCharType="begin"/>
      </w:r>
      <w:r>
        <w:instrText xml:space="preserve"> HYPERLINK "https://www.gov.uk/government/publications/preparation-for-adulthood-arrangements-in-local-areas-a-thematic-review/preparation-for-adulthood-arrangements-in-local-areas-a-thematic-review" \l "introduction" </w:instrText>
      </w:r>
      <w:r>
        <w:fldChar w:fldCharType="separate"/>
      </w:r>
      <w:r w:rsidRPr="00D72D34">
        <w:rPr>
          <w:rStyle w:val="Hyperlink"/>
        </w:rPr>
        <w:t>Preparation for adulthood arrangements in local areas: a thematic review - GOV.UK</w:t>
      </w:r>
      <w:r>
        <w:fldChar w:fldCharType="end"/>
      </w:r>
    </w:p>
  </w:footnote>
  <w:footnote w:id="21">
    <w:p w:rsidR="00B46497">
      <w:pPr>
        <w:pStyle w:val="FootnoteText"/>
      </w:pPr>
      <w:r>
        <w:rPr>
          <w:rStyle w:val="FootnoteReference"/>
        </w:rPr>
        <w:footnoteRef/>
      </w:r>
      <w:r>
        <w:t xml:space="preserve"> </w:t>
      </w:r>
      <w:r>
        <w:fldChar w:fldCharType="begin"/>
      </w:r>
      <w:r>
        <w:instrText xml:space="preserve"> HYPERLINK "https://www.gov.uk/government/publications/preparation-for-adulthood-arrangements-in-local-areas-a-thematic-review/preparation-for-adulthood-arrangements-in-local-areas-a-thematic-review" \l "introduction" </w:instrText>
      </w:r>
      <w:r>
        <w:fldChar w:fldCharType="separate"/>
      </w:r>
      <w:r w:rsidRPr="00D72D34">
        <w:rPr>
          <w:rStyle w:val="Hyperlink"/>
        </w:rPr>
        <w:t>Preparation for adulthood arrangements in local areas: a thematic review - GOV.UK</w:t>
      </w:r>
      <w:r>
        <w:fldChar w:fldCharType="end"/>
      </w:r>
    </w:p>
  </w:footnote>
  <w:footnote w:id="22">
    <w:p w:rsidR="00B46497">
      <w:pPr>
        <w:pStyle w:val="FootnoteText"/>
      </w:pPr>
      <w:r>
        <w:rPr>
          <w:rStyle w:val="FootnoteReference"/>
        </w:rPr>
        <w:footnoteRef/>
      </w:r>
      <w:r>
        <w:t xml:space="preserve"> </w:t>
      </w:r>
      <w:r>
        <w:fldChar w:fldCharType="begin"/>
      </w:r>
      <w:r>
        <w:instrText xml:space="preserve"> HYPERLINK "https://files.ofsted.gov.uk/v1/file/50279699" </w:instrText>
      </w:r>
      <w:r>
        <w:fldChar w:fldCharType="separate"/>
      </w:r>
      <w:r>
        <w:rPr>
          <w:rStyle w:val="Hyperlink"/>
        </w:rPr>
        <w:t xml:space="preserve">Area SEND Torbay Inspection Report </w:t>
      </w:r>
      <w:r>
        <w:fldChar w:fldCharType="end"/>
      </w:r>
    </w:p>
  </w:footnote>
  <w:footnote w:id="23">
    <w:p w:rsidR="00B46497">
      <w:pPr>
        <w:pStyle w:val="FootnoteText"/>
      </w:pPr>
      <w:r>
        <w:rPr>
          <w:rStyle w:val="FootnoteReference"/>
        </w:rPr>
        <w:footnoteRef/>
      </w:r>
      <w:r>
        <w:t xml:space="preserve"> </w:t>
      </w:r>
      <w:r>
        <w:fldChar w:fldCharType="begin"/>
      </w:r>
      <w:r>
        <w:instrText xml:space="preserve"> HYPERLINK "https://files.ofsted.gov.uk/v1/file/50262087" </w:instrText>
      </w:r>
      <w:r>
        <w:fldChar w:fldCharType="separate"/>
      </w:r>
      <w:r>
        <w:rPr>
          <w:rStyle w:val="Hyperlink"/>
        </w:rPr>
        <w:t>Area SEND Lewisham inspection report</w:t>
      </w:r>
      <w:r>
        <w:fldChar w:fldCharType="end"/>
      </w:r>
    </w:p>
  </w:footnote>
  <w:footnote w:id="24">
    <w:p w:rsidR="00B46497">
      <w:pPr>
        <w:pStyle w:val="FootnoteText"/>
      </w:pPr>
      <w:r>
        <w:rPr>
          <w:rStyle w:val="FootnoteReference"/>
        </w:rPr>
        <w:footnoteRef/>
      </w:r>
      <w:r>
        <w:t xml:space="preserve"> </w:t>
      </w:r>
      <w:r>
        <w:fldChar w:fldCharType="begin"/>
      </w:r>
      <w:r>
        <w:instrText xml:space="preserve"> HYPERLINK "https://files.ofsted.gov.uk/v1/file/50281085" </w:instrText>
      </w:r>
      <w:r>
        <w:fldChar w:fldCharType="separate"/>
      </w:r>
      <w:r>
        <w:rPr>
          <w:rStyle w:val="Hyperlink"/>
        </w:rPr>
        <w:t>Area SEND Inspection Tameside</w:t>
      </w:r>
      <w:r>
        <w:fldChar w:fldCharType="end"/>
      </w:r>
    </w:p>
  </w:footnote>
  <w:footnote w:id="25">
    <w:p w:rsidR="00B46497">
      <w:pPr>
        <w:pStyle w:val="FootnoteText"/>
      </w:pPr>
      <w:r>
        <w:rPr>
          <w:rStyle w:val="FootnoteReference"/>
        </w:rPr>
        <w:footnoteRef/>
      </w:r>
      <w:r>
        <w:t xml:space="preserve"> </w:t>
      </w:r>
      <w:r>
        <w:fldChar w:fldCharType="begin"/>
      </w:r>
      <w:r>
        <w:instrText xml:space="preserve"> HYPERLINK "https://files.ofsted.gov.uk/v1/file/50262991" </w:instrText>
      </w:r>
      <w:r>
        <w:fldChar w:fldCharType="separate"/>
      </w:r>
      <w:r>
        <w:rPr>
          <w:rStyle w:val="Hyperlink"/>
        </w:rPr>
        <w:t>Area SEND Inspection Newham</w:t>
      </w:r>
      <w:r>
        <w:fldChar w:fldCharType="end"/>
      </w:r>
    </w:p>
  </w:footnote>
  <w:footnote w:id="26">
    <w:p w:rsidR="00B46497">
      <w:pPr>
        <w:pStyle w:val="FootnoteText"/>
      </w:pPr>
      <w:r>
        <w:rPr>
          <w:rStyle w:val="FootnoteReference"/>
        </w:rPr>
        <w:footnoteRef/>
      </w:r>
      <w:r>
        <w:t xml:space="preserve"> </w:t>
      </w:r>
      <w:r>
        <w:fldChar w:fldCharType="begin"/>
      </w:r>
      <w:r>
        <w:instrText xml:space="preserve"> HYPERLINK "https://files.ofsted.gov.uk/v1/file/50290645" </w:instrText>
      </w:r>
      <w:r>
        <w:fldChar w:fldCharType="separate"/>
      </w:r>
      <w:r>
        <w:rPr>
          <w:rStyle w:val="Hyperlink"/>
        </w:rPr>
        <w:t>Area SEND Inspection Slough</w:t>
      </w:r>
      <w:r>
        <w:fldChar w:fldCharType="end"/>
      </w:r>
    </w:p>
  </w:footnote>
  <w:footnote w:id="27">
    <w:p w:rsidR="00B46497">
      <w:pPr>
        <w:pStyle w:val="FootnoteText"/>
      </w:pPr>
      <w:r>
        <w:rPr>
          <w:rStyle w:val="FootnoteReference"/>
        </w:rPr>
        <w:footnoteRef/>
      </w:r>
      <w:r>
        <w:t xml:space="preserve"> </w:t>
      </w:r>
      <w:r>
        <w:fldChar w:fldCharType="begin"/>
      </w:r>
      <w:r>
        <w:instrText xml:space="preserve"> HYPERLINK "https://files.ofsted.gov.uk/v1/file/50280755" </w:instrText>
      </w:r>
      <w:r>
        <w:fldChar w:fldCharType="separate"/>
      </w:r>
      <w:r>
        <w:rPr>
          <w:rStyle w:val="Hyperlink"/>
        </w:rPr>
        <w:t>Area SEND Inspection Redbridge</w:t>
      </w:r>
      <w:r>
        <w:fldChar w:fldCharType="end"/>
      </w:r>
    </w:p>
  </w:footnote>
  <w:footnote w:id="28">
    <w:p w:rsidR="00B46497" w:rsidP="00472EF2">
      <w:pPr>
        <w:pStyle w:val="FootnoteText"/>
      </w:pPr>
      <w:r>
        <w:rPr>
          <w:rStyle w:val="FootnoteReference"/>
        </w:rPr>
        <w:footnoteRef/>
      </w:r>
      <w:r>
        <w:t xml:space="preserve"> </w:t>
      </w:r>
      <w:r>
        <w:fldChar w:fldCharType="begin"/>
      </w:r>
      <w:r>
        <w:instrText xml:space="preserve"> HYPERLINK "https://www.cqc.org.uk/publications/major-report/state-care/2023-2024" </w:instrText>
      </w:r>
      <w:r>
        <w:fldChar w:fldCharType="separate"/>
      </w:r>
      <w:r w:rsidRPr="00397998">
        <w:rPr>
          <w:rStyle w:val="Hyperlink"/>
        </w:rPr>
        <w:t>The state of health care and adult social care in England 2023/24 - Care Quality Commission</w:t>
      </w:r>
      <w:r>
        <w:fldChar w:fldCharType="end"/>
      </w:r>
    </w:p>
  </w:footnote>
  <w:footnote w:id="29">
    <w:p w:rsidR="00B46497" w:rsidP="00472EF2">
      <w:pPr>
        <w:pStyle w:val="FootnoteText"/>
      </w:pPr>
      <w:r>
        <w:rPr>
          <w:rStyle w:val="FootnoteReference"/>
        </w:rPr>
        <w:footnoteRef/>
      </w:r>
      <w:r>
        <w:t xml:space="preserve"> </w:t>
      </w:r>
      <w:r>
        <w:fldChar w:fldCharType="begin"/>
      </w:r>
      <w:r>
        <w:instrText xml:space="preserve"> HYPERLINK "https://www.cqc.org.uk/care-services/local-authority-assessment-reports/wigan-0326/theme3/pathways" </w:instrText>
      </w:r>
      <w:r>
        <w:fldChar w:fldCharType="separate"/>
      </w:r>
      <w:r w:rsidRPr="004725C3">
        <w:rPr>
          <w:rStyle w:val="Hyperlink"/>
        </w:rPr>
        <w:t>Safe pathways, systems and transitions - Care Quality Commission</w:t>
      </w:r>
      <w:r>
        <w:fldChar w:fldCharType="end"/>
      </w:r>
    </w:p>
  </w:footnote>
  <w:footnote w:id="30">
    <w:p w:rsidR="00B46497">
      <w:pPr>
        <w:pStyle w:val="FootnoteText"/>
      </w:pPr>
      <w:r>
        <w:rPr>
          <w:rStyle w:val="FootnoteReference"/>
        </w:rPr>
        <w:footnoteRef/>
      </w:r>
      <w:r>
        <w:t xml:space="preserve"> </w:t>
      </w:r>
      <w:r>
        <w:fldChar w:fldCharType="begin"/>
      </w:r>
      <w:r>
        <w:instrText xml:space="preserve"> HYPERLINK "https://files.ofsted.gov.uk/v1/file/50283933" </w:instrText>
      </w:r>
      <w:r>
        <w:fldChar w:fldCharType="separate"/>
      </w:r>
      <w:r>
        <w:rPr>
          <w:rStyle w:val="Hyperlink"/>
        </w:rPr>
        <w:t>Area SEND Inspection Kirklees</w:t>
      </w:r>
      <w:r>
        <w:fldChar w:fldCharType="end"/>
      </w:r>
    </w:p>
  </w:footnote>
  <w:footnote w:id="31">
    <w:p w:rsidR="00B46497" w:rsidP="00D33E56">
      <w:pPr>
        <w:pStyle w:val="FootnoteText"/>
      </w:pPr>
      <w:r w:rsidRPr="2333EF4A">
        <w:rPr>
          <w:rStyle w:val="FootnoteReference"/>
        </w:rPr>
        <w:footnoteRef/>
      </w:r>
      <w:r>
        <w:t xml:space="preserve"> </w:t>
      </w:r>
      <w:r>
        <w:fldChar w:fldCharType="begin"/>
      </w:r>
      <w:r>
        <w:instrText xml:space="preserve"> HYPERLINK "https://www2.local.gov.uk/publications/analyis-local-authority-cqc-assessment-reports-what-does-good-look?utm_source=chatgpt.com" \l "executive-summary" </w:instrText>
      </w:r>
      <w:r>
        <w:fldChar w:fldCharType="separate"/>
      </w:r>
      <w:r w:rsidRPr="006267D1">
        <w:rPr>
          <w:rStyle w:val="Hyperlink"/>
        </w:rPr>
        <w:t>An analysis of local authority CQC assessment reports: What does 'good' look like? | Local Government Association</w:t>
      </w:r>
      <w:r>
        <w:fldChar w:fldCharType="end"/>
      </w:r>
    </w:p>
  </w:footnote>
  <w:footnote w:id="32">
    <w:p w:rsidR="00B46497" w:rsidP="29EA3984">
      <w:pPr>
        <w:pStyle w:val="FootnoteText"/>
      </w:pPr>
      <w:r w:rsidRPr="29EA3984">
        <w:rPr>
          <w:rStyle w:val="FootnoteReference"/>
        </w:rPr>
        <w:footnoteRef/>
      </w:r>
      <w:r>
        <w:t xml:space="preserve"> </w:t>
      </w:r>
      <w:r>
        <w:fldChar w:fldCharType="begin"/>
      </w:r>
      <w:r>
        <w:instrText xml:space="preserve"> HYPERLINK "https://www.cqc.org.uk/guidance-regulation/local-authorities/assessment-framework/theme3" </w:instrText>
      </w:r>
      <w:r>
        <w:fldChar w:fldCharType="separate"/>
      </w:r>
      <w:r w:rsidRPr="29EA3984">
        <w:rPr>
          <w:rStyle w:val="Hyperlink"/>
        </w:rPr>
        <w:t>Theme 3: How the local authority ensures safety within the system - Care Quality Commission</w:t>
      </w:r>
      <w:r>
        <w:fldChar w:fldCharType="end"/>
      </w:r>
    </w:p>
  </w:footnote>
  <w:footnote w:id="33">
    <w:p w:rsidR="00B46497" w:rsidP="00DE4D3F">
      <w:pPr>
        <w:pStyle w:val="FootnoteText"/>
      </w:pPr>
      <w:r>
        <w:rPr>
          <w:rStyle w:val="FootnoteReference"/>
        </w:rPr>
        <w:footnoteRef/>
      </w:r>
      <w:r>
        <w:t xml:space="preserve"> </w:t>
      </w:r>
      <w:r>
        <w:fldChar w:fldCharType="begin"/>
      </w:r>
      <w:r>
        <w:instrText xml:space="preserve"> HYPERLINK "https://www.cqc.org.uk/care-services/local-authority-assessment-reports/camden-0225/theme3/pathways" </w:instrText>
      </w:r>
      <w:r>
        <w:fldChar w:fldCharType="separate"/>
      </w:r>
      <w:r w:rsidRPr="005464BD">
        <w:rPr>
          <w:rStyle w:val="Hyperlink"/>
        </w:rPr>
        <w:t>Safe pathways, systems and transitions - Care Quality Commission</w:t>
      </w:r>
      <w:r>
        <w:fldChar w:fldCharType="end"/>
      </w:r>
    </w:p>
  </w:footnote>
  <w:footnote w:id="34">
    <w:p w:rsidR="00B46497" w:rsidP="00AA5E20">
      <w:pPr>
        <w:pStyle w:val="FootnoteText"/>
      </w:pPr>
      <w:r>
        <w:rPr>
          <w:rStyle w:val="FootnoteReference"/>
        </w:rPr>
        <w:footnoteRef/>
      </w:r>
      <w:r>
        <w:t xml:space="preserve"> </w:t>
      </w:r>
      <w:r>
        <w:fldChar w:fldCharType="begin"/>
      </w:r>
      <w:r>
        <w:instrText xml:space="preserve"> HYPERLINK "https://files.ofsted.gov.uk/v1/file/50262991" </w:instrText>
      </w:r>
      <w:r>
        <w:fldChar w:fldCharType="separate"/>
      </w:r>
      <w:r>
        <w:rPr>
          <w:rStyle w:val="Hyperlink"/>
        </w:rPr>
        <w:t>Area SEND Inspection Newham</w:t>
      </w:r>
      <w:r>
        <w:fldChar w:fldCharType="end"/>
      </w:r>
    </w:p>
  </w:footnote>
  <w:footnote w:id="35">
    <w:p w:rsidR="00B46497">
      <w:pPr>
        <w:pStyle w:val="FootnoteText"/>
      </w:pPr>
      <w:r>
        <w:rPr>
          <w:rStyle w:val="FootnoteReference"/>
        </w:rPr>
        <w:footnoteRef/>
      </w:r>
      <w:r>
        <w:t xml:space="preserve"> </w:t>
      </w:r>
      <w:r>
        <w:fldChar w:fldCharType="begin"/>
      </w:r>
      <w:r>
        <w:instrText xml:space="preserve"> HYPERLINK "https://files.ofsted.gov.uk/v1/file/50285042" </w:instrText>
      </w:r>
      <w:r>
        <w:fldChar w:fldCharType="separate"/>
      </w:r>
      <w:r>
        <w:rPr>
          <w:rStyle w:val="Hyperlink"/>
        </w:rPr>
        <w:t>Area SEND Inspection Tower Hamlets</w:t>
      </w:r>
      <w:r>
        <w:fldChar w:fldCharType="end"/>
      </w:r>
    </w:p>
  </w:footnote>
  <w:footnote w:id="36">
    <w:p w:rsidR="00B46497">
      <w:pPr>
        <w:pStyle w:val="FootnoteText"/>
      </w:pPr>
      <w:r>
        <w:rPr>
          <w:rStyle w:val="FootnoteReference"/>
        </w:rPr>
        <w:footnoteRef/>
      </w:r>
      <w:r>
        <w:t xml:space="preserve"> </w:t>
      </w:r>
      <w:r>
        <w:fldChar w:fldCharType="begin"/>
      </w:r>
      <w:r>
        <w:instrText xml:space="preserve"> HYPERLINK "https://files.ofsted.gov.uk/v1/file/50252397" </w:instrText>
      </w:r>
      <w:r>
        <w:fldChar w:fldCharType="separate"/>
      </w:r>
      <w:r>
        <w:rPr>
          <w:rStyle w:val="Hyperlink"/>
        </w:rPr>
        <w:t>Area SEND Inspection Hillingdon</w:t>
      </w:r>
      <w:r>
        <w:fldChar w:fldCharType="end"/>
      </w:r>
    </w:p>
  </w:footnote>
  <w:footnote w:id="37">
    <w:p w:rsidR="00B46497">
      <w:pPr>
        <w:pStyle w:val="FootnoteText"/>
      </w:pPr>
      <w:r>
        <w:rPr>
          <w:rStyle w:val="FootnoteReference"/>
        </w:rPr>
        <w:footnoteRef/>
      </w:r>
      <w:r>
        <w:t xml:space="preserve"> </w:t>
      </w:r>
      <w:r>
        <w:fldChar w:fldCharType="begin"/>
      </w:r>
      <w:r>
        <w:instrText xml:space="preserve"> HYPERLINK "https://files.ofsted.gov.uk/v1/file/50252437" </w:instrText>
      </w:r>
      <w:r>
        <w:fldChar w:fldCharType="separate"/>
      </w:r>
      <w:r>
        <w:rPr>
          <w:rStyle w:val="Hyperlink"/>
        </w:rPr>
        <w:t>Area SEND Inspection Worcester</w:t>
      </w:r>
      <w:r>
        <w:fldChar w:fldCharType="end"/>
      </w:r>
    </w:p>
  </w:footnote>
  <w:footnote w:id="38">
    <w:p w:rsidR="00B46497" w:rsidP="008C581D">
      <w:pPr>
        <w:pStyle w:val="FootnoteText"/>
      </w:pPr>
      <w:r>
        <w:rPr>
          <w:rStyle w:val="FootnoteReference"/>
        </w:rPr>
        <w:footnoteRef/>
      </w:r>
      <w:r>
        <w:t xml:space="preserve"> </w:t>
      </w:r>
      <w:r>
        <w:fldChar w:fldCharType="begin"/>
      </w:r>
      <w:r>
        <w:instrText xml:space="preserve"> HYPERLINK "https://files.ofsted.gov.uk/v1/file/50281085" </w:instrText>
      </w:r>
      <w:r>
        <w:fldChar w:fldCharType="separate"/>
      </w:r>
      <w:r>
        <w:rPr>
          <w:rStyle w:val="Hyperlink"/>
        </w:rPr>
        <w:t>Area SEND Inspection Tameside</w:t>
      </w:r>
      <w:r>
        <w:fldChar w:fldCharType="end"/>
      </w:r>
    </w:p>
  </w:footnote>
  <w:footnote w:id="39">
    <w:p w:rsidR="00B46497" w:rsidP="00F71402">
      <w:pPr>
        <w:pStyle w:val="FootnoteText"/>
      </w:pPr>
      <w:r>
        <w:rPr>
          <w:rStyle w:val="FootnoteReference"/>
        </w:rPr>
        <w:footnoteRef/>
      </w:r>
      <w:r>
        <w:t xml:space="preserve"> </w:t>
      </w:r>
      <w:r>
        <w:fldChar w:fldCharType="begin"/>
      </w:r>
      <w:r>
        <w:instrText xml:space="preserve"> HYPERLINK "https://files.ofsted.gov.uk/v1/file/50280053" </w:instrText>
      </w:r>
      <w:r>
        <w:fldChar w:fldCharType="separate"/>
      </w:r>
      <w:r>
        <w:rPr>
          <w:rStyle w:val="Hyperlink"/>
        </w:rPr>
        <w:t>Area SEND Inspection Sheffield</w:t>
      </w:r>
      <w:r>
        <w:fldChar w:fldCharType="end"/>
      </w:r>
    </w:p>
  </w:footnote>
  <w:footnote w:id="40">
    <w:p w:rsidR="00B46497" w:rsidP="00D27752">
      <w:pPr>
        <w:pStyle w:val="FootnoteText"/>
      </w:pPr>
      <w:r>
        <w:rPr>
          <w:rStyle w:val="FootnoteReference"/>
        </w:rPr>
        <w:footnoteRef/>
      </w:r>
      <w:r>
        <w:t xml:space="preserve"> </w:t>
      </w:r>
      <w:r>
        <w:fldChar w:fldCharType="begin"/>
      </w:r>
      <w:r>
        <w:instrText xml:space="preserve"> HYPERLINK "https://www.cqc.org.uk/care-services/local-authority-assessment-reports/wakefield-0925/theme3/pathways" </w:instrText>
      </w:r>
      <w:r>
        <w:fldChar w:fldCharType="separate"/>
      </w:r>
      <w:r w:rsidRPr="000A1C75">
        <w:rPr>
          <w:rStyle w:val="Hyperlink"/>
        </w:rPr>
        <w:t>Safe pathways, systems and transitions - Care Quality Commission</w:t>
      </w:r>
      <w:r>
        <w:fldChar w:fldCharType="end"/>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590F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90F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90F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90F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0F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0F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0F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0F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0F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F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90F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90F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90F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0F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0F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0F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0F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0F3F"/>
    <w:rPr>
      <w:rFonts w:eastAsiaTheme="majorEastAsia" w:cstheme="majorBidi"/>
      <w:color w:val="272727" w:themeColor="text1" w:themeTint="D8"/>
    </w:rPr>
  </w:style>
  <w:style w:type="paragraph" w:styleId="Title">
    <w:name w:val="Title"/>
    <w:basedOn w:val="Normal"/>
    <w:next w:val="Normal"/>
    <w:link w:val="TitleChar"/>
    <w:uiPriority w:val="10"/>
    <w:qFormat/>
    <w:rsid w:val="00590F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0F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0F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0F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0F3F"/>
    <w:pPr>
      <w:spacing w:before="160"/>
      <w:jc w:val="center"/>
    </w:pPr>
    <w:rPr>
      <w:i/>
      <w:iCs/>
      <w:color w:val="404040" w:themeColor="text1" w:themeTint="BF"/>
    </w:rPr>
  </w:style>
  <w:style w:type="character" w:customStyle="1" w:styleId="QuoteChar">
    <w:name w:val="Quote Char"/>
    <w:basedOn w:val="DefaultParagraphFont"/>
    <w:link w:val="Quote"/>
    <w:uiPriority w:val="29"/>
    <w:rsid w:val="00590F3F"/>
    <w:rPr>
      <w:i/>
      <w:iCs/>
      <w:color w:val="404040" w:themeColor="text1" w:themeTint="BF"/>
    </w:rPr>
  </w:style>
  <w:style w:type="paragraph" w:styleId="ListParagraph">
    <w:name w:val="List Paragraph"/>
    <w:basedOn w:val="Normal"/>
    <w:uiPriority w:val="34"/>
    <w:qFormat/>
    <w:rsid w:val="00590F3F"/>
    <w:pPr>
      <w:ind w:left="720"/>
      <w:contextualSpacing/>
    </w:pPr>
  </w:style>
  <w:style w:type="character" w:styleId="IntenseEmphasis">
    <w:name w:val="Intense Emphasis"/>
    <w:basedOn w:val="DefaultParagraphFont"/>
    <w:uiPriority w:val="21"/>
    <w:qFormat/>
    <w:rsid w:val="00590F3F"/>
    <w:rPr>
      <w:i/>
      <w:iCs/>
      <w:color w:val="0F4761" w:themeColor="accent1" w:themeShade="BF"/>
    </w:rPr>
  </w:style>
  <w:style w:type="paragraph" w:styleId="IntenseQuote">
    <w:name w:val="Intense Quote"/>
    <w:basedOn w:val="Normal"/>
    <w:next w:val="Normal"/>
    <w:link w:val="IntenseQuoteChar"/>
    <w:uiPriority w:val="30"/>
    <w:qFormat/>
    <w:rsid w:val="00590F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0F3F"/>
    <w:rPr>
      <w:i/>
      <w:iCs/>
      <w:color w:val="0F4761" w:themeColor="accent1" w:themeShade="BF"/>
    </w:rPr>
  </w:style>
  <w:style w:type="character" w:styleId="IntenseReference">
    <w:name w:val="Intense Reference"/>
    <w:basedOn w:val="DefaultParagraphFont"/>
    <w:uiPriority w:val="32"/>
    <w:qFormat/>
    <w:rsid w:val="00590F3F"/>
    <w:rPr>
      <w:b/>
      <w:bCs/>
      <w:smallCaps/>
      <w:color w:val="0F4761" w:themeColor="accent1" w:themeShade="BF"/>
      <w:spacing w:val="5"/>
    </w:rPr>
  </w:style>
  <w:style w:type="table" w:customStyle="1" w:styleId="TableGrid">
    <w:name w:val="TableGrid"/>
    <w:rsid w:val="00B54BDA"/>
    <w:pPr>
      <w:spacing w:after="0" w:line="240" w:lineRule="auto"/>
    </w:pPr>
    <w:rPr>
      <w:rFonts w:eastAsiaTheme="minorEastAsia"/>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2D5979"/>
    <w:rPr>
      <w:color w:val="467886" w:themeColor="hyperlink"/>
      <w:u w:val="single"/>
    </w:rPr>
  </w:style>
  <w:style w:type="paragraph" w:styleId="FootnoteText">
    <w:name w:val="footnote text"/>
    <w:basedOn w:val="Normal"/>
    <w:link w:val="FootnoteTextChar"/>
    <w:uiPriority w:val="99"/>
    <w:semiHidden/>
    <w:unhideWhenUsed/>
    <w:rsid w:val="002D59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5979"/>
    <w:rPr>
      <w:sz w:val="20"/>
      <w:szCs w:val="20"/>
    </w:rPr>
  </w:style>
  <w:style w:type="character" w:styleId="FootnoteReference">
    <w:name w:val="footnote reference"/>
    <w:basedOn w:val="DefaultParagraphFont"/>
    <w:uiPriority w:val="99"/>
    <w:semiHidden/>
    <w:unhideWhenUsed/>
    <w:rsid w:val="002D5979"/>
    <w:rPr>
      <w:vertAlign w:val="superscript"/>
    </w:rPr>
  </w:style>
  <w:style w:type="paragraph" w:styleId="Header">
    <w:name w:val="header"/>
    <w:basedOn w:val="Normal"/>
    <w:link w:val="HeaderChar"/>
    <w:uiPriority w:val="99"/>
    <w:unhideWhenUsed/>
    <w:rsid w:val="00FD37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37B9"/>
  </w:style>
  <w:style w:type="paragraph" w:styleId="Footer">
    <w:name w:val="footer"/>
    <w:basedOn w:val="Normal"/>
    <w:link w:val="FooterChar"/>
    <w:uiPriority w:val="99"/>
    <w:unhideWhenUsed/>
    <w:rsid w:val="00FD37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37B9"/>
  </w:style>
  <w:style w:type="character" w:styleId="CommentReference">
    <w:name w:val="annotation reference"/>
    <w:basedOn w:val="DefaultParagraphFont"/>
    <w:uiPriority w:val="99"/>
    <w:semiHidden/>
    <w:unhideWhenUsed/>
    <w:rsid w:val="001078C9"/>
    <w:rPr>
      <w:sz w:val="16"/>
      <w:szCs w:val="16"/>
    </w:rPr>
  </w:style>
  <w:style w:type="paragraph" w:styleId="CommentText">
    <w:name w:val="annotation text"/>
    <w:basedOn w:val="Normal"/>
    <w:link w:val="CommentTextChar"/>
    <w:uiPriority w:val="99"/>
    <w:unhideWhenUsed/>
    <w:rsid w:val="003B5B35"/>
    <w:pPr>
      <w:spacing w:after="78" w:line="240" w:lineRule="auto"/>
      <w:jc w:val="both"/>
    </w:pPr>
    <w:rPr>
      <w:rFonts w:ascii="Calibri" w:eastAsia="Calibri" w:hAnsi="Calibri" w:cs="Calibri"/>
      <w:color w:val="000000"/>
      <w:sz w:val="20"/>
      <w:szCs w:val="20"/>
      <w:lang w:eastAsia="en-GB"/>
    </w:rPr>
  </w:style>
  <w:style w:type="character" w:customStyle="1" w:styleId="CommentTextChar">
    <w:name w:val="Comment Text Char"/>
    <w:basedOn w:val="DefaultParagraphFont"/>
    <w:link w:val="CommentText"/>
    <w:uiPriority w:val="99"/>
    <w:rsid w:val="001078C9"/>
    <w:rPr>
      <w:rFonts w:ascii="Calibri" w:eastAsia="Calibri" w:hAnsi="Calibri" w:cs="Calibri"/>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7663F3"/>
    <w:pPr>
      <w:spacing w:after="160"/>
      <w:jc w:val="left"/>
    </w:pPr>
    <w:rPr>
      <w:rFonts w:asciiTheme="minorHAnsi" w:eastAsiaTheme="minorHAnsi" w:hAnsiTheme="minorHAnsi" w:cstheme="minorBidi"/>
      <w:b/>
      <w:bCs/>
      <w:color w:val="auto"/>
      <w:lang w:eastAsia="en-US"/>
    </w:rPr>
  </w:style>
  <w:style w:type="character" w:customStyle="1" w:styleId="CommentSubjectChar">
    <w:name w:val="Comment Subject Char"/>
    <w:basedOn w:val="CommentTextChar"/>
    <w:link w:val="CommentSubject"/>
    <w:uiPriority w:val="99"/>
    <w:semiHidden/>
    <w:rsid w:val="001078C9"/>
    <w:rPr>
      <w:rFonts w:ascii="Calibri" w:eastAsia="Calibri" w:hAnsi="Calibri" w:cs="Calibri"/>
      <w:b/>
      <w:bCs/>
      <w:color w:val="000000"/>
      <w:sz w:val="20"/>
      <w:szCs w:val="20"/>
      <w:lang w:eastAsia="en-GB"/>
    </w:rPr>
  </w:style>
  <w:style w:type="paragraph" w:customStyle="1" w:styleId="pf0">
    <w:name w:val="pf0"/>
    <w:basedOn w:val="Normal"/>
    <w:rsid w:val="007A6B95"/>
    <w:pPr>
      <w:spacing w:before="100" w:beforeAutospacing="1" w:after="100" w:afterAutospacing="1" w:line="240" w:lineRule="auto"/>
    </w:pPr>
    <w:rPr>
      <w:rFonts w:ascii="Times New Roman" w:eastAsia="Times New Roman" w:hAnsi="Times New Roman" w:cs="Times New Roman"/>
      <w:kern w:val="0"/>
      <w:lang w:eastAsia="en-GB"/>
    </w:rPr>
  </w:style>
  <w:style w:type="character" w:customStyle="1" w:styleId="cf01">
    <w:name w:val="cf01"/>
    <w:basedOn w:val="DefaultParagraphFont"/>
    <w:rsid w:val="007A6B95"/>
    <w:rPr>
      <w:rFonts w:ascii="Segoe UI" w:hAnsi="Segoe UI" w:cs="Segoe UI" w:hint="default"/>
      <w:sz w:val="18"/>
      <w:szCs w:val="18"/>
    </w:rPr>
  </w:style>
  <w:style w:type="character" w:customStyle="1" w:styleId="UnresolvedMention1">
    <w:name w:val="Unresolved Mention1"/>
    <w:basedOn w:val="DefaultParagraphFont"/>
    <w:uiPriority w:val="99"/>
    <w:semiHidden/>
    <w:unhideWhenUsed/>
    <w:rsid w:val="007A6B95"/>
    <w:rPr>
      <w:color w:val="605E5C"/>
      <w:shd w:val="clear" w:color="auto" w:fill="E1DFDD"/>
    </w:rPr>
  </w:style>
  <w:style w:type="character" w:styleId="FollowedHyperlink">
    <w:name w:val="FollowedHyperlink"/>
    <w:basedOn w:val="DefaultParagraphFont"/>
    <w:uiPriority w:val="99"/>
    <w:semiHidden/>
    <w:unhideWhenUsed/>
    <w:rsid w:val="00647C2A"/>
    <w:rPr>
      <w:color w:val="96607D" w:themeColor="followedHyperlink"/>
      <w:u w:val="single"/>
    </w:rPr>
  </w:style>
  <w:style w:type="paragraph" w:styleId="Revision">
    <w:name w:val="Revision"/>
    <w:hidden/>
    <w:uiPriority w:val="99"/>
    <w:semiHidden/>
    <w:rsid w:val="00A96A93"/>
    <w:pPr>
      <w:spacing w:after="0" w:line="240" w:lineRule="auto"/>
    </w:pPr>
  </w:style>
  <w:style w:type="character" w:customStyle="1" w:styleId="Mention1">
    <w:name w:val="Mention1"/>
    <w:basedOn w:val="DefaultParagraphFont"/>
    <w:uiPriority w:val="99"/>
    <w:unhideWhenUsed/>
    <w:rsid w:val="007B0DE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TRN0059</dc:title>
  <cp:revision>0</cp:revision>
</cp:coreProperties>
</file>