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76C0" w:rsidRPr="00615CA9" w:rsidP="00DD64F8">
      <w:pPr>
        <w:spacing w:after="0"/>
        <w:ind w:left="-709"/>
        <w:jc w:val="center"/>
        <w:rPr>
          <w:rFonts w:ascii="Calibri" w:hAnsi="Calibri" w:cs="Calibri"/>
          <w:b/>
          <w:bCs/>
          <w:sz w:val="28"/>
          <w:szCs w:val="28"/>
        </w:rPr>
      </w:pPr>
    </w:p>
    <w:p w:rsidR="00615CA9" w:rsidRPr="00615CA9" w:rsidP="00615CA9">
      <w:pPr>
        <w:spacing w:after="0"/>
        <w:ind w:left="-709"/>
        <w:jc w:val="center"/>
        <w:rPr>
          <w:rFonts w:ascii="Calibri" w:hAnsi="Calibri" w:cs="Calibri"/>
          <w:b/>
          <w:bCs/>
          <w:sz w:val="28"/>
          <w:szCs w:val="28"/>
        </w:rPr>
      </w:pPr>
      <w:r w:rsidRPr="00615CA9">
        <w:rPr>
          <w:rFonts w:ascii="Calibri" w:hAnsi="Calibri" w:cs="Calibri"/>
          <w:b/>
          <w:bCs/>
          <w:sz w:val="28"/>
          <w:szCs w:val="28"/>
        </w:rPr>
        <w:t>Written Evidence submitted by Great Ormond Street Hospital</w:t>
      </w:r>
      <w:r w:rsidRPr="00615CA9">
        <w:rPr>
          <w:rFonts w:ascii="Calibri" w:hAnsi="Calibri" w:cs="Calibri"/>
          <w:b/>
          <w:bCs/>
          <w:sz w:val="28"/>
          <w:szCs w:val="28"/>
        </w:rPr>
        <w:t xml:space="preserve"> </w:t>
      </w:r>
      <w:r w:rsidRPr="00615CA9">
        <w:rPr>
          <w:rFonts w:ascii="Calibri" w:hAnsi="Calibri" w:cs="Calibri"/>
          <w:b/>
          <w:bCs/>
          <w:sz w:val="28"/>
          <w:szCs w:val="28"/>
        </w:rPr>
        <w:t>(TRN005</w:t>
      </w:r>
      <w:r>
        <w:rPr>
          <w:rFonts w:ascii="Calibri" w:hAnsi="Calibri" w:cs="Calibri"/>
          <w:b/>
          <w:bCs/>
          <w:sz w:val="28"/>
          <w:szCs w:val="28"/>
        </w:rPr>
        <w:t>8</w:t>
      </w:r>
      <w:r w:rsidRPr="00615CA9">
        <w:rPr>
          <w:rFonts w:ascii="Calibri" w:hAnsi="Calibri" w:cs="Calibri"/>
          <w:b/>
          <w:bCs/>
          <w:sz w:val="28"/>
          <w:szCs w:val="28"/>
        </w:rPr>
        <w:t>)</w:t>
      </w:r>
    </w:p>
    <w:p w:rsidR="00615CA9" w:rsidRPr="00615CA9" w:rsidP="00615CA9">
      <w:pPr>
        <w:spacing w:after="0"/>
        <w:ind w:left="-709"/>
        <w:jc w:val="center"/>
        <w:rPr>
          <w:rFonts w:ascii="Calibri" w:hAnsi="Calibri" w:cs="Calibri"/>
          <w:b/>
          <w:bCs/>
          <w:sz w:val="28"/>
          <w:szCs w:val="28"/>
        </w:rPr>
      </w:pPr>
    </w:p>
    <w:p w:rsidR="00615CA9" w:rsidRPr="00615CA9" w:rsidP="00615CA9">
      <w:pPr>
        <w:spacing w:after="0"/>
        <w:ind w:left="-709"/>
        <w:jc w:val="center"/>
        <w:rPr>
          <w:rFonts w:ascii="Calibri" w:hAnsi="Calibri" w:cs="Calibri"/>
          <w:b/>
          <w:bCs/>
          <w:sz w:val="28"/>
          <w:szCs w:val="28"/>
        </w:rPr>
      </w:pPr>
    </w:p>
    <w:p w:rsidR="00615CA9" w:rsidRPr="00615CA9" w:rsidP="00615CA9">
      <w:pPr>
        <w:spacing w:after="0"/>
        <w:ind w:left="-709"/>
        <w:jc w:val="center"/>
        <w:rPr>
          <w:rFonts w:ascii="Calibri" w:hAnsi="Calibri" w:cs="Calibri"/>
          <w:b/>
          <w:bCs/>
          <w:sz w:val="28"/>
          <w:szCs w:val="28"/>
        </w:rPr>
      </w:pPr>
    </w:p>
    <w:p w:rsidR="00615CA9" w:rsidRPr="00615CA9" w:rsidP="00615CA9">
      <w:pPr>
        <w:spacing w:after="0"/>
        <w:ind w:left="-709"/>
        <w:jc w:val="center"/>
        <w:rPr>
          <w:rFonts w:ascii="Calibri" w:hAnsi="Calibri" w:cs="Calibri"/>
          <w:b/>
          <w:bCs/>
          <w:sz w:val="28"/>
          <w:szCs w:val="28"/>
        </w:rPr>
      </w:pPr>
    </w:p>
    <w:p w:rsidR="00615CA9" w:rsidRPr="00615CA9" w:rsidP="00615CA9">
      <w:pPr>
        <w:spacing w:after="0"/>
        <w:ind w:left="-709"/>
        <w:jc w:val="center"/>
        <w:rPr>
          <w:rFonts w:ascii="Calibri" w:hAnsi="Calibri" w:cs="Calibri"/>
          <w:b/>
          <w:bCs/>
          <w:sz w:val="28"/>
          <w:szCs w:val="28"/>
        </w:rPr>
      </w:pPr>
    </w:p>
    <w:p w:rsidR="008076C0" w:rsidRPr="00615CA9" w:rsidP="00615CA9">
      <w:pPr>
        <w:spacing w:after="0"/>
        <w:ind w:left="-709"/>
        <w:jc w:val="center"/>
        <w:rPr>
          <w:rFonts w:ascii="Calibri" w:hAnsi="Calibri" w:cs="Calibri"/>
          <w:b/>
          <w:bCs/>
          <w:sz w:val="28"/>
          <w:szCs w:val="28"/>
        </w:rPr>
      </w:pPr>
      <w:r w:rsidRPr="00615CA9">
        <w:rPr>
          <w:rFonts w:ascii="Calibri" w:hAnsi="Calibri" w:cs="Calibri"/>
          <w:b/>
          <w:bCs/>
          <w:sz w:val="28"/>
          <w:szCs w:val="28"/>
        </w:rPr>
        <w:t>The Transition from Child to Adult Health and Social Care Services</w:t>
      </w:r>
    </w:p>
    <w:p w:rsidR="008076C0" w:rsidRPr="00615CA9" w:rsidP="00DD64F8">
      <w:pPr>
        <w:spacing w:after="0"/>
        <w:ind w:left="-709"/>
        <w:jc w:val="both"/>
        <w:rPr>
          <w:rFonts w:ascii="Calibri" w:hAnsi="Calibri" w:cs="Calibri"/>
          <w:b/>
          <w:bCs/>
          <w:sz w:val="28"/>
          <w:szCs w:val="28"/>
        </w:rPr>
      </w:pPr>
    </w:p>
    <w:p w:rsidR="008076C0" w:rsidRPr="00615CA9" w:rsidP="00DD64F8">
      <w:pPr>
        <w:spacing w:after="0"/>
        <w:ind w:left="-709"/>
        <w:jc w:val="both"/>
        <w:rPr>
          <w:rFonts w:ascii="Calibri" w:hAnsi="Calibri" w:cs="Calibri"/>
          <w:sz w:val="22"/>
          <w:szCs w:val="22"/>
        </w:rPr>
      </w:pPr>
      <w:r w:rsidRPr="00615CA9">
        <w:rPr>
          <w:rFonts w:ascii="Calibri" w:hAnsi="Calibri" w:cs="Calibri"/>
          <w:sz w:val="22"/>
          <w:szCs w:val="22"/>
        </w:rPr>
        <w:t xml:space="preserve">Please provide a written submission answering, where possible, the questions set out in the planning grid below, relating to physical health, mental health and/or social care services. We are not expecting every stakeholder to be able to answer all the questions in the planning grid – please answer those that are relevant to your/your organisation’s area of expertise. There are boxes below each question to be filled with your answer, should you wish to use this template. </w:t>
      </w:r>
    </w:p>
    <w:p w:rsidR="008076C0" w:rsidRPr="00615CA9" w:rsidP="00DD64F8">
      <w:pPr>
        <w:spacing w:after="0"/>
        <w:ind w:left="-709"/>
        <w:jc w:val="both"/>
        <w:rPr>
          <w:rFonts w:ascii="Calibri" w:hAnsi="Calibri" w:cs="Calibri"/>
          <w:sz w:val="22"/>
          <w:szCs w:val="22"/>
        </w:rPr>
      </w:pPr>
    </w:p>
    <w:p w:rsidR="008076C0" w:rsidRPr="00615CA9" w:rsidP="00DD64F8">
      <w:pPr>
        <w:spacing w:after="0"/>
        <w:ind w:left="-709"/>
        <w:jc w:val="both"/>
        <w:rPr>
          <w:rFonts w:ascii="Calibri" w:hAnsi="Calibri" w:cs="Calibri"/>
          <w:sz w:val="22"/>
          <w:szCs w:val="22"/>
        </w:rPr>
      </w:pPr>
      <w:r w:rsidRPr="00615CA9">
        <w:rPr>
          <w:rFonts w:ascii="Calibri" w:hAnsi="Calibri" w:cs="Calibri"/>
          <w:sz w:val="22"/>
          <w:szCs w:val="22"/>
        </w:rPr>
        <w:t>Note to reviewers:</w:t>
      </w:r>
    </w:p>
    <w:p w:rsidR="008076C0" w:rsidRPr="00615CA9" w:rsidP="00DD64F8">
      <w:pPr>
        <w:spacing w:after="0"/>
        <w:ind w:left="-709"/>
        <w:jc w:val="both"/>
        <w:rPr>
          <w:rFonts w:ascii="Calibri" w:hAnsi="Calibri" w:cs="Calibri"/>
          <w:sz w:val="22"/>
          <w:szCs w:val="22"/>
        </w:rPr>
      </w:pPr>
    </w:p>
    <w:p w:rsidR="008076C0" w:rsidRPr="00615CA9" w:rsidP="00811121">
      <w:pPr>
        <w:spacing w:after="0"/>
        <w:ind w:left="-709"/>
        <w:jc w:val="both"/>
        <w:rPr>
          <w:rFonts w:ascii="Calibri" w:hAnsi="Calibri" w:cs="Calibri"/>
          <w:sz w:val="22"/>
          <w:szCs w:val="22"/>
        </w:rPr>
      </w:pPr>
      <w:r w:rsidRPr="00615CA9">
        <w:rPr>
          <w:rFonts w:ascii="Calibri" w:hAnsi="Calibri" w:cs="Calibri"/>
          <w:sz w:val="22"/>
          <w:szCs w:val="22"/>
        </w:rPr>
        <w:t>This submission is written from the perspective of a specialist tertiary paediatric provider supporting young people with complex and long-term health conditions. It is important to emphasise that many individuals and teams at GOSH work extremely hard to support young people and families through transition. Several services have developed highly effective adolescent and transition pathways through years of dedication, innovation and local leadership, often without dedicated national funding or protected tra</w:t>
      </w:r>
      <w:r w:rsidRPr="00615CA9">
        <w:rPr>
          <w:rFonts w:ascii="Calibri" w:hAnsi="Calibri" w:cs="Calibri"/>
          <w:sz w:val="22"/>
          <w:szCs w:val="22"/>
        </w:rPr>
        <w:t>nsition resource.</w:t>
      </w:r>
    </w:p>
    <w:p w:rsidR="008076C0" w:rsidRPr="00615CA9" w:rsidP="00811121">
      <w:pPr>
        <w:spacing w:after="0"/>
        <w:ind w:left="-709"/>
        <w:jc w:val="both"/>
        <w:rPr>
          <w:rFonts w:ascii="Calibri" w:hAnsi="Calibri" w:cs="Calibri"/>
          <w:sz w:val="22"/>
          <w:szCs w:val="22"/>
        </w:rPr>
      </w:pPr>
    </w:p>
    <w:p w:rsidR="008076C0" w:rsidRPr="00615CA9" w:rsidP="00811121">
      <w:pPr>
        <w:spacing w:after="0"/>
        <w:ind w:left="-709"/>
        <w:jc w:val="both"/>
        <w:rPr>
          <w:rFonts w:ascii="Calibri" w:hAnsi="Calibri" w:cs="Calibri"/>
          <w:sz w:val="22"/>
          <w:szCs w:val="22"/>
        </w:rPr>
      </w:pPr>
      <w:r w:rsidRPr="00615CA9">
        <w:rPr>
          <w:rFonts w:ascii="Calibri" w:hAnsi="Calibri" w:cs="Calibri"/>
          <w:sz w:val="22"/>
          <w:szCs w:val="22"/>
        </w:rPr>
        <w:t>Where variation is described, this should not be interpreted as criticism of individual clinicians or teams. In many cases, services are working within constrained systems, limited workforce capacity, fragmented commissioning arrangements, variable adult-service availability, and inconsistent national infrastructure. Healthcare transition is also a developing area of practice, and for many teams the key need is education, support and time to embed transition as a longitudinal patient empowerment process rat</w:t>
      </w:r>
      <w:r w:rsidRPr="00615CA9">
        <w:rPr>
          <w:rFonts w:ascii="Calibri" w:hAnsi="Calibri" w:cs="Calibri"/>
          <w:sz w:val="22"/>
          <w:szCs w:val="22"/>
        </w:rPr>
        <w:t>her than a late-stage transfer task.</w:t>
      </w:r>
    </w:p>
    <w:p w:rsidR="008076C0" w:rsidRPr="00615CA9" w:rsidP="00811121">
      <w:pPr>
        <w:spacing w:after="0"/>
        <w:ind w:left="-709"/>
        <w:jc w:val="both"/>
        <w:rPr>
          <w:rFonts w:ascii="Calibri" w:hAnsi="Calibri" w:cs="Calibri"/>
          <w:sz w:val="22"/>
          <w:szCs w:val="22"/>
        </w:rPr>
      </w:pPr>
    </w:p>
    <w:p w:rsidR="008076C0" w:rsidRPr="00615CA9" w:rsidP="00811121">
      <w:pPr>
        <w:spacing w:after="0"/>
        <w:ind w:left="-709"/>
        <w:jc w:val="both"/>
        <w:rPr>
          <w:rFonts w:ascii="Calibri" w:hAnsi="Calibri" w:cs="Calibri"/>
          <w:sz w:val="22"/>
          <w:szCs w:val="22"/>
        </w:rPr>
      </w:pPr>
      <w:r w:rsidRPr="00615CA9">
        <w:rPr>
          <w:rFonts w:ascii="Calibri" w:hAnsi="Calibri" w:cs="Calibri"/>
          <w:sz w:val="22"/>
          <w:szCs w:val="22"/>
        </w:rPr>
        <w:t>The major barriers described in this submission relate primarily to system-level issues: lack of dedicated funding for healthcare transition training and infrastructure; limited adult-service engagement or capacity; lack of appropriate equivalent adult services for some paediatric-onset conditions; absence of “soft landing” adolescent or young adult pathways in some adult services; the persistent 16–18 gap between paediatric and adult provision; and poor communication or interoperability between paediatric,</w:t>
      </w:r>
      <w:r w:rsidRPr="00615CA9">
        <w:rPr>
          <w:rFonts w:ascii="Calibri" w:hAnsi="Calibri" w:cs="Calibri"/>
          <w:sz w:val="22"/>
          <w:szCs w:val="22"/>
        </w:rPr>
        <w:t xml:space="preserve"> adult, primary care, social care and local authority systems.</w:t>
      </w:r>
    </w:p>
    <w:p w:rsidR="008076C0" w:rsidRPr="00615CA9" w:rsidP="00DD64F8">
      <w:pPr>
        <w:spacing w:after="0"/>
        <w:ind w:left="-709"/>
        <w:jc w:val="both"/>
        <w:rPr>
          <w:rFonts w:ascii="Calibri" w:hAnsi="Calibri" w:cs="Calibri"/>
          <w:sz w:val="22"/>
          <w:szCs w:val="22"/>
        </w:rPr>
      </w:pPr>
    </w:p>
    <w:p w:rsidR="008076C0" w:rsidRPr="00615CA9" w:rsidP="00DD64F8">
      <w:pPr>
        <w:spacing w:after="0"/>
        <w:ind w:left="-709"/>
        <w:jc w:val="center"/>
        <w:rPr>
          <w:rFonts w:ascii="Calibri" w:hAnsi="Calibri" w:cs="Calibri"/>
          <w:b/>
          <w:bCs/>
          <w:sz w:val="28"/>
          <w:szCs w:val="28"/>
        </w:rPr>
      </w:pPr>
      <w:r w:rsidRPr="00615CA9">
        <w:rPr>
          <w:rFonts w:ascii="Calibri" w:hAnsi="Calibri" w:cs="Calibri"/>
          <w:b/>
          <w:bCs/>
          <w:sz w:val="28"/>
          <w:szCs w:val="28"/>
        </w:rPr>
        <w:t> </w:t>
      </w:r>
      <w:r w:rsidRPr="00615CA9">
        <w:rPr>
          <w:rFonts w:ascii="Calibri" w:hAnsi="Calibri" w:cs="Calibri"/>
          <w:b/>
          <w:bCs/>
          <w:sz w:val="28"/>
          <w:szCs w:val="28"/>
        </w:rPr>
        <w:t> </w:t>
      </w:r>
    </w:p>
    <w:tbl>
      <w:tblPr>
        <w:tblStyle w:val="TableGrid"/>
        <w:tblW w:w="10490" w:type="dxa"/>
        <w:tblInd w:w="-714" w:type="dxa"/>
        <w:tblLook w:val="04A0"/>
      </w:tblPr>
      <w:tblGrid>
        <w:gridCol w:w="1985"/>
        <w:gridCol w:w="8505"/>
      </w:tblGrid>
      <w:tr w:rsidTr="4FF11C81">
        <w:tblPrEx>
          <w:tblW w:w="10490" w:type="dxa"/>
          <w:tblInd w:w="-714" w:type="dxa"/>
          <w:tblLook w:val="04A0"/>
        </w:tblPrEx>
        <w:tc>
          <w:tcPr>
            <w:tcW w:w="10490" w:type="dxa"/>
            <w:gridSpan w:val="2"/>
          </w:tcPr>
          <w:p w:rsidR="008076C0" w:rsidRPr="00615CA9" w:rsidP="00DD64F8">
            <w:pPr>
              <w:rPr>
                <w:rFonts w:ascii="Calibri" w:hAnsi="Calibri" w:cs="Calibri"/>
                <w:b/>
                <w:bCs/>
              </w:rPr>
            </w:pPr>
            <w:r w:rsidRPr="00615CA9">
              <w:rPr>
                <w:rFonts w:ascii="Calibri" w:hAnsi="Calibri" w:cs="Calibri"/>
                <w:b/>
                <w:bCs/>
              </w:rPr>
              <w:t>FOCUS AREA 1</w:t>
            </w:r>
          </w:p>
          <w:p w:rsidR="008076C0" w:rsidRPr="00615CA9" w:rsidP="00DD64F8">
            <w:pPr>
              <w:rPr>
                <w:rFonts w:ascii="Calibri" w:hAnsi="Calibri" w:cs="Calibri"/>
                <w:b/>
                <w:bCs/>
              </w:rPr>
            </w:pPr>
            <w:r w:rsidRPr="00615CA9">
              <w:rPr>
                <w:rFonts w:ascii="Calibri" w:hAnsi="Calibri" w:cs="Calibri"/>
                <w:b/>
                <w:bCs/>
              </w:rPr>
              <w:t>TIMELINESS AND PACE OF THE TRANSITION TO ADULT SERVICES</w:t>
            </w:r>
          </w:p>
        </w:tc>
      </w:tr>
      <w:tr w:rsidTr="4FF11C81">
        <w:tblPrEx>
          <w:tblW w:w="10490" w:type="dxa"/>
          <w:tblInd w:w="-714" w:type="dxa"/>
          <w:tblLook w:val="04A0"/>
        </w:tblPrEx>
        <w:tc>
          <w:tcPr>
            <w:tcW w:w="10490" w:type="dxa"/>
            <w:gridSpan w:val="2"/>
          </w:tcPr>
          <w:p w:rsidR="008076C0" w:rsidRPr="00615CA9" w:rsidP="00DD64F8">
            <w:pPr>
              <w:spacing w:after="120"/>
              <w:rPr>
                <w:rFonts w:ascii="Calibri" w:eastAsia="Aptos" w:hAnsi="Calibri" w:cs="Calibri"/>
                <w:sz w:val="22"/>
                <w:szCs w:val="22"/>
              </w:rPr>
            </w:pPr>
            <w:r w:rsidRPr="00615CA9">
              <w:rPr>
                <w:rFonts w:ascii="Calibri" w:eastAsia="Aptos" w:hAnsi="Calibri" w:cs="Calibri"/>
                <w:b/>
                <w:bCs/>
                <w:sz w:val="22"/>
                <w:szCs w:val="22"/>
                <w:lang w:val="en-US"/>
              </w:rPr>
              <w:t>Statement of intent 1:</w:t>
            </w:r>
            <w:r w:rsidRPr="00615CA9">
              <w:rPr>
                <w:rFonts w:ascii="Calibri" w:eastAsia="Aptos" w:hAnsi="Calibri" w:cs="Calibri"/>
                <w:sz w:val="22"/>
                <w:szCs w:val="22"/>
                <w:lang w:val="en-US"/>
              </w:rPr>
              <w:t xml:space="preserve"> “Young people who will move from children's to adults' services start planning their transition with health and social care practitioners by school year 9 (aged 13 to 14 years), or immediately if they enter children's services after school year 9”. </w:t>
            </w:r>
            <w:r>
              <w:fldChar w:fldCharType="begin"/>
            </w:r>
            <w:r>
              <w:instrText xml:space="preserve"> HYPERLINK "https://www.nice.org.uk/guidance/qs140/chapter/Quality-statement-1-Planning-transition" </w:instrText>
            </w:r>
            <w:r>
              <w:fldChar w:fldCharType="separate"/>
            </w:r>
            <w:r w:rsidRPr="00615CA9">
              <w:rPr>
                <w:rStyle w:val="Hyperlink"/>
                <w:rFonts w:ascii="Calibri" w:eastAsia="Aptos" w:hAnsi="Calibri" w:cs="Calibri"/>
                <w:color w:val="auto"/>
                <w:sz w:val="22"/>
                <w:szCs w:val="22"/>
                <w:lang w:val="en-US"/>
              </w:rPr>
              <w:t>NICE QS140 (1, 2016)</w:t>
            </w:r>
            <w:r>
              <w:fldChar w:fldCharType="end"/>
            </w:r>
            <w:r w:rsidRPr="00615CA9">
              <w:rPr>
                <w:rFonts w:ascii="Calibri" w:eastAsia="Aptos" w:hAnsi="Calibri" w:cs="Calibri"/>
                <w:b/>
                <w:bCs/>
                <w:sz w:val="22"/>
                <w:szCs w:val="22"/>
                <w:lang w:val="en-US"/>
              </w:rPr>
              <w:t xml:space="preserve"> </w:t>
            </w:r>
          </w:p>
          <w:p w:rsidR="008076C0" w:rsidRPr="00615CA9" w:rsidP="00DD64F8">
            <w:pPr>
              <w:rPr>
                <w:rFonts w:ascii="Calibri" w:eastAsia="Aptos" w:hAnsi="Calibri" w:cs="Calibri"/>
              </w:rPr>
            </w:pPr>
            <w:r w:rsidRPr="00615CA9">
              <w:rPr>
                <w:rFonts w:ascii="Calibri" w:eastAsia="Aptos" w:hAnsi="Calibri" w:cs="Calibri"/>
                <w:b/>
                <w:bCs/>
                <w:sz w:val="22"/>
                <w:szCs w:val="22"/>
                <w:lang w:val="en-US"/>
              </w:rPr>
              <w:t xml:space="preserve">Statement of intent 2: </w:t>
            </w:r>
            <w:r w:rsidRPr="00615CA9">
              <w:rPr>
                <w:rFonts w:ascii="Calibri" w:eastAsia="Aptos" w:hAnsi="Calibri" w:cs="Calibri"/>
                <w:sz w:val="22"/>
                <w:szCs w:val="22"/>
                <w:lang w:val="en-US"/>
              </w:rPr>
              <w:t xml:space="preserve">Duty for local authorities to assess a child’s needs for care and support, where it appears to a local authority that the child is likely to have needs for care and support after turning 18. </w:t>
            </w:r>
            <w:r>
              <w:fldChar w:fldCharType="begin"/>
            </w:r>
            <w:r>
              <w:instrText xml:space="preserve"> HYPERLINK "https://www.legislation.gov.uk/ukpga/2014/23/part/1/crossheading/transition-for-children-to-adult-care-and-support-etc/enacted" </w:instrText>
            </w:r>
            <w:r>
              <w:fldChar w:fldCharType="separate"/>
            </w:r>
            <w:r w:rsidRPr="00615CA9">
              <w:rPr>
                <w:rStyle w:val="Hyperlink"/>
                <w:rFonts w:ascii="Calibri" w:eastAsia="Aptos" w:hAnsi="Calibri" w:cs="Calibri"/>
                <w:color w:val="auto"/>
                <w:sz w:val="22"/>
                <w:szCs w:val="22"/>
                <w:lang w:val="en-US"/>
              </w:rPr>
              <w:t>Care Act 2014 (Section 58)</w:t>
            </w:r>
            <w:r>
              <w:fldChar w:fldCharType="end"/>
            </w:r>
            <w:r w:rsidRPr="00615CA9">
              <w:rPr>
                <w:rFonts w:ascii="Calibri" w:eastAsia="Aptos" w:hAnsi="Calibri" w:cs="Calibri"/>
                <w:sz w:val="22"/>
                <w:szCs w:val="22"/>
                <w:lang w:val="en-US"/>
              </w:rPr>
              <w:t xml:space="preserve"> Where the child has previously been receiving services, the local authority must continue to provide those services until [adult care and support is in </w:t>
            </w:r>
            <w:bookmarkStart w:id="0" w:name="_Int_m1JN335b"/>
            <w:r w:rsidRPr="00615CA9">
              <w:rPr>
                <w:rFonts w:ascii="Calibri" w:eastAsia="Aptos" w:hAnsi="Calibri" w:cs="Calibri"/>
                <w:sz w:val="22"/>
                <w:szCs w:val="22"/>
                <w:lang w:val="en-US"/>
              </w:rPr>
              <w:t>place].</w:t>
            </w:r>
            <w:bookmarkEnd w:id="0"/>
            <w:r w:rsidRPr="00615CA9">
              <w:rPr>
                <w:rFonts w:ascii="Calibri" w:eastAsia="Aptos" w:hAnsi="Calibri" w:cs="Calibri"/>
                <w:sz w:val="22"/>
                <w:szCs w:val="22"/>
                <w:lang w:val="en-US"/>
              </w:rPr>
              <w:t xml:space="preserve"> This is to ensure no gap in provision during the transition to adult care and support. </w:t>
            </w:r>
            <w:r>
              <w:fldChar w:fldCharType="begin"/>
            </w:r>
            <w:r>
              <w:instrText xml:space="preserve"> HYPERLINK "https://www.legislation.gov.uk/ukpga/2014/23/part/1/crossheading/transition-for-children-to-adult-care-and-support-etc/enacted" </w:instrText>
            </w:r>
            <w:r>
              <w:fldChar w:fldCharType="separate"/>
            </w:r>
            <w:r w:rsidRPr="00615CA9">
              <w:rPr>
                <w:rStyle w:val="Hyperlink"/>
                <w:rFonts w:ascii="Calibri" w:eastAsia="Aptos" w:hAnsi="Calibri" w:cs="Calibri"/>
                <w:color w:val="auto"/>
                <w:sz w:val="22"/>
                <w:szCs w:val="22"/>
                <w:lang w:val="en-US"/>
              </w:rPr>
              <w:t>Care Act 2014 (Section 66)</w:t>
            </w:r>
            <w:r>
              <w:fldChar w:fldCharType="end"/>
            </w:r>
          </w:p>
        </w:tc>
      </w:tr>
      <w:tr w:rsidTr="4FF11C81">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Resourcing</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1. What resources are required by health and social care services to enable identification and implementation of transition planning from year 9, or immediately after if the young person enters services later?</w:t>
            </w:r>
          </w:p>
        </w:tc>
      </w:tr>
      <w:tr w:rsidTr="4FF11C81">
        <w:tblPrEx>
          <w:tblW w:w="10490" w:type="dxa"/>
          <w:tblInd w:w="-714" w:type="dxa"/>
          <w:tblLook w:val="04A0"/>
        </w:tblPrEx>
        <w:tc>
          <w:tcPr>
            <w:tcW w:w="1985" w:type="dxa"/>
            <w:vMerge/>
          </w:tcPr>
          <w:p w:rsidR="008076C0" w:rsidRPr="00615CA9">
            <w:pPr>
              <w:rPr>
                <w:rFonts w:ascii="Calibri" w:hAnsi="Calibri" w:cs="Calibri"/>
                <w:b/>
                <w:sz w:val="20"/>
                <w:szCs w:val="20"/>
              </w:rPr>
            </w:pPr>
          </w:p>
        </w:tc>
        <w:tc>
          <w:tcPr>
            <w:tcW w:w="8505" w:type="dxa"/>
          </w:tcPr>
          <w:p w:rsidR="008076C0" w:rsidRPr="00615CA9" w:rsidP="00CB5705">
            <w:pPr>
              <w:rPr>
                <w:rFonts w:ascii="Calibri" w:hAnsi="Calibri" w:cs="Calibri"/>
                <w:sz w:val="22"/>
                <w:szCs w:val="22"/>
              </w:rPr>
            </w:pPr>
            <w:r w:rsidRPr="00615CA9">
              <w:rPr>
                <w:rFonts w:ascii="Calibri" w:hAnsi="Calibri" w:cs="Calibri"/>
                <w:sz w:val="22"/>
                <w:szCs w:val="22"/>
              </w:rPr>
              <w:t>A significant barrier to implementation is the inconsistent understanding and use of the term “transition” itself. Even within this statement of intent, the wording risks misinterpretation by describing planning “from school year 9”, whereas NICE guidance refers to planning beginning “by school year 9”. This distinction is important, as transition is too often interpreted as a late-stage event occurring shortly before transfer, rather than a gradual developmental process beginning in early adolescence.</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Transition is frequently conflated with transfer of care. In practice, this can lead clinicians and organisations to believe that a young person can attend a single “transition clinic” at 16–17 years of age and acquire all the knowledge, confidence, self-management skills, psychosocial support, and understanding required to navigate lifelong adult healthcare. This approach does not reflect principles of adolescent development, educational theory, or the complexity of living with a chronic condition.</w:t>
            </w:r>
          </w:p>
          <w:p w:rsidR="008076C0" w:rsidRPr="00615CA9" w:rsidP="00CB5705">
            <w:pPr>
              <w:rPr>
                <w:rFonts w:ascii="Calibri" w:hAnsi="Calibri" w:cs="Calibri"/>
                <w:sz w:val="22"/>
                <w:szCs w:val="22"/>
              </w:rPr>
            </w:pPr>
            <w:r w:rsidRPr="00615CA9">
              <w:rPr>
                <w:rFonts w:ascii="Calibri" w:hAnsi="Calibri" w:cs="Calibri"/>
                <w:sz w:val="22"/>
                <w:szCs w:val="22"/>
              </w:rPr>
              <w:t>The primary aim of transition should be clearly defined nationally as empowerment: preparing young people to understand and live well with their chronic condition as independent adults.</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While successful transfer to adult services represents an important milestone, it should not be mistaken for the transition process itself. Effective transition requires repeated, phased</w:t>
            </w:r>
            <w:r w:rsidRPr="00615CA9">
              <w:rPr>
                <w:rFonts w:ascii="Calibri" w:hAnsi="Calibri" w:cs="Calibri"/>
                <w:sz w:val="22"/>
                <w:szCs w:val="22"/>
              </w:rPr>
              <w:t xml:space="preserve"> </w:t>
            </w:r>
            <w:r w:rsidRPr="00615CA9">
              <w:rPr>
                <w:rFonts w:ascii="Calibri" w:hAnsi="Calibri" w:cs="Calibri"/>
                <w:sz w:val="22"/>
                <w:szCs w:val="22"/>
              </w:rPr>
              <w:t xml:space="preserve">education and opportunities to practise skills safely over many years. </w:t>
            </w:r>
            <w:r w:rsidRPr="00615CA9">
              <w:rPr>
                <w:rFonts w:ascii="Calibri" w:hAnsi="Calibri" w:cs="Calibri"/>
                <w:sz w:val="22"/>
                <w:szCs w:val="22"/>
              </w:rPr>
              <w:t>This support must be developmentally appropriate, recognising the young person’s stage of adolescence and emerging autonomy, but also further individualised to their specific needs, circumstances, strengths and preferences.</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Young people need time and support to gradually build knowledge, communication skills, health literacy, confidence, and self-management behaviours in a way that is appropriate both to their developmental stage and to their individual situation. Families also require support to adjust their involvement over time, enabling parents and carers to gradually and confidently step back as the young person grows in confidence, autonomy and ability to manage their health.</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National guidance should more explicitly define transition as an empowerment-focused process rather than a transfer event. National Institute for Health and Care Excellence guideline NG204 already strongly supports this approach, stating that services should empower children and young people to advocate for themselves by:</w:t>
            </w:r>
          </w:p>
          <w:p w:rsidR="008076C0" w:rsidRPr="00615CA9" w:rsidP="00CB5705">
            <w:pPr>
              <w:numPr>
                <w:ilvl w:val="0"/>
                <w:numId w:val="22"/>
              </w:numPr>
              <w:rPr>
                <w:rFonts w:ascii="Calibri" w:hAnsi="Calibri" w:cs="Calibri"/>
                <w:sz w:val="22"/>
                <w:szCs w:val="22"/>
              </w:rPr>
            </w:pPr>
            <w:r w:rsidRPr="00615CA9">
              <w:rPr>
                <w:rFonts w:ascii="Calibri" w:hAnsi="Calibri" w:cs="Calibri"/>
                <w:sz w:val="22"/>
                <w:szCs w:val="22"/>
              </w:rPr>
              <w:t xml:space="preserve">helping them understand their condition and health needs </w:t>
            </w:r>
          </w:p>
          <w:p w:rsidR="008076C0" w:rsidRPr="00615CA9" w:rsidP="00CB5705">
            <w:pPr>
              <w:numPr>
                <w:ilvl w:val="0"/>
                <w:numId w:val="22"/>
              </w:numPr>
              <w:rPr>
                <w:rFonts w:ascii="Calibri" w:hAnsi="Calibri" w:cs="Calibri"/>
                <w:sz w:val="22"/>
                <w:szCs w:val="22"/>
              </w:rPr>
            </w:pPr>
            <w:r w:rsidRPr="00615CA9">
              <w:rPr>
                <w:rFonts w:ascii="Calibri" w:hAnsi="Calibri" w:cs="Calibri"/>
                <w:sz w:val="22"/>
                <w:szCs w:val="22"/>
              </w:rPr>
              <w:t xml:space="preserve">making them central to discussions and decision-making </w:t>
            </w:r>
          </w:p>
          <w:p w:rsidR="008076C0" w:rsidRPr="00615CA9" w:rsidP="00CB5705">
            <w:pPr>
              <w:numPr>
                <w:ilvl w:val="0"/>
                <w:numId w:val="22"/>
              </w:numPr>
              <w:rPr>
                <w:rFonts w:ascii="Calibri" w:hAnsi="Calibri" w:cs="Calibri"/>
                <w:sz w:val="22"/>
                <w:szCs w:val="22"/>
              </w:rPr>
            </w:pPr>
            <w:r w:rsidRPr="00615CA9">
              <w:rPr>
                <w:rFonts w:ascii="Calibri" w:hAnsi="Calibri" w:cs="Calibri"/>
                <w:sz w:val="22"/>
                <w:szCs w:val="22"/>
              </w:rPr>
              <w:t xml:space="preserve">agreeing how parents and carers are involved </w:t>
            </w:r>
          </w:p>
          <w:p w:rsidR="008076C0" w:rsidRPr="00615CA9" w:rsidP="00CB5705">
            <w:pPr>
              <w:numPr>
                <w:ilvl w:val="0"/>
                <w:numId w:val="22"/>
              </w:numPr>
              <w:rPr>
                <w:rFonts w:ascii="Calibri" w:hAnsi="Calibri" w:cs="Calibri"/>
                <w:sz w:val="22"/>
                <w:szCs w:val="22"/>
              </w:rPr>
            </w:pPr>
            <w:r w:rsidRPr="00615CA9">
              <w:rPr>
                <w:rFonts w:ascii="Calibri" w:hAnsi="Calibri" w:cs="Calibri"/>
                <w:sz w:val="22"/>
                <w:szCs w:val="22"/>
              </w:rPr>
              <w:t xml:space="preserve">supporting health-management and digital literacy skills through developmentally appropriate approaches, communication strategies, and technologies. </w:t>
            </w:r>
          </w:p>
          <w:p w:rsidR="008076C0" w:rsidRPr="00615CA9" w:rsidP="00CB5705">
            <w:pPr>
              <w:ind w:left="720"/>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 xml:space="preserve">This emphasis is important because adolescence represents a unique developmental window in which lifelong healthcare behaviours, confidence, and self-management abilities </w:t>
            </w:r>
            <w:r w:rsidRPr="00615CA9">
              <w:rPr>
                <w:rFonts w:ascii="Calibri" w:hAnsi="Calibri" w:cs="Calibri"/>
                <w:sz w:val="22"/>
                <w:szCs w:val="22"/>
              </w:rPr>
              <w:t>can be established. Young people are already independently seeking health information online and through social media; however, without adequate support, this information may be inaccurate, unsafe, or poorly interpreted. Transition services therefore have a critical role in developing health literacy and digital literacy so that young people can safely navigate healthcare information, participate meaningfully in consultations, and increasingly make informed decisions about their care.</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Empowerment should not be viewed as an optional “soft” outcome. There is growing evidence that empowered patients demonstrate improved engagement with services, improved treatment adherence, better self-management behaviours, improved disease knowledge, higher satisfaction, and reduced loss to follow-up across chronic disease pathways. Poor health literacy and limited self-management skills are also recognised contributors to medication errors, treatment non-adherence, avoidable deterioration, and unplanned</w:t>
            </w:r>
            <w:r w:rsidRPr="00615CA9">
              <w:rPr>
                <w:rFonts w:ascii="Calibri" w:hAnsi="Calibri" w:cs="Calibri"/>
                <w:sz w:val="22"/>
                <w:szCs w:val="22"/>
              </w:rPr>
              <w:t xml:space="preserve"> admissions during transition </w:t>
            </w:r>
            <w:r w:rsidRPr="00615CA9">
              <w:rPr>
                <w:rFonts w:ascii="Calibri" w:hAnsi="Calibri" w:cs="Calibri"/>
                <w:sz w:val="22"/>
                <w:szCs w:val="22"/>
              </w:rPr>
              <w:t>in</w:t>
            </w:r>
            <w:r w:rsidRPr="00615CA9">
              <w:rPr>
                <w:rFonts w:ascii="Calibri" w:hAnsi="Calibri" w:cs="Calibri"/>
                <w:sz w:val="22"/>
                <w:szCs w:val="22"/>
              </w:rPr>
              <w:t>to adult care.</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In congenital cardiology, transition programmes now hold a Class I, Level A recommendation, supported by multiple randomised controlled trials demonstrating improvements in disease knowledge, self-efficacy, transition readiness, and engagement with adult care pathways. However, equivalent large-scale evidence bases have not yet been established across many other paediatric specialties, partly due to limited investment in transition infrastructure, protected staffing, and research capacity outside larger est</w:t>
            </w:r>
            <w:r w:rsidRPr="00615CA9">
              <w:rPr>
                <w:rFonts w:ascii="Calibri" w:hAnsi="Calibri" w:cs="Calibri"/>
                <w:sz w:val="22"/>
                <w:szCs w:val="22"/>
              </w:rPr>
              <w:t>ablished programmes.</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Where services have established dedicated adolescent clinics or developmentally appropriate and individualised transition programmes with protected staff time, patient experience and engagement are often excellent, with safer and more coordinated pathways into adult care. However, despite longstanding national guidance and repeated local education efforts, referring clinicians frequently continue to misunderstand transition and may only refer young people for transition support shortly before transfer to ad</w:t>
            </w:r>
            <w:r w:rsidRPr="00615CA9">
              <w:rPr>
                <w:rFonts w:ascii="Calibri" w:hAnsi="Calibri" w:cs="Calibri"/>
                <w:sz w:val="22"/>
                <w:szCs w:val="22"/>
              </w:rPr>
              <w:t>ult services.</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Even within well-established cross-site adolescent pathways, variation in clinician understanding and referral behaviours persists. Discussions with rheumatology services working jointly across paediatric, adolescent, and adult sites identified that, despite routine referral into adolescent services from approximately 13 years of age, some young people are still referred extremely late, including after reaching adulthood. This was felt to reflect several ongoing barriers, including parental anxiety around l</w:t>
            </w:r>
            <w:r w:rsidRPr="00615CA9">
              <w:rPr>
                <w:rFonts w:ascii="Calibri" w:hAnsi="Calibri" w:cs="Calibri"/>
                <w:sz w:val="22"/>
                <w:szCs w:val="22"/>
              </w:rPr>
              <w:t>eaving familiar paediatric teams, emotional attachment to children’s services, and misconceptions among clinicians that young people with learning disabilities or autism should transition later rather than begin transition earlier.</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In practice, young people with learning disabilities, autism, communication difficulties, or complex needs often require a longer and more gradual transition process, not a delayed one. Earlier planning allows time to coordinate adult pathways, involve social care and community services, establish reasonable adjustments, support families psychologically, and help young people gradually build familiarity with new environments and professionals. Delaying transition discussions may unintentionally reduce the t</w:t>
            </w:r>
            <w:r w:rsidRPr="00615CA9">
              <w:rPr>
                <w:rFonts w:ascii="Calibri" w:hAnsi="Calibri" w:cs="Calibri"/>
                <w:sz w:val="22"/>
                <w:szCs w:val="22"/>
              </w:rPr>
              <w:t>ime available to safely prepare the young person and family for adult care.</w:t>
            </w:r>
          </w:p>
          <w:p w:rsidR="008076C0" w:rsidRPr="00615CA9" w:rsidP="00CB5705">
            <w:pPr>
              <w:rPr>
                <w:rFonts w:ascii="Calibri" w:hAnsi="Calibri" w:cs="Calibri"/>
                <w:sz w:val="22"/>
                <w:szCs w:val="22"/>
              </w:rPr>
            </w:pPr>
            <w:r w:rsidRPr="00615CA9">
              <w:rPr>
                <w:rFonts w:ascii="Calibri" w:hAnsi="Calibri" w:cs="Calibri"/>
                <w:sz w:val="22"/>
                <w:szCs w:val="22"/>
              </w:rPr>
              <w:t>These experiences highlight the need for ongoing education not only for healthcare professionals, but also for parents and carers, to reinforce that transition is a developmental process aimed at reducing anxiety and building confidence over time, rather than a sudden transfer away from paediatric care.</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This cultural misunderstanding contributes to persistent operational problems. Even within services that have developed dedicated adolescent clinics and specialist transition pathways with excellent patient experience outcomes, referrals are frequently delayed until late adolescence because transition continues to be misunderstood as the final transfer appointment rather than a gradual educational and developmental process extending across many years.</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Despite this, elements of healthcare culture still reflect historically paternalistic models of medicine, where healthcare professionals primarily direct care rather than work in partnership with patients. While the shift away from paternalism has been discussed for decades, transition pathways often remain structured around organisational processes rather than developmental empowerment. True transition requires clinicians to move from simply giving instructions to supporting young people to become informed</w:t>
            </w:r>
            <w:r w:rsidRPr="00615CA9">
              <w:rPr>
                <w:rFonts w:ascii="Calibri" w:hAnsi="Calibri" w:cs="Calibri"/>
                <w:sz w:val="22"/>
                <w:szCs w:val="22"/>
              </w:rPr>
              <w:t>, confident participants in their own care.</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This aligns closely with the wider strategic direction of the NHS. The NHS 10-Year Health Plan explicitly highlights the need to redistribute power towards patients and the public, echoing Nye Bevan’s original vision of the NHS acting as a “public megaphone” to the voices of patients. The plan emphasises personalised care, shared decision-making, prevention, and digital empowerment. Adolescence is arguably one of the most important periods in which to embed these principles, as it is the stage where young p</w:t>
            </w:r>
            <w:r w:rsidRPr="00615CA9">
              <w:rPr>
                <w:rFonts w:ascii="Calibri" w:hAnsi="Calibri" w:cs="Calibri"/>
                <w:sz w:val="22"/>
                <w:szCs w:val="22"/>
              </w:rPr>
              <w:t>eople begin assuming increasing responsibility for lifelong health behaviours.</w:t>
            </w:r>
          </w:p>
          <w:p w:rsidR="008076C0" w:rsidRPr="00615CA9" w:rsidP="00CB5705">
            <w:pPr>
              <w:rPr>
                <w:rFonts w:ascii="Calibri" w:hAnsi="Calibri" w:cs="Calibri"/>
                <w:sz w:val="22"/>
                <w:szCs w:val="22"/>
              </w:rPr>
            </w:pPr>
          </w:p>
          <w:p w:rsidR="008076C0" w:rsidRPr="00615CA9" w:rsidP="00883055">
            <w:pPr>
              <w:rPr>
                <w:rFonts w:ascii="Calibri" w:hAnsi="Calibri" w:cs="Calibri"/>
                <w:sz w:val="22"/>
                <w:szCs w:val="22"/>
              </w:rPr>
            </w:pPr>
            <w:r w:rsidRPr="00615CA9">
              <w:rPr>
                <w:rFonts w:ascii="Calibri" w:hAnsi="Calibri" w:cs="Calibri"/>
                <w:sz w:val="22"/>
                <w:szCs w:val="22"/>
              </w:rPr>
              <w:t>f the NHS 10-Year Health Plan is to achieve its ambition of shifting power towards patients and embedding patient empowerment, then healthcare transition for young people with chronic and long-term conditions offers one of the strongest opportunities to develop, evaluate and scale effective empowerment models. Transition sits at the point where lifelong health behaviours, health literacy, digital literacy, treatment adherence, self-management and shared decision-making are being actively formed.</w:t>
            </w:r>
          </w:p>
          <w:p w:rsidR="008076C0" w:rsidRPr="00615CA9" w:rsidP="00883055">
            <w:pPr>
              <w:rPr>
                <w:rFonts w:ascii="Calibri" w:hAnsi="Calibri" w:cs="Calibri"/>
                <w:sz w:val="22"/>
                <w:szCs w:val="22"/>
              </w:rPr>
            </w:pPr>
          </w:p>
          <w:p w:rsidR="008076C0" w:rsidRPr="00615CA9" w:rsidP="00883055">
            <w:pPr>
              <w:rPr>
                <w:rFonts w:ascii="Calibri" w:hAnsi="Calibri" w:cs="Calibri"/>
                <w:sz w:val="22"/>
                <w:szCs w:val="22"/>
              </w:rPr>
            </w:pPr>
            <w:r w:rsidRPr="00615CA9">
              <w:rPr>
                <w:rFonts w:ascii="Calibri" w:hAnsi="Calibri" w:cs="Calibri"/>
                <w:sz w:val="22"/>
                <w:szCs w:val="22"/>
              </w:rPr>
              <w:t>Unlike many adult healthcare interventions, transition provides a longitudinal window over several years in which young people can be supported to practise skills, build confidence, learn to communicate with professionals, understand risk, use digital tools, and gradually take greater ownership of their care. This makes transition an ideal setting to design and evaluate patient education and empowerment programmes that could later inform wider NHS approaches to long-term condition management, prevention, me</w:t>
            </w:r>
            <w:r w:rsidRPr="00615CA9">
              <w:rPr>
                <w:rFonts w:ascii="Calibri" w:hAnsi="Calibri" w:cs="Calibri"/>
                <w:sz w:val="22"/>
                <w:szCs w:val="22"/>
              </w:rPr>
              <w:t>dicines optimisation, digital health engagement and supported self-management.</w:t>
            </w:r>
          </w:p>
          <w:p w:rsidR="008076C0" w:rsidRPr="00615CA9" w:rsidP="00883055">
            <w:pPr>
              <w:rPr>
                <w:rFonts w:ascii="Calibri" w:hAnsi="Calibri" w:cs="Calibri"/>
                <w:sz w:val="22"/>
                <w:szCs w:val="22"/>
              </w:rPr>
            </w:pPr>
          </w:p>
          <w:p w:rsidR="008076C0" w:rsidRPr="00615CA9" w:rsidP="00883055">
            <w:pPr>
              <w:rPr>
                <w:rFonts w:ascii="Calibri" w:hAnsi="Calibri" w:cs="Calibri"/>
                <w:sz w:val="22"/>
                <w:szCs w:val="22"/>
              </w:rPr>
            </w:pPr>
            <w:r w:rsidRPr="00615CA9">
              <w:rPr>
                <w:rFonts w:ascii="Calibri" w:hAnsi="Calibri" w:cs="Calibri"/>
                <w:sz w:val="22"/>
                <w:szCs w:val="22"/>
              </w:rPr>
              <w:t>Investment in transition should therefore not be viewed only as a paediatric service improvement. It should be seen as a strategic opportunity for the NHS to learn how best to educate and empower patients at a formative stage of life, with potential benefits extending well beyond transition services into adult care and population health more broadly.</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One locally funded youth worker programme (“Renal Rangers”) demonstrated significant increases in confidence and self-management scores using the GOSH Check-In Tool compared with young people who had not attended the programme. Despite objective evidence of benefit and staff recognition awards, the role was not recurrently funded. This reflects a broader national issue whereby transition services are frequently praised rhetorically but not sustainably commissioned or embedded operationally, despite evidence</w:t>
            </w:r>
            <w:r w:rsidRPr="00615CA9">
              <w:rPr>
                <w:rFonts w:ascii="Calibri" w:hAnsi="Calibri" w:cs="Calibri"/>
                <w:sz w:val="22"/>
                <w:szCs w:val="22"/>
              </w:rPr>
              <w:t xml:space="preserve"> demonstrating benefit to patients and healthcare systems alike.</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Successful transition and patient empowerment should also be recognised as long-term NHS investment and risk-reduction strategies rather than short-term service interventions. Improved disease knowledge, health literacy, self-management, adherence, and engagement with adult care pathways are associated with reduced loss to follow-up, fewer avoidable complications, improved medication adherence, lower rates of emergency presentations, reduced procedural burden, and fewer missed appointments. Collectively, th</w:t>
            </w:r>
            <w:r w:rsidRPr="00615CA9">
              <w:rPr>
                <w:rFonts w:ascii="Calibri" w:hAnsi="Calibri" w:cs="Calibri"/>
                <w:sz w:val="22"/>
                <w:szCs w:val="22"/>
              </w:rPr>
              <w:t>ese outcomes have the potential to deliver substantial long-term cost savings and reduce pressure across adult healthcare services.</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However, many of the benefits associated with successful transition are realised years later within adult healthcare systems rather than within paediatric services themselves. This creates a structural challenge whereby paediatric services are often expected to absorb the workforce and infrastructure costs associated with transition without directly seeing the longer-term financial or operational benefits. As a result, transition work may struggle to secure sustained investment despite evidence suggesting s</w:t>
            </w:r>
            <w:r w:rsidRPr="00615CA9">
              <w:rPr>
                <w:rFonts w:ascii="Calibri" w:hAnsi="Calibri" w:cs="Calibri"/>
                <w:sz w:val="22"/>
                <w:szCs w:val="22"/>
              </w:rPr>
              <w:t>ignificant future value to both patients and the wider NHS.</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 xml:space="preserve">Importantly, transition cannot simply begin at the point of transfer </w:t>
            </w:r>
            <w:r w:rsidRPr="00615CA9">
              <w:rPr>
                <w:rFonts w:ascii="Calibri" w:hAnsi="Calibri" w:cs="Calibri"/>
                <w:sz w:val="22"/>
                <w:szCs w:val="22"/>
              </w:rPr>
              <w:t>in</w:t>
            </w:r>
            <w:r w:rsidRPr="00615CA9">
              <w:rPr>
                <w:rFonts w:ascii="Calibri" w:hAnsi="Calibri" w:cs="Calibri"/>
                <w:sz w:val="22"/>
                <w:szCs w:val="22"/>
              </w:rPr>
              <w:t>to adult care. Even where adult services invest heavily in support at the time of transfer, opportunities may already have been lost if young people have not been gradually prepared throughout adolescence. Empowerment, health literacy, confidence, and self-management behaviours require repeated reinforcement and development over time. Effective transition therefore depends on early, longitudinal intervention rather than reactive intervention shortly before or after transfer to adult services.</w:t>
            </w:r>
          </w:p>
          <w:p w:rsidR="008076C0" w:rsidRPr="00615CA9" w:rsidP="00CB5705">
            <w:pPr>
              <w:rPr>
                <w:rFonts w:ascii="Calibri" w:hAnsi="Calibri" w:cs="Calibri"/>
                <w:sz w:val="22"/>
                <w:szCs w:val="22"/>
              </w:rPr>
            </w:pPr>
          </w:p>
          <w:p w:rsidR="008076C0" w:rsidRPr="00615CA9" w:rsidP="00CB5705">
            <w:pPr>
              <w:rPr>
                <w:rFonts w:ascii="Calibri" w:hAnsi="Calibri" w:cs="Calibri"/>
                <w:sz w:val="22"/>
                <w:szCs w:val="22"/>
              </w:rPr>
            </w:pPr>
            <w:r w:rsidRPr="00615CA9">
              <w:rPr>
                <w:rFonts w:ascii="Calibri" w:hAnsi="Calibri" w:cs="Calibri"/>
                <w:sz w:val="22"/>
                <w:szCs w:val="22"/>
              </w:rPr>
              <w:t>Effective implementation of transition planning from Year 9 therefore requires more than guidance alone. It requires sustained investment in protected workforce capacity, developmentally appropriate and individualised services, digital infrastructure, patient education, youth work, cross-sector collaboration, and long-term commissioning models that recognise transition as a core patient safety and empowerment intervention rather than an optional add-on delivered through staff goodwill alone.</w:t>
            </w:r>
          </w:p>
          <w:p w:rsidR="008076C0" w:rsidRPr="00615CA9" w:rsidP="00CB5705">
            <w:pPr>
              <w:rPr>
                <w:rFonts w:ascii="Calibri" w:hAnsi="Calibri" w:cs="Calibri"/>
                <w:sz w:val="22"/>
                <w:szCs w:val="22"/>
              </w:rPr>
            </w:pPr>
          </w:p>
          <w:p w:rsidR="008076C0" w:rsidRPr="00615CA9" w:rsidP="0011008A">
            <w:pPr>
              <w:rPr>
                <w:rFonts w:ascii="Calibri" w:hAnsi="Calibri" w:cs="Calibri"/>
                <w:sz w:val="22"/>
                <w:szCs w:val="22"/>
              </w:rPr>
            </w:pPr>
            <w:r w:rsidRPr="00615CA9">
              <w:rPr>
                <w:rFonts w:ascii="Calibri" w:hAnsi="Calibri" w:cs="Calibri"/>
                <w:sz w:val="22"/>
                <w:szCs w:val="22"/>
              </w:rPr>
              <w:t>Encouragingly, transition and patient empowerment have now been identified within the Great Ormond Street Hospital (GOSH) Strategy as one of the organisation’s flagship programmes, with dedicated financial and staffing support from both the Trust and GOSH Charity. This has enabled development of several large-scale infrastructure projects intended to embed transition and patient empowerment into routine care rather than deliver it as isolated or optional initiatives.</w:t>
            </w:r>
          </w:p>
          <w:p w:rsidR="008076C0" w:rsidRPr="00615CA9" w:rsidP="0011008A">
            <w:pPr>
              <w:rPr>
                <w:rFonts w:ascii="Calibri" w:hAnsi="Calibri" w:cs="Calibri"/>
                <w:sz w:val="22"/>
                <w:szCs w:val="22"/>
              </w:rPr>
            </w:pPr>
          </w:p>
          <w:p w:rsidR="008076C0" w:rsidRPr="00615CA9" w:rsidP="0011008A">
            <w:pPr>
              <w:rPr>
                <w:rFonts w:ascii="Calibri" w:hAnsi="Calibri" w:cs="Calibri"/>
                <w:sz w:val="22"/>
                <w:szCs w:val="22"/>
              </w:rPr>
            </w:pPr>
            <w:r w:rsidRPr="00615CA9">
              <w:rPr>
                <w:rFonts w:ascii="Calibri" w:hAnsi="Calibri" w:cs="Calibri"/>
                <w:sz w:val="22"/>
                <w:szCs w:val="22"/>
              </w:rPr>
              <w:t>These include the Health Hero/Patient Power Award programme, designed to normalise patient empowerment and self-management behaviours from as early an age as possible through positive reinforcement and culture change, alongside Trust-wide implementation of the GOSH Healthcare Transition Check-In Tools and associated Epic integration.</w:t>
            </w:r>
          </w:p>
          <w:p w:rsidR="008076C0" w:rsidRPr="00615CA9" w:rsidP="0011008A">
            <w:pPr>
              <w:rPr>
                <w:rFonts w:ascii="Calibri" w:hAnsi="Calibri" w:cs="Calibri"/>
                <w:sz w:val="22"/>
                <w:szCs w:val="22"/>
              </w:rPr>
            </w:pPr>
          </w:p>
          <w:p w:rsidR="008076C0" w:rsidRPr="00615CA9" w:rsidP="0011008A">
            <w:pPr>
              <w:rPr>
                <w:rFonts w:ascii="Calibri" w:hAnsi="Calibri" w:cs="Calibri"/>
                <w:sz w:val="22"/>
                <w:szCs w:val="22"/>
              </w:rPr>
            </w:pPr>
            <w:r w:rsidRPr="00615CA9">
              <w:rPr>
                <w:rFonts w:ascii="Calibri" w:hAnsi="Calibri" w:cs="Calibri"/>
                <w:sz w:val="22"/>
                <w:szCs w:val="22"/>
              </w:rPr>
              <w:t>Importantly, these initiatives move transition beyond individual clinician enthusiasm towards system-level embedding within everyday clinical workflows. Integration within the electronic patient record creates the potential to standardise transition practice across specialties, support measurable outcome tracking, identify unmet needs earlier, and align operational delivery more closely with NICE transition standards.</w:t>
            </w:r>
          </w:p>
          <w:p w:rsidR="008076C0" w:rsidRPr="00615CA9" w:rsidP="0011008A">
            <w:pPr>
              <w:rPr>
                <w:rFonts w:ascii="Calibri" w:hAnsi="Calibri" w:cs="Calibri"/>
                <w:sz w:val="22"/>
                <w:szCs w:val="22"/>
              </w:rPr>
            </w:pPr>
          </w:p>
          <w:p w:rsidR="008076C0" w:rsidRPr="00615CA9" w:rsidP="0011008A">
            <w:pPr>
              <w:rPr>
                <w:rFonts w:ascii="Calibri" w:hAnsi="Calibri" w:cs="Calibri"/>
                <w:sz w:val="22"/>
                <w:szCs w:val="22"/>
              </w:rPr>
            </w:pPr>
            <w:r w:rsidRPr="00615CA9">
              <w:rPr>
                <w:rFonts w:ascii="Calibri" w:hAnsi="Calibri" w:cs="Calibri"/>
                <w:sz w:val="22"/>
                <w:szCs w:val="22"/>
              </w:rPr>
              <w:t>This type of infrastructure-based approach may offer substantially greater long-term leverage than isolated transition clinics alone because it embeds patient empowerment, transition planning, and developmental assessment into routine clinical care across the organisation.</w:t>
            </w:r>
          </w:p>
          <w:p w:rsidR="008076C0" w:rsidRPr="00615CA9" w:rsidP="00CB5705">
            <w:pPr>
              <w:rPr>
                <w:rFonts w:ascii="Calibri" w:hAnsi="Calibri" w:cs="Calibri"/>
                <w:sz w:val="22"/>
                <w:szCs w:val="22"/>
              </w:rPr>
            </w:pPr>
          </w:p>
          <w:p w:rsidR="008076C0" w:rsidRPr="00615CA9">
            <w:pPr>
              <w:rPr>
                <w:rFonts w:ascii="Calibri" w:hAnsi="Calibri" w:cs="Calibri"/>
                <w:sz w:val="22"/>
                <w:szCs w:val="22"/>
              </w:rPr>
            </w:pPr>
          </w:p>
        </w:tc>
      </w:tr>
      <w:tr w:rsidTr="4FF11C81">
        <w:tblPrEx>
          <w:tblW w:w="10490" w:type="dxa"/>
          <w:tblInd w:w="-714" w:type="dxa"/>
          <w:tblLook w:val="04A0"/>
        </w:tblPrEx>
        <w:tc>
          <w:tcPr>
            <w:tcW w:w="1985" w:type="dxa"/>
            <w:vMerge/>
          </w:tcPr>
          <w:p w:rsidR="008076C0" w:rsidRPr="00615CA9">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2. To what extent are local authorities sufficiently resourced to assess children for continuing need and provide ongoing services, where needed, to ensure no gaps in provision?</w:t>
            </w:r>
          </w:p>
        </w:tc>
      </w:tr>
      <w:tr w:rsidTr="4FF11C81">
        <w:tblPrEx>
          <w:tblW w:w="10490" w:type="dxa"/>
          <w:tblInd w:w="-714" w:type="dxa"/>
          <w:tblLook w:val="04A0"/>
        </w:tblPrEx>
        <w:tc>
          <w:tcPr>
            <w:tcW w:w="1985" w:type="dxa"/>
            <w:vMerge/>
          </w:tcPr>
          <w:p w:rsidR="008076C0" w:rsidRPr="00615CA9">
            <w:pPr>
              <w:rPr>
                <w:rFonts w:ascii="Calibri" w:hAnsi="Calibri" w:cs="Calibri"/>
                <w:b/>
                <w:sz w:val="20"/>
                <w:szCs w:val="20"/>
              </w:rPr>
            </w:pPr>
          </w:p>
        </w:tc>
        <w:tc>
          <w:tcPr>
            <w:tcW w:w="8505" w:type="dxa"/>
          </w:tcPr>
          <w:p w:rsidR="008076C0" w:rsidRPr="00615CA9">
            <w:pPr>
              <w:rPr>
                <w:rFonts w:ascii="Calibri" w:hAnsi="Calibri" w:cs="Calibri"/>
                <w:sz w:val="22"/>
                <w:szCs w:val="22"/>
              </w:rPr>
            </w:pPr>
          </w:p>
          <w:p w:rsidR="008076C0" w:rsidRPr="00615CA9" w:rsidP="00970EC5">
            <w:pPr>
              <w:rPr>
                <w:rFonts w:ascii="Calibri" w:hAnsi="Calibri" w:cs="Calibri"/>
                <w:sz w:val="22"/>
                <w:szCs w:val="22"/>
              </w:rPr>
            </w:pPr>
            <w:r w:rsidRPr="00615CA9">
              <w:rPr>
                <w:rFonts w:ascii="Calibri" w:hAnsi="Calibri" w:cs="Calibri"/>
                <w:sz w:val="22"/>
                <w:szCs w:val="22"/>
              </w:rPr>
              <w:t>Local authority involvement is often difficult for specialist tertiary teams to evaluate directly, as many do not routinely work directly with local authorities. However, across the specialist teams consulted, there have been repeated reports of negative patient and family experiences when trying to access timely assessment and support during transition.</w:t>
            </w:r>
          </w:p>
          <w:p w:rsidR="008076C0" w:rsidRPr="00615CA9" w:rsidP="00970EC5">
            <w:pPr>
              <w:rPr>
                <w:rFonts w:ascii="Calibri" w:hAnsi="Calibri" w:cs="Calibri"/>
                <w:sz w:val="22"/>
                <w:szCs w:val="22"/>
              </w:rPr>
            </w:pPr>
          </w:p>
          <w:p w:rsidR="008076C0" w:rsidRPr="00615CA9" w:rsidP="00970EC5">
            <w:pPr>
              <w:rPr>
                <w:rFonts w:ascii="Calibri" w:hAnsi="Calibri" w:cs="Calibri"/>
                <w:sz w:val="22"/>
                <w:szCs w:val="22"/>
              </w:rPr>
            </w:pPr>
            <w:r w:rsidRPr="00615CA9">
              <w:rPr>
                <w:rFonts w:ascii="Calibri" w:hAnsi="Calibri" w:cs="Calibri"/>
                <w:sz w:val="22"/>
                <w:szCs w:val="22"/>
              </w:rPr>
              <w:t>A recurring concern is that, although Care Act assessment is a statutory requirement where a young person is likely to have ongoing care and support needs after 18, in practice families can experience long waits and unclear processes. During these delays, social circumstances may deteriorate, with worsening biopsychosocial impact on the young person and family. This can include increased anxiety, safeguarding concerns, reduced engagement with healthcare, difficulty maintaining education or usual activities,</w:t>
            </w:r>
            <w:r w:rsidRPr="00615CA9">
              <w:rPr>
                <w:rFonts w:ascii="Calibri" w:hAnsi="Calibri" w:cs="Calibri"/>
                <w:sz w:val="22"/>
                <w:szCs w:val="22"/>
              </w:rPr>
              <w:t xml:space="preserve"> and greater pressure on paediatric teams to hold risk while adult support remains unresolved.</w:t>
            </w:r>
          </w:p>
          <w:p w:rsidR="008076C0" w:rsidRPr="00615CA9" w:rsidP="00970EC5">
            <w:pPr>
              <w:rPr>
                <w:rFonts w:ascii="Calibri" w:hAnsi="Calibri" w:cs="Calibri"/>
                <w:sz w:val="22"/>
                <w:szCs w:val="22"/>
              </w:rPr>
            </w:pPr>
          </w:p>
          <w:p w:rsidR="008076C0" w:rsidRPr="00615CA9" w:rsidP="00970EC5">
            <w:pPr>
              <w:rPr>
                <w:rFonts w:ascii="Calibri" w:hAnsi="Calibri" w:cs="Calibri"/>
                <w:sz w:val="22"/>
                <w:szCs w:val="22"/>
              </w:rPr>
            </w:pPr>
            <w:r w:rsidRPr="00615CA9">
              <w:rPr>
                <w:rFonts w:ascii="Calibri" w:hAnsi="Calibri" w:cs="Calibri"/>
                <w:sz w:val="22"/>
                <w:szCs w:val="22"/>
              </w:rPr>
              <w:t>Specialist teams described that when appropriate support is provided for young people with significant biopsychosocial complexity or safeguarding concerns, outcomes can improve substantially. One rheumatology consultant noted that, in several cases where meaningful support was put in place, the improvement in the young person’s situation was greater than clinicians had initially thought possible. However, these examples were described as outliers rather than the consistent experience.</w:t>
            </w:r>
          </w:p>
          <w:p w:rsidR="008076C0" w:rsidRPr="00615CA9" w:rsidP="00970EC5">
            <w:pPr>
              <w:rPr>
                <w:rFonts w:ascii="Calibri" w:hAnsi="Calibri" w:cs="Calibri"/>
                <w:sz w:val="22"/>
                <w:szCs w:val="22"/>
              </w:rPr>
            </w:pPr>
          </w:p>
          <w:p w:rsidR="008076C0" w:rsidRPr="00615CA9" w:rsidP="00970EC5">
            <w:pPr>
              <w:rPr>
                <w:rFonts w:ascii="Calibri" w:hAnsi="Calibri" w:cs="Calibri"/>
                <w:sz w:val="22"/>
                <w:szCs w:val="22"/>
              </w:rPr>
            </w:pPr>
            <w:r w:rsidRPr="00615CA9">
              <w:rPr>
                <w:rFonts w:ascii="Calibri" w:hAnsi="Calibri" w:cs="Calibri"/>
                <w:sz w:val="22"/>
                <w:szCs w:val="22"/>
              </w:rPr>
              <w:t>This suggests that the issue is not only whether assessments occur, but whether local authorities have sufficient capacity to assess early, respond quickly, and provide meaningful ongoing support. Where support is delayed or absent, transition planning becomes less safe and less effective, particularly for young people with complex medical, psychological, social, safeguarding, learning disability, or autism-related needs.</w:t>
            </w:r>
          </w:p>
          <w:p w:rsidR="008076C0" w:rsidRPr="00615CA9" w:rsidP="00970EC5">
            <w:pPr>
              <w:rPr>
                <w:rFonts w:ascii="Calibri" w:hAnsi="Calibri" w:cs="Calibri"/>
                <w:sz w:val="22"/>
                <w:szCs w:val="22"/>
              </w:rPr>
            </w:pPr>
          </w:p>
          <w:p w:rsidR="008076C0" w:rsidRPr="00615CA9" w:rsidP="00970EC5">
            <w:pPr>
              <w:rPr>
                <w:rFonts w:ascii="Calibri" w:hAnsi="Calibri" w:cs="Calibri"/>
                <w:sz w:val="22"/>
                <w:szCs w:val="22"/>
              </w:rPr>
            </w:pPr>
            <w:r w:rsidRPr="00615CA9">
              <w:rPr>
                <w:rFonts w:ascii="Calibri" w:hAnsi="Calibri" w:cs="Calibri"/>
                <w:sz w:val="22"/>
                <w:szCs w:val="22"/>
              </w:rPr>
              <w:t>Overall, current resourcing appears insufficient to reliably prevent gaps in provision. Transition support remains too dependent on escalation, individual advocacy, and exceptional local responses rather than a consistent, timely, system-wide process. A better-resourced model would include earlier Care Act transition assessments, clearer routes into local authority support, named contacts, joint working with specialist paediatric teams, and mechanisms to ensure that existing support is not lost before adult</w:t>
            </w:r>
            <w:r w:rsidRPr="00615CA9">
              <w:rPr>
                <w:rFonts w:ascii="Calibri" w:hAnsi="Calibri" w:cs="Calibri"/>
                <w:sz w:val="22"/>
                <w:szCs w:val="22"/>
              </w:rPr>
              <w:t xml:space="preserve"> provision is fully in place.</w:t>
            </w:r>
          </w:p>
          <w:p w:rsidR="008076C0" w:rsidRPr="00615CA9">
            <w:pPr>
              <w:rPr>
                <w:rFonts w:ascii="Calibri" w:hAnsi="Calibri" w:cs="Calibri"/>
                <w:sz w:val="22"/>
                <w:szCs w:val="22"/>
              </w:rPr>
            </w:pPr>
          </w:p>
        </w:tc>
      </w:tr>
      <w:tr w:rsidTr="4FF11C81">
        <w:tblPrEx>
          <w:tblW w:w="10490" w:type="dxa"/>
          <w:tblInd w:w="-714" w:type="dxa"/>
          <w:tblLook w:val="04A0"/>
        </w:tblPrEx>
        <w:tc>
          <w:tcPr>
            <w:tcW w:w="1985" w:type="dxa"/>
            <w:vMerge w:val="restart"/>
          </w:tcPr>
          <w:p w:rsidR="008076C0" w:rsidRPr="00615CA9">
            <w:pPr>
              <w:rPr>
                <w:rFonts w:ascii="Calibri" w:hAnsi="Calibri" w:cs="Calibri"/>
                <w:b/>
                <w:sz w:val="20"/>
                <w:szCs w:val="20"/>
              </w:rPr>
            </w:pPr>
            <w:r w:rsidRPr="00615CA9">
              <w:rPr>
                <w:rFonts w:ascii="Calibri" w:hAnsi="Calibri" w:cs="Calibri"/>
                <w:b/>
                <w:sz w:val="20"/>
                <w:szCs w:val="20"/>
              </w:rPr>
              <w:t>Effectiveness and implementation</w:t>
            </w:r>
          </w:p>
        </w:tc>
        <w:tc>
          <w:tcPr>
            <w:tcW w:w="8505" w:type="dxa"/>
          </w:tcPr>
          <w:p w:rsidR="008076C0" w:rsidRPr="00615CA9">
            <w:pPr>
              <w:rPr>
                <w:rFonts w:ascii="Calibri" w:hAnsi="Calibri" w:cs="Calibri"/>
                <w:sz w:val="22"/>
                <w:szCs w:val="22"/>
              </w:rPr>
            </w:pPr>
            <w:r w:rsidRPr="00615CA9">
              <w:rPr>
                <w:rFonts w:ascii="Calibri" w:hAnsi="Calibri" w:cs="Calibri"/>
                <w:sz w:val="22"/>
                <w:szCs w:val="22"/>
              </w:rPr>
              <w:t>1. How do services identify those who will need to transition to adult services, and what proportion start transition planning in year 9? How is this monitored?</w:t>
            </w:r>
          </w:p>
        </w:tc>
      </w:tr>
      <w:tr w:rsidTr="4FF11C81">
        <w:tblPrEx>
          <w:tblW w:w="10490" w:type="dxa"/>
          <w:tblInd w:w="-714" w:type="dxa"/>
          <w:tblLook w:val="04A0"/>
        </w:tblPrEx>
        <w:tc>
          <w:tcPr>
            <w:tcW w:w="1985" w:type="dxa"/>
            <w:vMerge/>
          </w:tcPr>
          <w:p w:rsidR="008076C0" w:rsidRPr="00615CA9">
            <w:pPr>
              <w:rPr>
                <w:rFonts w:ascii="Calibri" w:hAnsi="Calibri" w:cs="Calibri"/>
                <w:b/>
                <w:sz w:val="20"/>
                <w:szCs w:val="20"/>
              </w:rPr>
            </w:pPr>
          </w:p>
        </w:tc>
        <w:tc>
          <w:tcPr>
            <w:tcW w:w="8505" w:type="dxa"/>
          </w:tcPr>
          <w:p w:rsidR="008076C0" w:rsidRPr="00615CA9" w:rsidP="00EC058D">
            <w:pPr>
              <w:rPr>
                <w:rFonts w:ascii="Calibri" w:hAnsi="Calibri" w:cs="Calibri"/>
                <w:sz w:val="22"/>
                <w:szCs w:val="22"/>
              </w:rPr>
            </w:pPr>
            <w:r w:rsidRPr="00615CA9">
              <w:rPr>
                <w:rFonts w:ascii="Calibri" w:hAnsi="Calibri" w:cs="Calibri"/>
                <w:sz w:val="22"/>
                <w:szCs w:val="22"/>
              </w:rPr>
              <w:t xml:space="preserve">At GOSH, the recently updated Patient Empowerment, Healthcare Transition and Transfer Policy clearly states that all young people with chronic illness should begin transition-focused patient empowerment work </w:t>
            </w:r>
            <w:r w:rsidRPr="00615CA9">
              <w:rPr>
                <w:rFonts w:ascii="Calibri" w:hAnsi="Calibri" w:cs="Calibri"/>
                <w:b/>
                <w:bCs/>
                <w:sz w:val="22"/>
                <w:szCs w:val="22"/>
              </w:rPr>
              <w:t>by age 12</w:t>
            </w:r>
            <w:r w:rsidRPr="00615CA9">
              <w:rPr>
                <w:rFonts w:ascii="Calibri" w:hAnsi="Calibri" w:cs="Calibri"/>
                <w:sz w:val="22"/>
                <w:szCs w:val="22"/>
              </w:rPr>
              <w:t>. This reflects the principle that transition should not begin shortly before transfer, but should start early enough to support phased education, confidence-building, self-management skills and preparation for adult services.</w:t>
            </w:r>
          </w:p>
          <w:p w:rsidR="008076C0" w:rsidRPr="00615CA9" w:rsidP="00EC058D">
            <w:pPr>
              <w:rPr>
                <w:rFonts w:ascii="Calibri" w:hAnsi="Calibri" w:cs="Calibri"/>
                <w:sz w:val="22"/>
                <w:szCs w:val="22"/>
              </w:rPr>
            </w:pPr>
          </w:p>
          <w:p w:rsidR="008076C0" w:rsidRPr="00615CA9" w:rsidP="00EC058D">
            <w:pPr>
              <w:rPr>
                <w:rFonts w:ascii="Calibri" w:hAnsi="Calibri" w:cs="Calibri"/>
                <w:sz w:val="22"/>
                <w:szCs w:val="22"/>
              </w:rPr>
            </w:pPr>
            <w:r w:rsidRPr="00615CA9">
              <w:rPr>
                <w:rFonts w:ascii="Calibri" w:hAnsi="Calibri" w:cs="Calibri"/>
                <w:sz w:val="22"/>
                <w:szCs w:val="22"/>
              </w:rPr>
              <w:t>Identification and documentation are supported through the electronic patient record, Epic, which includes a dedicated Healthcare Transition tab for recording transition-related activity. This provides a structured place for teams to document transition planning, patient empowerment work, key worker details, adult service destinations and related transition discussions. The development of this functionality by the EPR team has been an important enabler for embedding transition documentation consistently acr</w:t>
            </w:r>
            <w:r w:rsidRPr="00615CA9">
              <w:rPr>
                <w:rFonts w:ascii="Calibri" w:hAnsi="Calibri" w:cs="Calibri"/>
                <w:sz w:val="22"/>
                <w:szCs w:val="22"/>
              </w:rPr>
              <w:t>oss the Trust.</w:t>
            </w:r>
          </w:p>
          <w:p w:rsidR="008076C0" w:rsidRPr="00615CA9" w:rsidP="00EC058D">
            <w:pPr>
              <w:rPr>
                <w:rFonts w:ascii="Calibri" w:hAnsi="Calibri" w:cs="Calibri"/>
                <w:sz w:val="22"/>
                <w:szCs w:val="22"/>
              </w:rPr>
            </w:pPr>
          </w:p>
          <w:p w:rsidR="008076C0" w:rsidRPr="00615CA9" w:rsidP="00EC058D">
            <w:pPr>
              <w:rPr>
                <w:rFonts w:ascii="Calibri" w:hAnsi="Calibri" w:cs="Calibri"/>
                <w:sz w:val="22"/>
                <w:szCs w:val="22"/>
              </w:rPr>
            </w:pPr>
            <w:r w:rsidRPr="00615CA9">
              <w:rPr>
                <w:rFonts w:ascii="Calibri" w:hAnsi="Calibri" w:cs="Calibri"/>
                <w:sz w:val="22"/>
                <w:szCs w:val="22"/>
              </w:rPr>
              <w:t>The Quality Improvement team has also developed a reporting mechanism, which the Healthcare Transition Lead has used to create a Trust-wide healthcare transition dashboard. This enables transition activity to be monitored across services and provides, for the first time, a mechanism to understand variation in documentation and timing of transition planning across the organisation.</w:t>
            </w:r>
          </w:p>
          <w:p w:rsidR="008076C0" w:rsidRPr="00615CA9" w:rsidP="00EC058D">
            <w:pPr>
              <w:rPr>
                <w:rFonts w:ascii="Calibri" w:hAnsi="Calibri" w:cs="Calibri"/>
                <w:sz w:val="22"/>
                <w:szCs w:val="22"/>
              </w:rPr>
            </w:pPr>
          </w:p>
          <w:p w:rsidR="008076C0" w:rsidRPr="00615CA9" w:rsidP="00EC058D">
            <w:pPr>
              <w:rPr>
                <w:rFonts w:ascii="Calibri" w:hAnsi="Calibri" w:cs="Calibri"/>
                <w:sz w:val="22"/>
                <w:szCs w:val="22"/>
              </w:rPr>
            </w:pPr>
            <w:r w:rsidRPr="00615CA9">
              <w:rPr>
                <w:rFonts w:ascii="Calibri" w:hAnsi="Calibri" w:cs="Calibri"/>
                <w:sz w:val="22"/>
                <w:szCs w:val="22"/>
              </w:rPr>
              <w:t>This work has been completed recently and implementation remains variable between specialties. Current data show that, among 2,209 patients with transition documentation recorded so far, the average age at the start of documented transition is 14.6 years. This suggests that while many young people are being identified and documented before or around mid-adolescence, further work is required to ensure transition-focused empowerment consistently begins by age 12, in line with Trust policy.</w:t>
            </w:r>
          </w:p>
          <w:p w:rsidR="008076C0" w:rsidRPr="00615CA9" w:rsidP="00EC058D">
            <w:pPr>
              <w:rPr>
                <w:rFonts w:ascii="Calibri" w:hAnsi="Calibri" w:cs="Calibri"/>
                <w:sz w:val="22"/>
                <w:szCs w:val="22"/>
              </w:rPr>
            </w:pPr>
          </w:p>
          <w:p w:rsidR="008076C0" w:rsidRPr="00615CA9" w:rsidP="00EC058D">
            <w:pPr>
              <w:rPr>
                <w:rFonts w:ascii="Calibri" w:hAnsi="Calibri" w:cs="Calibri"/>
                <w:sz w:val="22"/>
                <w:szCs w:val="22"/>
              </w:rPr>
            </w:pPr>
            <w:r w:rsidRPr="00615CA9">
              <w:rPr>
                <w:rFonts w:ascii="Calibri" w:hAnsi="Calibri" w:cs="Calibri"/>
                <w:sz w:val="22"/>
                <w:szCs w:val="22"/>
              </w:rPr>
              <w:t>Ongoing work is focused on improving staff education, increasing use of the Epic transition documentation, and supporting teams to understand transition as a longitudinal empowerment process rather than a late-stage transfer task. Over time, the Trust-wide dashboard should support more robust monitoring of the proportion of eligible young people starting transition planning by Year 9 or earlier, highlight areas of variation, and enable targeted support for services requiring improvement.</w:t>
            </w:r>
          </w:p>
          <w:p w:rsidR="008076C0" w:rsidRPr="00615CA9">
            <w:pPr>
              <w:rPr>
                <w:rFonts w:ascii="Calibri" w:hAnsi="Calibri" w:cs="Calibri"/>
                <w:sz w:val="22"/>
                <w:szCs w:val="22"/>
              </w:rPr>
            </w:pPr>
          </w:p>
        </w:tc>
      </w:tr>
      <w:tr w:rsidTr="4FF11C81">
        <w:tblPrEx>
          <w:tblW w:w="10490" w:type="dxa"/>
          <w:tblInd w:w="-714" w:type="dxa"/>
          <w:tblLook w:val="04A0"/>
        </w:tblPrEx>
        <w:tc>
          <w:tcPr>
            <w:tcW w:w="1985" w:type="dxa"/>
            <w:vMerge/>
          </w:tcPr>
          <w:p w:rsidR="008076C0" w:rsidRPr="00615CA9">
            <w:pPr>
              <w:rPr>
                <w:rFonts w:ascii="Calibri" w:hAnsi="Calibri" w:cs="Calibri"/>
                <w:b/>
                <w:bCs/>
                <w:sz w:val="20"/>
                <w:szCs w:val="20"/>
              </w:rPr>
            </w:pPr>
          </w:p>
        </w:tc>
        <w:tc>
          <w:tcPr>
            <w:tcW w:w="8505" w:type="dxa"/>
          </w:tcPr>
          <w:p w:rsidR="008076C0" w:rsidRPr="00615CA9">
            <w:pPr>
              <w:rPr>
                <w:rFonts w:ascii="Calibri" w:hAnsi="Calibri" w:cs="Calibri"/>
                <w:sz w:val="22"/>
                <w:szCs w:val="22"/>
              </w:rPr>
            </w:pPr>
            <w:r w:rsidRPr="00615CA9">
              <w:rPr>
                <w:rFonts w:ascii="Calibri" w:hAnsi="Calibri" w:cs="Calibri"/>
                <w:sz w:val="22"/>
                <w:szCs w:val="22"/>
              </w:rPr>
              <w:t>2. To what extent are transfers from child to adult services managed without gaps in provision? How is this monitored?</w:t>
            </w:r>
          </w:p>
        </w:tc>
      </w:tr>
      <w:tr w:rsidTr="4FF11C81">
        <w:tblPrEx>
          <w:tblW w:w="10490" w:type="dxa"/>
          <w:tblInd w:w="-714" w:type="dxa"/>
          <w:tblLook w:val="04A0"/>
        </w:tblPrEx>
        <w:tc>
          <w:tcPr>
            <w:tcW w:w="1985" w:type="dxa"/>
            <w:vMerge/>
          </w:tcPr>
          <w:p w:rsidR="008076C0" w:rsidRPr="00615CA9">
            <w:pPr>
              <w:rPr>
                <w:rFonts w:ascii="Calibri" w:hAnsi="Calibri" w:cs="Calibri"/>
                <w:b/>
                <w:bCs/>
                <w:sz w:val="20"/>
                <w:szCs w:val="20"/>
              </w:rPr>
            </w:pPr>
          </w:p>
        </w:tc>
        <w:tc>
          <w:tcPr>
            <w:tcW w:w="8505" w:type="dxa"/>
          </w:tcPr>
          <w:p w:rsidR="008076C0" w:rsidRPr="00615CA9" w:rsidP="004B3E49">
            <w:pPr>
              <w:rPr>
                <w:rFonts w:ascii="Calibri" w:hAnsi="Calibri" w:cs="Calibri"/>
                <w:sz w:val="22"/>
                <w:szCs w:val="22"/>
              </w:rPr>
            </w:pPr>
            <w:r w:rsidRPr="00615CA9">
              <w:rPr>
                <w:rFonts w:ascii="Calibri" w:hAnsi="Calibri" w:cs="Calibri"/>
                <w:sz w:val="22"/>
                <w:szCs w:val="22"/>
                <w:lang w:val="en-US"/>
              </w:rPr>
              <w:t>Transfers from child to adult services are not consistently managed without gaps in provision. While some specialties have developed robust local monitoring systems and strong collaborative relationships with adult providers, there remains significant variability between specialties and adult services nationally.</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lang w:val="en-US"/>
              </w:rPr>
            </w:pPr>
            <w:r w:rsidRPr="00615CA9">
              <w:rPr>
                <w:rFonts w:ascii="Calibri" w:hAnsi="Calibri" w:cs="Calibri"/>
                <w:sz w:val="22"/>
                <w:szCs w:val="22"/>
                <w:lang w:val="en-US"/>
              </w:rPr>
              <w:t>At GOSH, a new Referral to Treatment Outcome (RTT Outcome): “Transfer to Adults” process has been developed to improve oversight and safeguarding of transfers to adult services. This process requires clinicians to document:</w:t>
            </w:r>
          </w:p>
          <w:p w:rsidR="008076C0" w:rsidRPr="00615CA9" w:rsidP="004B3E49">
            <w:pPr>
              <w:numPr>
                <w:ilvl w:val="0"/>
                <w:numId w:val="24"/>
              </w:numPr>
              <w:rPr>
                <w:rFonts w:ascii="Calibri" w:hAnsi="Calibri" w:cs="Calibri"/>
                <w:sz w:val="22"/>
                <w:szCs w:val="22"/>
                <w:lang w:val="en-US"/>
              </w:rPr>
            </w:pPr>
            <w:r w:rsidRPr="00615CA9">
              <w:rPr>
                <w:rFonts w:ascii="Calibri" w:hAnsi="Calibri" w:cs="Calibri"/>
                <w:sz w:val="22"/>
                <w:szCs w:val="22"/>
                <w:lang w:val="en-US"/>
              </w:rPr>
              <w:t>the named adult/adolescent service receiving the referral</w:t>
            </w:r>
          </w:p>
          <w:p w:rsidR="008076C0" w:rsidRPr="00615CA9" w:rsidP="004B3E49">
            <w:pPr>
              <w:numPr>
                <w:ilvl w:val="0"/>
                <w:numId w:val="24"/>
              </w:numPr>
              <w:rPr>
                <w:rFonts w:ascii="Calibri" w:hAnsi="Calibri" w:cs="Calibri"/>
                <w:sz w:val="22"/>
                <w:szCs w:val="22"/>
                <w:lang w:val="en-US"/>
              </w:rPr>
            </w:pPr>
            <w:r w:rsidRPr="00615CA9">
              <w:rPr>
                <w:rFonts w:ascii="Calibri" w:hAnsi="Calibri" w:cs="Calibri"/>
                <w:sz w:val="22"/>
                <w:szCs w:val="22"/>
                <w:lang w:val="en-US"/>
              </w:rPr>
              <w:t>the requested timeframe for review by the adult team (for example within 12 months)</w:t>
            </w:r>
          </w:p>
          <w:p w:rsidR="008076C0" w:rsidRPr="00615CA9" w:rsidP="004B3E49">
            <w:pPr>
              <w:numPr>
                <w:ilvl w:val="0"/>
                <w:numId w:val="24"/>
              </w:numPr>
              <w:rPr>
                <w:rFonts w:ascii="Calibri" w:hAnsi="Calibri" w:cs="Calibri"/>
                <w:sz w:val="22"/>
                <w:szCs w:val="22"/>
                <w:lang w:val="en-US"/>
              </w:rPr>
            </w:pPr>
            <w:r w:rsidRPr="00615CA9">
              <w:rPr>
                <w:rFonts w:ascii="Calibri" w:hAnsi="Calibri" w:cs="Calibri"/>
                <w:sz w:val="22"/>
                <w:szCs w:val="22"/>
                <w:lang w:val="en-US"/>
              </w:rPr>
              <w:t>and relevant transfer details within the electronic patient record.</w:t>
            </w:r>
          </w:p>
          <w:p w:rsidR="008076C0" w:rsidRPr="00615CA9" w:rsidP="004F22D6">
            <w:pPr>
              <w:ind w:left="720"/>
              <w:rPr>
                <w:rFonts w:ascii="Calibri" w:hAnsi="Calibri" w:cs="Calibri"/>
                <w:sz w:val="22"/>
                <w:szCs w:val="22"/>
                <w:lang w:val="en-US"/>
              </w:rPr>
            </w:pPr>
          </w:p>
          <w:p w:rsidR="008076C0" w:rsidRPr="00615CA9" w:rsidP="004B3E49">
            <w:pPr>
              <w:rPr>
                <w:rFonts w:ascii="Calibri" w:hAnsi="Calibri" w:cs="Calibri"/>
                <w:sz w:val="22"/>
                <w:szCs w:val="22"/>
              </w:rPr>
            </w:pPr>
            <w:r w:rsidRPr="00615CA9">
              <w:rPr>
                <w:rFonts w:ascii="Calibri" w:hAnsi="Calibri" w:cs="Calibri"/>
                <w:sz w:val="22"/>
                <w:szCs w:val="22"/>
                <w:lang w:val="en-US"/>
              </w:rPr>
              <w:t>Once the requested review date has passed, the patient automatically appears in an administrative work queue. Administrative teams then contact adult services to confirm whether the patient has been seen. If transfer has occurred, the date of the first adult appointment is recorded, allowing monitoring of delays between the requested review date and the actual appointment date.</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 xml:space="preserve">If the patient has not been seen, the reason is documented (for example referral not received, waiting list delays, or non-attendance), the clinical team is informed to determine </w:t>
            </w:r>
            <w:r w:rsidRPr="00615CA9">
              <w:rPr>
                <w:rFonts w:ascii="Calibri" w:hAnsi="Calibri" w:cs="Calibri"/>
                <w:sz w:val="22"/>
                <w:szCs w:val="22"/>
                <w:lang w:val="en-US"/>
              </w:rPr>
              <w:t>whether interim paediatric review is required, and a further follow-up date is entered so the case reappears in the work queue for continued monitoring.</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lang w:val="en-US"/>
              </w:rPr>
            </w:pPr>
            <w:r w:rsidRPr="00615CA9">
              <w:rPr>
                <w:rFonts w:ascii="Calibri" w:hAnsi="Calibri" w:cs="Calibri"/>
                <w:sz w:val="22"/>
                <w:szCs w:val="22"/>
                <w:lang w:val="en-US"/>
              </w:rPr>
              <w:t>This process was introduced in November 2024 and therefore remains relatively new; however, it has already identified significant gaps and risks within transfer pathways.</w:t>
            </w:r>
          </w:p>
          <w:p w:rsidR="008076C0" w:rsidRPr="00615CA9" w:rsidP="004B3E49">
            <w:pPr>
              <w:rPr>
                <w:rFonts w:ascii="Calibri" w:hAnsi="Calibri" w:cs="Calibri"/>
                <w:sz w:val="22"/>
                <w:szCs w:val="22"/>
              </w:rPr>
            </w:pPr>
            <w:r w:rsidRPr="00615CA9">
              <w:rPr>
                <w:rFonts w:ascii="Calibri" w:hAnsi="Calibri" w:cs="Calibri"/>
                <w:sz w:val="22"/>
                <w:szCs w:val="22"/>
                <w:lang w:val="en-US"/>
              </w:rPr>
              <w:t>In congenital cardiology subspecialties, monthly cross-site reviews between GOSH and St Bartholomew’s Hospital identified a substantial number of referrals that had either not been sent or not been received by adult services. Through monthly joint review meetings and close collaborative working, this has improved significantly, with fewer than 10% of referrals currently identified as not received over the last two months.</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However, despite improved oversight, substantial delays remain within adult services. Patients are currently being seen, on average, more than 200 days beyond the requested review date. This means that a patient referred with a requested review timeframe of one year may wait over 18 months before their first adult review.</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Where strong relationships and regular communication exist between paediatric and adult teams, risks can be identified and mitigated earlier, demonstrating the value of dedicated transition coordination and shared oversight processes. While delays remain concerning, regular monitoring and collaborative working between GOSH and adult congenital cardiology services have helped contain clinical risk.</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Unfortunately, equivalent systems and adult-service engagement do not yet exist consistently across all specialties and subspecialties. The most commonly reported barrier from specialist teams is limited engagement from adult services, including difficulty obtaining confirmation that referrals have been received or acted upon.</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In many cases, paediatric teams are required to contact patients and families directly to establish whether they have been seen by adult providers. This creates additional administrative burden and carries risk, as patients and families may not always distinguish clearly between different teams or appointments, potentially resulting in inaccurate closure of transfer pathways.</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The Healthcare Transition and Adolescent Lead is currently working with specialty administrative teams to improve these processes and strengthen engagement with adult providers. However, very few services have dedicated transition coordinators or administrative staff to oversee transfer tracking on either the paediatric or adult side. As a result, this work is often undertaken in addition to existing administrative workloads, making it difficult to sustain consistently without protected workforce capacity.</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Another major barrier reported across multiple specialties is the absence of equivalent adult services. Advances in paediatric medicine and surgery mean that many children with previously life-limiting or highly complex conditions are now surviving into adulthood, yet adult specialist services have not always developed in parallel. Consequently, paediatric teams may struggle to identify appropriate adult providers willing or able to accept transfer.</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lang w:val="en-US"/>
              </w:rPr>
            </w:pPr>
            <w:r w:rsidRPr="00615CA9">
              <w:rPr>
                <w:rFonts w:ascii="Calibri" w:hAnsi="Calibri" w:cs="Calibri"/>
                <w:sz w:val="22"/>
                <w:szCs w:val="22"/>
                <w:lang w:val="en-US"/>
              </w:rPr>
              <w:t xml:space="preserve">For some paediatric surgical patients requiring long-term surveillance for risks such as malignancy or other late complications, there may be no adult surgical service willing to provide follow-up unless the patient currently requires surgery. As a result, patients may be discharged to primary care with responsibility for highly specialised surveillance that may be difficult to coordinate reliably. There is hope that the RTT transfer monitoring process may </w:t>
            </w:r>
            <w:r w:rsidRPr="00615CA9">
              <w:rPr>
                <w:rFonts w:ascii="Calibri" w:hAnsi="Calibri" w:cs="Calibri"/>
                <w:sz w:val="22"/>
                <w:szCs w:val="22"/>
                <w:lang w:val="en-US"/>
              </w:rPr>
              <w:t>also support ongoing oversight of whether recommended investigations continue after discharge.</w:t>
            </w:r>
          </w:p>
          <w:p w:rsidR="008076C0" w:rsidRPr="00615CA9" w:rsidP="004B3E49">
            <w:pPr>
              <w:rPr>
                <w:rFonts w:ascii="Calibri" w:hAnsi="Calibri" w:cs="Calibri"/>
                <w:sz w:val="22"/>
                <w:szCs w:val="22"/>
                <w:lang w:val="en-US"/>
              </w:rPr>
            </w:pPr>
          </w:p>
          <w:p w:rsidR="008076C0" w:rsidRPr="00615CA9" w:rsidP="004B3E49">
            <w:pPr>
              <w:rPr>
                <w:rFonts w:ascii="Calibri" w:hAnsi="Calibri" w:cs="Calibri"/>
                <w:sz w:val="22"/>
                <w:szCs w:val="22"/>
              </w:rPr>
            </w:pPr>
            <w:r w:rsidRPr="00615CA9">
              <w:rPr>
                <w:rFonts w:ascii="Calibri" w:hAnsi="Calibri" w:cs="Calibri"/>
                <w:sz w:val="22"/>
                <w:szCs w:val="22"/>
              </w:rPr>
              <w:t>Specialist paediatric surgical teams also described conditions for which internationally recognised long-term adult surveillance recommendations exist, but where no clear adult pathway is available in practice. For example, young people with oesophageal atresia may require lifelong surveillance due to risks including malignancy and other long-term complications, yet adult surgical services may decline follow-up if the patient does not currently require operative intervention. In some cases, paediatric teams</w:t>
            </w:r>
            <w:r w:rsidRPr="00615CA9">
              <w:rPr>
                <w:rFonts w:ascii="Calibri" w:hAnsi="Calibri" w:cs="Calibri"/>
                <w:sz w:val="22"/>
                <w:szCs w:val="22"/>
              </w:rPr>
              <w:t xml:space="preserve"> reported substantial difficulty identifying adult teams willing to accept ongoing surveillance responsibility, resulting in discharge back to primary care despite the highly specialised nature of recommended monitoring.</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Patients transferring from paediatric to adult services may be categorised as treated/continuing-care referrals, rather than new referrals. However, this can create a different risk: because they are not always prioritised in the same way as new referrals, young people with established complex conditions may wait longer for their first adult appointment. This is particularly concerning because these patients are not seeking a new opinion; they require continuity of specialist care for known long-term condit</w:t>
            </w:r>
            <w:r w:rsidRPr="00615CA9">
              <w:rPr>
                <w:rFonts w:ascii="Calibri" w:hAnsi="Calibri" w:cs="Calibri"/>
                <w:sz w:val="22"/>
                <w:szCs w:val="22"/>
                <w:lang w:val="en-US"/>
              </w:rPr>
              <w:t>ions.</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Without specific prioritisation and tracking for transition referrals, there is a risk that young people experience prolonged gaps between paediatric discharge and adult review. Adult access policies that discharge patients after a single DNA (Did Not Attend) further increase this risk and may conflict with the principles of NICE QS140, particularly where young people require additional engagement and support during transition.</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lang w:val="en-US"/>
              </w:rPr>
            </w:pPr>
            <w:r w:rsidRPr="00615CA9">
              <w:rPr>
                <w:rFonts w:ascii="Calibri" w:hAnsi="Calibri" w:cs="Calibri"/>
                <w:sz w:val="22"/>
                <w:szCs w:val="22"/>
                <w:lang w:val="en-US"/>
              </w:rPr>
              <w:t>Without robust tracking systems and active re-engagement processes, transitioning young people risk being lost to follow-up between paediatric and adult services. Current systems frequently rely on individual clinicians or administrators identifying problems and escalating concerns manually.</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rPr>
              <w:t>Cardiac device services also highlighted additional risks for young people managed across multiple subspecialty teams. Historically, some cardiac device patients became lost to follow-up because transition processes between specialty teams were not streamlined, with device teams sometimes unaware that patients had transferred to adult services while ongoing device monitoring remained under paediatric oversight. Transition documentation sent to adult services was also described as lengthy and inconsistent, m</w:t>
            </w:r>
            <w:r w:rsidRPr="00615CA9">
              <w:rPr>
                <w:rFonts w:ascii="Calibri" w:hAnsi="Calibri" w:cs="Calibri"/>
                <w:sz w:val="22"/>
                <w:szCs w:val="22"/>
              </w:rPr>
              <w:t>eaning important device-specific information could be overlooked. In other cases, young people over 18 remained under paediatric device follow-up because wider hospital transition had not yet occurred. Services have attempted to mitigate these risks through dedicated standard operating procedures, proactive identification of patients approaching transfer, direct communication with adult device teams, transition-specific education from age 16, and joint transition clinics. However, staffing pressures have li</w:t>
            </w:r>
            <w:r w:rsidRPr="00615CA9">
              <w:rPr>
                <w:rFonts w:ascii="Calibri" w:hAnsi="Calibri" w:cs="Calibri"/>
                <w:sz w:val="22"/>
                <w:szCs w:val="22"/>
              </w:rPr>
              <w:t>mited the sustainability of some initiatives, again highlighting the dependence of safe transition processes on protected workforce capacity.</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A recurring challenge identified by multiple services is the “16–18 year gap” in provision. Many adult services will not accept patients under 18 years of age, while paediatric services may not routinely be commissioned to accept new referrals beyond age 16. This creates a problematic period during which young people may struggle to access age-appropriate specialist care. As a result, some young people may fall between paediatric and adult service criteria despite continuing to require specialist care.</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lang w:val="en-US"/>
              </w:rPr>
            </w:pPr>
            <w:r w:rsidRPr="00615CA9">
              <w:rPr>
                <w:rFonts w:ascii="Calibri" w:hAnsi="Calibri" w:cs="Calibri"/>
                <w:sz w:val="22"/>
                <w:szCs w:val="22"/>
                <w:lang w:val="en-US"/>
              </w:rPr>
              <w:t>Gastroenterology services highlighted that this affects both emergency care, such as upper gastrointestinal bleeding, and ongoing chronic management, including feeding device changes. Similar concerns were raised by pulmonary hypertension services, particularly for young people receiving high-risk therapies such as intravenous epoprostenol. These patients may no longer be accepted by local paediatric hospitals after age 16, while local adult services may lack familiarity with paediatric-onset disease severi</w:t>
            </w:r>
            <w:r w:rsidRPr="00615CA9">
              <w:rPr>
                <w:rFonts w:ascii="Calibri" w:hAnsi="Calibri" w:cs="Calibri"/>
                <w:sz w:val="22"/>
                <w:szCs w:val="22"/>
                <w:lang w:val="en-US"/>
              </w:rPr>
              <w:t>ty or specialist therapies, increasing both clinical risk and patient anxiety.</w:t>
            </w:r>
          </w:p>
          <w:p w:rsidR="008076C0" w:rsidRPr="00615CA9" w:rsidP="004B3E49">
            <w:pPr>
              <w:rPr>
                <w:rFonts w:ascii="Calibri" w:hAnsi="Calibri" w:cs="Calibri"/>
                <w:sz w:val="22"/>
                <w:szCs w:val="22"/>
                <w:lang w:val="en-US"/>
              </w:rPr>
            </w:pPr>
          </w:p>
          <w:p w:rsidR="008076C0" w:rsidRPr="00615CA9" w:rsidP="004B3E49">
            <w:pPr>
              <w:rPr>
                <w:rFonts w:ascii="Calibri" w:hAnsi="Calibri" w:cs="Calibri"/>
                <w:sz w:val="22"/>
                <w:szCs w:val="22"/>
              </w:rPr>
            </w:pPr>
            <w:r w:rsidRPr="00615CA9">
              <w:rPr>
                <w:rFonts w:ascii="Calibri" w:hAnsi="Calibri" w:cs="Calibri"/>
                <w:sz w:val="22"/>
                <w:szCs w:val="22"/>
              </w:rPr>
              <w:t>Surgical teams also described situations where adult procedural pathways could not be accessed until age 18 despite young people no longer being accepted within paediatric systems. In some cases, recommended surveillance procedures were therefore delayed or responsibility reverted to primary care despite specialist follow-up recommendations remaining in place.</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rPr>
              <w:t>Some teams also highlighted differences in adult procedural practice that may expose young people to higher-risk interventions following transfer because adult services may not routinely use lower-risk paediatric approaches or equipment with which paediatric teams are familiar. This was felt to reflect wider challenges regarding alignment of expertise, equipment, and procedural pathways between paediatric and adult systems.</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Pulmonary hypertension teams also highlighted the emotional impact of transition uncertainty. During the interim period between referral and first adult review, paediatric teams frequently continue overseeing care without clear visibility regarding when transfer will formally occur. This can leave families feeling overwhelmed, particularly where paediatric teams have supported them throughout childhood.</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Services transitioning to multiple adult centres nationally described further difficulty creating standardised pathways, identifying reliable contacts, and arranging phased joint transition appointments across geographically distant centres.</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Renal services also identified significant risk relating to transplant waiting lists. In some cases, young people transferring between paediatric and adult transplant systems may spend prolonged periods not actively listed due to differences in administrative processes between centres. This can result in patients temporarily losing opportunities for organ offers during transition, with potentially devastating consequences.</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These examples demonstrate that gaps during transition are not solely administrative challenges, but significant patient safety risks with potential consequences including avoidable deterioration, delayed treatment, emergency admission, loss to follow-up, and reduced access to life-preserving interventions.</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The timing of transfer itself can also create additional burden. Many young people transfer during Year 13 while completing major examinations and preparing for adulthood more generally. Several teams felt that, where developmentally appropriate and service structures allow, transfer around Year 12 or approximately age 17 may reduce psychological stress and minimise disruption to educational attainment.</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rPr>
            </w:pPr>
            <w:r w:rsidRPr="00615CA9">
              <w:rPr>
                <w:rFonts w:ascii="Calibri" w:hAnsi="Calibri" w:cs="Calibri"/>
                <w:sz w:val="22"/>
                <w:szCs w:val="22"/>
                <w:lang w:val="en-US"/>
              </w:rPr>
              <w:t xml:space="preserve">Overall, while important progress has been made in monitoring transfer pathways at GOSH through the RTT “Transfer to Adults” outcome and Trust-wide oversight processes, transfers between child and adult services remain vulnerable to significant gaps in provision. Current </w:t>
            </w:r>
            <w:r w:rsidRPr="00615CA9">
              <w:rPr>
                <w:rFonts w:ascii="Calibri" w:hAnsi="Calibri" w:cs="Calibri"/>
                <w:sz w:val="22"/>
                <w:szCs w:val="22"/>
                <w:lang w:val="en-US"/>
              </w:rPr>
              <w:t>safeguarding of transition often depends on highly motivated individuals, informal relationships between paediatric and adult teams, and substantial additional administrative effort rather than reliably commissioned, nationally standardised systems.</w:t>
            </w:r>
          </w:p>
          <w:p w:rsidR="008076C0" w:rsidRPr="00615CA9" w:rsidP="004B3E49">
            <w:pPr>
              <w:rPr>
                <w:rFonts w:ascii="Calibri" w:hAnsi="Calibri" w:cs="Calibri"/>
                <w:sz w:val="22"/>
                <w:szCs w:val="22"/>
              </w:rPr>
            </w:pPr>
          </w:p>
          <w:p w:rsidR="008076C0" w:rsidRPr="00615CA9" w:rsidP="004B3E49">
            <w:pPr>
              <w:rPr>
                <w:rFonts w:ascii="Calibri" w:hAnsi="Calibri" w:cs="Calibri"/>
                <w:sz w:val="22"/>
                <w:szCs w:val="22"/>
                <w:lang w:val="en-US"/>
              </w:rPr>
            </w:pPr>
            <w:r w:rsidRPr="00615CA9">
              <w:rPr>
                <w:rFonts w:ascii="Calibri" w:hAnsi="Calibri" w:cs="Calibri"/>
                <w:sz w:val="22"/>
                <w:szCs w:val="22"/>
                <w:lang w:val="en-US"/>
              </w:rPr>
              <w:t>More consistent national oversight, dedicated transition coordination, protected administrative support, improved interoperability between paediatric and adult systems, and stronger adult-service engagement are required to ensure young people do not become lost between services during transition.</w:t>
            </w:r>
          </w:p>
          <w:p w:rsidR="008076C0" w:rsidRPr="00615CA9" w:rsidP="004B3E49">
            <w:pPr>
              <w:rPr>
                <w:rFonts w:ascii="Calibri" w:hAnsi="Calibri" w:cs="Calibri"/>
                <w:sz w:val="22"/>
                <w:szCs w:val="22"/>
                <w:lang w:val="en-US"/>
              </w:rPr>
            </w:pPr>
          </w:p>
          <w:p w:rsidR="008076C0" w:rsidRPr="00615CA9">
            <w:pPr>
              <w:rPr>
                <w:rFonts w:ascii="Calibri" w:hAnsi="Calibri" w:cs="Calibri"/>
                <w:sz w:val="22"/>
                <w:szCs w:val="22"/>
              </w:rPr>
            </w:pPr>
          </w:p>
        </w:tc>
      </w:tr>
      <w:tr w:rsidTr="4FF11C81">
        <w:tblPrEx>
          <w:tblW w:w="10490" w:type="dxa"/>
          <w:tblInd w:w="-714" w:type="dxa"/>
          <w:tblLook w:val="04A0"/>
        </w:tblPrEx>
        <w:tc>
          <w:tcPr>
            <w:tcW w:w="1985" w:type="dxa"/>
            <w:vMerge w:val="restart"/>
          </w:tcPr>
          <w:p w:rsidR="008076C0" w:rsidRPr="00615CA9">
            <w:pPr>
              <w:rPr>
                <w:rFonts w:ascii="Calibri" w:hAnsi="Calibri" w:cs="Calibri"/>
                <w:b/>
                <w:sz w:val="20"/>
                <w:szCs w:val="20"/>
              </w:rPr>
            </w:pPr>
            <w:r w:rsidRPr="00615CA9">
              <w:rPr>
                <w:rFonts w:ascii="Calibri" w:hAnsi="Calibri" w:cs="Calibri"/>
                <w:b/>
                <w:sz w:val="20"/>
                <w:szCs w:val="20"/>
              </w:rPr>
              <w:t>Impact and outcomes</w:t>
            </w:r>
          </w:p>
        </w:tc>
        <w:tc>
          <w:tcPr>
            <w:tcW w:w="8505" w:type="dxa"/>
          </w:tcPr>
          <w:p w:rsidR="008076C0" w:rsidRPr="00615CA9">
            <w:pPr>
              <w:rPr>
                <w:rFonts w:ascii="Calibri" w:hAnsi="Calibri" w:cs="Calibri"/>
                <w:sz w:val="22"/>
                <w:szCs w:val="22"/>
              </w:rPr>
            </w:pPr>
            <w:r w:rsidRPr="00615CA9">
              <w:rPr>
                <w:rFonts w:ascii="Calibri" w:hAnsi="Calibri" w:cs="Calibri"/>
                <w:sz w:val="22"/>
                <w:szCs w:val="22"/>
              </w:rPr>
              <w:t xml:space="preserve">1. How is the transition support strengths-based, focusing on what is positive and possible for the young person </w:t>
            </w:r>
            <w:r>
              <w:fldChar w:fldCharType="begin"/>
            </w:r>
            <w:r>
              <w:instrText xml:space="preserve"> HYPERLINK "https://www.nice.org.uk/guidance/ng43/chapter/Recommendations" \l "support-before-transfer" \t "_blank" </w:instrText>
            </w:r>
            <w:r>
              <w:fldChar w:fldCharType="separate"/>
            </w:r>
            <w:r w:rsidRPr="00615CA9">
              <w:rPr>
                <w:rStyle w:val="Hyperlink"/>
                <w:rFonts w:ascii="Calibri" w:hAnsi="Calibri" w:cs="Calibri"/>
                <w:color w:val="auto"/>
                <w:sz w:val="22"/>
                <w:szCs w:val="22"/>
                <w:lang w:val="en-US"/>
              </w:rPr>
              <w:t>NICE NG43 (1.1.3, 2016)</w:t>
            </w:r>
            <w:r>
              <w:fldChar w:fldCharType="end"/>
            </w:r>
            <w:r w:rsidRPr="00615CA9">
              <w:rPr>
                <w:rFonts w:ascii="Calibri" w:hAnsi="Calibri" w:cs="Calibri"/>
              </w:rPr>
              <w:t>?</w:t>
            </w:r>
          </w:p>
        </w:tc>
      </w:tr>
      <w:tr w:rsidTr="4FF11C81">
        <w:tblPrEx>
          <w:tblW w:w="10490" w:type="dxa"/>
          <w:tblInd w:w="-714" w:type="dxa"/>
          <w:tblLook w:val="04A0"/>
        </w:tblPrEx>
        <w:tc>
          <w:tcPr>
            <w:tcW w:w="1985" w:type="dxa"/>
            <w:vMerge/>
          </w:tcPr>
          <w:p w:rsidR="008076C0" w:rsidRPr="00615CA9">
            <w:pPr>
              <w:rPr>
                <w:rFonts w:ascii="Calibri" w:hAnsi="Calibri" w:cs="Calibri"/>
                <w:b/>
                <w:sz w:val="20"/>
                <w:szCs w:val="20"/>
              </w:rPr>
            </w:pPr>
          </w:p>
        </w:tc>
        <w:tc>
          <w:tcPr>
            <w:tcW w:w="8505" w:type="dxa"/>
          </w:tcPr>
          <w:p w:rsidR="008076C0" w:rsidRPr="00615CA9" w:rsidP="003B5342">
            <w:pPr>
              <w:rPr>
                <w:rFonts w:ascii="Calibri" w:hAnsi="Calibri" w:cs="Calibri"/>
                <w:sz w:val="22"/>
                <w:szCs w:val="22"/>
              </w:rPr>
            </w:pPr>
            <w:r w:rsidRPr="00615CA9">
              <w:rPr>
                <w:rFonts w:ascii="Calibri" w:hAnsi="Calibri" w:cs="Calibri"/>
                <w:sz w:val="22"/>
                <w:szCs w:val="22"/>
                <w:lang w:val="en-US"/>
              </w:rPr>
              <w:t>How strengths-based transition support is implemented is currently difficult to assess consistently across services, partly because formal audit of “strengths-based” practice is uncommon and approaches vary considerably between specialties. A further challenge is that transition continues to be widely misunderstood as a transfer process rather than an empowerment-focused developmental process. As a result, some teams may not recognise strengths-based patient empowerment as a core component of transition sup</w:t>
            </w:r>
            <w:r w:rsidRPr="00615CA9">
              <w:rPr>
                <w:rFonts w:ascii="Calibri" w:hAnsi="Calibri" w:cs="Calibri"/>
                <w:sz w:val="22"/>
                <w:szCs w:val="22"/>
                <w:lang w:val="en-US"/>
              </w:rPr>
              <w:t>port.</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rPr>
            </w:pPr>
            <w:r w:rsidRPr="00615CA9">
              <w:rPr>
                <w:rFonts w:ascii="Calibri" w:hAnsi="Calibri" w:cs="Calibri"/>
                <w:sz w:val="22"/>
                <w:szCs w:val="22"/>
                <w:lang w:val="en-US"/>
              </w:rPr>
              <w:t>Where strengths-based approaches are used successfully, they tend to focus on helping young people build confidence, independence, health literacy, self-management skills, and familiarity with adult care environments over time. Importantly, these approaches are often tailored to the specific needs of the patient group rather than relying on a single standardised model across all specialties.</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lang w:val="en-US"/>
              </w:rPr>
            </w:pPr>
            <w:r w:rsidRPr="00615CA9">
              <w:rPr>
                <w:rFonts w:ascii="Calibri" w:hAnsi="Calibri" w:cs="Calibri"/>
                <w:sz w:val="22"/>
                <w:szCs w:val="22"/>
                <w:lang w:val="en-US"/>
              </w:rPr>
              <w:t>Several specialist services described positive examples of strengths-based practice. Rheumatology services working across GOSH and UCLH reported positive feedback from young people regarding:</w:t>
            </w:r>
          </w:p>
          <w:p w:rsidR="008076C0" w:rsidRPr="00615CA9" w:rsidP="003B5342">
            <w:pPr>
              <w:numPr>
                <w:ilvl w:val="0"/>
                <w:numId w:val="26"/>
              </w:numPr>
              <w:rPr>
                <w:rFonts w:ascii="Calibri" w:hAnsi="Calibri" w:cs="Calibri"/>
                <w:sz w:val="22"/>
                <w:szCs w:val="22"/>
                <w:lang w:val="en-US"/>
              </w:rPr>
            </w:pPr>
            <w:r w:rsidRPr="00615CA9">
              <w:rPr>
                <w:rFonts w:ascii="Calibri" w:hAnsi="Calibri" w:cs="Calibri"/>
                <w:sz w:val="22"/>
                <w:szCs w:val="22"/>
                <w:lang w:val="en-US"/>
              </w:rPr>
              <w:t>tours of adult clinical environments to improve familiarity and reduce anxiety</w:t>
            </w:r>
          </w:p>
          <w:p w:rsidR="008076C0" w:rsidRPr="00615CA9" w:rsidP="003B5342">
            <w:pPr>
              <w:numPr>
                <w:ilvl w:val="0"/>
                <w:numId w:val="26"/>
              </w:numPr>
              <w:rPr>
                <w:rFonts w:ascii="Calibri" w:hAnsi="Calibri" w:cs="Calibri"/>
                <w:sz w:val="22"/>
                <w:szCs w:val="22"/>
                <w:lang w:val="en-US"/>
              </w:rPr>
            </w:pPr>
            <w:r w:rsidRPr="00615CA9">
              <w:rPr>
                <w:rFonts w:ascii="Calibri" w:hAnsi="Calibri" w:cs="Calibri"/>
                <w:sz w:val="22"/>
                <w:szCs w:val="22"/>
                <w:lang w:val="en-US"/>
              </w:rPr>
              <w:t>flexible appointment scheduling around school examinations and patient preference</w:t>
            </w:r>
          </w:p>
          <w:p w:rsidR="008076C0" w:rsidRPr="00615CA9" w:rsidP="003B5342">
            <w:pPr>
              <w:numPr>
                <w:ilvl w:val="0"/>
                <w:numId w:val="26"/>
              </w:numPr>
              <w:rPr>
                <w:rFonts w:ascii="Calibri" w:hAnsi="Calibri" w:cs="Calibri"/>
                <w:sz w:val="22"/>
                <w:szCs w:val="22"/>
                <w:lang w:val="en-US"/>
              </w:rPr>
            </w:pPr>
            <w:r w:rsidRPr="00615CA9">
              <w:rPr>
                <w:rFonts w:ascii="Calibri" w:hAnsi="Calibri" w:cs="Calibri"/>
                <w:sz w:val="22"/>
                <w:szCs w:val="22"/>
                <w:lang w:val="en-US"/>
              </w:rPr>
              <w:t>easy access to contact information and digital communication platforms such as MyChart</w:t>
            </w:r>
          </w:p>
          <w:p w:rsidR="008076C0" w:rsidRPr="00615CA9" w:rsidP="003B5342">
            <w:pPr>
              <w:numPr>
                <w:ilvl w:val="0"/>
                <w:numId w:val="26"/>
              </w:numPr>
              <w:rPr>
                <w:rFonts w:ascii="Calibri" w:hAnsi="Calibri" w:cs="Calibri"/>
                <w:sz w:val="22"/>
                <w:szCs w:val="22"/>
                <w:lang w:val="en-US"/>
              </w:rPr>
            </w:pPr>
            <w:r w:rsidRPr="00615CA9">
              <w:rPr>
                <w:rFonts w:ascii="Calibri" w:hAnsi="Calibri" w:cs="Calibri"/>
                <w:sz w:val="22"/>
                <w:szCs w:val="22"/>
                <w:lang w:val="en-US"/>
              </w:rPr>
              <w:t>peer “buddy” support systems</w:t>
            </w:r>
          </w:p>
          <w:p w:rsidR="008076C0" w:rsidRPr="00615CA9" w:rsidP="003B5342">
            <w:pPr>
              <w:numPr>
                <w:ilvl w:val="0"/>
                <w:numId w:val="26"/>
              </w:numPr>
              <w:rPr>
                <w:rFonts w:ascii="Calibri" w:hAnsi="Calibri" w:cs="Calibri"/>
                <w:sz w:val="22"/>
                <w:szCs w:val="22"/>
                <w:lang w:val="en-US"/>
              </w:rPr>
            </w:pPr>
            <w:r w:rsidRPr="00615CA9">
              <w:rPr>
                <w:rFonts w:ascii="Calibri" w:hAnsi="Calibri" w:cs="Calibri"/>
                <w:sz w:val="22"/>
                <w:szCs w:val="22"/>
                <w:lang w:val="en-US"/>
              </w:rPr>
              <w:t>and training for staff around developmentally appropriate approaches, including HEADSSS-informed communication.</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rPr>
            </w:pPr>
            <w:r w:rsidRPr="00615CA9">
              <w:rPr>
                <w:rFonts w:ascii="Calibri" w:hAnsi="Calibri" w:cs="Calibri"/>
                <w:sz w:val="22"/>
                <w:szCs w:val="22"/>
                <w:lang w:val="en-US"/>
              </w:rPr>
              <w:t>Young people specifically reported wanting clinicians to ask about them “as a person first” rather than focusing solely on disease or treatment. This reflects the importance of relationship-based and holistic care within strengths-based transition support.</w:t>
            </w:r>
            <w:r w:rsidRPr="00615CA9">
              <w:rPr>
                <w:rFonts w:ascii="Calibri" w:hAnsi="Calibri" w:cs="Calibri"/>
                <w:sz w:val="22"/>
                <w:szCs w:val="22"/>
              </w:rPr>
              <w:t xml:space="preserve"> Young people who feel listened to, understood,</w:t>
            </w:r>
            <w:r w:rsidRPr="00615CA9">
              <w:rPr>
                <w:rFonts w:ascii="Calibri" w:hAnsi="Calibri" w:cs="Calibri"/>
                <w:sz w:val="22"/>
                <w:szCs w:val="22"/>
              </w:rPr>
              <w:t xml:space="preserve"> respected</w:t>
            </w:r>
            <w:r w:rsidRPr="00615CA9">
              <w:rPr>
                <w:rFonts w:ascii="Calibri" w:hAnsi="Calibri" w:cs="Calibri"/>
                <w:sz w:val="22"/>
                <w:szCs w:val="22"/>
              </w:rPr>
              <w:t xml:space="preserve"> and involved in their care are more likely to engage with services, develop confidence in self-management, and participate actively in decision-making during transition.</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rPr>
            </w:pPr>
            <w:r w:rsidRPr="00615CA9">
              <w:rPr>
                <w:rFonts w:ascii="Calibri" w:hAnsi="Calibri" w:cs="Calibri"/>
                <w:sz w:val="22"/>
                <w:szCs w:val="22"/>
                <w:lang w:val="en-US"/>
              </w:rPr>
              <w:t xml:space="preserve">Other specialties have developed bespoke empowerment and education pathways tailored to the needs of their patient populations. </w:t>
            </w:r>
            <w:r w:rsidRPr="00615CA9">
              <w:rPr>
                <w:rFonts w:ascii="Calibri" w:hAnsi="Calibri" w:cs="Calibri"/>
                <w:sz w:val="22"/>
                <w:szCs w:val="22"/>
              </w:rPr>
              <w:t>Congenital cardiology services have implemented structured Clinical Nurse Specialist (CNS)-led education pathways</w:t>
            </w:r>
            <w:r w:rsidRPr="00615CA9">
              <w:rPr>
                <w:rFonts w:ascii="Calibri" w:hAnsi="Calibri" w:cs="Calibri"/>
                <w:sz w:val="22"/>
                <w:szCs w:val="22"/>
                <w:lang w:val="en-US"/>
              </w:rPr>
              <w:t xml:space="preserve"> covering diagnosis-specific education, procedures, endocarditis prevention, exercise, diet, careers, relationships, and psychosocial wellbeing. Importantly, information is intentionally phased across multiple appointments to reduce cognitive overload and improve knowledge retention.</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rPr>
            </w:pPr>
            <w:r w:rsidRPr="00615CA9">
              <w:rPr>
                <w:rFonts w:ascii="Calibri" w:hAnsi="Calibri" w:cs="Calibri"/>
                <w:sz w:val="22"/>
                <w:szCs w:val="22"/>
                <w:lang w:val="en-US"/>
              </w:rPr>
              <w:t xml:space="preserve">This approach was informed by local quality improvement work demonstrating that attempting to deliver large volumes of information during a single transition appointment often resulted in poor retention and limited meaningful engagement. Several teams similarly reported challenges using large transition workbooks or generic transition documents </w:t>
            </w:r>
            <w:r w:rsidRPr="00615CA9">
              <w:rPr>
                <w:rFonts w:ascii="Calibri" w:hAnsi="Calibri" w:cs="Calibri"/>
                <w:sz w:val="22"/>
                <w:szCs w:val="22"/>
              </w:rPr>
              <w:t>where young people either disengaged from the material or staff were unable</w:t>
            </w:r>
            <w:r w:rsidRPr="00615CA9">
              <w:rPr>
                <w:rFonts w:ascii="Calibri" w:hAnsi="Calibri" w:cs="Calibri"/>
                <w:sz w:val="22"/>
                <w:szCs w:val="22"/>
                <w:lang w:val="en-US"/>
              </w:rPr>
              <w:t xml:space="preserve"> </w:t>
            </w:r>
            <w:r w:rsidRPr="00615CA9">
              <w:rPr>
                <w:rFonts w:ascii="Calibri" w:hAnsi="Calibri" w:cs="Calibri"/>
                <w:sz w:val="22"/>
                <w:szCs w:val="22"/>
                <w:lang w:val="en-US"/>
              </w:rPr>
              <w:t>to discuss the content meaningfully within clinic time constraints.</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rPr>
            </w:pPr>
            <w:r w:rsidRPr="00615CA9">
              <w:rPr>
                <w:rFonts w:ascii="Calibri" w:hAnsi="Calibri" w:cs="Calibri"/>
                <w:sz w:val="22"/>
                <w:szCs w:val="22"/>
                <w:lang w:val="en-US"/>
              </w:rPr>
              <w:t>Renal services described a youth-worker-led peer support programme in which specialist multidisciplinary team members joined virtual group sessions facilitated by the youth worker. This model aimed to create psychologically safe peer-led discussion spaces while supporting gradual confidence-building and self-management. Dermatology services also described multidisciplinary clinics that focused discussions around patient goals, strengths, and individual aspirations rather than purely disease-focused outcomes</w:t>
            </w:r>
            <w:r w:rsidRPr="00615CA9">
              <w:rPr>
                <w:rFonts w:ascii="Calibri" w:hAnsi="Calibri" w:cs="Calibri"/>
                <w:sz w:val="22"/>
                <w:szCs w:val="22"/>
                <w:lang w:val="en-US"/>
              </w:rPr>
              <w:t>.</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lang w:val="en-US"/>
              </w:rPr>
            </w:pPr>
            <w:r w:rsidRPr="00615CA9">
              <w:rPr>
                <w:rFonts w:ascii="Calibri" w:hAnsi="Calibri" w:cs="Calibri"/>
                <w:sz w:val="22"/>
                <w:szCs w:val="22"/>
                <w:lang w:val="en-US"/>
              </w:rPr>
              <w:t>One of the most significant Trust-wide developments has been the creation of the GOSH Healthcare Transition Check-In Tools for young people and parents/carers. These tools were developed in response to the recognition that young people are often expected to take increasing ownership of their healthcare without their confidence, knowledge,</w:t>
            </w:r>
            <w:r w:rsidRPr="00615CA9">
              <w:rPr>
                <w:rFonts w:ascii="Calibri" w:hAnsi="Calibri" w:cs="Calibri"/>
                <w:sz w:val="27"/>
                <w:szCs w:val="27"/>
              </w:rPr>
              <w:t xml:space="preserve"> </w:t>
            </w:r>
            <w:r w:rsidRPr="00615CA9">
              <w:rPr>
                <w:rFonts w:ascii="Calibri" w:hAnsi="Calibri" w:cs="Calibri"/>
                <w:sz w:val="22"/>
                <w:szCs w:val="22"/>
              </w:rPr>
              <w:t>health literacy,</w:t>
            </w:r>
            <w:r w:rsidRPr="00615CA9">
              <w:rPr>
                <w:rFonts w:ascii="Calibri" w:hAnsi="Calibri" w:cs="Calibri"/>
                <w:sz w:val="22"/>
                <w:szCs w:val="22"/>
                <w:lang w:val="en-US"/>
              </w:rPr>
              <w:t xml:space="preserve"> and readiness being assessed consistently or documented in a structured way.</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lang w:val="en-US"/>
              </w:rPr>
            </w:pPr>
            <w:r w:rsidRPr="00615CA9">
              <w:rPr>
                <w:rFonts w:ascii="Calibri" w:hAnsi="Calibri" w:cs="Calibri"/>
                <w:sz w:val="22"/>
                <w:szCs w:val="22"/>
                <w:lang w:val="en-US"/>
              </w:rPr>
              <w:t>The Young Person Check-In Tool supports reflection around areas such as:</w:t>
            </w:r>
          </w:p>
          <w:p w:rsidR="008076C0" w:rsidRPr="00615CA9" w:rsidP="003B5342">
            <w:pPr>
              <w:numPr>
                <w:ilvl w:val="0"/>
                <w:numId w:val="27"/>
              </w:numPr>
              <w:rPr>
                <w:rFonts w:ascii="Calibri" w:hAnsi="Calibri" w:cs="Calibri"/>
                <w:sz w:val="22"/>
                <w:szCs w:val="22"/>
                <w:lang w:val="en-US"/>
              </w:rPr>
            </w:pPr>
            <w:r w:rsidRPr="00615CA9">
              <w:rPr>
                <w:rFonts w:ascii="Calibri" w:hAnsi="Calibri" w:cs="Calibri"/>
                <w:sz w:val="22"/>
                <w:szCs w:val="22"/>
                <w:lang w:val="en-US"/>
              </w:rPr>
              <w:t>understanding their condition</w:t>
            </w:r>
          </w:p>
          <w:p w:rsidR="008076C0" w:rsidRPr="00615CA9" w:rsidP="003B5342">
            <w:pPr>
              <w:numPr>
                <w:ilvl w:val="0"/>
                <w:numId w:val="27"/>
              </w:numPr>
              <w:rPr>
                <w:rFonts w:ascii="Calibri" w:hAnsi="Calibri" w:cs="Calibri"/>
                <w:sz w:val="22"/>
                <w:szCs w:val="22"/>
                <w:lang w:val="en-US"/>
              </w:rPr>
            </w:pPr>
            <w:r w:rsidRPr="00615CA9">
              <w:rPr>
                <w:rFonts w:ascii="Calibri" w:hAnsi="Calibri" w:cs="Calibri"/>
                <w:sz w:val="22"/>
                <w:szCs w:val="22"/>
                <w:lang w:val="en-US"/>
              </w:rPr>
              <w:t>knowing their medications</w:t>
            </w:r>
          </w:p>
          <w:p w:rsidR="008076C0" w:rsidRPr="00615CA9" w:rsidP="003B5342">
            <w:pPr>
              <w:numPr>
                <w:ilvl w:val="0"/>
                <w:numId w:val="27"/>
              </w:numPr>
              <w:rPr>
                <w:rFonts w:ascii="Calibri" w:hAnsi="Calibri" w:cs="Calibri"/>
                <w:sz w:val="22"/>
                <w:szCs w:val="22"/>
                <w:lang w:val="en-US"/>
              </w:rPr>
            </w:pPr>
            <w:r w:rsidRPr="00615CA9">
              <w:rPr>
                <w:rFonts w:ascii="Calibri" w:hAnsi="Calibri" w:cs="Calibri"/>
                <w:sz w:val="22"/>
                <w:szCs w:val="22"/>
                <w:lang w:val="en-US"/>
              </w:rPr>
              <w:t>communicating with healthcare professionals</w:t>
            </w:r>
          </w:p>
          <w:p w:rsidR="008076C0" w:rsidRPr="00615CA9" w:rsidP="003B5342">
            <w:pPr>
              <w:numPr>
                <w:ilvl w:val="0"/>
                <w:numId w:val="27"/>
              </w:numPr>
              <w:rPr>
                <w:rFonts w:ascii="Calibri" w:hAnsi="Calibri" w:cs="Calibri"/>
                <w:sz w:val="22"/>
                <w:szCs w:val="22"/>
                <w:lang w:val="en-US"/>
              </w:rPr>
            </w:pPr>
            <w:r w:rsidRPr="00615CA9">
              <w:rPr>
                <w:rFonts w:ascii="Calibri" w:hAnsi="Calibri" w:cs="Calibri"/>
                <w:sz w:val="22"/>
                <w:szCs w:val="22"/>
                <w:lang w:val="en-US"/>
              </w:rPr>
              <w:t>recognising when to seek help</w:t>
            </w:r>
          </w:p>
          <w:p w:rsidR="008076C0" w:rsidRPr="00615CA9" w:rsidP="003B5342">
            <w:pPr>
              <w:numPr>
                <w:ilvl w:val="0"/>
                <w:numId w:val="27"/>
              </w:numPr>
              <w:rPr>
                <w:rFonts w:ascii="Calibri" w:hAnsi="Calibri" w:cs="Calibri"/>
                <w:sz w:val="22"/>
                <w:szCs w:val="22"/>
                <w:lang w:val="en-US"/>
              </w:rPr>
            </w:pPr>
            <w:r w:rsidRPr="00615CA9">
              <w:rPr>
                <w:rFonts w:ascii="Calibri" w:hAnsi="Calibri" w:cs="Calibri"/>
                <w:sz w:val="22"/>
                <w:szCs w:val="22"/>
                <w:lang w:val="en-US"/>
              </w:rPr>
              <w:t>attending appointments independently</w:t>
            </w:r>
          </w:p>
          <w:p w:rsidR="008076C0" w:rsidRPr="00615CA9" w:rsidP="003B5342">
            <w:pPr>
              <w:numPr>
                <w:ilvl w:val="0"/>
                <w:numId w:val="27"/>
              </w:numPr>
              <w:rPr>
                <w:rFonts w:ascii="Calibri" w:hAnsi="Calibri" w:cs="Calibri"/>
                <w:sz w:val="22"/>
                <w:szCs w:val="22"/>
                <w:lang w:val="en-US"/>
              </w:rPr>
            </w:pPr>
            <w:r w:rsidRPr="00615CA9">
              <w:rPr>
                <w:rFonts w:ascii="Calibri" w:hAnsi="Calibri" w:cs="Calibri"/>
                <w:sz w:val="22"/>
                <w:szCs w:val="22"/>
                <w:lang w:val="en-US"/>
              </w:rPr>
              <w:t>and preparing for adult services.</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lang w:val="en-US"/>
              </w:rPr>
            </w:pPr>
            <w:r w:rsidRPr="00615CA9">
              <w:rPr>
                <w:rFonts w:ascii="Calibri" w:hAnsi="Calibri" w:cs="Calibri"/>
                <w:sz w:val="22"/>
                <w:szCs w:val="22"/>
                <w:lang w:val="en-US"/>
              </w:rPr>
              <w:t>The complementary Parent/Carer Check-In Tool supports families to reflect on changing responsibilities, growing independence, and areas where additional support may be needed.</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lang w:val="en-US"/>
              </w:rPr>
            </w:pPr>
            <w:r w:rsidRPr="00615CA9">
              <w:rPr>
                <w:rFonts w:ascii="Calibri" w:hAnsi="Calibri" w:cs="Calibri"/>
                <w:sz w:val="22"/>
                <w:szCs w:val="22"/>
                <w:lang w:val="en-US"/>
              </w:rPr>
              <w:t>Importantly, the tools are designed not simply as assessment forms, but as conversation prompts intended to support meaningful strengths-based discussions between young people, families, and healthcare teams. They aim to identify existing strengths, areas of confidence, educational needs, and opportunities for gradual skill development over time.</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lang w:val="en-US"/>
              </w:rPr>
            </w:pPr>
            <w:r w:rsidRPr="00615CA9">
              <w:rPr>
                <w:rFonts w:ascii="Calibri" w:hAnsi="Calibri" w:cs="Calibri"/>
                <w:sz w:val="22"/>
                <w:szCs w:val="22"/>
                <w:lang w:val="en-US"/>
              </w:rPr>
              <w:t>Early pilot data have been encouraging. Among respondents:</w:t>
            </w:r>
          </w:p>
          <w:p w:rsidR="008076C0" w:rsidRPr="00615CA9" w:rsidP="003B5342">
            <w:pPr>
              <w:numPr>
                <w:ilvl w:val="0"/>
                <w:numId w:val="28"/>
              </w:numPr>
              <w:rPr>
                <w:rFonts w:ascii="Calibri" w:hAnsi="Calibri" w:cs="Calibri"/>
                <w:sz w:val="22"/>
                <w:szCs w:val="22"/>
                <w:lang w:val="en-US"/>
              </w:rPr>
            </w:pPr>
            <w:r w:rsidRPr="00615CA9">
              <w:rPr>
                <w:rFonts w:ascii="Calibri" w:hAnsi="Calibri" w:cs="Calibri"/>
                <w:sz w:val="22"/>
                <w:szCs w:val="22"/>
                <w:lang w:val="en-US"/>
              </w:rPr>
              <w:t>76% of young people and 86% of parents/carers reported that the tools helped them think about things they would like to learn about their health</w:t>
            </w:r>
          </w:p>
          <w:p w:rsidR="008076C0" w:rsidRPr="00615CA9" w:rsidP="003B5342">
            <w:pPr>
              <w:numPr>
                <w:ilvl w:val="0"/>
                <w:numId w:val="28"/>
              </w:numPr>
              <w:rPr>
                <w:rFonts w:ascii="Calibri" w:hAnsi="Calibri" w:cs="Calibri"/>
                <w:sz w:val="22"/>
                <w:szCs w:val="22"/>
                <w:lang w:val="en-US"/>
              </w:rPr>
            </w:pPr>
            <w:r w:rsidRPr="00615CA9">
              <w:rPr>
                <w:rFonts w:ascii="Calibri" w:hAnsi="Calibri" w:cs="Calibri"/>
                <w:sz w:val="22"/>
                <w:szCs w:val="22"/>
                <w:lang w:val="en-US"/>
              </w:rPr>
              <w:t>and 70% of parents agreed that the tools helped their young person become more engaged in their healthcare.</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rPr>
            </w:pPr>
            <w:r w:rsidRPr="00615CA9">
              <w:rPr>
                <w:rFonts w:ascii="Calibri" w:hAnsi="Calibri" w:cs="Calibri"/>
                <w:sz w:val="22"/>
                <w:szCs w:val="22"/>
                <w:lang w:val="en-US"/>
              </w:rPr>
              <w:t>Clinicians have also reported increased patient engagement and more young people taking active roles during consultations.</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lang w:val="en-US"/>
              </w:rPr>
            </w:pPr>
            <w:r w:rsidRPr="00615CA9">
              <w:rPr>
                <w:rFonts w:ascii="Calibri" w:hAnsi="Calibri" w:cs="Calibri"/>
                <w:sz w:val="22"/>
                <w:szCs w:val="22"/>
                <w:lang w:val="en-US"/>
              </w:rPr>
              <w:t>The tools are currently being piloted across multiple specialties as part of a Trust-wide quality improvement project. Integration within the electronic patient record also creates the potential for longitudinal tracking of young person and parent confidence over time, allowing progress to be monitored more consistently across services.</w:t>
            </w:r>
          </w:p>
          <w:p w:rsidR="008076C0" w:rsidRPr="00615CA9" w:rsidP="003B5342">
            <w:pPr>
              <w:rPr>
                <w:rFonts w:ascii="Calibri" w:hAnsi="Calibri" w:cs="Calibri"/>
                <w:sz w:val="22"/>
                <w:szCs w:val="22"/>
                <w:lang w:val="en-US"/>
              </w:rPr>
            </w:pPr>
          </w:p>
          <w:p w:rsidR="008076C0" w:rsidRPr="00615CA9" w:rsidP="00A715BE">
            <w:pPr>
              <w:rPr>
                <w:rFonts w:ascii="Calibri" w:hAnsi="Calibri" w:cs="Calibri"/>
                <w:sz w:val="22"/>
                <w:szCs w:val="22"/>
              </w:rPr>
            </w:pPr>
            <w:r w:rsidRPr="00615CA9">
              <w:rPr>
                <w:rFonts w:ascii="Calibri" w:hAnsi="Calibri" w:cs="Calibri"/>
                <w:sz w:val="22"/>
                <w:szCs w:val="22"/>
              </w:rPr>
              <w:t>The combination of the Epic Healthcare Transition tab and integrated Check-In tools also represents an important systems-level development because it allows transition activity, patient confidence, educational needs, and self-management progress to become visible and measurable within routine care. Historically, transition work has often depended on individual clinicians, informal documentation, or non-standardised local tools, making meaningful organisational oversight difficult.</w:t>
            </w:r>
          </w:p>
          <w:p w:rsidR="008076C0" w:rsidRPr="00615CA9" w:rsidP="00A715BE">
            <w:pPr>
              <w:rPr>
                <w:rFonts w:ascii="Calibri" w:hAnsi="Calibri" w:cs="Calibri"/>
                <w:sz w:val="22"/>
                <w:szCs w:val="22"/>
              </w:rPr>
            </w:pPr>
          </w:p>
          <w:p w:rsidR="008076C0" w:rsidRPr="00615CA9" w:rsidP="00A715BE">
            <w:pPr>
              <w:rPr>
                <w:rFonts w:ascii="Calibri" w:hAnsi="Calibri" w:cs="Calibri"/>
                <w:sz w:val="22"/>
                <w:szCs w:val="22"/>
              </w:rPr>
            </w:pPr>
            <w:r w:rsidRPr="00615CA9">
              <w:rPr>
                <w:rFonts w:ascii="Calibri" w:hAnsi="Calibri" w:cs="Calibri"/>
                <w:sz w:val="22"/>
                <w:szCs w:val="22"/>
              </w:rPr>
              <w:t>Embedding transition assessments and patient empowerment tools directly within routine clinical workflows creates the potential to standardise practice across specialties, improve continuity, identify unmet needs earlier, support population-level quality improvement, and generate meaningful longitudinal data regarding transition readiness and patient engagement over time.</w:t>
            </w:r>
          </w:p>
          <w:p w:rsidR="008076C0" w:rsidRPr="00615CA9" w:rsidP="00A715BE">
            <w:pPr>
              <w:rPr>
                <w:rFonts w:ascii="Calibri" w:hAnsi="Calibri" w:cs="Calibri"/>
                <w:sz w:val="22"/>
                <w:szCs w:val="22"/>
              </w:rPr>
            </w:pPr>
          </w:p>
          <w:p w:rsidR="008076C0" w:rsidRPr="00615CA9" w:rsidP="00A715BE">
            <w:pPr>
              <w:rPr>
                <w:rFonts w:ascii="Calibri" w:hAnsi="Calibri" w:cs="Calibri"/>
                <w:sz w:val="22"/>
                <w:szCs w:val="22"/>
              </w:rPr>
            </w:pPr>
            <w:r w:rsidRPr="00615CA9">
              <w:rPr>
                <w:rFonts w:ascii="Calibri" w:hAnsi="Calibri" w:cs="Calibri"/>
                <w:sz w:val="22"/>
                <w:szCs w:val="22"/>
              </w:rPr>
              <w:t>This type of digital infrastructure may ultimately prove essential for scaling transition services nationally, particularly given current workforce pressures and variability in transition provision between specialties and organisations.</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lang w:val="en-US"/>
              </w:rPr>
            </w:pPr>
            <w:r w:rsidRPr="00615CA9">
              <w:rPr>
                <w:rFonts w:ascii="Calibri" w:hAnsi="Calibri" w:cs="Calibri"/>
                <w:sz w:val="22"/>
                <w:szCs w:val="22"/>
                <w:lang w:val="en-US"/>
              </w:rPr>
              <w:t>However, it is important to recognise that tools alone are unlikely to deliver successful transition</w:t>
            </w:r>
            <w:r w:rsidRPr="00615CA9">
              <w:rPr>
                <w:rFonts w:ascii="Calibri" w:hAnsi="Calibri" w:cs="Calibri"/>
                <w:sz w:val="22"/>
                <w:szCs w:val="22"/>
                <w:lang w:val="en-US"/>
              </w:rPr>
              <w:t>.</w:t>
            </w:r>
            <w:r w:rsidRPr="00615CA9">
              <w:rPr>
                <w:rFonts w:ascii="Calibri" w:hAnsi="Calibri" w:cs="Calibri"/>
              </w:rPr>
              <w:t xml:space="preserve"> </w:t>
            </w:r>
            <w:r w:rsidRPr="00615CA9">
              <w:rPr>
                <w:rFonts w:ascii="Calibri" w:hAnsi="Calibri" w:cs="Calibri"/>
                <w:sz w:val="22"/>
                <w:szCs w:val="22"/>
                <w:lang w:val="en-US"/>
              </w:rPr>
              <w:t>Effective strengths-based transition support requires skilled communication, developmentally appropriate and individualised communication and education</w:t>
            </w:r>
            <w:r w:rsidRPr="00615CA9">
              <w:rPr>
                <w:rFonts w:ascii="Calibri" w:hAnsi="Calibri" w:cs="Calibri"/>
                <w:sz w:val="22"/>
                <w:szCs w:val="22"/>
                <w:lang w:val="en-US"/>
              </w:rPr>
              <w:t xml:space="preserve">, repeated reinforcement over time, psychologically safe clinical relationships, and sufficient workforce capacity to personalise care. </w:t>
            </w:r>
            <w:r w:rsidRPr="00615CA9">
              <w:rPr>
                <w:rFonts w:ascii="Calibri" w:hAnsi="Calibri" w:cs="Calibri"/>
                <w:sz w:val="22"/>
                <w:szCs w:val="22"/>
              </w:rPr>
              <w:t>Continuity and familiarity with trusted professionals were also described by several services as important facilitators of confidence and engagement.</w:t>
            </w:r>
            <w:r w:rsidRPr="00615CA9">
              <w:rPr>
                <w:rFonts w:ascii="Calibri" w:hAnsi="Calibri" w:cs="Calibri"/>
                <w:sz w:val="22"/>
                <w:szCs w:val="22"/>
                <w:lang w:val="en-US"/>
              </w:rPr>
              <w:t xml:space="preserve"> </w:t>
            </w:r>
            <w:r w:rsidRPr="00615CA9">
              <w:rPr>
                <w:rFonts w:ascii="Calibri" w:hAnsi="Calibri" w:cs="Calibri"/>
                <w:sz w:val="22"/>
                <w:szCs w:val="22"/>
                <w:lang w:val="en-US"/>
              </w:rPr>
              <w:t>Transition interventions that rely primarily on large information transfers during isolated appointments risk cognitive overload and limited retention of information.</w:t>
            </w:r>
          </w:p>
          <w:p w:rsidR="008076C0" w:rsidRPr="00615CA9" w:rsidP="003B5342">
            <w:pPr>
              <w:rPr>
                <w:rFonts w:ascii="Calibri" w:hAnsi="Calibri" w:cs="Calibri"/>
                <w:sz w:val="22"/>
                <w:szCs w:val="22"/>
                <w:lang w:val="en-US"/>
              </w:rPr>
            </w:pPr>
          </w:p>
          <w:p w:rsidR="008076C0" w:rsidRPr="00615CA9" w:rsidP="002E0899">
            <w:pPr>
              <w:rPr>
                <w:rFonts w:ascii="Calibri" w:hAnsi="Calibri" w:cs="Calibri"/>
                <w:sz w:val="22"/>
                <w:szCs w:val="22"/>
              </w:rPr>
            </w:pPr>
            <w:r w:rsidRPr="00615CA9">
              <w:rPr>
                <w:rFonts w:ascii="Calibri" w:hAnsi="Calibri" w:cs="Calibri"/>
                <w:sz w:val="22"/>
                <w:szCs w:val="22"/>
              </w:rPr>
              <w:t xml:space="preserve">The recently developed GOSH Mental Health Framework further reinforces the importance of holistic, developmentally appropriate and individualised transition support and explicitly recognises that “there is no health without mental health.” </w:t>
            </w:r>
          </w:p>
          <w:p w:rsidR="008076C0" w:rsidRPr="00615CA9" w:rsidP="002E0899">
            <w:pPr>
              <w:rPr>
                <w:rFonts w:ascii="Calibri" w:hAnsi="Calibri" w:cs="Calibri"/>
                <w:sz w:val="22"/>
                <w:szCs w:val="22"/>
              </w:rPr>
            </w:pPr>
          </w:p>
          <w:p w:rsidR="008076C0" w:rsidRPr="00615CA9" w:rsidP="002E0899">
            <w:pPr>
              <w:rPr>
                <w:rFonts w:ascii="Calibri" w:hAnsi="Calibri" w:cs="Calibri"/>
                <w:sz w:val="22"/>
                <w:szCs w:val="22"/>
              </w:rPr>
            </w:pPr>
            <w:r w:rsidRPr="00615CA9">
              <w:rPr>
                <w:rFonts w:ascii="Calibri" w:hAnsi="Calibri" w:cs="Calibri"/>
                <w:sz w:val="22"/>
                <w:szCs w:val="22"/>
              </w:rPr>
              <w:t xml:space="preserve">The framework highlights the bidirectional relationship between chronic physical illness and mental health difficulties, noting that approximately one quarter of children and young people living with a long-term condition are also likely to experience mental health difficulties. </w:t>
            </w:r>
          </w:p>
          <w:p w:rsidR="008076C0" w:rsidRPr="00615CA9" w:rsidP="002E0899">
            <w:pPr>
              <w:rPr>
                <w:rFonts w:ascii="Calibri" w:hAnsi="Calibri" w:cs="Calibri"/>
                <w:sz w:val="22"/>
                <w:szCs w:val="22"/>
              </w:rPr>
            </w:pPr>
          </w:p>
          <w:p w:rsidR="008076C0" w:rsidRPr="00615CA9" w:rsidP="002E0899">
            <w:pPr>
              <w:rPr>
                <w:rFonts w:ascii="Calibri" w:hAnsi="Calibri" w:cs="Calibri"/>
                <w:sz w:val="22"/>
                <w:szCs w:val="22"/>
              </w:rPr>
            </w:pPr>
            <w:r w:rsidRPr="00615CA9">
              <w:rPr>
                <w:rFonts w:ascii="Calibri" w:hAnsi="Calibri" w:cs="Calibri"/>
                <w:sz w:val="22"/>
                <w:szCs w:val="22"/>
              </w:rPr>
              <w:t xml:space="preserve">Importantly, many of the themes identified through stakeholder engagement within the framework closely mirror challenges described by young people during healthcare transition, including loneliness, isolation, lack of peer support, inconsistent psychosocial support, limited youth provision, difficulty accessing timely mental health support, and a desire for healthcare professionals to ask about them as people rather than focusing solely on physical illness. </w:t>
            </w:r>
          </w:p>
          <w:p w:rsidR="008076C0" w:rsidRPr="00615CA9" w:rsidP="002E0899">
            <w:pPr>
              <w:rPr>
                <w:rFonts w:ascii="Calibri" w:hAnsi="Calibri" w:cs="Calibri"/>
                <w:sz w:val="22"/>
                <w:szCs w:val="22"/>
              </w:rPr>
            </w:pPr>
          </w:p>
          <w:p w:rsidR="008076C0" w:rsidRPr="00615CA9" w:rsidP="002E0899">
            <w:pPr>
              <w:rPr>
                <w:rFonts w:ascii="Calibri" w:hAnsi="Calibri" w:cs="Calibri"/>
                <w:sz w:val="22"/>
                <w:szCs w:val="22"/>
              </w:rPr>
            </w:pPr>
            <w:r w:rsidRPr="00615CA9">
              <w:rPr>
                <w:rFonts w:ascii="Calibri" w:hAnsi="Calibri" w:cs="Calibri"/>
                <w:sz w:val="22"/>
                <w:szCs w:val="22"/>
              </w:rPr>
              <w:t xml:space="preserve">The framework also aligns strongly with transition principles through its emphasis on prevention, mental health literacy, early identification, self-reporting tools, psychologically safe environments, peer support, developmentally appropriate </w:t>
            </w:r>
            <w:r w:rsidRPr="00615CA9">
              <w:rPr>
                <w:rFonts w:ascii="Calibri" w:hAnsi="Calibri" w:cs="Calibri"/>
                <w:sz w:val="22"/>
                <w:szCs w:val="22"/>
              </w:rPr>
              <w:t xml:space="preserve">and individualised </w:t>
            </w:r>
            <w:r w:rsidRPr="00615CA9">
              <w:rPr>
                <w:rFonts w:ascii="Calibri" w:hAnsi="Calibri" w:cs="Calibri"/>
                <w:sz w:val="22"/>
                <w:szCs w:val="22"/>
              </w:rPr>
              <w:t xml:space="preserve">communication, and embedding mental health discussions routinely within care. </w:t>
            </w:r>
          </w:p>
          <w:p w:rsidR="008076C0" w:rsidRPr="00615CA9" w:rsidP="002E0899">
            <w:pPr>
              <w:rPr>
                <w:rFonts w:ascii="Calibri" w:hAnsi="Calibri" w:cs="Calibri"/>
                <w:sz w:val="22"/>
                <w:szCs w:val="22"/>
              </w:rPr>
            </w:pPr>
            <w:r w:rsidRPr="00615CA9">
              <w:rPr>
                <w:rFonts w:ascii="Calibri" w:hAnsi="Calibri" w:cs="Calibri"/>
                <w:sz w:val="22"/>
                <w:szCs w:val="22"/>
              </w:rPr>
              <w:t>These themes further support the argument that effective transition should be viewed as a holistic empowerment process addressing emotional wellbeing, resilience, confidence, identity formation, and social participation alongside disease-specific education and transfer planning.</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rPr>
            </w:pPr>
            <w:r w:rsidRPr="00615CA9">
              <w:rPr>
                <w:rFonts w:ascii="Calibri" w:hAnsi="Calibri" w:cs="Calibri"/>
                <w:sz w:val="22"/>
                <w:szCs w:val="22"/>
              </w:rPr>
              <w:t>Several teams also highlighted that delivering meaningful strengths-based transition support within short outpatient appointments can be challenging, particularly where workforce pressures and service demands limit time available for personalised education and relationship-building.</w:t>
            </w:r>
            <w:r w:rsidRPr="00615CA9">
              <w:rPr>
                <w:rFonts w:ascii="Calibri" w:hAnsi="Calibri" w:cs="Calibri"/>
                <w:sz w:val="22"/>
                <w:szCs w:val="22"/>
              </w:rPr>
              <w:t xml:space="preserve"> </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rPr>
            </w:pPr>
            <w:r w:rsidRPr="00615CA9">
              <w:rPr>
                <w:rFonts w:ascii="Calibri" w:hAnsi="Calibri" w:cs="Calibri"/>
                <w:sz w:val="22"/>
                <w:szCs w:val="22"/>
              </w:rPr>
              <w:t>Strengths-based transition support shifts the focus from what young people cannot yet do towards what they are capable of learning, practising, and achieving with appropriate support over time.</w:t>
            </w:r>
          </w:p>
          <w:p w:rsidR="008076C0" w:rsidRPr="00615CA9" w:rsidP="003B5342">
            <w:pPr>
              <w:rPr>
                <w:rFonts w:ascii="Calibri" w:hAnsi="Calibri" w:cs="Calibri"/>
                <w:sz w:val="22"/>
                <w:szCs w:val="22"/>
              </w:rPr>
            </w:pPr>
          </w:p>
          <w:p w:rsidR="008076C0" w:rsidRPr="00615CA9" w:rsidP="003B5342">
            <w:pPr>
              <w:rPr>
                <w:rFonts w:ascii="Calibri" w:hAnsi="Calibri" w:cs="Calibri"/>
                <w:sz w:val="22"/>
                <w:szCs w:val="22"/>
                <w:lang w:val="en-US"/>
              </w:rPr>
            </w:pPr>
            <w:r w:rsidRPr="00615CA9">
              <w:rPr>
                <w:rFonts w:ascii="Calibri" w:hAnsi="Calibri" w:cs="Calibri"/>
                <w:sz w:val="22"/>
                <w:szCs w:val="22"/>
                <w:lang w:val="en-US"/>
              </w:rPr>
              <w:t>Overall, strengths-based transition support appears most successful where services:</w:t>
            </w:r>
          </w:p>
          <w:p w:rsidR="008076C0" w:rsidRPr="00615CA9" w:rsidP="003B5342">
            <w:pPr>
              <w:numPr>
                <w:ilvl w:val="0"/>
                <w:numId w:val="29"/>
              </w:numPr>
              <w:rPr>
                <w:rFonts w:ascii="Calibri" w:hAnsi="Calibri" w:cs="Calibri"/>
                <w:sz w:val="22"/>
                <w:szCs w:val="22"/>
                <w:lang w:val="en-US"/>
              </w:rPr>
            </w:pPr>
            <w:r w:rsidRPr="00615CA9">
              <w:rPr>
                <w:rFonts w:ascii="Calibri" w:hAnsi="Calibri" w:cs="Calibri"/>
                <w:sz w:val="22"/>
                <w:szCs w:val="22"/>
                <w:lang w:val="en-US"/>
              </w:rPr>
              <w:t>focus on empowerment rather than transfer alone</w:t>
            </w:r>
          </w:p>
          <w:p w:rsidR="008076C0" w:rsidRPr="00615CA9" w:rsidP="003B5342">
            <w:pPr>
              <w:numPr>
                <w:ilvl w:val="0"/>
                <w:numId w:val="29"/>
              </w:numPr>
              <w:rPr>
                <w:rFonts w:ascii="Calibri" w:hAnsi="Calibri" w:cs="Calibri"/>
                <w:sz w:val="22"/>
                <w:szCs w:val="22"/>
                <w:lang w:val="en-US"/>
              </w:rPr>
            </w:pPr>
            <w:r w:rsidRPr="00615CA9">
              <w:rPr>
                <w:rFonts w:ascii="Calibri" w:hAnsi="Calibri" w:cs="Calibri"/>
                <w:sz w:val="22"/>
                <w:szCs w:val="22"/>
                <w:lang w:val="en-US"/>
              </w:rPr>
              <w:t>personalise approaches around the young person’s goals and strengths</w:t>
            </w:r>
          </w:p>
          <w:p w:rsidR="008076C0" w:rsidRPr="00615CA9" w:rsidP="003B5342">
            <w:pPr>
              <w:numPr>
                <w:ilvl w:val="0"/>
                <w:numId w:val="29"/>
              </w:numPr>
              <w:rPr>
                <w:rFonts w:ascii="Calibri" w:hAnsi="Calibri" w:cs="Calibri"/>
                <w:sz w:val="22"/>
                <w:szCs w:val="22"/>
                <w:lang w:val="en-US"/>
              </w:rPr>
            </w:pPr>
            <w:r w:rsidRPr="00615CA9">
              <w:rPr>
                <w:rFonts w:ascii="Calibri" w:hAnsi="Calibri" w:cs="Calibri"/>
                <w:sz w:val="22"/>
                <w:szCs w:val="22"/>
                <w:lang w:val="en-US"/>
              </w:rPr>
              <w:t>involve families appropriately</w:t>
            </w:r>
          </w:p>
          <w:p w:rsidR="008076C0" w:rsidRPr="00615CA9" w:rsidP="003B5342">
            <w:pPr>
              <w:numPr>
                <w:ilvl w:val="0"/>
                <w:numId w:val="29"/>
              </w:numPr>
              <w:rPr>
                <w:rFonts w:ascii="Calibri" w:hAnsi="Calibri" w:cs="Calibri"/>
                <w:sz w:val="22"/>
                <w:szCs w:val="22"/>
                <w:lang w:val="en-US"/>
              </w:rPr>
            </w:pPr>
            <w:r w:rsidRPr="00615CA9">
              <w:rPr>
                <w:rFonts w:ascii="Calibri" w:hAnsi="Calibri" w:cs="Calibri"/>
                <w:sz w:val="22"/>
                <w:szCs w:val="22"/>
                <w:lang w:val="en-US"/>
              </w:rPr>
              <w:t>phase education gradually over time</w:t>
            </w:r>
          </w:p>
          <w:p w:rsidR="008076C0" w:rsidRPr="00615CA9" w:rsidP="003B5342">
            <w:pPr>
              <w:numPr>
                <w:ilvl w:val="0"/>
                <w:numId w:val="29"/>
              </w:numPr>
              <w:rPr>
                <w:rFonts w:ascii="Calibri" w:hAnsi="Calibri" w:cs="Calibri"/>
                <w:sz w:val="22"/>
                <w:szCs w:val="22"/>
                <w:lang w:val="en-US"/>
              </w:rPr>
            </w:pPr>
            <w:r w:rsidRPr="00615CA9">
              <w:rPr>
                <w:rFonts w:ascii="Calibri" w:hAnsi="Calibri" w:cs="Calibri"/>
                <w:sz w:val="22"/>
                <w:szCs w:val="22"/>
                <w:lang w:val="en-US"/>
              </w:rPr>
              <w:t>create psychologically safe opportunities for discussion and peer support</w:t>
            </w:r>
          </w:p>
          <w:p w:rsidR="008076C0" w:rsidRPr="00615CA9" w:rsidP="003B5342">
            <w:pPr>
              <w:numPr>
                <w:ilvl w:val="0"/>
                <w:numId w:val="29"/>
              </w:numPr>
              <w:rPr>
                <w:rFonts w:ascii="Calibri" w:hAnsi="Calibri" w:cs="Calibri"/>
                <w:sz w:val="22"/>
                <w:szCs w:val="22"/>
                <w:lang w:val="en-US"/>
              </w:rPr>
            </w:pPr>
            <w:r w:rsidRPr="00615CA9">
              <w:rPr>
                <w:rFonts w:ascii="Calibri" w:hAnsi="Calibri" w:cs="Calibri"/>
                <w:sz w:val="22"/>
                <w:szCs w:val="22"/>
                <w:lang w:val="en-US"/>
              </w:rPr>
              <w:t>and embed transition conversations routinely within clinical care rather than treating transition as a single event shortly before transfer to adult services.</w:t>
            </w:r>
          </w:p>
          <w:p w:rsidR="008076C0" w:rsidRPr="00615CA9">
            <w:pPr>
              <w:rPr>
                <w:rFonts w:ascii="Calibri" w:hAnsi="Calibri" w:cs="Calibri"/>
                <w:sz w:val="22"/>
                <w:szCs w:val="22"/>
              </w:rPr>
            </w:pPr>
          </w:p>
        </w:tc>
      </w:tr>
      <w:tr w:rsidTr="4FF11C81">
        <w:tblPrEx>
          <w:tblW w:w="10490" w:type="dxa"/>
          <w:tblInd w:w="-714" w:type="dxa"/>
          <w:tblLook w:val="04A0"/>
        </w:tblPrEx>
        <w:tc>
          <w:tcPr>
            <w:tcW w:w="1985" w:type="dxa"/>
            <w:vMerge/>
          </w:tcPr>
          <w:p w:rsidR="008076C0" w:rsidRPr="00615CA9">
            <w:pPr>
              <w:rPr>
                <w:rFonts w:ascii="Calibri" w:hAnsi="Calibri" w:cs="Calibri"/>
                <w:b/>
                <w:bCs/>
                <w:sz w:val="20"/>
                <w:szCs w:val="20"/>
              </w:rPr>
            </w:pPr>
          </w:p>
        </w:tc>
        <w:tc>
          <w:tcPr>
            <w:tcW w:w="8505" w:type="dxa"/>
          </w:tcPr>
          <w:p w:rsidR="008076C0" w:rsidRPr="00615CA9">
            <w:pPr>
              <w:rPr>
                <w:rFonts w:ascii="Calibri" w:hAnsi="Calibri" w:cs="Calibri"/>
                <w:sz w:val="22"/>
                <w:szCs w:val="22"/>
              </w:rPr>
            </w:pPr>
            <w:r w:rsidRPr="00615CA9">
              <w:rPr>
                <w:rFonts w:ascii="Calibri" w:hAnsi="Calibri" w:cs="Calibri"/>
                <w:sz w:val="22"/>
                <w:szCs w:val="22"/>
              </w:rPr>
              <w:t xml:space="preserve">2. How is the recommendation that the point of transfer to adult services should be based on individual need, rather than rigid age criteria, managed in practice </w:t>
            </w:r>
            <w:r>
              <w:fldChar w:fldCharType="begin"/>
            </w:r>
            <w:r>
              <w:instrText xml:space="preserve"> HYPERLINK "https://www.nice.org.uk/guidance/ng43/chapter/Recommendations" \l "transition-planning" \t "_blank" </w:instrText>
            </w:r>
            <w:r>
              <w:fldChar w:fldCharType="separate"/>
            </w:r>
            <w:r w:rsidRPr="00615CA9">
              <w:rPr>
                <w:rStyle w:val="Hyperlink"/>
                <w:rFonts w:ascii="Calibri" w:hAnsi="Calibri" w:cs="Calibri"/>
                <w:color w:val="auto"/>
                <w:sz w:val="22"/>
                <w:szCs w:val="22"/>
                <w:lang w:val="en-US"/>
              </w:rPr>
              <w:t>NICE NG43 (1.2.3, 2016)</w:t>
            </w:r>
            <w:r>
              <w:fldChar w:fldCharType="end"/>
            </w:r>
            <w:r w:rsidRPr="00615CA9">
              <w:rPr>
                <w:rFonts w:ascii="Calibri" w:hAnsi="Calibri" w:cs="Calibri"/>
              </w:rPr>
              <w:t>?</w:t>
            </w:r>
          </w:p>
        </w:tc>
      </w:tr>
      <w:tr w:rsidTr="4FF11C81">
        <w:tblPrEx>
          <w:tblW w:w="10490" w:type="dxa"/>
          <w:tblInd w:w="-714" w:type="dxa"/>
          <w:tblLook w:val="04A0"/>
        </w:tblPrEx>
        <w:tc>
          <w:tcPr>
            <w:tcW w:w="1985" w:type="dxa"/>
            <w:vMerge/>
          </w:tcPr>
          <w:p w:rsidR="008076C0" w:rsidRPr="00615CA9">
            <w:pPr>
              <w:rPr>
                <w:rFonts w:ascii="Calibri" w:hAnsi="Calibri" w:cs="Calibri"/>
                <w:b/>
                <w:bCs/>
                <w:sz w:val="20"/>
                <w:szCs w:val="20"/>
              </w:rPr>
            </w:pPr>
          </w:p>
        </w:tc>
        <w:tc>
          <w:tcPr>
            <w:tcW w:w="8505" w:type="dxa"/>
          </w:tcPr>
          <w:p w:rsidR="008076C0" w:rsidRPr="00615CA9" w:rsidP="005231A4">
            <w:pPr>
              <w:rPr>
                <w:rFonts w:ascii="Calibri" w:hAnsi="Calibri" w:cs="Calibri"/>
                <w:sz w:val="22"/>
                <w:szCs w:val="22"/>
              </w:rPr>
            </w:pPr>
            <w:r w:rsidRPr="00615CA9">
              <w:rPr>
                <w:rFonts w:ascii="Calibri" w:hAnsi="Calibri" w:cs="Calibri"/>
                <w:sz w:val="22"/>
                <w:szCs w:val="22"/>
              </w:rPr>
              <w:t>A major challenge in implementing this recommendation in practice is that healthcare systems, commissioning arrangements, and service access policies often continue to operate around rigid chronological age thresholds, even where national guidance emphasises developmental readiness and individual need.</w:t>
            </w:r>
          </w:p>
          <w:p w:rsidR="008076C0" w:rsidRPr="00615CA9" w:rsidP="005231A4">
            <w:pPr>
              <w:rPr>
                <w:rFonts w:ascii="Calibri" w:hAnsi="Calibri" w:cs="Calibri"/>
                <w:sz w:val="22"/>
                <w:szCs w:val="22"/>
              </w:rPr>
            </w:pPr>
          </w:p>
          <w:p w:rsidR="008076C0" w:rsidRPr="00615CA9" w:rsidP="005231A4">
            <w:pPr>
              <w:rPr>
                <w:rFonts w:ascii="Calibri" w:hAnsi="Calibri" w:cs="Calibri"/>
                <w:sz w:val="22"/>
                <w:szCs w:val="22"/>
              </w:rPr>
            </w:pPr>
            <w:r w:rsidRPr="00615CA9">
              <w:rPr>
                <w:rFonts w:ascii="Calibri" w:hAnsi="Calibri" w:cs="Calibri"/>
                <w:sz w:val="22"/>
                <w:szCs w:val="22"/>
              </w:rPr>
              <w:t>Across the specialist teams consulted, there was wide variation in how flexibly transition timing could be managed in practice. In some specialties, particularly those with established adolescent and young adult pathways, there was greater ability to individualise transition timing according to developmental readiness, psychological stability, educational pressures, disease stability, and social circumstances. However, in many other settings, transfer timing remained heavily determined by organisational age</w:t>
            </w:r>
            <w:r w:rsidRPr="00615CA9">
              <w:rPr>
                <w:rFonts w:ascii="Calibri" w:hAnsi="Calibri" w:cs="Calibri"/>
                <w:sz w:val="22"/>
                <w:szCs w:val="22"/>
              </w:rPr>
              <w:t xml:space="preserve"> cut-offs rather than the young person’s individual needs.</w:t>
            </w:r>
          </w:p>
          <w:p w:rsidR="008076C0" w:rsidRPr="00615CA9" w:rsidP="005231A4">
            <w:pPr>
              <w:rPr>
                <w:rFonts w:ascii="Calibri" w:hAnsi="Calibri" w:cs="Calibri"/>
                <w:sz w:val="22"/>
                <w:szCs w:val="22"/>
              </w:rPr>
            </w:pPr>
          </w:p>
          <w:p w:rsidR="008076C0" w:rsidRPr="00615CA9" w:rsidP="005231A4">
            <w:pPr>
              <w:rPr>
                <w:rFonts w:ascii="Calibri" w:hAnsi="Calibri" w:cs="Calibri"/>
                <w:sz w:val="22"/>
                <w:szCs w:val="22"/>
              </w:rPr>
            </w:pPr>
            <w:r w:rsidRPr="00615CA9">
              <w:rPr>
                <w:rFonts w:ascii="Calibri" w:hAnsi="Calibri" w:cs="Calibri"/>
                <w:sz w:val="22"/>
                <w:szCs w:val="22"/>
              </w:rPr>
              <w:t>Several services highlighted that dedicated adolescent clinics and cross-site adolescent/young adult pathways can create a valuable “soft landing” for young people by providing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care over several years before transfer to adult services. Rheumatology and congenital cardiology services described positive experiences where young people were routinely referred into adolescent-focused pathways from approximately 12–13 years of age, allowing time for phased education, relationship-building, gradual empowerment, and increasing familiarity with adult healthcare models.</w:t>
            </w:r>
          </w:p>
          <w:p w:rsidR="008076C0" w:rsidRPr="00615CA9" w:rsidP="005231A4">
            <w:pPr>
              <w:rPr>
                <w:rFonts w:ascii="Calibri" w:hAnsi="Calibri" w:cs="Calibri"/>
                <w:sz w:val="22"/>
                <w:szCs w:val="22"/>
              </w:rPr>
            </w:pPr>
          </w:p>
          <w:p w:rsidR="008076C0" w:rsidRPr="00615CA9" w:rsidP="005231A4">
            <w:pPr>
              <w:rPr>
                <w:rFonts w:ascii="Calibri" w:hAnsi="Calibri" w:cs="Calibri"/>
                <w:sz w:val="22"/>
                <w:szCs w:val="22"/>
              </w:rPr>
            </w:pPr>
            <w:r w:rsidRPr="00615CA9">
              <w:rPr>
                <w:rFonts w:ascii="Calibri" w:hAnsi="Calibri" w:cs="Calibri"/>
                <w:sz w:val="22"/>
                <w:szCs w:val="22"/>
              </w:rPr>
              <w:t>However, even within these more established pathways, referrals into adolescent services were often delayed until 16–17 years of age or later because transition continued to be misunderstood by some referring clinicians as a transfer process rather than a gradual developmental intervention. This significantly reduced the time available to support meaningful empowerment prior to transfer. Services described the need for substantial ongoing education of clinicians regarding the purpose of transition and the i</w:t>
            </w:r>
            <w:r w:rsidRPr="00615CA9">
              <w:rPr>
                <w:rFonts w:ascii="Calibri" w:hAnsi="Calibri" w:cs="Calibri"/>
                <w:sz w:val="22"/>
                <w:szCs w:val="22"/>
              </w:rPr>
              <w:t>mportance of early referral into adolescent-focused support.</w:t>
            </w:r>
          </w:p>
          <w:p w:rsidR="008076C0" w:rsidRPr="00615CA9" w:rsidP="005231A4">
            <w:pPr>
              <w:rPr>
                <w:rFonts w:ascii="Calibri" w:hAnsi="Calibri" w:cs="Calibri"/>
                <w:sz w:val="22"/>
                <w:szCs w:val="22"/>
              </w:rPr>
            </w:pPr>
          </w:p>
          <w:p w:rsidR="008076C0" w:rsidRPr="00615CA9" w:rsidP="005231A4">
            <w:pPr>
              <w:rPr>
                <w:rFonts w:ascii="Calibri" w:hAnsi="Calibri" w:cs="Calibri"/>
                <w:sz w:val="22"/>
                <w:szCs w:val="22"/>
              </w:rPr>
            </w:pPr>
            <w:r w:rsidRPr="00615CA9">
              <w:rPr>
                <w:rFonts w:ascii="Calibri" w:hAnsi="Calibri" w:cs="Calibri"/>
                <w:sz w:val="22"/>
                <w:szCs w:val="22"/>
              </w:rPr>
              <w:t>Learning disability, autism, communication difficulties, mental health concerns, and psychosocial complexity were frequently identified as factors requiring greater flexibility and more gradual preparation. Importantly, clinicians emphasised that these young people often require earlier and longer transition processes rather than simply later transfer. Earlier planning allows more time to coordinate services, implement reasonable adjustments, involve social care and community teams, support families psychol</w:t>
            </w:r>
            <w:r w:rsidRPr="00615CA9">
              <w:rPr>
                <w:rFonts w:ascii="Calibri" w:hAnsi="Calibri" w:cs="Calibri"/>
                <w:sz w:val="22"/>
                <w:szCs w:val="22"/>
              </w:rPr>
              <w:t>ogically, and gradually build familiarity with adult environments and professionals.</w:t>
            </w:r>
          </w:p>
          <w:p w:rsidR="008076C0" w:rsidRPr="00615CA9" w:rsidP="005231A4">
            <w:pPr>
              <w:rPr>
                <w:rFonts w:ascii="Calibri" w:hAnsi="Calibri" w:cs="Calibri"/>
                <w:sz w:val="22"/>
                <w:szCs w:val="22"/>
              </w:rPr>
            </w:pPr>
          </w:p>
          <w:p w:rsidR="008076C0" w:rsidRPr="00615CA9" w:rsidP="005231A4">
            <w:pPr>
              <w:rPr>
                <w:rFonts w:ascii="Calibri" w:hAnsi="Calibri" w:cs="Calibri"/>
                <w:sz w:val="22"/>
                <w:szCs w:val="22"/>
              </w:rPr>
            </w:pPr>
            <w:r w:rsidRPr="00615CA9">
              <w:rPr>
                <w:rFonts w:ascii="Calibri" w:hAnsi="Calibri" w:cs="Calibri"/>
                <w:sz w:val="22"/>
                <w:szCs w:val="22"/>
              </w:rPr>
              <w:t>At the same time, services also described significant tension between individualised developmental approaches and rigid organisational policies. One of the most commonly reported barriers was the “16–18 year gap”, whereby paediatric services may not routinely accept new referrals after age 16 while adult services may refuse to accept patients until age 18. This can leave young people without access to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specialist care despite ongoing clinical need.</w:t>
            </w:r>
          </w:p>
          <w:p w:rsidR="008076C0" w:rsidRPr="00615CA9" w:rsidP="005231A4">
            <w:pPr>
              <w:rPr>
                <w:rFonts w:ascii="Calibri" w:hAnsi="Calibri" w:cs="Calibri"/>
                <w:sz w:val="22"/>
                <w:szCs w:val="22"/>
              </w:rPr>
            </w:pPr>
          </w:p>
          <w:p w:rsidR="008076C0" w:rsidRPr="00615CA9" w:rsidP="005231A4">
            <w:pPr>
              <w:rPr>
                <w:rFonts w:ascii="Calibri" w:hAnsi="Calibri" w:cs="Calibri"/>
                <w:sz w:val="22"/>
                <w:szCs w:val="22"/>
              </w:rPr>
            </w:pPr>
            <w:r w:rsidRPr="00615CA9">
              <w:rPr>
                <w:rFonts w:ascii="Calibri" w:hAnsi="Calibri" w:cs="Calibri"/>
                <w:sz w:val="22"/>
                <w:szCs w:val="22"/>
              </w:rPr>
              <w:t>Several teams also highlighted that transfer timing frequently coincides with periods of significant developmental and educational stress, particularly GCSEs, A-levels, or transition to university. Pulmonary hypertension and other specialist teams reported intentionally delaying transfer for some young people until after major examinations because of concerns regarding stress, treatment complexity, and psychological burden. Some services felt that transfer during Year 12, rather than Year 13, may be develop</w:t>
            </w:r>
            <w:r w:rsidRPr="00615CA9">
              <w:rPr>
                <w:rFonts w:ascii="Calibri" w:hAnsi="Calibri" w:cs="Calibri"/>
                <w:sz w:val="22"/>
                <w:szCs w:val="22"/>
              </w:rPr>
              <w:t>mentally and educationally more appropriate where service structures allow.</w:t>
            </w:r>
          </w:p>
          <w:p w:rsidR="008076C0" w:rsidRPr="00615CA9" w:rsidP="005231A4">
            <w:pPr>
              <w:rPr>
                <w:rFonts w:ascii="Calibri" w:hAnsi="Calibri" w:cs="Calibri"/>
                <w:sz w:val="22"/>
                <w:szCs w:val="22"/>
              </w:rPr>
            </w:pPr>
            <w:r w:rsidRPr="00615CA9">
              <w:rPr>
                <w:rFonts w:ascii="Calibri" w:hAnsi="Calibri" w:cs="Calibri"/>
                <w:sz w:val="22"/>
                <w:szCs w:val="22"/>
              </w:rPr>
              <w:t>Disease stability was also recognised as an important consideration. NICE guidance appropriately recommends that transfer should occur during periods of relative stability; however, in practice this can be difficult where adult-service waiting lists are prolonged, specialist adult provision is limited, or administrative processes delay transfer for extended periods.</w:t>
            </w:r>
          </w:p>
          <w:p w:rsidR="008076C0" w:rsidRPr="00615CA9" w:rsidP="005231A4">
            <w:pPr>
              <w:rPr>
                <w:rFonts w:ascii="Calibri" w:hAnsi="Calibri" w:cs="Calibri"/>
                <w:sz w:val="22"/>
                <w:szCs w:val="22"/>
              </w:rPr>
            </w:pPr>
          </w:p>
          <w:p w:rsidR="008076C0" w:rsidRPr="00615CA9" w:rsidP="005231A4">
            <w:pPr>
              <w:rPr>
                <w:rFonts w:ascii="Calibri" w:hAnsi="Calibri" w:cs="Calibri"/>
                <w:sz w:val="22"/>
                <w:szCs w:val="22"/>
              </w:rPr>
            </w:pPr>
            <w:r w:rsidRPr="00615CA9">
              <w:rPr>
                <w:rFonts w:ascii="Calibri" w:hAnsi="Calibri" w:cs="Calibri"/>
                <w:sz w:val="22"/>
                <w:szCs w:val="22"/>
              </w:rPr>
              <w:t>For some highly specialised conditions, clinicians described situations where there was no equivalent adult service available or where adult teams lacked familiarity with rare paediatric-onset diseases or complex therapies. In these situations, paediatric services may continue supporting patients beyond typical age thresholds because transfer at that point would not represent safe or appropriate care.</w:t>
            </w:r>
          </w:p>
          <w:p w:rsidR="008076C0" w:rsidRPr="00615CA9" w:rsidP="005231A4">
            <w:pPr>
              <w:rPr>
                <w:rFonts w:ascii="Calibri" w:hAnsi="Calibri" w:cs="Calibri"/>
                <w:sz w:val="22"/>
                <w:szCs w:val="22"/>
              </w:rPr>
            </w:pPr>
          </w:p>
          <w:p w:rsidR="008076C0" w:rsidRPr="00615CA9" w:rsidP="005231A4">
            <w:pPr>
              <w:rPr>
                <w:rFonts w:ascii="Calibri" w:hAnsi="Calibri" w:cs="Calibri"/>
                <w:sz w:val="22"/>
                <w:szCs w:val="22"/>
              </w:rPr>
            </w:pPr>
            <w:r w:rsidRPr="00615CA9">
              <w:rPr>
                <w:rFonts w:ascii="Calibri" w:hAnsi="Calibri" w:cs="Calibri"/>
                <w:sz w:val="22"/>
                <w:szCs w:val="22"/>
              </w:rPr>
              <w:t>Continuity and familiarity with trusted professionals were repeatedly identified as important facilitators of successful transition. Young people and families often develop strong long-term therapeutic relationships with paediatric teams, and abrupt transfer based purely on age can increase anxiety, reduce engagement, and undermine confidence during transition. Developmentally appropriate</w:t>
            </w:r>
            <w:r w:rsidRPr="00615CA9">
              <w:rPr>
                <w:rFonts w:ascii="Calibri" w:hAnsi="Calibri" w:cs="Calibri"/>
                <w:sz w:val="22"/>
                <w:szCs w:val="22"/>
              </w:rPr>
              <w:t xml:space="preserve"> </w:t>
            </w:r>
            <w:r w:rsidRPr="00615CA9">
              <w:rPr>
                <w:rFonts w:ascii="Calibri" w:hAnsi="Calibri" w:cs="Calibri"/>
                <w:sz w:val="22"/>
                <w:szCs w:val="22"/>
              </w:rPr>
              <w:t>and individualised</w:t>
            </w:r>
            <w:r w:rsidRPr="00615CA9">
              <w:rPr>
                <w:rFonts w:ascii="Calibri" w:hAnsi="Calibri" w:cs="Calibri"/>
                <w:sz w:val="22"/>
                <w:szCs w:val="22"/>
              </w:rPr>
              <w:t xml:space="preserve"> transition therefore requires balancing emotional readiness, autonomy development, safeguarding considerations, educational pressures, disease stability, and service availability rather than relying solely on chronological age.</w:t>
            </w:r>
          </w:p>
          <w:p w:rsidR="008076C0" w:rsidRPr="00615CA9" w:rsidP="005231A4">
            <w:pPr>
              <w:rPr>
                <w:rFonts w:ascii="Calibri" w:hAnsi="Calibri" w:cs="Calibri"/>
                <w:sz w:val="22"/>
                <w:szCs w:val="22"/>
              </w:rPr>
            </w:pPr>
          </w:p>
          <w:p w:rsidR="008076C0" w:rsidRPr="00615CA9" w:rsidP="005231A4">
            <w:pPr>
              <w:rPr>
                <w:rFonts w:ascii="Calibri" w:hAnsi="Calibri" w:cs="Calibri"/>
                <w:sz w:val="22"/>
                <w:szCs w:val="22"/>
              </w:rPr>
            </w:pPr>
            <w:r w:rsidRPr="00615CA9">
              <w:rPr>
                <w:rFonts w:ascii="Calibri" w:hAnsi="Calibri" w:cs="Calibri"/>
                <w:sz w:val="22"/>
                <w:szCs w:val="22"/>
              </w:rPr>
              <w:t>Overall, while NICE guidance strongly supports developmentally appropriate and individualised transfer timing, implementation in practice remains inconsistent and is frequently constrained by rigid commissioning structures, service age thresholds, workforce pressures, and variability in adult-service provision. Services with dedicated adolescent infrastructure appear better able to operationalise flexible</w:t>
            </w:r>
            <w:r w:rsidRPr="00615CA9">
              <w:rPr>
                <w:rFonts w:ascii="Calibri" w:hAnsi="Calibri" w:cs="Calibri"/>
                <w:sz w:val="22"/>
                <w:szCs w:val="22"/>
              </w:rPr>
              <w:t>,</w:t>
            </w:r>
            <w:r w:rsidRPr="00615CA9">
              <w:rPr>
                <w:rFonts w:ascii="Calibri" w:hAnsi="Calibri" w:cs="Calibri"/>
                <w:sz w:val="22"/>
                <w:szCs w:val="22"/>
              </w:rPr>
              <w:t xml:space="preserve">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transition pathways; however, broader system-level change is required if individual need rather than age alone is to genuinely determine transition timing across services nationally.</w:t>
            </w:r>
          </w:p>
          <w:p w:rsidR="008076C0" w:rsidRPr="00615CA9" w:rsidP="005231A4">
            <w:pPr>
              <w:rPr>
                <w:rFonts w:ascii="Calibri" w:hAnsi="Calibri" w:cs="Calibri"/>
                <w:sz w:val="22"/>
                <w:szCs w:val="22"/>
              </w:rPr>
            </w:pPr>
          </w:p>
        </w:tc>
      </w:tr>
      <w:tr w:rsidTr="4FF11C81">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Appropriateness</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 xml:space="preserve">1. To what extent are service providers able to meet these statements of intent? </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C26531">
            <w:pPr>
              <w:rPr>
                <w:rFonts w:ascii="Calibri" w:hAnsi="Calibri" w:cs="Calibri"/>
                <w:sz w:val="22"/>
                <w:szCs w:val="22"/>
              </w:rPr>
            </w:pPr>
            <w:r w:rsidRPr="00615CA9">
              <w:rPr>
                <w:rFonts w:ascii="Calibri" w:hAnsi="Calibri" w:cs="Calibri"/>
                <w:sz w:val="22"/>
                <w:szCs w:val="22"/>
              </w:rPr>
              <w:t>Service providers are only partially able to meet these statements of intent. The intent is clear and appropriate, but implementation remains inconsistent because the required infrastructure, workforce capacity, adult-service engagement, digital systems, and cross-sector pathways are not reliably in place.</w:t>
            </w:r>
          </w:p>
          <w:p w:rsidR="008076C0" w:rsidRPr="00615CA9" w:rsidP="00C26531">
            <w:pPr>
              <w:rPr>
                <w:rFonts w:ascii="Calibri" w:hAnsi="Calibri" w:cs="Calibri"/>
                <w:sz w:val="22"/>
                <w:szCs w:val="22"/>
              </w:rPr>
            </w:pPr>
          </w:p>
          <w:p w:rsidR="008076C0" w:rsidRPr="00615CA9" w:rsidP="00C26531">
            <w:pPr>
              <w:rPr>
                <w:rFonts w:ascii="Calibri" w:hAnsi="Calibri" w:cs="Calibri"/>
                <w:sz w:val="22"/>
                <w:szCs w:val="22"/>
              </w:rPr>
            </w:pPr>
            <w:r w:rsidRPr="00615CA9">
              <w:rPr>
                <w:rFonts w:ascii="Calibri" w:hAnsi="Calibri" w:cs="Calibri"/>
                <w:sz w:val="22"/>
                <w:szCs w:val="22"/>
              </w:rPr>
              <w:t xml:space="preserve">At GOSH, significant progress has been made. </w:t>
            </w:r>
            <w:r w:rsidRPr="00615CA9">
              <w:rPr>
                <w:rFonts w:ascii="Calibri" w:hAnsi="Calibri" w:cs="Calibri"/>
                <w:sz w:val="22"/>
                <w:szCs w:val="22"/>
              </w:rPr>
              <w:t xml:space="preserve">At organisational level, healthcare transition is also aligned within the safeguarding portfolio, reflecting recognition that unsuccessful transition and loss to follow-up represent important patient safety and safeguarding risks for vulnerable young people with chronic conditions. </w:t>
            </w:r>
            <w:r w:rsidRPr="00615CA9">
              <w:rPr>
                <w:rFonts w:ascii="Calibri" w:hAnsi="Calibri" w:cs="Calibri"/>
                <w:sz w:val="22"/>
                <w:szCs w:val="22"/>
              </w:rPr>
              <w:t>The Patient Empowerment, Healthcare Transition and Transfer Policy sets out that young people with chronic illness should begin transition-focused empowerment work by age 12. Epic now includes a dedicated Healthcare Transition ta</w:t>
            </w:r>
            <w:r w:rsidRPr="00615CA9">
              <w:rPr>
                <w:rFonts w:ascii="Calibri" w:hAnsi="Calibri" w:cs="Calibri"/>
                <w:sz w:val="22"/>
                <w:szCs w:val="22"/>
              </w:rPr>
              <w:t>b, and a Trust-wide transition dashboard has been developed to monitor documentation and variation across services. GOSH has also introduced a Referral to Treatment Outcome for “Transfer to Adults”, which enables administrative follow-up with adult services and supports monitoring of whether young people have been seen after referral.</w:t>
            </w:r>
          </w:p>
          <w:p w:rsidR="008076C0" w:rsidRPr="00615CA9" w:rsidP="00C26531">
            <w:pPr>
              <w:rPr>
                <w:rFonts w:ascii="Calibri" w:hAnsi="Calibri" w:cs="Calibri"/>
                <w:sz w:val="22"/>
                <w:szCs w:val="22"/>
              </w:rPr>
            </w:pPr>
          </w:p>
          <w:p w:rsidR="008076C0" w:rsidRPr="00615CA9" w:rsidP="00C26531">
            <w:pPr>
              <w:rPr>
                <w:rFonts w:ascii="Calibri" w:hAnsi="Calibri" w:cs="Calibri"/>
                <w:sz w:val="22"/>
                <w:szCs w:val="22"/>
              </w:rPr>
            </w:pPr>
            <w:r w:rsidRPr="00615CA9">
              <w:rPr>
                <w:rFonts w:ascii="Calibri" w:hAnsi="Calibri" w:cs="Calibri"/>
                <w:sz w:val="22"/>
                <w:szCs w:val="22"/>
              </w:rPr>
              <w:t>These developments show that specialist providers can make meaningful progress when transition is treated as core infrastructure rather than an optional activity. However, implementation remains variable across specialties. Some services have well-established adolescent or transition pathways, dedicated clinics, strong patient education programmes, and close working relationships with adult services. Others remain dependent on individual clinicians, local spreadsheets, informal relationships, or ad hoc admi</w:t>
            </w:r>
            <w:r w:rsidRPr="00615CA9">
              <w:rPr>
                <w:rFonts w:ascii="Calibri" w:hAnsi="Calibri" w:cs="Calibri"/>
                <w:sz w:val="22"/>
                <w:szCs w:val="22"/>
              </w:rPr>
              <w:t>nistrative processes.</w:t>
            </w:r>
          </w:p>
          <w:p w:rsidR="008076C0" w:rsidRPr="00615CA9" w:rsidP="00C26531">
            <w:pPr>
              <w:rPr>
                <w:rFonts w:ascii="Calibri" w:hAnsi="Calibri" w:cs="Calibri"/>
                <w:sz w:val="22"/>
                <w:szCs w:val="22"/>
              </w:rPr>
            </w:pPr>
          </w:p>
          <w:p w:rsidR="008076C0" w:rsidRPr="00615CA9" w:rsidP="00C26531">
            <w:pPr>
              <w:rPr>
                <w:rFonts w:ascii="Calibri" w:hAnsi="Calibri" w:cs="Calibri"/>
                <w:sz w:val="22"/>
                <w:szCs w:val="22"/>
              </w:rPr>
            </w:pPr>
            <w:r w:rsidRPr="00615CA9">
              <w:rPr>
                <w:rFonts w:ascii="Calibri" w:hAnsi="Calibri" w:cs="Calibri"/>
                <w:sz w:val="22"/>
                <w:szCs w:val="22"/>
              </w:rPr>
              <w:t>A major barrier is that transition is still frequently misunderstood as the final transfer of care rather than a longitudinal process of empowerment. This contributes to late referral into adolescent pathways, often at 16–17 years or later, despite national guidance that planning should begin by Year 9 or earlier. Where young people are referred late, services have limited time to build knowledge, confidence, self-management skills, family adjustment, and familiarity with adult healthcare before transfer.</w:t>
            </w:r>
          </w:p>
          <w:p w:rsidR="008076C0" w:rsidRPr="00615CA9" w:rsidP="00C26531">
            <w:pPr>
              <w:rPr>
                <w:rFonts w:ascii="Calibri" w:hAnsi="Calibri" w:cs="Calibri"/>
                <w:sz w:val="22"/>
                <w:szCs w:val="22"/>
              </w:rPr>
            </w:pPr>
          </w:p>
          <w:p w:rsidR="008076C0" w:rsidRPr="00615CA9" w:rsidP="00C26531">
            <w:pPr>
              <w:rPr>
                <w:rFonts w:ascii="Calibri" w:hAnsi="Calibri" w:cs="Calibri"/>
                <w:sz w:val="22"/>
                <w:szCs w:val="22"/>
              </w:rPr>
            </w:pPr>
            <w:r w:rsidRPr="00615CA9">
              <w:rPr>
                <w:rFonts w:ascii="Calibri" w:hAnsi="Calibri" w:cs="Calibri"/>
                <w:sz w:val="22"/>
                <w:szCs w:val="22"/>
              </w:rPr>
              <w:t>Adult-service capacity and engagement are also significant limiting factors. Some adult services have long waiting lists, do not accept referrals before age 18, lack equivalent specialist provision, or do not consistently respond to requests for referral outcomes. This makes it difficult for paediatric providers to ensure transfer occurs without gaps, even where paediatric teams have completed appropriate transition preparation.</w:t>
            </w:r>
          </w:p>
          <w:p w:rsidR="008076C0" w:rsidRPr="00615CA9" w:rsidP="00C26531">
            <w:pPr>
              <w:rPr>
                <w:rFonts w:ascii="Calibri" w:hAnsi="Calibri" w:cs="Calibri"/>
                <w:sz w:val="22"/>
                <w:szCs w:val="22"/>
              </w:rPr>
            </w:pPr>
          </w:p>
          <w:p w:rsidR="008076C0" w:rsidRPr="00615CA9" w:rsidP="00C26531">
            <w:pPr>
              <w:rPr>
                <w:rFonts w:ascii="Calibri" w:hAnsi="Calibri" w:cs="Calibri"/>
                <w:sz w:val="22"/>
                <w:szCs w:val="22"/>
              </w:rPr>
            </w:pPr>
            <w:r w:rsidRPr="00615CA9">
              <w:rPr>
                <w:rFonts w:ascii="Calibri" w:hAnsi="Calibri" w:cs="Calibri"/>
                <w:sz w:val="22"/>
                <w:szCs w:val="22"/>
              </w:rPr>
              <w:t>There are also structural gaps for young people aged 16–18. Some paediatric services are not commissioned to accept new referrals beyond age 16, while adult services may not accept patients until 18. This creates a grey area in which young people may struggle to access age-appropriate specialist care, particularly for complex conditions, high-risk medicines, feeding devices, emergency presentations, or surgical follow-up.</w:t>
            </w:r>
          </w:p>
          <w:p w:rsidR="008076C0" w:rsidRPr="00615CA9" w:rsidP="00C26531">
            <w:pPr>
              <w:rPr>
                <w:rFonts w:ascii="Calibri" w:hAnsi="Calibri" w:cs="Calibri"/>
                <w:sz w:val="22"/>
                <w:szCs w:val="22"/>
              </w:rPr>
            </w:pPr>
            <w:r w:rsidRPr="00615CA9">
              <w:rPr>
                <w:rFonts w:ascii="Calibri" w:hAnsi="Calibri" w:cs="Calibri"/>
                <w:sz w:val="22"/>
                <w:szCs w:val="22"/>
              </w:rPr>
              <w:t xml:space="preserve">Local authority resourcing also limits the ability to meet the statements of intent. </w:t>
            </w:r>
          </w:p>
          <w:p w:rsidR="008076C0" w:rsidRPr="00615CA9" w:rsidP="00C26531">
            <w:pPr>
              <w:rPr>
                <w:rFonts w:ascii="Calibri" w:hAnsi="Calibri" w:cs="Calibri"/>
                <w:sz w:val="22"/>
                <w:szCs w:val="22"/>
              </w:rPr>
            </w:pPr>
          </w:p>
          <w:p w:rsidR="008076C0" w:rsidRPr="00615CA9" w:rsidP="00C26531">
            <w:pPr>
              <w:rPr>
                <w:rFonts w:ascii="Calibri" w:hAnsi="Calibri" w:cs="Calibri"/>
                <w:sz w:val="22"/>
                <w:szCs w:val="22"/>
              </w:rPr>
            </w:pPr>
            <w:r w:rsidRPr="00615CA9">
              <w:rPr>
                <w:rFonts w:ascii="Calibri" w:hAnsi="Calibri" w:cs="Calibri"/>
                <w:sz w:val="22"/>
                <w:szCs w:val="22"/>
              </w:rPr>
              <w:t>Specialist tertiary teams do not always work directly with local authorities, but teams report repeated family experiences of long waits, unclear processes, and delayed Care Act assessments. Where social care support is delayed, biopsychosocial risks may worsen and healthcare transition becomes less safe.</w:t>
            </w:r>
          </w:p>
          <w:p w:rsidR="008076C0" w:rsidRPr="00615CA9" w:rsidP="00C26531">
            <w:pPr>
              <w:rPr>
                <w:rFonts w:ascii="Calibri" w:hAnsi="Calibri" w:cs="Calibri"/>
                <w:sz w:val="22"/>
                <w:szCs w:val="22"/>
              </w:rPr>
            </w:pPr>
          </w:p>
          <w:p w:rsidR="008076C0" w:rsidRPr="00615CA9" w:rsidP="00C26531">
            <w:pPr>
              <w:rPr>
                <w:rFonts w:ascii="Calibri" w:hAnsi="Calibri" w:cs="Calibri"/>
                <w:sz w:val="22"/>
                <w:szCs w:val="22"/>
              </w:rPr>
            </w:pPr>
            <w:r w:rsidRPr="00615CA9">
              <w:rPr>
                <w:rFonts w:ascii="Calibri" w:hAnsi="Calibri" w:cs="Calibri"/>
                <w:sz w:val="22"/>
                <w:szCs w:val="22"/>
              </w:rPr>
              <w:t>Overall, the statements of intent are achievable in principle but are not consistently achievable within current system conditions. Meeting them reliably would require protected transition workforce capacity, dedicated administrative coordination, aligned paediatric and adult access policies, clearer adult-service accountability, better local authority responsiveness, national data standards, and sustainable commissioning models that recognise transition as a patient safety, empowerment, and long-term risk-</w:t>
            </w:r>
            <w:r w:rsidRPr="00615CA9">
              <w:rPr>
                <w:rFonts w:ascii="Calibri" w:hAnsi="Calibri" w:cs="Calibri"/>
                <w:sz w:val="22"/>
                <w:szCs w:val="22"/>
              </w:rPr>
              <w:t>reduction intervention.</w:t>
            </w:r>
          </w:p>
          <w:p w:rsidR="008076C0" w:rsidRPr="00615CA9" w:rsidP="00DD64F8">
            <w:pPr>
              <w:rPr>
                <w:rFonts w:ascii="Calibri" w:hAnsi="Calibri" w:cs="Calibri"/>
                <w:sz w:val="22"/>
                <w:szCs w:val="22"/>
              </w:rPr>
            </w:pP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 xml:space="preserve">2. How appropriate are the current expectations on the timeliness and pace of the transition at both the individual and service level? </w:t>
            </w:r>
          </w:p>
        </w:tc>
      </w:tr>
      <w:tr w:rsidTr="4FF11C81">
        <w:tblPrEx>
          <w:tblW w:w="10490" w:type="dxa"/>
          <w:tblInd w:w="-714" w:type="dxa"/>
          <w:tblLook w:val="04A0"/>
        </w:tblPrEx>
        <w:trPr>
          <w:trHeight w:val="300"/>
        </w:trPr>
        <w:tc>
          <w:tcPr>
            <w:tcW w:w="1985" w:type="dxa"/>
            <w:vMerge/>
          </w:tcPr>
          <w:p w:rsidR="008076C0" w:rsidRPr="00615CA9" w:rsidP="00DD64F8">
            <w:pPr>
              <w:rPr>
                <w:rFonts w:ascii="Calibri" w:hAnsi="Calibri" w:cs="Calibri"/>
                <w:b/>
                <w:sz w:val="20"/>
                <w:szCs w:val="20"/>
              </w:rPr>
            </w:pPr>
          </w:p>
        </w:tc>
        <w:tc>
          <w:tcPr>
            <w:tcW w:w="8505" w:type="dxa"/>
          </w:tcPr>
          <w:p w:rsidR="008076C0" w:rsidRPr="00615CA9" w:rsidP="00F20E56">
            <w:pPr>
              <w:rPr>
                <w:rFonts w:ascii="Calibri" w:hAnsi="Calibri" w:cs="Calibri"/>
                <w:sz w:val="22"/>
                <w:szCs w:val="22"/>
              </w:rPr>
            </w:pPr>
            <w:r w:rsidRPr="00615CA9">
              <w:rPr>
                <w:rFonts w:ascii="Calibri" w:hAnsi="Calibri" w:cs="Calibri"/>
                <w:sz w:val="22"/>
                <w:szCs w:val="22"/>
              </w:rPr>
              <w:t>The current expectations regarding the timeliness and pace of transition are appropriate in principle, particularly the recommendation that planning should begin by Year 9 and proceed gradually in a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manner. However, in practice there is often a significant mismatch between the expectations set within national guidance and the operational realities faced by services, young people, families, and adult providers.</w:t>
            </w:r>
          </w:p>
          <w:p w:rsidR="008076C0" w:rsidRPr="00615CA9" w:rsidP="00F20E56">
            <w:pPr>
              <w:rPr>
                <w:rFonts w:ascii="Calibri" w:hAnsi="Calibri" w:cs="Calibri"/>
                <w:sz w:val="22"/>
                <w:szCs w:val="22"/>
              </w:rPr>
            </w:pPr>
          </w:p>
          <w:p w:rsidR="008076C0" w:rsidRPr="00615CA9" w:rsidP="00F20E56">
            <w:pPr>
              <w:rPr>
                <w:rFonts w:ascii="Calibri" w:hAnsi="Calibri" w:cs="Calibri"/>
                <w:sz w:val="22"/>
                <w:szCs w:val="22"/>
              </w:rPr>
            </w:pPr>
            <w:r w:rsidRPr="00615CA9">
              <w:rPr>
                <w:rFonts w:ascii="Calibri" w:hAnsi="Calibri" w:cs="Calibri"/>
                <w:sz w:val="22"/>
                <w:szCs w:val="22"/>
              </w:rPr>
              <w:t xml:space="preserve">The principle underpinning NICE guidance is strongly supported by both clinical experience and adolescent developmental theory. Transition requires time for repeated education, relationship-building, gradual development of self-management skills, increasing health literacy, psychological adjustment, and growing confidence in navigating adult healthcare systems. For many young people with chronic illness, particularly those with complex medical, neurodevelopmental, mental health, or psychosocial needs, this </w:t>
            </w:r>
            <w:r w:rsidRPr="00615CA9">
              <w:rPr>
                <w:rFonts w:ascii="Calibri" w:hAnsi="Calibri" w:cs="Calibri"/>
                <w:sz w:val="22"/>
                <w:szCs w:val="22"/>
              </w:rPr>
              <w:t>process may need to occur over many years rather than within a short pre-transfer period.</w:t>
            </w:r>
          </w:p>
          <w:p w:rsidR="008076C0" w:rsidRPr="00615CA9" w:rsidP="00F20E56">
            <w:pPr>
              <w:rPr>
                <w:rFonts w:ascii="Calibri" w:hAnsi="Calibri" w:cs="Calibri"/>
                <w:sz w:val="22"/>
                <w:szCs w:val="22"/>
              </w:rPr>
            </w:pPr>
          </w:p>
          <w:p w:rsidR="008076C0" w:rsidRPr="00615CA9" w:rsidP="00F20E56">
            <w:pPr>
              <w:rPr>
                <w:rFonts w:ascii="Calibri" w:hAnsi="Calibri" w:cs="Calibri"/>
                <w:sz w:val="22"/>
                <w:szCs w:val="22"/>
              </w:rPr>
            </w:pPr>
            <w:r w:rsidRPr="00615CA9">
              <w:rPr>
                <w:rFonts w:ascii="Calibri" w:hAnsi="Calibri" w:cs="Calibri"/>
                <w:sz w:val="22"/>
                <w:szCs w:val="22"/>
              </w:rPr>
              <w:t>In this respect, expectations that transition planning should begin early are entirely appropriate. In practice, however, services frequently struggle to achieve these timelines consistently because transition is still widely misunderstood as a transfer event rather than a longitudinal empowerment process. As a result, many young people are not referred into adolescent-focused support until mid- or late adolescence, reducing the time available for meaningful preparation prior to transfer.</w:t>
            </w:r>
          </w:p>
          <w:p w:rsidR="008076C0" w:rsidRPr="00615CA9" w:rsidP="00F20E56">
            <w:pPr>
              <w:rPr>
                <w:rFonts w:ascii="Calibri" w:hAnsi="Calibri" w:cs="Calibri"/>
                <w:sz w:val="22"/>
                <w:szCs w:val="22"/>
              </w:rPr>
            </w:pPr>
          </w:p>
          <w:p w:rsidR="008076C0" w:rsidRPr="00615CA9" w:rsidP="00F20E56">
            <w:pPr>
              <w:rPr>
                <w:rFonts w:ascii="Calibri" w:hAnsi="Calibri" w:cs="Calibri"/>
                <w:sz w:val="22"/>
                <w:szCs w:val="22"/>
              </w:rPr>
            </w:pPr>
            <w:r w:rsidRPr="00615CA9">
              <w:rPr>
                <w:rFonts w:ascii="Calibri" w:hAnsi="Calibri" w:cs="Calibri"/>
                <w:sz w:val="22"/>
                <w:szCs w:val="22"/>
              </w:rPr>
              <w:t>At an individual level, rigid age-based expectations often conflict with developmental readiness, educational pressures, disease stability, family circumstances, safeguarding concerns, and availability of adult services. Many teams described attempting to individualise transition timing where possible, particularly around periods of major educational stress such as GCSEs or A-level examinations. Pulmonary hypertension teams, for example, described preferring transfer after GCSE completion for some young peo</w:t>
            </w:r>
            <w:r w:rsidRPr="00615CA9">
              <w:rPr>
                <w:rFonts w:ascii="Calibri" w:hAnsi="Calibri" w:cs="Calibri"/>
                <w:sz w:val="22"/>
                <w:szCs w:val="22"/>
              </w:rPr>
              <w:t>ple receiving highly complex therapies because transition during periods of heightened stress could increase psychological burden and clinical risk.</w:t>
            </w:r>
          </w:p>
          <w:p w:rsidR="008076C0" w:rsidRPr="00615CA9" w:rsidP="00F20E56">
            <w:pPr>
              <w:rPr>
                <w:rFonts w:ascii="Calibri" w:hAnsi="Calibri" w:cs="Calibri"/>
                <w:sz w:val="22"/>
                <w:szCs w:val="22"/>
              </w:rPr>
            </w:pPr>
          </w:p>
          <w:p w:rsidR="008076C0" w:rsidRPr="00615CA9" w:rsidP="00F20E56">
            <w:pPr>
              <w:rPr>
                <w:rFonts w:ascii="Calibri" w:hAnsi="Calibri" w:cs="Calibri"/>
                <w:sz w:val="22"/>
                <w:szCs w:val="22"/>
              </w:rPr>
            </w:pPr>
            <w:r w:rsidRPr="00615CA9">
              <w:rPr>
                <w:rFonts w:ascii="Calibri" w:hAnsi="Calibri" w:cs="Calibri"/>
                <w:sz w:val="22"/>
                <w:szCs w:val="22"/>
              </w:rPr>
              <w:t>Similarly, young people with learning disabilities, autism, communication difficulties, or significant psychosocial complexity often require earlier planning and longer transition processes, even if the eventual transfer itself occurs later. This reflects the importance of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pacing rather than applying a uniform process to all young people.</w:t>
            </w:r>
          </w:p>
          <w:p w:rsidR="008076C0" w:rsidRPr="00615CA9" w:rsidP="00F20E56">
            <w:pPr>
              <w:rPr>
                <w:rFonts w:ascii="Calibri" w:hAnsi="Calibri" w:cs="Calibri"/>
                <w:sz w:val="22"/>
                <w:szCs w:val="22"/>
              </w:rPr>
            </w:pPr>
          </w:p>
          <w:p w:rsidR="008076C0" w:rsidRPr="00615CA9" w:rsidP="00F20E56">
            <w:pPr>
              <w:rPr>
                <w:rFonts w:ascii="Calibri" w:hAnsi="Calibri" w:cs="Calibri"/>
                <w:sz w:val="22"/>
                <w:szCs w:val="22"/>
              </w:rPr>
            </w:pPr>
            <w:r w:rsidRPr="00615CA9">
              <w:rPr>
                <w:rFonts w:ascii="Calibri" w:hAnsi="Calibri" w:cs="Calibri"/>
                <w:sz w:val="22"/>
                <w:szCs w:val="22"/>
              </w:rPr>
              <w:t xml:space="preserve">However, while NICE guidance appropriately recommends flexibility, service structures often remain governed by rigid organisational thresholds. Adult services may refuse referrals before age 18, while paediatric services may not routinely accept new referrals beyond age </w:t>
            </w:r>
            <w:r w:rsidRPr="00615CA9">
              <w:rPr>
                <w:rFonts w:ascii="Calibri" w:hAnsi="Calibri" w:cs="Calibri"/>
                <w:sz w:val="22"/>
                <w:szCs w:val="22"/>
              </w:rPr>
              <w:t>16. These mismatched age criteria create significant operational challenges and may undermine attempts to individualise transition timing according to need.</w:t>
            </w:r>
          </w:p>
          <w:p w:rsidR="008076C0" w:rsidRPr="00615CA9" w:rsidP="00F20E56">
            <w:pPr>
              <w:rPr>
                <w:rFonts w:ascii="Calibri" w:hAnsi="Calibri" w:cs="Calibri"/>
                <w:sz w:val="22"/>
                <w:szCs w:val="22"/>
              </w:rPr>
            </w:pPr>
          </w:p>
          <w:p w:rsidR="008076C0" w:rsidRPr="00615CA9" w:rsidP="00F20E56">
            <w:pPr>
              <w:rPr>
                <w:rFonts w:ascii="Calibri" w:hAnsi="Calibri" w:cs="Calibri"/>
                <w:sz w:val="22"/>
                <w:szCs w:val="22"/>
              </w:rPr>
            </w:pPr>
            <w:r w:rsidRPr="00615CA9">
              <w:rPr>
                <w:rFonts w:ascii="Calibri" w:hAnsi="Calibri" w:cs="Calibri"/>
                <w:sz w:val="22"/>
                <w:szCs w:val="22"/>
              </w:rPr>
              <w:t>Many services also reported that adult-service waiting times substantially affect the pace of transition. Even where paediatric teams identify young people early and complete transition planning appropriately, adult services may not have sufficient capacity to review patients within requested timeframes. Consequently, young people may remain in prolonged transitional “holding” periods between paediatric and adult services, creating uncertainty for families and additional workload for paediatric teams.</w:t>
            </w:r>
          </w:p>
          <w:p w:rsidR="008076C0" w:rsidRPr="00615CA9" w:rsidP="00F20E56">
            <w:pPr>
              <w:rPr>
                <w:rFonts w:ascii="Calibri" w:hAnsi="Calibri" w:cs="Calibri"/>
                <w:sz w:val="22"/>
                <w:szCs w:val="22"/>
              </w:rPr>
            </w:pPr>
          </w:p>
          <w:p w:rsidR="008076C0" w:rsidRPr="00615CA9" w:rsidP="00F20E56">
            <w:pPr>
              <w:rPr>
                <w:rFonts w:ascii="Calibri" w:hAnsi="Calibri" w:cs="Calibri"/>
                <w:sz w:val="22"/>
                <w:szCs w:val="22"/>
              </w:rPr>
            </w:pPr>
            <w:r w:rsidRPr="00615CA9">
              <w:rPr>
                <w:rFonts w:ascii="Calibri" w:hAnsi="Calibri" w:cs="Calibri"/>
                <w:sz w:val="22"/>
                <w:szCs w:val="22"/>
              </w:rPr>
              <w:t>There is also variation between specialties regarding what constitutes an appropriate transition pace. Some services managing highly complex therapies or lifelong surveillance needs require prolonged periods of overlap, phased handover, or joint working with adult teams. Other specialties may require less intensive transition pathways. This variation reinforces the importance of flexible, specialty-specific approaches rather than rigid national operational timelines.</w:t>
            </w:r>
          </w:p>
          <w:p w:rsidR="008076C0" w:rsidRPr="00615CA9" w:rsidP="00F20E56">
            <w:pPr>
              <w:rPr>
                <w:rFonts w:ascii="Calibri" w:hAnsi="Calibri" w:cs="Calibri"/>
                <w:sz w:val="22"/>
                <w:szCs w:val="22"/>
              </w:rPr>
            </w:pPr>
          </w:p>
          <w:p w:rsidR="008076C0" w:rsidRPr="00615CA9" w:rsidP="00F20E56">
            <w:pPr>
              <w:rPr>
                <w:rFonts w:ascii="Calibri" w:hAnsi="Calibri" w:cs="Calibri"/>
                <w:sz w:val="22"/>
                <w:szCs w:val="22"/>
              </w:rPr>
            </w:pPr>
            <w:r w:rsidRPr="00615CA9">
              <w:rPr>
                <w:rFonts w:ascii="Calibri" w:hAnsi="Calibri" w:cs="Calibri"/>
                <w:sz w:val="22"/>
                <w:szCs w:val="22"/>
              </w:rPr>
              <w:t>A further challenge is that expectations are often placed primarily on paediatric services despite many barriers existing outside paediatric control, including adult-service capacity, local authority delays, commissioning limitations, lack of equivalent adult pathways, and poor interoperability between systems. This can create a situation where paediatric teams are expected to deliver timely and seamless transition despite lacking authority or infrastructure across the wider pathway.</w:t>
            </w:r>
          </w:p>
          <w:p w:rsidR="008076C0" w:rsidRPr="00615CA9" w:rsidP="00F20E56">
            <w:pPr>
              <w:rPr>
                <w:rFonts w:ascii="Calibri" w:hAnsi="Calibri" w:cs="Calibri"/>
                <w:sz w:val="22"/>
                <w:szCs w:val="22"/>
              </w:rPr>
            </w:pPr>
          </w:p>
          <w:p w:rsidR="008076C0" w:rsidRPr="00615CA9" w:rsidP="00F20E56">
            <w:pPr>
              <w:rPr>
                <w:rFonts w:ascii="Calibri" w:hAnsi="Calibri" w:cs="Calibri"/>
                <w:sz w:val="22"/>
                <w:szCs w:val="22"/>
              </w:rPr>
            </w:pPr>
            <w:r w:rsidRPr="00615CA9">
              <w:rPr>
                <w:rFonts w:ascii="Calibri" w:hAnsi="Calibri" w:cs="Calibri"/>
                <w:sz w:val="22"/>
                <w:szCs w:val="22"/>
              </w:rPr>
              <w:t>Overall, the principles underpinning current expectations are appropriate and evidence-based. Early, gradual,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transition planning is essential and should remain the national standard. However, current healthcare structures, commissioning arrangements, workforce pressures, and variability in adult-service provision often make these expectations difficult to achieve consistently in practice. Greater alignment between policy expectations and operational infrastructure is required if services are to deliver truly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transition at scale.</w:t>
            </w:r>
          </w:p>
          <w:p w:rsidR="008076C0" w:rsidRPr="00615CA9" w:rsidP="00DD64F8">
            <w:pPr>
              <w:rPr>
                <w:rFonts w:ascii="Calibri" w:hAnsi="Calibri" w:cs="Calibri"/>
                <w:sz w:val="22"/>
                <w:szCs w:val="22"/>
              </w:rPr>
            </w:pPr>
          </w:p>
        </w:tc>
      </w:tr>
      <w:tr w:rsidTr="4FF11C81">
        <w:tblPrEx>
          <w:tblW w:w="10490" w:type="dxa"/>
          <w:tblInd w:w="-714" w:type="dxa"/>
          <w:tblLook w:val="04A0"/>
        </w:tblPrEx>
        <w:trPr>
          <w:trHeight w:val="300"/>
        </w:trPr>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Equality and diversity</w:t>
            </w:r>
          </w:p>
        </w:tc>
        <w:tc>
          <w:tcPr>
            <w:tcW w:w="8505" w:type="dxa"/>
          </w:tcPr>
          <w:p w:rsidR="008076C0" w:rsidRPr="00615CA9" w:rsidP="00DD64F8">
            <w:pPr>
              <w:rPr>
                <w:rFonts w:ascii="Calibri" w:hAnsi="Calibri" w:cs="Calibri"/>
                <w:sz w:val="22"/>
                <w:szCs w:val="22"/>
              </w:rPr>
            </w:pPr>
            <w:r w:rsidRPr="00615CA9">
              <w:rPr>
                <w:rFonts w:ascii="Calibri" w:hAnsi="Calibri" w:eastAsiaTheme="minorEastAsia" w:cs="Calibri"/>
                <w:sz w:val="22"/>
                <w:szCs w:val="22"/>
              </w:rPr>
              <w:t>1. How is the progress of underserved or vulnerable service-user groups, including those with protected characteristics, monitored</w:t>
            </w:r>
            <w:r w:rsidRPr="00615CA9">
              <w:rPr>
                <w:rFonts w:ascii="Calibri" w:hAnsi="Calibri" w:eastAsiaTheme="minorEastAsia" w:cs="Calibri"/>
                <w:sz w:val="22"/>
                <w:szCs w:val="22"/>
              </w:rPr>
              <w:t xml:space="preserve"> in the delivery of services under this guidance?</w:t>
            </w:r>
          </w:p>
        </w:tc>
      </w:tr>
      <w:tr w:rsidTr="4FF11C81">
        <w:tblPrEx>
          <w:tblW w:w="10490" w:type="dxa"/>
          <w:tblInd w:w="-714" w:type="dxa"/>
          <w:tblLook w:val="04A0"/>
        </w:tblPrEx>
        <w:trPr>
          <w:trHeight w:val="300"/>
        </w:trPr>
        <w:tc>
          <w:tcPr>
            <w:tcW w:w="1985" w:type="dxa"/>
            <w:vMerge/>
          </w:tcPr>
          <w:p w:rsidR="008076C0" w:rsidRPr="00615CA9" w:rsidP="00DD64F8">
            <w:pPr>
              <w:rPr>
                <w:rFonts w:ascii="Calibri" w:hAnsi="Calibri" w:cs="Calibri"/>
                <w:sz w:val="22"/>
                <w:szCs w:val="22"/>
              </w:rPr>
            </w:pPr>
          </w:p>
        </w:tc>
        <w:tc>
          <w:tcPr>
            <w:tcW w:w="8505" w:type="dxa"/>
          </w:tcPr>
          <w:p w:rsidR="008076C0" w:rsidRPr="00615CA9" w:rsidP="006F43AE">
            <w:pPr>
              <w:rPr>
                <w:rFonts w:ascii="Calibri" w:hAnsi="Calibri" w:cs="Calibri"/>
                <w:sz w:val="22"/>
                <w:szCs w:val="22"/>
              </w:rPr>
            </w:pPr>
            <w:r w:rsidRPr="00615CA9">
              <w:rPr>
                <w:rFonts w:ascii="Calibri" w:hAnsi="Calibri" w:cs="Calibri"/>
                <w:sz w:val="22"/>
                <w:szCs w:val="22"/>
              </w:rPr>
              <w:t>Monitoring of underserved or vulnerable groups within transition services currently remains variable and is often underdeveloped both locally and nationally. While many services recognise that certain groups of young people experience greater barriers during transition, systematic collection, analysis, and reporting of transition-specific inequality data is not yet consistently embedded within routine clinical practice.</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At GOSH, recent developments within Epic and the Healthcare Transition dashboard create the potential to improve monitoring of transition activity across populations of young people. The introduction of structured transition documentation, Check-In tools, and Trust-wide reporting mechanisms may allow future analysis of variation in transition engagement, readiness, documentation, and outcomes across different patient groups. However, this infrastructure remains relatively new and is still being embedded acr</w:t>
            </w:r>
            <w:r w:rsidRPr="00615CA9">
              <w:rPr>
                <w:rFonts w:ascii="Calibri" w:hAnsi="Calibri" w:cs="Calibri"/>
                <w:sz w:val="22"/>
                <w:szCs w:val="22"/>
              </w:rPr>
              <w:t>oss specialties.</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Across specialist services consulted, several groups were consistently identified as being at increased risk of poorer transition experiences or outcomes. These included young people with:</w:t>
            </w:r>
            <w:r w:rsidRPr="00615CA9">
              <w:rPr>
                <w:rFonts w:ascii="Calibri" w:hAnsi="Calibri" w:cs="Calibri"/>
                <w:sz w:val="22"/>
                <w:szCs w:val="22"/>
              </w:rPr>
              <w:br/>
              <w:t>• learning disabilities</w:t>
            </w:r>
            <w:r w:rsidRPr="00615CA9">
              <w:rPr>
                <w:rFonts w:ascii="Calibri" w:hAnsi="Calibri" w:cs="Calibri"/>
                <w:sz w:val="22"/>
                <w:szCs w:val="22"/>
              </w:rPr>
              <w:br/>
            </w:r>
            <w:r w:rsidRPr="00615CA9">
              <w:rPr>
                <w:rFonts w:ascii="Calibri" w:hAnsi="Calibri" w:cs="Calibri"/>
                <w:sz w:val="22"/>
                <w:szCs w:val="22"/>
              </w:rPr>
              <w:t>• autism or communication difficulties</w:t>
            </w:r>
            <w:r w:rsidRPr="00615CA9">
              <w:rPr>
                <w:rFonts w:ascii="Calibri" w:hAnsi="Calibri" w:cs="Calibri"/>
                <w:sz w:val="22"/>
                <w:szCs w:val="22"/>
              </w:rPr>
              <w:br/>
              <w:t>• significant mental health needs</w:t>
            </w:r>
            <w:r w:rsidRPr="00615CA9">
              <w:rPr>
                <w:rFonts w:ascii="Calibri" w:hAnsi="Calibri" w:cs="Calibri"/>
                <w:sz w:val="22"/>
                <w:szCs w:val="22"/>
              </w:rPr>
              <w:br/>
              <w:t>• complex psychosocial or safeguarding concerns</w:t>
            </w:r>
            <w:r w:rsidRPr="00615CA9">
              <w:rPr>
                <w:rFonts w:ascii="Calibri" w:hAnsi="Calibri" w:cs="Calibri"/>
                <w:sz w:val="22"/>
                <w:szCs w:val="22"/>
              </w:rPr>
              <w:br/>
              <w:t>• rare or highly specialised conditions</w:t>
            </w:r>
            <w:r w:rsidRPr="00615CA9">
              <w:rPr>
                <w:rFonts w:ascii="Calibri" w:hAnsi="Calibri" w:cs="Calibri"/>
                <w:sz w:val="22"/>
                <w:szCs w:val="22"/>
              </w:rPr>
              <w:br/>
              <w:t>• high treatment burden or medical complexity</w:t>
            </w:r>
            <w:r w:rsidRPr="00615CA9">
              <w:rPr>
                <w:rFonts w:ascii="Calibri" w:hAnsi="Calibri" w:cs="Calibri"/>
                <w:sz w:val="22"/>
                <w:szCs w:val="22"/>
              </w:rPr>
              <w:br/>
              <w:t>• and those experiencing social deprivation, unstable family circumstances, or fragmented local support.</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Young people with learning disabilities and autism were frequently highlighted as requiring earlier, more gradual, and more highly personalised transition planning. Clinicians expressed concern that these young people are sometimes incorrectly perceived as needing “later transition”, when in practice they often require a longer transition process with earlier preparation, additional communication support, reasonable adjustments, repeated familiarisation, and closer coordination between healthcare, education</w:t>
            </w:r>
            <w:r w:rsidRPr="00615CA9">
              <w:rPr>
                <w:rFonts w:ascii="Calibri" w:hAnsi="Calibri" w:cs="Calibri"/>
                <w:sz w:val="22"/>
                <w:szCs w:val="22"/>
              </w:rPr>
              <w:t>, social care, and adult services.</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Services also highlighted that young people with chronic illness frequently experience co-existing mental health difficulties, loneliness, isolation, educational disruption, and reduced peer interaction. The recently developed GOSH Mental Health Framework reinforces that approximately one quarter of children and young people living with long-term conditions are also likely to experience mental health difficulties. However, routine transition-specific monitoring of psychological wellbeing, social participati</w:t>
            </w:r>
            <w:r w:rsidRPr="00615CA9">
              <w:rPr>
                <w:rFonts w:ascii="Calibri" w:hAnsi="Calibri" w:cs="Calibri"/>
                <w:sz w:val="22"/>
                <w:szCs w:val="22"/>
              </w:rPr>
              <w:t>on, confidence, or health literacy remains inconsistent.</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Several teams additionally highlighted challenges affecting geographically dispersed populations transitioning to multiple adult centres nationally. This was particularly relevant for highly specialised services where there may be few adult centres with equivalent expertise across the country. In these situations, variability in local adult provision, communication pathways, and access policies may disproportionately affect vulnerable young people.</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There was also recognition that transition outcomes may be influenced by health literacy, digital literacy, parental confidence, language barriers, and differing levels of family advocacy. Some young people and families may be more able to navigate complex healthcare systems and escalate concerns, while others may be at greater risk of disengagement or loss to follow-up without additional proactive support.</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At organisational level, GOSH has also established a dedicated Health Inequalities programme with multiple workstreams including:</w:t>
            </w:r>
            <w:r w:rsidRPr="00615CA9">
              <w:rPr>
                <w:rFonts w:ascii="Calibri" w:hAnsi="Calibri" w:cs="Calibri"/>
                <w:sz w:val="22"/>
                <w:szCs w:val="22"/>
              </w:rPr>
              <w:br/>
              <w:t>• Access and Outcomes</w:t>
            </w:r>
            <w:r w:rsidRPr="00615CA9">
              <w:rPr>
                <w:rFonts w:ascii="Calibri" w:hAnsi="Calibri" w:cs="Calibri"/>
                <w:sz w:val="22"/>
                <w:szCs w:val="22"/>
              </w:rPr>
              <w:br/>
              <w:t>• Digital Health Inequalities</w:t>
            </w:r>
            <w:r w:rsidRPr="00615CA9">
              <w:rPr>
                <w:rFonts w:ascii="Calibri" w:hAnsi="Calibri" w:cs="Calibri"/>
                <w:sz w:val="22"/>
                <w:szCs w:val="22"/>
              </w:rPr>
              <w:br/>
              <w:t>• Awareness</w:t>
            </w:r>
            <w:r w:rsidRPr="00615CA9">
              <w:rPr>
                <w:rFonts w:ascii="Calibri" w:hAnsi="Calibri" w:cs="Calibri"/>
                <w:sz w:val="22"/>
                <w:szCs w:val="22"/>
              </w:rPr>
              <w:br/>
              <w:t>• Data Dashboard development</w:t>
            </w:r>
            <w:r w:rsidRPr="00615CA9">
              <w:rPr>
                <w:rFonts w:ascii="Calibri" w:hAnsi="Calibri" w:cs="Calibri"/>
                <w:sz w:val="22"/>
                <w:szCs w:val="22"/>
              </w:rPr>
              <w:br/>
              <w:t>• and Health Inequalities Patient Experience.</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The Healthcare Transition and Adolescent Lead also acts as Deputy Lead for Digital Health Inequalities, reflecting the close relationship between digital exclusion, health literacy, patient empowerment, and equitable transition support.</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 xml:space="preserve">Through GOSH Charity funding, targeted digital inclusion work has included provision of smartphones with cameras, pre-loaded SIM cards, and digital upskilling support to help </w:t>
            </w:r>
            <w:r w:rsidRPr="00615CA9">
              <w:rPr>
                <w:rFonts w:ascii="Calibri" w:hAnsi="Calibri" w:cs="Calibri"/>
                <w:sz w:val="22"/>
                <w:szCs w:val="22"/>
              </w:rPr>
              <w:t>young people and families access MyGOSH, remote consultations, digital communication, and wider digital healthcare resources. This work recognises that increasing reliance on digital healthcare pathways may unintentionally widen inequalities for families lacking devices, connectivity, confidence, language support, or digital literacy.</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Several services have also begun translating patient information resources into commonly spoken languages to improve accessibility and reduce communication barriers for families.</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Importantly, the Health Inequalities programme has increased organisational awareness of inequity across the Trust and has stimulated multiple quality improvement projects focused either directly or indirectly on reducing health inequalities within clinical pathways.</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However, aside from the dedicated Health Inequalities Lead role, much of this work is currently undertaken by staff in addition to their substantive clinical or operational responsibilities. This creates challenges regarding sustainability, protected time, and the ability to scale interventions consistently across services.</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Importantly, several teams noted that current systems often rely heavily on individual clinicians identifying vulnerability and escalating concerns manually, rather than systematic identification processes embedded within transition pathways. As a result, support may become reactive rather than preventative.</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The development of strengths-based Check-In tools and structured transition documentation may help address some of these gaps by enabling earlier identification of confidence, knowledge, communication, self-management, and psychosocial support needs. The tools are intended to support more personalised conversations and may create opportunities for longitudinal monitoring of patient-reported transition readiness and engagement over time.</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However, more robust national expectations regarding equity monitoring within transition services may be required. At present, many services lack protected analytical capacity, standardised outcome measures, or interoperable systems capable of monitoring transition inequalities consistently across organisations and specialties.</w:t>
            </w:r>
          </w:p>
          <w:p w:rsidR="008076C0" w:rsidRPr="00615CA9" w:rsidP="006F43AE">
            <w:pPr>
              <w:rPr>
                <w:rFonts w:ascii="Calibri" w:hAnsi="Calibri" w:cs="Calibri"/>
                <w:sz w:val="22"/>
                <w:szCs w:val="22"/>
              </w:rPr>
            </w:pPr>
          </w:p>
          <w:p w:rsidR="008076C0" w:rsidRPr="00615CA9" w:rsidP="006F43AE">
            <w:pPr>
              <w:rPr>
                <w:rFonts w:ascii="Calibri" w:hAnsi="Calibri" w:cs="Calibri"/>
                <w:sz w:val="22"/>
                <w:szCs w:val="22"/>
              </w:rPr>
            </w:pPr>
            <w:r w:rsidRPr="00615CA9">
              <w:rPr>
                <w:rFonts w:ascii="Calibri" w:hAnsi="Calibri" w:cs="Calibri"/>
                <w:sz w:val="22"/>
                <w:szCs w:val="22"/>
              </w:rPr>
              <w:t>Overall, while awareness of vulnerable and underserved groups is high among specialist teams, systematic monitoring of equity within transition pathways remains inconsistent. Greater integration of transition metrics within electronic systems, improved data collection regarding vulnerable populations, and stronger linkage between paediatric, adult, mental health, education, and social care systems would help services identify inequities earlier and deliver more targeted support to young people at highest ri</w:t>
            </w:r>
            <w:r w:rsidRPr="00615CA9">
              <w:rPr>
                <w:rFonts w:ascii="Calibri" w:hAnsi="Calibri" w:cs="Calibri"/>
                <w:sz w:val="22"/>
                <w:szCs w:val="22"/>
              </w:rPr>
              <w:t>sk during transition.</w:t>
            </w:r>
          </w:p>
          <w:p w:rsidR="008076C0" w:rsidRPr="00615CA9" w:rsidP="00DD64F8">
            <w:pPr>
              <w:rPr>
                <w:rFonts w:ascii="Calibri" w:hAnsi="Calibri" w:cs="Calibri"/>
                <w:sz w:val="22"/>
                <w:szCs w:val="22"/>
              </w:rPr>
            </w:pPr>
          </w:p>
        </w:tc>
      </w:tr>
    </w:tbl>
    <w:p w:rsidR="008076C0" w:rsidRPr="00615CA9">
      <w:pPr>
        <w:rPr>
          <w:rFonts w:ascii="Calibri" w:hAnsi="Calibri" w:cs="Calibri"/>
        </w:rPr>
      </w:pPr>
    </w:p>
    <w:p w:rsidR="008076C0" w:rsidRPr="00615CA9">
      <w:pPr>
        <w:rPr>
          <w:rFonts w:ascii="Calibri" w:hAnsi="Calibri" w:cs="Calibri"/>
        </w:rPr>
      </w:pPr>
    </w:p>
    <w:tbl>
      <w:tblPr>
        <w:tblStyle w:val="TableGrid"/>
        <w:tblW w:w="10490" w:type="dxa"/>
        <w:tblInd w:w="-714" w:type="dxa"/>
        <w:tblLook w:val="04A0"/>
      </w:tblPr>
      <w:tblGrid>
        <w:gridCol w:w="1985"/>
        <w:gridCol w:w="8505"/>
      </w:tblGrid>
      <w:tr w:rsidTr="00DD64F8">
        <w:tblPrEx>
          <w:tblW w:w="10490" w:type="dxa"/>
          <w:tblInd w:w="-714" w:type="dxa"/>
          <w:tblLook w:val="04A0"/>
        </w:tblPrEx>
        <w:tc>
          <w:tcPr>
            <w:tcW w:w="10490" w:type="dxa"/>
            <w:gridSpan w:val="2"/>
          </w:tcPr>
          <w:p w:rsidR="008076C0" w:rsidRPr="00615CA9" w:rsidP="00DD64F8">
            <w:pPr>
              <w:rPr>
                <w:rFonts w:ascii="Calibri" w:hAnsi="Calibri" w:cs="Calibri"/>
                <w:b/>
                <w:bCs/>
              </w:rPr>
            </w:pPr>
            <w:r w:rsidRPr="00615CA9">
              <w:rPr>
                <w:rFonts w:ascii="Calibri" w:hAnsi="Calibri" w:cs="Calibri"/>
                <w:b/>
                <w:bCs/>
              </w:rPr>
              <w:t xml:space="preserve">FOCUS AREA 2 </w:t>
            </w:r>
          </w:p>
          <w:p w:rsidR="008076C0" w:rsidRPr="00615CA9" w:rsidP="00DD64F8">
            <w:pPr>
              <w:rPr>
                <w:rFonts w:ascii="Calibri" w:hAnsi="Calibri" w:cs="Calibri"/>
                <w:b/>
                <w:bCs/>
              </w:rPr>
            </w:pPr>
            <w:r w:rsidRPr="00615CA9">
              <w:rPr>
                <w:rFonts w:ascii="Calibri" w:hAnsi="Calibri" w:cs="Calibri"/>
                <w:b/>
                <w:bCs/>
              </w:rPr>
              <w:t>EFFECTIVENESS OF THE TRANSITION PROCESS AND CROSS-SERVICE COORDINATION</w:t>
            </w:r>
          </w:p>
        </w:tc>
      </w:tr>
      <w:tr w:rsidTr="00DD64F8">
        <w:tblPrEx>
          <w:tblW w:w="10490" w:type="dxa"/>
          <w:tblInd w:w="-714" w:type="dxa"/>
          <w:tblLook w:val="04A0"/>
        </w:tblPrEx>
        <w:tc>
          <w:tcPr>
            <w:tcW w:w="10490" w:type="dxa"/>
            <w:gridSpan w:val="2"/>
          </w:tcPr>
          <w:p w:rsidR="008076C0" w:rsidRPr="00615CA9" w:rsidP="00DD64F8">
            <w:pPr>
              <w:spacing w:after="120" w:line="259" w:lineRule="auto"/>
              <w:rPr>
                <w:rFonts w:ascii="Calibri" w:hAnsi="Calibri" w:cs="Calibri"/>
                <w:sz w:val="22"/>
                <w:szCs w:val="22"/>
              </w:rPr>
            </w:pPr>
            <w:r w:rsidRPr="00615CA9">
              <w:rPr>
                <w:rFonts w:ascii="Calibri" w:hAnsi="Calibri" w:cs="Calibri"/>
                <w:b/>
                <w:bCs/>
                <w:sz w:val="22"/>
                <w:szCs w:val="22"/>
              </w:rPr>
              <w:t>Statement of intent 1</w:t>
            </w:r>
            <w:r w:rsidRPr="00615CA9">
              <w:rPr>
                <w:rFonts w:ascii="Calibri" w:hAnsi="Calibri" w:cs="Calibri"/>
                <w:sz w:val="22"/>
                <w:szCs w:val="22"/>
              </w:rPr>
              <w:t xml:space="preserve">: </w:t>
            </w:r>
            <w:r w:rsidRPr="00615CA9">
              <w:rPr>
                <w:rFonts w:ascii="Calibri" w:hAnsi="Calibri" w:cs="Calibri"/>
                <w:sz w:val="22"/>
                <w:szCs w:val="22"/>
              </w:rPr>
              <w:t>Jointly plan services for all young people making a transition from children's to adults' services. For young people with education, health and care plans, local authorities and health commissioners must jointly commission services, as per the </w:t>
            </w:r>
            <w:r>
              <w:fldChar w:fldCharType="begin"/>
            </w:r>
            <w:r>
              <w:instrText xml:space="preserve"> HYPERLINK "http://www.legislation.gov.uk/ukpga/2014/6/contents/enacted" </w:instrText>
            </w:r>
            <w:r>
              <w:fldChar w:fldCharType="separate"/>
            </w:r>
            <w:r w:rsidRPr="00615CA9">
              <w:rPr>
                <w:rStyle w:val="Hyperlink"/>
                <w:rFonts w:ascii="Calibri" w:hAnsi="Calibri" w:cs="Calibri"/>
                <w:color w:val="auto"/>
                <w:sz w:val="22"/>
                <w:szCs w:val="22"/>
              </w:rPr>
              <w:t>Children and Families Act 2014</w:t>
            </w:r>
            <w:r>
              <w:fldChar w:fldCharType="end"/>
            </w:r>
            <w:r w:rsidRPr="00615CA9">
              <w:rPr>
                <w:rFonts w:ascii="Calibri" w:hAnsi="Calibri" w:cs="Calibri"/>
                <w:sz w:val="22"/>
                <w:szCs w:val="22"/>
              </w:rPr>
              <w:t>.</w:t>
            </w:r>
            <w:r w:rsidRPr="00615CA9">
              <w:rPr>
                <w:rFonts w:ascii="Calibri" w:hAnsi="Calibri" w:cs="Calibri"/>
                <w:b/>
                <w:bCs/>
                <w:sz w:val="22"/>
                <w:szCs w:val="22"/>
              </w:rPr>
              <w:t xml:space="preserve"> </w:t>
            </w:r>
            <w:r>
              <w:fldChar w:fldCharType="begin"/>
            </w:r>
            <w:r>
              <w:instrText xml:space="preserve"> HYPERLINK "https://www.nice.org.uk/guidance/ng43/chapter/Recommendations" \l "supporting-infrastructure" </w:instrText>
            </w:r>
            <w:r>
              <w:fldChar w:fldCharType="separate"/>
            </w:r>
            <w:r w:rsidRPr="00615CA9">
              <w:rPr>
                <w:rStyle w:val="Hyperlink"/>
                <w:rFonts w:ascii="Calibri" w:hAnsi="Calibri" w:cs="Calibri"/>
                <w:color w:val="auto"/>
                <w:sz w:val="22"/>
                <w:szCs w:val="22"/>
              </w:rPr>
              <w:t>NICE NG43 (1.5.9, 2016)</w:t>
            </w:r>
            <w:r>
              <w:fldChar w:fldCharType="end"/>
            </w:r>
          </w:p>
          <w:p w:rsidR="008076C0" w:rsidRPr="00615CA9" w:rsidP="00DD64F8">
            <w:pPr>
              <w:spacing w:line="259" w:lineRule="auto"/>
              <w:rPr>
                <w:rFonts w:ascii="Calibri" w:hAnsi="Calibri" w:cs="Calibri"/>
                <w:b/>
                <w:sz w:val="22"/>
                <w:szCs w:val="22"/>
                <w:u w:val="single"/>
              </w:rPr>
            </w:pPr>
            <w:r w:rsidRPr="00615CA9">
              <w:rPr>
                <w:rFonts w:ascii="Calibri" w:hAnsi="Calibri" w:cs="Calibri"/>
                <w:b/>
                <w:bCs/>
                <w:sz w:val="22"/>
                <w:szCs w:val="22"/>
              </w:rPr>
              <w:t>Statement of intent 2:</w:t>
            </w:r>
            <w:r w:rsidRPr="00615CA9">
              <w:rPr>
                <w:rFonts w:ascii="Calibri" w:hAnsi="Calibri" w:cs="Calibri"/>
                <w:sz w:val="22"/>
                <w:szCs w:val="22"/>
              </w:rPr>
              <w:t xml:space="preserve"> </w:t>
            </w:r>
            <w:r w:rsidRPr="00615CA9">
              <w:rPr>
                <w:rFonts w:ascii="Calibri" w:hAnsi="Calibri" w:cs="Calibri"/>
                <w:sz w:val="22"/>
                <w:szCs w:val="22"/>
              </w:rPr>
              <w:t>Carry out a gap analysis to identify and respond to the needs of young people who have been receiving support from children's services, including child and adolescent mental health services, but who are not able to get support from adult services. The gap analysis should inform local planning and commissioning of services. When carrying out the gap analysis: take into account resources already available in primary care practices; include young people who don't meet eligibility criteria for support from adul</w:t>
            </w:r>
            <w:r w:rsidRPr="00615CA9">
              <w:rPr>
                <w:rFonts w:ascii="Calibri" w:hAnsi="Calibri" w:cs="Calibri"/>
                <w:sz w:val="22"/>
                <w:szCs w:val="22"/>
              </w:rPr>
              <w:t xml:space="preserve">ts' services and those for whom services are not available for another reason; pay particular attention to young people: with neurodevelopmental disorders, with cerebral palsy, with challenging behaviour, or who are being supported with palliative care. </w:t>
            </w:r>
            <w:r>
              <w:fldChar w:fldCharType="begin"/>
            </w:r>
            <w:r>
              <w:instrText xml:space="preserve"> HYPERLINK "https://www.nice.org.uk/guidance/ng43/chapter/Recommendations" \l "supporting-infrastructure" </w:instrText>
            </w:r>
            <w:r>
              <w:fldChar w:fldCharType="separate"/>
            </w:r>
            <w:r w:rsidRPr="00615CA9">
              <w:rPr>
                <w:rStyle w:val="Hyperlink"/>
                <w:rFonts w:ascii="Calibri" w:hAnsi="Calibri" w:cs="Calibri"/>
                <w:color w:val="auto"/>
                <w:sz w:val="22"/>
                <w:szCs w:val="22"/>
              </w:rPr>
              <w:t>NICE NG43 (1.5.7-8, 2016)</w:t>
            </w:r>
            <w:r>
              <w:fldChar w:fldCharType="end"/>
            </w: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Resourcing</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 xml:space="preserve">1. What resourcing is needed for health and social care services to effectively enable joint working and commissioning? </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6E1F6A">
            <w:pPr>
              <w:rPr>
                <w:rFonts w:ascii="Calibri" w:hAnsi="Calibri" w:cs="Calibri"/>
                <w:sz w:val="22"/>
                <w:szCs w:val="22"/>
              </w:rPr>
            </w:pPr>
            <w:r w:rsidRPr="00615CA9">
              <w:rPr>
                <w:rFonts w:ascii="Calibri" w:hAnsi="Calibri" w:cs="Calibri"/>
                <w:sz w:val="22"/>
                <w:szCs w:val="22"/>
              </w:rPr>
              <w:t>Effective joint working and commissioning require significantly more protected infrastructure, workforce capacity, and cross-organisational coordination than currently exists across many transition pathways.</w:t>
            </w:r>
          </w:p>
          <w:p w:rsidR="008076C0" w:rsidRPr="00615CA9" w:rsidP="006E1F6A">
            <w:pPr>
              <w:rPr>
                <w:rFonts w:ascii="Calibri" w:hAnsi="Calibri" w:cs="Calibri"/>
                <w:sz w:val="22"/>
                <w:szCs w:val="22"/>
              </w:rPr>
            </w:pPr>
          </w:p>
          <w:p w:rsidR="008076C0" w:rsidRPr="00615CA9" w:rsidP="006E1F6A">
            <w:pPr>
              <w:rPr>
                <w:rFonts w:ascii="Calibri" w:hAnsi="Calibri" w:cs="Calibri"/>
                <w:sz w:val="22"/>
                <w:szCs w:val="22"/>
              </w:rPr>
            </w:pPr>
            <w:r w:rsidRPr="00615CA9">
              <w:rPr>
                <w:rFonts w:ascii="Calibri" w:hAnsi="Calibri" w:cs="Calibri"/>
                <w:sz w:val="22"/>
                <w:szCs w:val="22"/>
              </w:rPr>
              <w:t>A recurring theme across services was that successful transition often depends on highly motivated individuals and informal professional relationships rather than sustainably commissioned systems. This creates variability in care quality and leaves services vulnerable to workforce pressures, staffing changes, and organisational boundaries.</w:t>
            </w:r>
          </w:p>
          <w:p w:rsidR="008076C0" w:rsidRPr="00615CA9" w:rsidP="006E1F6A">
            <w:pPr>
              <w:rPr>
                <w:rFonts w:ascii="Calibri" w:hAnsi="Calibri" w:cs="Calibri"/>
                <w:sz w:val="22"/>
                <w:szCs w:val="22"/>
              </w:rPr>
            </w:pPr>
          </w:p>
          <w:p w:rsidR="008076C0" w:rsidRPr="00615CA9" w:rsidP="006E1F6A">
            <w:pPr>
              <w:rPr>
                <w:rFonts w:ascii="Calibri" w:hAnsi="Calibri" w:cs="Calibri"/>
                <w:sz w:val="22"/>
                <w:szCs w:val="22"/>
              </w:rPr>
            </w:pPr>
            <w:r w:rsidRPr="00615CA9">
              <w:rPr>
                <w:rFonts w:ascii="Calibri" w:hAnsi="Calibri" w:cs="Calibri"/>
                <w:sz w:val="22"/>
                <w:szCs w:val="22"/>
              </w:rPr>
              <w:t>Several key resource gaps were identified repeatedly by specialist teams.</w:t>
            </w:r>
          </w:p>
          <w:p w:rsidR="008076C0" w:rsidRPr="00615CA9" w:rsidP="006E1F6A">
            <w:pPr>
              <w:rPr>
                <w:rFonts w:ascii="Calibri" w:hAnsi="Calibri" w:cs="Calibri"/>
                <w:sz w:val="22"/>
                <w:szCs w:val="22"/>
              </w:rPr>
            </w:pPr>
          </w:p>
          <w:p w:rsidR="008076C0" w:rsidRPr="00615CA9" w:rsidP="006E1F6A">
            <w:pPr>
              <w:rPr>
                <w:rFonts w:ascii="Calibri" w:hAnsi="Calibri" w:cs="Calibri"/>
                <w:sz w:val="22"/>
                <w:szCs w:val="22"/>
              </w:rPr>
            </w:pPr>
            <w:r w:rsidRPr="00615CA9">
              <w:rPr>
                <w:rFonts w:ascii="Calibri" w:hAnsi="Calibri" w:cs="Calibri"/>
                <w:sz w:val="22"/>
                <w:szCs w:val="22"/>
              </w:rPr>
              <w:t>A major challenge is the lack of equivalent adult services for many paediatric-onset conditions. Advances in paediatric medicine and surgery mean that increasing numbers of children with highly complex conditions are now surviving into adulthood, yet adult specialist provision has not always developed in parallel. This creates substantial difficulty identifying adult clinicians and services willing or appropriately trained to accept transition referrals.</w:t>
            </w:r>
          </w:p>
          <w:p w:rsidR="008076C0" w:rsidRPr="00615CA9" w:rsidP="006E1F6A">
            <w:pPr>
              <w:rPr>
                <w:rFonts w:ascii="Calibri" w:hAnsi="Calibri" w:cs="Calibri"/>
                <w:sz w:val="22"/>
                <w:szCs w:val="22"/>
              </w:rPr>
            </w:pPr>
          </w:p>
          <w:p w:rsidR="008076C0" w:rsidRPr="00615CA9" w:rsidP="006E1F6A">
            <w:pPr>
              <w:rPr>
                <w:rFonts w:ascii="Calibri" w:hAnsi="Calibri" w:cs="Calibri"/>
                <w:sz w:val="22"/>
                <w:szCs w:val="22"/>
              </w:rPr>
            </w:pPr>
            <w:r w:rsidRPr="00615CA9">
              <w:rPr>
                <w:rFonts w:ascii="Calibri" w:hAnsi="Calibri" w:cs="Calibri"/>
                <w:sz w:val="22"/>
                <w:szCs w:val="22"/>
              </w:rPr>
              <w:t>Examples raised by services included:</w:t>
            </w:r>
          </w:p>
          <w:p w:rsidR="008076C0" w:rsidRPr="00615CA9" w:rsidP="006E1F6A">
            <w:pPr>
              <w:numPr>
                <w:ilvl w:val="0"/>
                <w:numId w:val="30"/>
              </w:numPr>
              <w:rPr>
                <w:rFonts w:ascii="Calibri" w:hAnsi="Calibri" w:cs="Calibri"/>
                <w:sz w:val="22"/>
                <w:szCs w:val="22"/>
              </w:rPr>
            </w:pPr>
            <w:r w:rsidRPr="00615CA9">
              <w:rPr>
                <w:rFonts w:ascii="Calibri" w:hAnsi="Calibri" w:cs="Calibri"/>
                <w:sz w:val="22"/>
                <w:szCs w:val="22"/>
              </w:rPr>
              <w:t xml:space="preserve">young people with learning disabilities losing access to paediatricians with specialist expertise once they reach adult age thresholds, resulting in variable GP-led management depending on local expertise and interest </w:t>
            </w:r>
          </w:p>
          <w:p w:rsidR="008076C0" w:rsidRPr="00615CA9" w:rsidP="006E1F6A">
            <w:pPr>
              <w:numPr>
                <w:ilvl w:val="0"/>
                <w:numId w:val="30"/>
              </w:numPr>
              <w:rPr>
                <w:rFonts w:ascii="Calibri" w:hAnsi="Calibri" w:cs="Calibri"/>
                <w:sz w:val="22"/>
                <w:szCs w:val="22"/>
              </w:rPr>
            </w:pPr>
            <w:r w:rsidRPr="00615CA9">
              <w:rPr>
                <w:rFonts w:ascii="Calibri" w:hAnsi="Calibri" w:cs="Calibri"/>
                <w:sz w:val="22"/>
                <w:szCs w:val="22"/>
              </w:rPr>
              <w:t xml:space="preserve">gaps in physiotherapy and occupational therapy provision between ages 16–18 </w:t>
            </w:r>
          </w:p>
          <w:p w:rsidR="008076C0" w:rsidRPr="00615CA9" w:rsidP="006E1F6A">
            <w:pPr>
              <w:numPr>
                <w:ilvl w:val="0"/>
                <w:numId w:val="30"/>
              </w:numPr>
              <w:rPr>
                <w:rFonts w:ascii="Calibri" w:hAnsi="Calibri" w:cs="Calibri"/>
                <w:sz w:val="22"/>
                <w:szCs w:val="22"/>
              </w:rPr>
            </w:pPr>
            <w:r w:rsidRPr="00615CA9">
              <w:rPr>
                <w:rFonts w:ascii="Calibri" w:hAnsi="Calibri" w:cs="Calibri"/>
                <w:sz w:val="22"/>
                <w:szCs w:val="22"/>
              </w:rPr>
              <w:t xml:space="preserve">limited adult anticoagulation services willing to accept younger patients on therapies such as warfarin </w:t>
            </w:r>
          </w:p>
          <w:p w:rsidR="008076C0" w:rsidRPr="00615CA9" w:rsidP="006E1F6A">
            <w:pPr>
              <w:numPr>
                <w:ilvl w:val="0"/>
                <w:numId w:val="30"/>
              </w:numPr>
              <w:rPr>
                <w:rFonts w:ascii="Calibri" w:hAnsi="Calibri" w:cs="Calibri"/>
                <w:sz w:val="22"/>
                <w:szCs w:val="22"/>
              </w:rPr>
            </w:pPr>
            <w:r w:rsidRPr="00615CA9">
              <w:rPr>
                <w:rFonts w:ascii="Calibri" w:hAnsi="Calibri" w:cs="Calibri"/>
                <w:sz w:val="22"/>
                <w:szCs w:val="22"/>
              </w:rPr>
              <w:t xml:space="preserve">significant shortages in mental health provision and psychological support during transition </w:t>
            </w:r>
          </w:p>
          <w:p w:rsidR="008076C0" w:rsidRPr="00615CA9" w:rsidP="006E1F6A">
            <w:pPr>
              <w:numPr>
                <w:ilvl w:val="0"/>
                <w:numId w:val="30"/>
              </w:numPr>
              <w:rPr>
                <w:rFonts w:ascii="Calibri" w:hAnsi="Calibri" w:cs="Calibri"/>
                <w:sz w:val="22"/>
                <w:szCs w:val="22"/>
              </w:rPr>
            </w:pPr>
            <w:r w:rsidRPr="00615CA9">
              <w:rPr>
                <w:rFonts w:ascii="Calibri" w:hAnsi="Calibri" w:cs="Calibri"/>
                <w:sz w:val="22"/>
                <w:szCs w:val="22"/>
              </w:rPr>
              <w:t xml:space="preserve">lack of adult surgical follow-up pathways for rare paediatric surgical conditions requiring lifelong surveillance. </w:t>
            </w:r>
          </w:p>
          <w:p w:rsidR="008076C0" w:rsidRPr="00615CA9" w:rsidP="006E1F6A">
            <w:pPr>
              <w:rPr>
                <w:rFonts w:ascii="Calibri" w:hAnsi="Calibri" w:cs="Calibri"/>
                <w:sz w:val="22"/>
                <w:szCs w:val="22"/>
              </w:rPr>
            </w:pPr>
          </w:p>
          <w:p w:rsidR="008076C0" w:rsidRPr="00615CA9" w:rsidP="006E1F6A">
            <w:pPr>
              <w:rPr>
                <w:rFonts w:ascii="Calibri" w:hAnsi="Calibri" w:cs="Calibri"/>
                <w:sz w:val="22"/>
                <w:szCs w:val="22"/>
              </w:rPr>
            </w:pPr>
            <w:r w:rsidRPr="00615CA9">
              <w:rPr>
                <w:rFonts w:ascii="Calibri" w:hAnsi="Calibri" w:cs="Calibri"/>
                <w:sz w:val="22"/>
                <w:szCs w:val="22"/>
              </w:rPr>
              <w:t>Several services described the “16–18 gap” whereby paediatric services may no longer be commissioned to provide ongoing care, while adult services will not yet accept responsibility. This creates fragmentation at a particularly vulnerable developmental stage.</w:t>
            </w:r>
          </w:p>
          <w:p w:rsidR="008076C0" w:rsidRPr="00615CA9" w:rsidP="006E1F6A">
            <w:pPr>
              <w:rPr>
                <w:rFonts w:ascii="Calibri" w:hAnsi="Calibri" w:cs="Calibri"/>
                <w:sz w:val="22"/>
                <w:szCs w:val="22"/>
              </w:rPr>
            </w:pPr>
          </w:p>
          <w:p w:rsidR="008076C0" w:rsidRPr="00615CA9" w:rsidP="006E1F6A">
            <w:pPr>
              <w:rPr>
                <w:rFonts w:ascii="Calibri" w:hAnsi="Calibri" w:cs="Calibri"/>
                <w:sz w:val="22"/>
                <w:szCs w:val="22"/>
              </w:rPr>
            </w:pPr>
            <w:r w:rsidRPr="00615CA9">
              <w:rPr>
                <w:rFonts w:ascii="Calibri" w:hAnsi="Calibri" w:cs="Calibri"/>
                <w:sz w:val="22"/>
                <w:szCs w:val="22"/>
              </w:rPr>
              <w:t>Effective joint working also requires protected transition coordination roles. Many services reported lacking dedicated transition coordinators, youth workers, administrative support, or named adult-service contacts. As a result, substantial time is spent manually tracking referrals, clarifying responsibility, chasing clinic outcomes, coordinating appointments, and supporting families through uncertainty.</w:t>
            </w:r>
          </w:p>
          <w:p w:rsidR="008076C0" w:rsidRPr="00615CA9" w:rsidP="006E1F6A">
            <w:pPr>
              <w:rPr>
                <w:rFonts w:ascii="Calibri" w:hAnsi="Calibri" w:cs="Calibri"/>
                <w:sz w:val="22"/>
                <w:szCs w:val="22"/>
              </w:rPr>
            </w:pPr>
          </w:p>
          <w:p w:rsidR="008076C0" w:rsidRPr="00615CA9" w:rsidP="006E1F6A">
            <w:pPr>
              <w:rPr>
                <w:rFonts w:ascii="Calibri" w:hAnsi="Calibri" w:cs="Calibri"/>
                <w:sz w:val="22"/>
                <w:szCs w:val="22"/>
              </w:rPr>
            </w:pPr>
            <w:r w:rsidRPr="00615CA9">
              <w:rPr>
                <w:rFonts w:ascii="Calibri" w:hAnsi="Calibri" w:cs="Calibri"/>
                <w:sz w:val="22"/>
                <w:szCs w:val="22"/>
              </w:rPr>
              <w:t>Cross-site adolescent rheumatology services working between GOSH and UCLH highlighted the benefits of integrated adolescent pathways spanning paediatric and adult care. Young people benefited from continuity, flexible appointments, familiarity with teams and environments, and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communication. </w:t>
            </w:r>
          </w:p>
          <w:p w:rsidR="008076C0" w:rsidRPr="00615CA9" w:rsidP="006E1F6A">
            <w:pPr>
              <w:rPr>
                <w:rFonts w:ascii="Calibri" w:hAnsi="Calibri" w:cs="Calibri"/>
                <w:sz w:val="22"/>
                <w:szCs w:val="22"/>
              </w:rPr>
            </w:pPr>
          </w:p>
          <w:p w:rsidR="008076C0" w:rsidRPr="00615CA9" w:rsidP="006E1F6A">
            <w:pPr>
              <w:rPr>
                <w:rFonts w:ascii="Calibri" w:hAnsi="Calibri" w:cs="Calibri"/>
                <w:sz w:val="22"/>
                <w:szCs w:val="22"/>
              </w:rPr>
            </w:pPr>
            <w:r w:rsidRPr="00615CA9">
              <w:rPr>
                <w:rFonts w:ascii="Calibri" w:hAnsi="Calibri" w:cs="Calibri"/>
                <w:sz w:val="22"/>
                <w:szCs w:val="22"/>
              </w:rPr>
              <w:t>However, these services also emphasised that maintaining effective coordination requires significant administrative and clinical input.</w:t>
            </w:r>
          </w:p>
          <w:p w:rsidR="008076C0" w:rsidRPr="00615CA9" w:rsidP="006E1F6A">
            <w:pPr>
              <w:rPr>
                <w:rFonts w:ascii="Calibri" w:hAnsi="Calibri" w:cs="Calibri"/>
                <w:sz w:val="22"/>
                <w:szCs w:val="22"/>
              </w:rPr>
            </w:pPr>
          </w:p>
          <w:p w:rsidR="008076C0" w:rsidRPr="00615CA9" w:rsidP="006E1F6A">
            <w:pPr>
              <w:rPr>
                <w:rFonts w:ascii="Calibri" w:hAnsi="Calibri" w:cs="Calibri"/>
                <w:sz w:val="22"/>
                <w:szCs w:val="22"/>
              </w:rPr>
            </w:pPr>
            <w:r w:rsidRPr="00615CA9">
              <w:rPr>
                <w:rFonts w:ascii="Calibri" w:hAnsi="Calibri" w:cs="Calibri"/>
                <w:sz w:val="22"/>
                <w:szCs w:val="22"/>
              </w:rPr>
              <w:t>Joint working was consistently strongest where:</w:t>
            </w:r>
          </w:p>
          <w:p w:rsidR="008076C0" w:rsidRPr="00615CA9" w:rsidP="006E1F6A">
            <w:pPr>
              <w:numPr>
                <w:ilvl w:val="0"/>
                <w:numId w:val="31"/>
              </w:numPr>
              <w:rPr>
                <w:rFonts w:ascii="Calibri" w:hAnsi="Calibri" w:cs="Calibri"/>
                <w:sz w:val="22"/>
                <w:szCs w:val="22"/>
              </w:rPr>
            </w:pPr>
            <w:r w:rsidRPr="00615CA9">
              <w:rPr>
                <w:rFonts w:ascii="Calibri" w:hAnsi="Calibri" w:cs="Calibri"/>
                <w:sz w:val="22"/>
                <w:szCs w:val="22"/>
              </w:rPr>
              <w:t xml:space="preserve">there were named contacts across paediatric and adult services </w:t>
            </w:r>
          </w:p>
          <w:p w:rsidR="008076C0" w:rsidRPr="00615CA9" w:rsidP="006E1F6A">
            <w:pPr>
              <w:numPr>
                <w:ilvl w:val="0"/>
                <w:numId w:val="31"/>
              </w:numPr>
              <w:rPr>
                <w:rFonts w:ascii="Calibri" w:hAnsi="Calibri" w:cs="Calibri"/>
                <w:sz w:val="22"/>
                <w:szCs w:val="22"/>
              </w:rPr>
            </w:pPr>
            <w:r w:rsidRPr="00615CA9">
              <w:rPr>
                <w:rFonts w:ascii="Calibri" w:hAnsi="Calibri" w:cs="Calibri"/>
                <w:sz w:val="22"/>
                <w:szCs w:val="22"/>
              </w:rPr>
              <w:t xml:space="preserve">regular MDT or transition meetings occurred </w:t>
            </w:r>
          </w:p>
          <w:p w:rsidR="008076C0" w:rsidRPr="00615CA9" w:rsidP="006E1F6A">
            <w:pPr>
              <w:numPr>
                <w:ilvl w:val="0"/>
                <w:numId w:val="31"/>
              </w:numPr>
              <w:rPr>
                <w:rFonts w:ascii="Calibri" w:hAnsi="Calibri" w:cs="Calibri"/>
                <w:sz w:val="22"/>
                <w:szCs w:val="22"/>
              </w:rPr>
            </w:pPr>
            <w:r w:rsidRPr="00615CA9">
              <w:rPr>
                <w:rFonts w:ascii="Calibri" w:hAnsi="Calibri" w:cs="Calibri"/>
                <w:sz w:val="22"/>
                <w:szCs w:val="22"/>
              </w:rPr>
              <w:t xml:space="preserve">pathways were standardised </w:t>
            </w:r>
          </w:p>
          <w:p w:rsidR="008076C0" w:rsidRPr="00615CA9" w:rsidP="006E1F6A">
            <w:pPr>
              <w:numPr>
                <w:ilvl w:val="0"/>
                <w:numId w:val="31"/>
              </w:numPr>
              <w:rPr>
                <w:rFonts w:ascii="Calibri" w:hAnsi="Calibri" w:cs="Calibri"/>
                <w:sz w:val="22"/>
                <w:szCs w:val="22"/>
              </w:rPr>
            </w:pPr>
            <w:r w:rsidRPr="00615CA9">
              <w:rPr>
                <w:rFonts w:ascii="Calibri" w:hAnsi="Calibri" w:cs="Calibri"/>
                <w:sz w:val="22"/>
                <w:szCs w:val="22"/>
              </w:rPr>
              <w:t xml:space="preserve">and services had protected time for transition coordination. </w:t>
            </w:r>
          </w:p>
          <w:p w:rsidR="008076C0" w:rsidRPr="00615CA9" w:rsidP="006E1F6A">
            <w:pPr>
              <w:rPr>
                <w:rFonts w:ascii="Calibri" w:hAnsi="Calibri" w:cs="Calibri"/>
                <w:sz w:val="22"/>
                <w:szCs w:val="22"/>
              </w:rPr>
            </w:pPr>
          </w:p>
          <w:p w:rsidR="008076C0" w:rsidRPr="00615CA9" w:rsidP="006E1F6A">
            <w:pPr>
              <w:rPr>
                <w:rFonts w:ascii="Calibri" w:hAnsi="Calibri" w:cs="Calibri"/>
                <w:sz w:val="22"/>
                <w:szCs w:val="22"/>
              </w:rPr>
            </w:pPr>
            <w:r w:rsidRPr="00615CA9">
              <w:rPr>
                <w:rFonts w:ascii="Calibri" w:hAnsi="Calibri" w:cs="Calibri"/>
                <w:sz w:val="22"/>
                <w:szCs w:val="22"/>
              </w:rPr>
              <w:t>Digital infrastructure was also identified as increasingly important. Shared electronic documentation, transition dashboards, referral tracking systems, and interoperability between paediatric and adult services all support safer transitions. However, interoperability between organisations remains limited in many areas.</w:t>
            </w:r>
          </w:p>
          <w:p w:rsidR="008076C0" w:rsidRPr="00615CA9" w:rsidP="006E1F6A">
            <w:pPr>
              <w:rPr>
                <w:rFonts w:ascii="Calibri" w:hAnsi="Calibri" w:cs="Calibri"/>
                <w:sz w:val="22"/>
                <w:szCs w:val="22"/>
              </w:rPr>
            </w:pPr>
          </w:p>
          <w:p w:rsidR="008076C0" w:rsidRPr="00615CA9" w:rsidP="006E1F6A">
            <w:pPr>
              <w:rPr>
                <w:rFonts w:ascii="Calibri" w:hAnsi="Calibri" w:cs="Calibri"/>
                <w:sz w:val="22"/>
                <w:szCs w:val="22"/>
              </w:rPr>
            </w:pPr>
            <w:r w:rsidRPr="00615CA9">
              <w:rPr>
                <w:rFonts w:ascii="Calibri" w:hAnsi="Calibri" w:cs="Calibri"/>
                <w:sz w:val="22"/>
                <w:szCs w:val="22"/>
              </w:rPr>
              <w:t>Overall, effective joint commissioning requires:</w:t>
            </w:r>
          </w:p>
          <w:p w:rsidR="008076C0" w:rsidRPr="00615CA9" w:rsidP="006E1F6A">
            <w:pPr>
              <w:numPr>
                <w:ilvl w:val="0"/>
                <w:numId w:val="32"/>
              </w:numPr>
              <w:rPr>
                <w:rFonts w:ascii="Calibri" w:hAnsi="Calibri" w:cs="Calibri"/>
                <w:sz w:val="22"/>
                <w:szCs w:val="22"/>
              </w:rPr>
            </w:pPr>
            <w:r w:rsidRPr="00615CA9">
              <w:rPr>
                <w:rFonts w:ascii="Calibri" w:hAnsi="Calibri" w:cs="Calibri"/>
                <w:sz w:val="22"/>
                <w:szCs w:val="22"/>
              </w:rPr>
              <w:t xml:space="preserve">protected transition workforce capacity </w:t>
            </w:r>
          </w:p>
          <w:p w:rsidR="008076C0" w:rsidRPr="00615CA9" w:rsidP="006E1F6A">
            <w:pPr>
              <w:numPr>
                <w:ilvl w:val="0"/>
                <w:numId w:val="32"/>
              </w:numPr>
              <w:rPr>
                <w:rFonts w:ascii="Calibri" w:hAnsi="Calibri" w:cs="Calibri"/>
                <w:sz w:val="22"/>
                <w:szCs w:val="22"/>
              </w:rPr>
            </w:pPr>
            <w:r w:rsidRPr="00615CA9">
              <w:rPr>
                <w:rFonts w:ascii="Calibri" w:hAnsi="Calibri" w:cs="Calibri"/>
                <w:sz w:val="22"/>
                <w:szCs w:val="22"/>
              </w:rPr>
              <w:t xml:space="preserve">dedicated transition coordinators and administrative support </w:t>
            </w:r>
          </w:p>
          <w:p w:rsidR="008076C0" w:rsidRPr="00615CA9" w:rsidP="006E1F6A">
            <w:pPr>
              <w:numPr>
                <w:ilvl w:val="0"/>
                <w:numId w:val="32"/>
              </w:numPr>
              <w:rPr>
                <w:rFonts w:ascii="Calibri" w:hAnsi="Calibri" w:cs="Calibri"/>
                <w:sz w:val="22"/>
                <w:szCs w:val="22"/>
              </w:rPr>
            </w:pPr>
            <w:r w:rsidRPr="00615CA9">
              <w:rPr>
                <w:rFonts w:ascii="Calibri" w:hAnsi="Calibri" w:cs="Calibri"/>
                <w:sz w:val="22"/>
                <w:szCs w:val="22"/>
              </w:rPr>
              <w:t xml:space="preserve">developmentally appropriate </w:t>
            </w:r>
            <w:r w:rsidRPr="00615CA9">
              <w:rPr>
                <w:rFonts w:ascii="Calibri" w:hAnsi="Calibri" w:cs="Calibri"/>
                <w:sz w:val="22"/>
                <w:szCs w:val="22"/>
              </w:rPr>
              <w:t xml:space="preserve">and individualised </w:t>
            </w:r>
            <w:r w:rsidRPr="00615CA9">
              <w:rPr>
                <w:rFonts w:ascii="Calibri" w:hAnsi="Calibri" w:cs="Calibri"/>
                <w:sz w:val="22"/>
                <w:szCs w:val="22"/>
              </w:rPr>
              <w:t xml:space="preserve">adolescent and young adult services </w:t>
            </w:r>
          </w:p>
          <w:p w:rsidR="008076C0" w:rsidRPr="00615CA9" w:rsidP="006E1F6A">
            <w:pPr>
              <w:numPr>
                <w:ilvl w:val="0"/>
                <w:numId w:val="32"/>
              </w:numPr>
              <w:rPr>
                <w:rFonts w:ascii="Calibri" w:hAnsi="Calibri" w:cs="Calibri"/>
                <w:sz w:val="22"/>
                <w:szCs w:val="22"/>
              </w:rPr>
            </w:pPr>
            <w:r w:rsidRPr="00615CA9">
              <w:rPr>
                <w:rFonts w:ascii="Calibri" w:hAnsi="Calibri" w:cs="Calibri"/>
                <w:sz w:val="22"/>
                <w:szCs w:val="22"/>
              </w:rPr>
              <w:t xml:space="preserve">integrated paediatric-adult pathways </w:t>
            </w:r>
          </w:p>
          <w:p w:rsidR="008076C0" w:rsidRPr="00615CA9" w:rsidP="006E1F6A">
            <w:pPr>
              <w:numPr>
                <w:ilvl w:val="0"/>
                <w:numId w:val="32"/>
              </w:numPr>
              <w:rPr>
                <w:rFonts w:ascii="Calibri" w:hAnsi="Calibri" w:cs="Calibri"/>
                <w:sz w:val="22"/>
                <w:szCs w:val="22"/>
              </w:rPr>
            </w:pPr>
            <w:r w:rsidRPr="00615CA9">
              <w:rPr>
                <w:rFonts w:ascii="Calibri" w:hAnsi="Calibri" w:cs="Calibri"/>
                <w:sz w:val="22"/>
                <w:szCs w:val="22"/>
              </w:rPr>
              <w:t xml:space="preserve">digital interoperability and shared monitoring systems </w:t>
            </w:r>
          </w:p>
          <w:p w:rsidR="008076C0" w:rsidRPr="00615CA9" w:rsidP="006E1F6A">
            <w:pPr>
              <w:numPr>
                <w:ilvl w:val="0"/>
                <w:numId w:val="32"/>
              </w:numPr>
              <w:rPr>
                <w:rFonts w:ascii="Calibri" w:hAnsi="Calibri" w:cs="Calibri"/>
                <w:sz w:val="22"/>
                <w:szCs w:val="22"/>
              </w:rPr>
            </w:pPr>
            <w:r w:rsidRPr="00615CA9">
              <w:rPr>
                <w:rFonts w:ascii="Calibri" w:hAnsi="Calibri" w:cs="Calibri"/>
                <w:sz w:val="22"/>
                <w:szCs w:val="22"/>
              </w:rPr>
              <w:t xml:space="preserve">protected MDT and cross-organisational working time </w:t>
            </w:r>
          </w:p>
          <w:p w:rsidR="008076C0" w:rsidRPr="00615CA9" w:rsidP="006E1F6A">
            <w:pPr>
              <w:numPr>
                <w:ilvl w:val="0"/>
                <w:numId w:val="32"/>
              </w:numPr>
              <w:rPr>
                <w:rFonts w:ascii="Calibri" w:hAnsi="Calibri" w:cs="Calibri"/>
                <w:sz w:val="22"/>
                <w:szCs w:val="22"/>
              </w:rPr>
            </w:pPr>
            <w:r w:rsidRPr="00615CA9">
              <w:rPr>
                <w:rFonts w:ascii="Calibri" w:hAnsi="Calibri" w:cs="Calibri"/>
                <w:sz w:val="22"/>
                <w:szCs w:val="22"/>
              </w:rPr>
              <w:t>and commissioning models that recognise transition as a longitudinal patient safety and empowerment process rather than an isolated transfer event.</w:t>
            </w:r>
          </w:p>
          <w:p w:rsidR="008076C0" w:rsidRPr="00615CA9" w:rsidP="00DD64F8">
            <w:pPr>
              <w:rPr>
                <w:rFonts w:ascii="Calibri" w:hAnsi="Calibri" w:cs="Calibri"/>
                <w:sz w:val="22"/>
                <w:szCs w:val="22"/>
              </w:rPr>
            </w:pP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2. Are gap analyses taking place across services, when do these take place, how are they acted on and how is this monitored?</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B23372">
            <w:pPr>
              <w:rPr>
                <w:rFonts w:ascii="Calibri" w:hAnsi="Calibri" w:cs="Calibri"/>
                <w:sz w:val="22"/>
                <w:szCs w:val="22"/>
              </w:rPr>
            </w:pPr>
            <w:r w:rsidRPr="00615CA9">
              <w:rPr>
                <w:rFonts w:ascii="Calibri" w:hAnsi="Calibri" w:cs="Calibri"/>
                <w:sz w:val="22"/>
                <w:szCs w:val="22"/>
              </w:rPr>
              <w:t>Formal gap analyses do not appear to be consistently embedded across services, despite NICE guidance recommending that they inform commissioning and service planning.</w:t>
            </w:r>
          </w:p>
          <w:p w:rsidR="008076C0" w:rsidRPr="00615CA9" w:rsidP="00B23372">
            <w:pPr>
              <w:rPr>
                <w:rFonts w:ascii="Calibri" w:hAnsi="Calibri" w:cs="Calibri"/>
                <w:sz w:val="22"/>
                <w:szCs w:val="22"/>
              </w:rPr>
            </w:pPr>
          </w:p>
          <w:p w:rsidR="008076C0" w:rsidRPr="00615CA9" w:rsidP="00B23372">
            <w:pPr>
              <w:rPr>
                <w:rFonts w:ascii="Calibri" w:hAnsi="Calibri" w:cs="Calibri"/>
                <w:sz w:val="22"/>
                <w:szCs w:val="22"/>
              </w:rPr>
            </w:pPr>
            <w:r w:rsidRPr="00615CA9">
              <w:rPr>
                <w:rFonts w:ascii="Calibri" w:hAnsi="Calibri" w:cs="Calibri"/>
                <w:sz w:val="22"/>
                <w:szCs w:val="22"/>
              </w:rPr>
              <w:t>In practice, many of the “gap analyses” occurring within services are informal and reactive rather than systematic, strategic, or nationally coordinated. Specialist teams often identify gaps through operational difficulties encountered during transition rather than through structured population-level review processes.</w:t>
            </w:r>
          </w:p>
          <w:p w:rsidR="008076C0" w:rsidRPr="00615CA9" w:rsidP="00B23372">
            <w:pPr>
              <w:rPr>
                <w:rFonts w:ascii="Calibri" w:hAnsi="Calibri" w:cs="Calibri"/>
                <w:sz w:val="22"/>
                <w:szCs w:val="22"/>
              </w:rPr>
            </w:pPr>
          </w:p>
          <w:p w:rsidR="008076C0" w:rsidRPr="00615CA9" w:rsidP="00B23372">
            <w:pPr>
              <w:rPr>
                <w:rFonts w:ascii="Calibri" w:hAnsi="Calibri" w:cs="Calibri"/>
                <w:sz w:val="22"/>
                <w:szCs w:val="22"/>
              </w:rPr>
            </w:pPr>
            <w:r w:rsidRPr="00615CA9">
              <w:rPr>
                <w:rFonts w:ascii="Calibri" w:hAnsi="Calibri" w:cs="Calibri"/>
                <w:sz w:val="22"/>
                <w:szCs w:val="22"/>
              </w:rPr>
              <w:t>Examples repeatedly identified by services included:</w:t>
            </w:r>
          </w:p>
          <w:p w:rsidR="008076C0" w:rsidRPr="00615CA9" w:rsidP="00B23372">
            <w:pPr>
              <w:numPr>
                <w:ilvl w:val="0"/>
                <w:numId w:val="33"/>
              </w:numPr>
              <w:rPr>
                <w:rFonts w:ascii="Calibri" w:hAnsi="Calibri" w:cs="Calibri"/>
                <w:sz w:val="22"/>
                <w:szCs w:val="22"/>
              </w:rPr>
            </w:pPr>
            <w:r w:rsidRPr="00615CA9">
              <w:rPr>
                <w:rFonts w:ascii="Calibri" w:hAnsi="Calibri" w:cs="Calibri"/>
                <w:sz w:val="22"/>
                <w:szCs w:val="22"/>
              </w:rPr>
              <w:t xml:space="preserve">absence of equivalent adult specialist services </w:t>
            </w:r>
          </w:p>
          <w:p w:rsidR="008076C0" w:rsidRPr="00615CA9" w:rsidP="00B23372">
            <w:pPr>
              <w:numPr>
                <w:ilvl w:val="0"/>
                <w:numId w:val="33"/>
              </w:numPr>
              <w:rPr>
                <w:rFonts w:ascii="Calibri" w:hAnsi="Calibri" w:cs="Calibri"/>
                <w:sz w:val="22"/>
                <w:szCs w:val="22"/>
              </w:rPr>
            </w:pPr>
            <w:r w:rsidRPr="00615CA9">
              <w:rPr>
                <w:rFonts w:ascii="Calibri" w:hAnsi="Calibri" w:cs="Calibri"/>
                <w:sz w:val="22"/>
                <w:szCs w:val="22"/>
              </w:rPr>
              <w:t xml:space="preserve">lack of mental health support during transition </w:t>
            </w:r>
          </w:p>
          <w:p w:rsidR="008076C0" w:rsidRPr="00615CA9" w:rsidP="00B23372">
            <w:pPr>
              <w:numPr>
                <w:ilvl w:val="0"/>
                <w:numId w:val="33"/>
              </w:numPr>
              <w:rPr>
                <w:rFonts w:ascii="Calibri" w:hAnsi="Calibri" w:cs="Calibri"/>
                <w:sz w:val="22"/>
                <w:szCs w:val="22"/>
              </w:rPr>
            </w:pPr>
            <w:r w:rsidRPr="00615CA9">
              <w:rPr>
                <w:rFonts w:ascii="Calibri" w:hAnsi="Calibri" w:cs="Calibri"/>
                <w:sz w:val="22"/>
                <w:szCs w:val="22"/>
              </w:rPr>
              <w:t xml:space="preserve">physiotherapy and occupational therapy gaps for 16–18-year-olds </w:t>
            </w:r>
          </w:p>
          <w:p w:rsidR="008076C0" w:rsidRPr="00615CA9" w:rsidP="00B23372">
            <w:pPr>
              <w:numPr>
                <w:ilvl w:val="0"/>
                <w:numId w:val="33"/>
              </w:numPr>
              <w:rPr>
                <w:rFonts w:ascii="Calibri" w:hAnsi="Calibri" w:cs="Calibri"/>
                <w:sz w:val="22"/>
                <w:szCs w:val="22"/>
              </w:rPr>
            </w:pPr>
            <w:r w:rsidRPr="00615CA9">
              <w:rPr>
                <w:rFonts w:ascii="Calibri" w:hAnsi="Calibri" w:cs="Calibri"/>
                <w:sz w:val="22"/>
                <w:szCs w:val="22"/>
              </w:rPr>
              <w:t xml:space="preserve">inadequate adult provision for young people with learning disabilities or neurodevelopmental conditions </w:t>
            </w:r>
          </w:p>
          <w:p w:rsidR="008076C0" w:rsidRPr="00615CA9" w:rsidP="00B23372">
            <w:pPr>
              <w:numPr>
                <w:ilvl w:val="0"/>
                <w:numId w:val="33"/>
              </w:numPr>
              <w:rPr>
                <w:rFonts w:ascii="Calibri" w:hAnsi="Calibri" w:cs="Calibri"/>
                <w:sz w:val="22"/>
                <w:szCs w:val="22"/>
              </w:rPr>
            </w:pPr>
            <w:r w:rsidRPr="00615CA9">
              <w:rPr>
                <w:rFonts w:ascii="Calibri" w:hAnsi="Calibri" w:cs="Calibri"/>
                <w:sz w:val="22"/>
                <w:szCs w:val="22"/>
              </w:rPr>
              <w:t xml:space="preserve">lack of adult surgical follow-up pathways </w:t>
            </w:r>
          </w:p>
          <w:p w:rsidR="008076C0" w:rsidRPr="00615CA9" w:rsidP="00B23372">
            <w:pPr>
              <w:numPr>
                <w:ilvl w:val="0"/>
                <w:numId w:val="33"/>
              </w:numPr>
              <w:rPr>
                <w:rFonts w:ascii="Calibri" w:hAnsi="Calibri" w:cs="Calibri"/>
                <w:sz w:val="22"/>
                <w:szCs w:val="22"/>
              </w:rPr>
            </w:pPr>
            <w:r w:rsidRPr="00615CA9">
              <w:rPr>
                <w:rFonts w:ascii="Calibri" w:hAnsi="Calibri" w:cs="Calibri"/>
                <w:sz w:val="22"/>
                <w:szCs w:val="22"/>
              </w:rPr>
              <w:t xml:space="preserve">poor interoperability between paediatric and adult systems </w:t>
            </w:r>
          </w:p>
          <w:p w:rsidR="008076C0" w:rsidRPr="00615CA9" w:rsidP="00B23372">
            <w:pPr>
              <w:numPr>
                <w:ilvl w:val="0"/>
                <w:numId w:val="33"/>
              </w:numPr>
              <w:rPr>
                <w:rFonts w:ascii="Calibri" w:hAnsi="Calibri" w:cs="Calibri"/>
                <w:sz w:val="22"/>
                <w:szCs w:val="22"/>
              </w:rPr>
            </w:pPr>
            <w:r w:rsidRPr="00615CA9">
              <w:rPr>
                <w:rFonts w:ascii="Calibri" w:hAnsi="Calibri" w:cs="Calibri"/>
                <w:sz w:val="22"/>
                <w:szCs w:val="22"/>
              </w:rPr>
              <w:t xml:space="preserve">and inconsistent adult-service engagement with transition referrals. </w:t>
            </w:r>
          </w:p>
          <w:p w:rsidR="008076C0" w:rsidRPr="00615CA9" w:rsidP="000B71E2">
            <w:pPr>
              <w:ind w:left="720"/>
              <w:rPr>
                <w:rFonts w:ascii="Calibri" w:hAnsi="Calibri" w:cs="Calibri"/>
                <w:sz w:val="22"/>
                <w:szCs w:val="22"/>
              </w:rPr>
            </w:pPr>
          </w:p>
          <w:p w:rsidR="008076C0" w:rsidRPr="00615CA9" w:rsidP="00B23372">
            <w:pPr>
              <w:rPr>
                <w:rFonts w:ascii="Calibri" w:hAnsi="Calibri" w:cs="Calibri"/>
                <w:sz w:val="22"/>
                <w:szCs w:val="22"/>
              </w:rPr>
            </w:pPr>
            <w:r w:rsidRPr="00615CA9">
              <w:rPr>
                <w:rFonts w:ascii="Calibri" w:hAnsi="Calibri" w:cs="Calibri"/>
                <w:sz w:val="22"/>
                <w:szCs w:val="22"/>
              </w:rPr>
              <w:t>Several teams described discovering gaps only after young people encountered difficulties accessing adult services. In many cases, paediatric teams then relied on escalation, informal networking, or individual clinicians identifying adult providers willing to accept referrals.</w:t>
            </w:r>
          </w:p>
          <w:p w:rsidR="008076C0" w:rsidRPr="00615CA9" w:rsidP="00B23372">
            <w:pPr>
              <w:rPr>
                <w:rFonts w:ascii="Calibri" w:hAnsi="Calibri" w:cs="Calibri"/>
                <w:sz w:val="22"/>
                <w:szCs w:val="22"/>
              </w:rPr>
            </w:pPr>
          </w:p>
          <w:p w:rsidR="008076C0" w:rsidRPr="00615CA9" w:rsidP="00B23372">
            <w:pPr>
              <w:rPr>
                <w:rFonts w:ascii="Calibri" w:hAnsi="Calibri" w:cs="Calibri"/>
                <w:sz w:val="22"/>
                <w:szCs w:val="22"/>
              </w:rPr>
            </w:pPr>
            <w:r w:rsidRPr="00615CA9">
              <w:rPr>
                <w:rFonts w:ascii="Calibri" w:hAnsi="Calibri" w:cs="Calibri"/>
                <w:sz w:val="22"/>
                <w:szCs w:val="22"/>
              </w:rPr>
              <w:t>At GOSH, recent developments including the Epic Healthcare Transition tab, Trust-wide transition dashboard, and RTT “Transfer to Adults” monitoring process have started to create infrastructure capable of identifying service gaps more systematically. These systems are beginning to generate meaningful organisational data regarding:</w:t>
            </w:r>
          </w:p>
          <w:p w:rsidR="008076C0" w:rsidRPr="00615CA9" w:rsidP="00B23372">
            <w:pPr>
              <w:numPr>
                <w:ilvl w:val="0"/>
                <w:numId w:val="34"/>
              </w:numPr>
              <w:rPr>
                <w:rFonts w:ascii="Calibri" w:hAnsi="Calibri" w:cs="Calibri"/>
                <w:sz w:val="22"/>
                <w:szCs w:val="22"/>
              </w:rPr>
            </w:pPr>
            <w:r w:rsidRPr="00615CA9">
              <w:rPr>
                <w:rFonts w:ascii="Calibri" w:hAnsi="Calibri" w:cs="Calibri"/>
                <w:sz w:val="22"/>
                <w:szCs w:val="22"/>
              </w:rPr>
              <w:t xml:space="preserve">delays to adult review </w:t>
            </w:r>
          </w:p>
          <w:p w:rsidR="008076C0" w:rsidRPr="00615CA9" w:rsidP="00B23372">
            <w:pPr>
              <w:numPr>
                <w:ilvl w:val="0"/>
                <w:numId w:val="34"/>
              </w:numPr>
              <w:rPr>
                <w:rFonts w:ascii="Calibri" w:hAnsi="Calibri" w:cs="Calibri"/>
                <w:sz w:val="22"/>
                <w:szCs w:val="22"/>
              </w:rPr>
            </w:pPr>
            <w:r w:rsidRPr="00615CA9">
              <w:rPr>
                <w:rFonts w:ascii="Calibri" w:hAnsi="Calibri" w:cs="Calibri"/>
                <w:sz w:val="22"/>
                <w:szCs w:val="22"/>
              </w:rPr>
              <w:t xml:space="preserve">referrals not received </w:t>
            </w:r>
          </w:p>
          <w:p w:rsidR="008076C0" w:rsidRPr="00615CA9" w:rsidP="00B23372">
            <w:pPr>
              <w:numPr>
                <w:ilvl w:val="0"/>
                <w:numId w:val="34"/>
              </w:numPr>
              <w:rPr>
                <w:rFonts w:ascii="Calibri" w:hAnsi="Calibri" w:cs="Calibri"/>
                <w:sz w:val="22"/>
                <w:szCs w:val="22"/>
              </w:rPr>
            </w:pPr>
            <w:r w:rsidRPr="00615CA9">
              <w:rPr>
                <w:rFonts w:ascii="Calibri" w:hAnsi="Calibri" w:cs="Calibri"/>
                <w:sz w:val="22"/>
                <w:szCs w:val="22"/>
              </w:rPr>
              <w:t xml:space="preserve">transition timing </w:t>
            </w:r>
          </w:p>
          <w:p w:rsidR="008076C0" w:rsidRPr="00615CA9" w:rsidP="00B23372">
            <w:pPr>
              <w:numPr>
                <w:ilvl w:val="0"/>
                <w:numId w:val="34"/>
              </w:numPr>
              <w:rPr>
                <w:rFonts w:ascii="Calibri" w:hAnsi="Calibri" w:cs="Calibri"/>
                <w:sz w:val="22"/>
                <w:szCs w:val="22"/>
              </w:rPr>
            </w:pPr>
            <w:r w:rsidRPr="00615CA9">
              <w:rPr>
                <w:rFonts w:ascii="Calibri" w:hAnsi="Calibri" w:cs="Calibri"/>
                <w:sz w:val="22"/>
                <w:szCs w:val="22"/>
              </w:rPr>
              <w:t xml:space="preserve">variation between specialties </w:t>
            </w:r>
          </w:p>
          <w:p w:rsidR="008076C0" w:rsidRPr="00615CA9" w:rsidP="00B23372">
            <w:pPr>
              <w:numPr>
                <w:ilvl w:val="0"/>
                <w:numId w:val="34"/>
              </w:numPr>
              <w:rPr>
                <w:rFonts w:ascii="Calibri" w:hAnsi="Calibri" w:cs="Calibri"/>
                <w:sz w:val="22"/>
                <w:szCs w:val="22"/>
              </w:rPr>
            </w:pPr>
            <w:r w:rsidRPr="00615CA9">
              <w:rPr>
                <w:rFonts w:ascii="Calibri" w:hAnsi="Calibri" w:cs="Calibri"/>
                <w:sz w:val="22"/>
                <w:szCs w:val="22"/>
              </w:rPr>
              <w:t xml:space="preserve">and potential loss to follow-up risks. </w:t>
            </w:r>
          </w:p>
          <w:p w:rsidR="008076C0" w:rsidRPr="00615CA9" w:rsidP="00B23372">
            <w:pPr>
              <w:rPr>
                <w:rFonts w:ascii="Calibri" w:hAnsi="Calibri" w:cs="Calibri"/>
                <w:sz w:val="22"/>
                <w:szCs w:val="22"/>
              </w:rPr>
            </w:pPr>
          </w:p>
          <w:p w:rsidR="008076C0" w:rsidRPr="00615CA9" w:rsidP="00B23372">
            <w:pPr>
              <w:rPr>
                <w:rFonts w:ascii="Calibri" w:hAnsi="Calibri" w:cs="Calibri"/>
                <w:sz w:val="22"/>
                <w:szCs w:val="22"/>
              </w:rPr>
            </w:pPr>
            <w:r w:rsidRPr="00615CA9">
              <w:rPr>
                <w:rFonts w:ascii="Calibri" w:hAnsi="Calibri" w:cs="Calibri"/>
                <w:sz w:val="22"/>
                <w:szCs w:val="22"/>
              </w:rPr>
              <w:t>However, these systems remain relatively new and are still being embedded across services.</w:t>
            </w:r>
          </w:p>
          <w:p w:rsidR="008076C0" w:rsidRPr="00615CA9" w:rsidP="00B23372">
            <w:pPr>
              <w:rPr>
                <w:rFonts w:ascii="Calibri" w:hAnsi="Calibri" w:cs="Calibri"/>
                <w:sz w:val="22"/>
                <w:szCs w:val="22"/>
              </w:rPr>
            </w:pPr>
          </w:p>
          <w:p w:rsidR="008076C0" w:rsidRPr="00615CA9" w:rsidP="00B23372">
            <w:pPr>
              <w:rPr>
                <w:rFonts w:ascii="Calibri" w:hAnsi="Calibri" w:cs="Calibri"/>
                <w:sz w:val="22"/>
                <w:szCs w:val="22"/>
              </w:rPr>
            </w:pPr>
            <w:r w:rsidRPr="00615CA9">
              <w:rPr>
                <w:rFonts w:ascii="Calibri" w:hAnsi="Calibri" w:cs="Calibri"/>
                <w:sz w:val="22"/>
                <w:szCs w:val="22"/>
              </w:rPr>
              <w:t>Specialist services also highlighted that gap analyses are difficult to act upon without commissioning authority or protected transition leadership structures spanning paediatric and adult systems. Even when gaps are clearly identified, services may lack the resources or influence needed to develop new adult pathways or secure sustained funding.</w:t>
            </w:r>
          </w:p>
          <w:p w:rsidR="008076C0" w:rsidRPr="00615CA9" w:rsidP="00B23372">
            <w:pPr>
              <w:rPr>
                <w:rFonts w:ascii="Calibri" w:hAnsi="Calibri" w:cs="Calibri"/>
                <w:sz w:val="22"/>
                <w:szCs w:val="22"/>
              </w:rPr>
            </w:pPr>
          </w:p>
          <w:p w:rsidR="008076C0" w:rsidRPr="00615CA9" w:rsidP="00B23372">
            <w:pPr>
              <w:rPr>
                <w:rFonts w:ascii="Calibri" w:hAnsi="Calibri" w:cs="Calibri"/>
                <w:sz w:val="22"/>
                <w:szCs w:val="22"/>
              </w:rPr>
            </w:pPr>
            <w:r w:rsidRPr="00615CA9">
              <w:rPr>
                <w:rFonts w:ascii="Calibri" w:hAnsi="Calibri" w:cs="Calibri"/>
                <w:sz w:val="22"/>
                <w:szCs w:val="22"/>
              </w:rPr>
              <w:t>Young people with learning disabilities, autism, neurodevelopmental disorders, complex psychosocial needs, or rare conditions were repeatedly identified as groups at particularly high risk of falling through service gaps.</w:t>
            </w:r>
          </w:p>
          <w:p w:rsidR="008076C0" w:rsidRPr="00615CA9" w:rsidP="00B23372">
            <w:pPr>
              <w:rPr>
                <w:rFonts w:ascii="Calibri" w:hAnsi="Calibri" w:cs="Calibri"/>
                <w:sz w:val="22"/>
                <w:szCs w:val="22"/>
              </w:rPr>
            </w:pPr>
          </w:p>
          <w:p w:rsidR="008076C0" w:rsidRPr="00615CA9" w:rsidP="00DD64F8">
            <w:pPr>
              <w:rPr>
                <w:rFonts w:ascii="Calibri" w:hAnsi="Calibri" w:cs="Calibri"/>
                <w:sz w:val="22"/>
                <w:szCs w:val="22"/>
              </w:rPr>
            </w:pPr>
            <w:r w:rsidRPr="00615CA9">
              <w:rPr>
                <w:rFonts w:ascii="Calibri" w:hAnsi="Calibri" w:cs="Calibri"/>
                <w:sz w:val="22"/>
                <w:szCs w:val="22"/>
              </w:rPr>
              <w:t>Overall, while important local work is emerging, there does not yet appear to be a consistently embedded national approach to transition gap analysis, monitoring, or coordinated response across paediatric and adult systems.</w:t>
            </w: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Effectiveness and implementation</w:t>
            </w:r>
          </w:p>
        </w:tc>
        <w:tc>
          <w:tcPr>
            <w:tcW w:w="8505" w:type="dxa"/>
          </w:tcPr>
          <w:p w:rsidR="008076C0" w:rsidRPr="00615CA9" w:rsidP="00DD64F8">
            <w:pPr>
              <w:rPr>
                <w:rFonts w:ascii="Calibri" w:hAnsi="Calibri" w:cs="Calibri"/>
              </w:rPr>
            </w:pPr>
            <w:r w:rsidRPr="00615CA9">
              <w:rPr>
                <w:rFonts w:ascii="Calibri" w:hAnsi="Calibri" w:cs="Calibri"/>
                <w:sz w:val="22"/>
                <w:szCs w:val="22"/>
              </w:rPr>
              <w:t xml:space="preserve">1. How effective is joint commissioning and coordinated delivery of the care received by </w:t>
            </w:r>
            <w:r w:rsidRPr="00615CA9">
              <w:rPr>
                <w:rFonts w:ascii="Calibri" w:hAnsi="Calibri" w:cs="Calibri"/>
                <w:sz w:val="22"/>
                <w:szCs w:val="22"/>
              </w:rPr>
              <w:t>children and young people at the point of transition?</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27A83">
            <w:pPr>
              <w:tabs>
                <w:tab w:val="left" w:pos="1612"/>
              </w:tabs>
              <w:rPr>
                <w:rFonts w:ascii="Calibri" w:hAnsi="Calibri" w:cs="Calibri"/>
              </w:rPr>
            </w:pPr>
            <w:r w:rsidRPr="00615CA9">
              <w:rPr>
                <w:rFonts w:ascii="Calibri" w:hAnsi="Calibri" w:cs="Calibri"/>
              </w:rPr>
              <w:t>As outlined previously, one of the ongoing challenges within transition policy and implementation is the inconsistent use of the terms “transition” and “transfer.” In practice, many operational discussions around “the point of transition” appear to refer to the point of transfer of care between paediatric and adult services. This distinction is important because effective joint working and commissioning must support the broader longitudinal transition process, not simply the final handover event.</w:t>
            </w:r>
          </w:p>
          <w:p w:rsidR="008076C0" w:rsidRPr="00615CA9" w:rsidP="00D27A83">
            <w:pPr>
              <w:tabs>
                <w:tab w:val="left" w:pos="1612"/>
              </w:tabs>
              <w:rPr>
                <w:rFonts w:ascii="Calibri" w:hAnsi="Calibri" w:cs="Calibri"/>
              </w:rPr>
            </w:pPr>
          </w:p>
          <w:p w:rsidR="008076C0" w:rsidRPr="00615CA9" w:rsidP="00D27A83">
            <w:pPr>
              <w:tabs>
                <w:tab w:val="left" w:pos="1612"/>
              </w:tabs>
              <w:rPr>
                <w:rFonts w:ascii="Calibri" w:hAnsi="Calibri" w:cs="Calibri"/>
              </w:rPr>
            </w:pPr>
            <w:r w:rsidRPr="00615CA9">
              <w:rPr>
                <w:rFonts w:ascii="Calibri" w:hAnsi="Calibri" w:cs="Calibri"/>
              </w:rPr>
              <w:t>Joint commissioning and coordinated delivery at the point of transfer remain highly variable. Where strong paediatric-adult relationships, named contacts, shared clinics, and regular review meetings exist, transfer is safer, more coordinated, and more reassuring for young people and families. However, this is not consistently embedded across specialties or adult providers.</w:t>
            </w:r>
          </w:p>
          <w:p w:rsidR="008076C0" w:rsidRPr="00615CA9" w:rsidP="00D27A83">
            <w:pPr>
              <w:tabs>
                <w:tab w:val="left" w:pos="1612"/>
              </w:tabs>
              <w:rPr>
                <w:rFonts w:ascii="Calibri" w:hAnsi="Calibri" w:cs="Calibri"/>
              </w:rPr>
            </w:pPr>
            <w:r w:rsidRPr="00615CA9">
              <w:rPr>
                <w:rFonts w:ascii="Calibri" w:hAnsi="Calibri" w:cs="Calibri"/>
              </w:rPr>
              <w:t>In practice, coordinated delivery often depends on individual clinicians, specialist nurses, physiologists, administrators, or transition leads maintaining relationships and manually coordinating care across organisational boundaries. This creates good practice in some pathways but makes the overall system fragile and vulnerable to staffing pressures, workforce turnover, and competing service demands.</w:t>
            </w:r>
          </w:p>
          <w:p w:rsidR="008076C0" w:rsidRPr="00615CA9" w:rsidP="00D27A83">
            <w:pPr>
              <w:tabs>
                <w:tab w:val="left" w:pos="1612"/>
              </w:tabs>
              <w:rPr>
                <w:rFonts w:ascii="Calibri" w:hAnsi="Calibri" w:cs="Calibri"/>
              </w:rPr>
            </w:pPr>
          </w:p>
          <w:p w:rsidR="008076C0" w:rsidRPr="00615CA9" w:rsidP="00D27A83">
            <w:pPr>
              <w:tabs>
                <w:tab w:val="left" w:pos="1612"/>
              </w:tabs>
              <w:rPr>
                <w:rFonts w:ascii="Calibri" w:hAnsi="Calibri" w:cs="Calibri"/>
              </w:rPr>
            </w:pPr>
            <w:r w:rsidRPr="00615CA9">
              <w:rPr>
                <w:rFonts w:ascii="Calibri" w:hAnsi="Calibri" w:cs="Calibri"/>
              </w:rPr>
              <w:t xml:space="preserve">Some pathways demonstrate the value of coordinated working. For example, congenital cardiology cross-site review meetings between GOSH and adult congenital services have helped identify referrals that were not sent or not received, monitor delays, and reduce the proportion of unreceived referrals. </w:t>
            </w:r>
          </w:p>
          <w:p w:rsidR="008076C0" w:rsidRPr="00615CA9" w:rsidP="00D27A83">
            <w:pPr>
              <w:tabs>
                <w:tab w:val="left" w:pos="1612"/>
              </w:tabs>
              <w:rPr>
                <w:rFonts w:ascii="Calibri" w:hAnsi="Calibri" w:cs="Calibri"/>
              </w:rPr>
            </w:pPr>
          </w:p>
          <w:p w:rsidR="008076C0" w:rsidRPr="00615CA9" w:rsidP="00D27A83">
            <w:pPr>
              <w:tabs>
                <w:tab w:val="left" w:pos="1612"/>
              </w:tabs>
              <w:rPr>
                <w:rFonts w:ascii="Calibri" w:hAnsi="Calibri" w:cs="Calibri"/>
              </w:rPr>
            </w:pPr>
            <w:r w:rsidRPr="00615CA9">
              <w:rPr>
                <w:rFonts w:ascii="Calibri" w:hAnsi="Calibri" w:cs="Calibri"/>
              </w:rPr>
              <w:t>Device physiologists also described the importance of proactively identifying device patients approaching transfer, independently sending device-specific information to adult teams, and developing transition-specific education to reduce the historical risk of device patients becoming lost to follow-up.</w:t>
            </w:r>
          </w:p>
          <w:p w:rsidR="008076C0" w:rsidRPr="00615CA9" w:rsidP="00D27A83">
            <w:pPr>
              <w:tabs>
                <w:tab w:val="left" w:pos="1612"/>
              </w:tabs>
              <w:rPr>
                <w:rFonts w:ascii="Calibri" w:hAnsi="Calibri" w:cs="Calibri"/>
              </w:rPr>
            </w:pPr>
            <w:r w:rsidRPr="00615CA9">
              <w:rPr>
                <w:rFonts w:ascii="Calibri" w:hAnsi="Calibri" w:cs="Calibri"/>
              </w:rPr>
              <w:t>Similarly, adolescent rheumatology pathways working across paediatric, adolescent, and adult sites demonstrate how early referral, adolescent-focused clinics, flexible appointment planning, continuity of staff relationships, and familiarisation with adult services can improve patient experience and reduce anxiety.</w:t>
            </w:r>
          </w:p>
          <w:p w:rsidR="008076C0" w:rsidRPr="00615CA9" w:rsidP="00D27A83">
            <w:pPr>
              <w:tabs>
                <w:tab w:val="left" w:pos="1612"/>
              </w:tabs>
              <w:rPr>
                <w:rFonts w:ascii="Calibri" w:hAnsi="Calibri" w:cs="Calibri"/>
              </w:rPr>
            </w:pPr>
          </w:p>
          <w:p w:rsidR="008076C0" w:rsidRPr="00615CA9" w:rsidP="00D27A83">
            <w:pPr>
              <w:tabs>
                <w:tab w:val="left" w:pos="1612"/>
              </w:tabs>
              <w:rPr>
                <w:rFonts w:ascii="Calibri" w:hAnsi="Calibri" w:cs="Calibri"/>
              </w:rPr>
            </w:pPr>
            <w:r w:rsidRPr="00615CA9">
              <w:rPr>
                <w:rFonts w:ascii="Calibri" w:hAnsi="Calibri" w:cs="Calibri"/>
              </w:rPr>
              <w:t>However, many specialties described significant gaps in coordinated delivery. These included:</w:t>
            </w:r>
            <w:r w:rsidRPr="00615CA9">
              <w:rPr>
                <w:rFonts w:ascii="Calibri" w:hAnsi="Calibri" w:cs="Calibri"/>
              </w:rPr>
              <w:br/>
              <w:t>• lack of adult-service engagement</w:t>
            </w:r>
            <w:r w:rsidRPr="00615CA9">
              <w:rPr>
                <w:rFonts w:ascii="Calibri" w:hAnsi="Calibri" w:cs="Calibri"/>
              </w:rPr>
              <w:br/>
              <w:t>• absence of named adult contacts</w:t>
            </w:r>
            <w:r w:rsidRPr="00615CA9">
              <w:rPr>
                <w:rFonts w:ascii="Calibri" w:hAnsi="Calibri" w:cs="Calibri"/>
              </w:rPr>
              <w:br/>
              <w:t>• variable referral processes</w:t>
            </w:r>
            <w:r w:rsidRPr="00615CA9">
              <w:rPr>
                <w:rFonts w:ascii="Calibri" w:hAnsi="Calibri" w:cs="Calibri"/>
              </w:rPr>
              <w:br/>
              <w:t>• limited feedback when young people have been seen</w:t>
            </w:r>
            <w:r w:rsidRPr="00615CA9">
              <w:rPr>
                <w:rFonts w:ascii="Calibri" w:hAnsi="Calibri" w:cs="Calibri"/>
              </w:rPr>
              <w:br/>
              <w:t>• and difficulty confirming whether transfer has safely occurred.</w:t>
            </w:r>
          </w:p>
          <w:p w:rsidR="008076C0" w:rsidRPr="00615CA9" w:rsidP="00D27A83">
            <w:pPr>
              <w:tabs>
                <w:tab w:val="left" w:pos="1612"/>
              </w:tabs>
              <w:rPr>
                <w:rFonts w:ascii="Calibri" w:hAnsi="Calibri" w:cs="Calibri"/>
              </w:rPr>
            </w:pPr>
          </w:p>
          <w:p w:rsidR="008076C0" w:rsidRPr="00615CA9" w:rsidP="00D27A83">
            <w:pPr>
              <w:tabs>
                <w:tab w:val="left" w:pos="1612"/>
              </w:tabs>
              <w:rPr>
                <w:rFonts w:ascii="Calibri" w:hAnsi="Calibri" w:cs="Calibri"/>
              </w:rPr>
            </w:pPr>
            <w:r w:rsidRPr="00615CA9">
              <w:rPr>
                <w:rFonts w:ascii="Calibri" w:hAnsi="Calibri" w:cs="Calibri"/>
              </w:rPr>
              <w:t>For some highly specialised conditions, there may be no clear adult equivalent service at all. Paediatric surgery services highlighted examples where adult surgical pathways for long-term surveillance do not exist unless patients actively require surgery, despite European recommendations for lifelong follow-up. Other teams described repeated rejection of referrals for young people aged 16–18 because they fall outside paediatric and adult service criteria simultaneously.</w:t>
            </w:r>
          </w:p>
          <w:p w:rsidR="008076C0" w:rsidRPr="00615CA9" w:rsidP="00D27A83">
            <w:pPr>
              <w:tabs>
                <w:tab w:val="left" w:pos="1612"/>
              </w:tabs>
              <w:rPr>
                <w:rFonts w:ascii="Calibri" w:hAnsi="Calibri" w:cs="Calibri"/>
              </w:rPr>
            </w:pPr>
          </w:p>
          <w:p w:rsidR="008076C0" w:rsidRPr="00615CA9" w:rsidP="00D27A83">
            <w:pPr>
              <w:tabs>
                <w:tab w:val="left" w:pos="1612"/>
              </w:tabs>
              <w:rPr>
                <w:rFonts w:ascii="Calibri" w:hAnsi="Calibri" w:cs="Calibri"/>
              </w:rPr>
            </w:pPr>
            <w:r w:rsidRPr="00615CA9">
              <w:rPr>
                <w:rFonts w:ascii="Calibri" w:hAnsi="Calibri" w:cs="Calibri"/>
              </w:rPr>
              <w:t>The effectiveness of joint commissioning is particularly limited where young people have complex needs spanning health, social care, education, mental health, equipment, therapy, and family support. Services may identify needs, but without coordinated commissioning and shared accountability, young people can still experience significant gaps in provision.</w:t>
            </w:r>
          </w:p>
          <w:p w:rsidR="008076C0" w:rsidRPr="00615CA9" w:rsidP="00D27A83">
            <w:pPr>
              <w:tabs>
                <w:tab w:val="left" w:pos="1612"/>
              </w:tabs>
              <w:rPr>
                <w:rFonts w:ascii="Calibri" w:hAnsi="Calibri" w:cs="Calibri"/>
              </w:rPr>
            </w:pPr>
          </w:p>
          <w:p w:rsidR="008076C0" w:rsidRPr="00615CA9" w:rsidP="00D27A83">
            <w:pPr>
              <w:tabs>
                <w:tab w:val="left" w:pos="1612"/>
              </w:tabs>
              <w:rPr>
                <w:rFonts w:ascii="Calibri" w:hAnsi="Calibri" w:cs="Calibri"/>
              </w:rPr>
            </w:pPr>
            <w:r w:rsidRPr="00615CA9">
              <w:rPr>
                <w:rFonts w:ascii="Calibri" w:hAnsi="Calibri" w:cs="Calibri"/>
              </w:rPr>
              <w:t>Several teams also highlighted that joint working is particularly difficult where young people transition across large geographical areas into multiple adult providers nationally. Pulmonary hypertension services, for example, transition patients into several adult centres across the UK, making standardisation of pathways, communication processes, named contacts, and phased joint working significantly more challenging.</w:t>
            </w:r>
          </w:p>
          <w:p w:rsidR="008076C0" w:rsidRPr="00615CA9" w:rsidP="00D27A83">
            <w:pPr>
              <w:tabs>
                <w:tab w:val="left" w:pos="1612"/>
              </w:tabs>
              <w:rPr>
                <w:rFonts w:ascii="Calibri" w:hAnsi="Calibri" w:cs="Calibri"/>
              </w:rPr>
            </w:pPr>
          </w:p>
          <w:p w:rsidR="008076C0" w:rsidRPr="00615CA9" w:rsidP="00D27A83">
            <w:pPr>
              <w:tabs>
                <w:tab w:val="left" w:pos="1612"/>
              </w:tabs>
              <w:rPr>
                <w:rFonts w:ascii="Calibri" w:hAnsi="Calibri" w:cs="Calibri"/>
              </w:rPr>
            </w:pPr>
            <w:r w:rsidRPr="00615CA9">
              <w:rPr>
                <w:rFonts w:ascii="Calibri" w:hAnsi="Calibri" w:cs="Calibri"/>
              </w:rPr>
              <w:t>Overall, coordinated delivery is most effective where there are formalised cross-service pathways, named contacts, shared monitoring processes, and protected time for transition coordination. It is least effective where transition depends on informal communication, goodwill, or individual teams attempting to navigate fragmented systems without sufficient authority or resource.</w:t>
            </w:r>
          </w:p>
          <w:p w:rsidR="008076C0" w:rsidRPr="00615CA9" w:rsidP="00D27A83">
            <w:pPr>
              <w:tabs>
                <w:tab w:val="left" w:pos="1612"/>
              </w:tabs>
              <w:rPr>
                <w:rFonts w:ascii="Calibri" w:hAnsi="Calibri" w:cs="Calibri"/>
              </w:rPr>
            </w:pP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rPr>
            </w:pPr>
            <w:r w:rsidRPr="00615CA9">
              <w:rPr>
                <w:rFonts w:ascii="Calibri" w:hAnsi="Calibri" w:cs="Calibri"/>
                <w:sz w:val="22"/>
                <w:szCs w:val="22"/>
              </w:rPr>
              <w:t>2. Are there ways in which better and more effective joint working could improve the provision and quality of services? What does good practice look like in cross-service commissioning and delivery?</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5E073A">
            <w:pPr>
              <w:rPr>
                <w:rFonts w:ascii="Calibri" w:hAnsi="Calibri" w:cs="Calibri"/>
              </w:rPr>
            </w:pPr>
            <w:r w:rsidRPr="00615CA9">
              <w:rPr>
                <w:rFonts w:ascii="Calibri" w:hAnsi="Calibri" w:cs="Calibri"/>
              </w:rPr>
              <w:t>Better and more effective joint working could significantly improve both the quality and safety of transition. Many of the risks identified across services arise not from lack of commitment by individual teams, but from fragmented pathways, inconsistent adult-service engagement, differing access criteria, limited administrative capacity, and lack of shared accountability across organisations.</w:t>
            </w:r>
          </w:p>
          <w:p w:rsidR="008076C0" w:rsidRPr="00615CA9" w:rsidP="005E073A">
            <w:pPr>
              <w:rPr>
                <w:rFonts w:ascii="Calibri" w:hAnsi="Calibri" w:cs="Calibri"/>
              </w:rPr>
            </w:pPr>
          </w:p>
          <w:p w:rsidR="008076C0" w:rsidRPr="00615CA9" w:rsidP="005E073A">
            <w:pPr>
              <w:rPr>
                <w:rFonts w:ascii="Calibri" w:hAnsi="Calibri" w:cs="Calibri"/>
              </w:rPr>
            </w:pPr>
            <w:r w:rsidRPr="00615CA9">
              <w:rPr>
                <w:rFonts w:ascii="Calibri" w:hAnsi="Calibri" w:cs="Calibri"/>
              </w:rPr>
              <w:t>Good practice would include early, formalised joint planning between paediatric and adult services, ideally beginning years before transfer. This should include named contacts, agreed referral criteria, clear timelines, shared escalation routes, and mechanisms to confirm whether the young person has been seen by the adult team. Where possible, young people should be introduced gradually to adult services through joint clinics, virtual introductions, written transition plans, familiarisation visits, or phase</w:t>
            </w:r>
            <w:r w:rsidRPr="00615CA9">
              <w:rPr>
                <w:rFonts w:ascii="Calibri" w:hAnsi="Calibri" w:cs="Calibri"/>
              </w:rPr>
              <w:t>d handover.</w:t>
            </w:r>
          </w:p>
          <w:p w:rsidR="008076C0" w:rsidRPr="00615CA9" w:rsidP="005E073A">
            <w:pPr>
              <w:rPr>
                <w:rFonts w:ascii="Calibri" w:hAnsi="Calibri" w:cs="Calibri"/>
              </w:rPr>
            </w:pPr>
          </w:p>
          <w:p w:rsidR="008076C0" w:rsidRPr="00615CA9" w:rsidP="005E073A">
            <w:pPr>
              <w:rPr>
                <w:rFonts w:ascii="Calibri" w:hAnsi="Calibri" w:cs="Calibri"/>
              </w:rPr>
            </w:pPr>
            <w:r w:rsidRPr="00615CA9">
              <w:rPr>
                <w:rFonts w:ascii="Calibri" w:hAnsi="Calibri" w:cs="Calibri"/>
              </w:rPr>
              <w:t>For young people with rare, highly specialised, or complex conditions, better joint working could help reduce the risks created by the wide dispersal of adult care across multiple providers. Where feasible, specialist adult care could be consolidated within a smaller number of appropriate centres with relevant expertise. In some cases, special dispensation or prioritised referral routes to specialist adult centres may be needed to reduce fragmentation and ensure continuity of expertise.</w:t>
            </w:r>
          </w:p>
          <w:p w:rsidR="008076C0" w:rsidRPr="00615CA9" w:rsidP="005E073A">
            <w:pPr>
              <w:rPr>
                <w:rFonts w:ascii="Calibri" w:hAnsi="Calibri" w:cs="Calibri"/>
              </w:rPr>
            </w:pPr>
          </w:p>
          <w:p w:rsidR="008076C0" w:rsidRPr="00615CA9" w:rsidP="005E073A">
            <w:pPr>
              <w:rPr>
                <w:rFonts w:ascii="Calibri" w:hAnsi="Calibri" w:cs="Calibri"/>
              </w:rPr>
            </w:pPr>
            <w:r w:rsidRPr="00615CA9">
              <w:rPr>
                <w:rFonts w:ascii="Calibri" w:hAnsi="Calibri" w:cs="Calibri"/>
              </w:rPr>
              <w:t>This is particularly important for national specialist services whose patients may be referred to many different adult providers across the UK. Without agreed adult pathways, young people may be transferred to services with limited familiarity with paediatric-onset conditions, complex therapies, specialist equipment, or long-term surveillance requirements.</w:t>
            </w:r>
          </w:p>
          <w:p w:rsidR="008076C0" w:rsidRPr="00615CA9" w:rsidP="005E073A">
            <w:pPr>
              <w:rPr>
                <w:rFonts w:ascii="Calibri" w:hAnsi="Calibri" w:cs="Calibri"/>
              </w:rPr>
            </w:pPr>
          </w:p>
          <w:p w:rsidR="008076C0" w:rsidRPr="00615CA9" w:rsidP="005E073A">
            <w:pPr>
              <w:rPr>
                <w:rFonts w:ascii="Calibri" w:hAnsi="Calibri" w:cs="Calibri"/>
              </w:rPr>
            </w:pPr>
            <w:r w:rsidRPr="00615CA9">
              <w:rPr>
                <w:rFonts w:ascii="Calibri" w:hAnsi="Calibri" w:cs="Calibri"/>
              </w:rPr>
              <w:t>Good cross-service commissioning should include dedicated transition coordination roles on both the paediatric and adult side. Coordinators could track referrals, confirm receipt, monitor first adult appointments, support families, identify delays, and escalate concerns before young people are lost to follow-up. This would reduce reliance on already overstretched clinical and administrative staff.</w:t>
            </w:r>
          </w:p>
          <w:p w:rsidR="008076C0" w:rsidRPr="00615CA9" w:rsidP="005E073A">
            <w:pPr>
              <w:rPr>
                <w:rFonts w:ascii="Calibri" w:hAnsi="Calibri" w:cs="Calibri"/>
              </w:rPr>
            </w:pPr>
          </w:p>
          <w:p w:rsidR="008076C0" w:rsidRPr="00615CA9" w:rsidP="005E073A">
            <w:pPr>
              <w:rPr>
                <w:rFonts w:ascii="Calibri" w:hAnsi="Calibri" w:cs="Calibri"/>
              </w:rPr>
            </w:pPr>
            <w:r w:rsidRPr="00615CA9">
              <w:rPr>
                <w:rFonts w:ascii="Calibri" w:hAnsi="Calibri" w:cs="Calibri"/>
              </w:rPr>
              <w:t>Where strong joint working already exists, such as regular paediatric-adult review meetings, it has helped identify missed referrals, clarify responsibility, reduce uncertainty, and contain clinical risk. This suggests that formalised cross-service governance could improve both safety and patient experience if implemented more consistently.</w:t>
            </w:r>
          </w:p>
          <w:p w:rsidR="008076C0" w:rsidRPr="00615CA9" w:rsidP="005E073A">
            <w:pPr>
              <w:rPr>
                <w:rFonts w:ascii="Calibri" w:hAnsi="Calibri" w:cs="Calibri"/>
              </w:rPr>
            </w:pPr>
          </w:p>
          <w:p w:rsidR="008076C0" w:rsidRPr="00615CA9" w:rsidP="005E073A">
            <w:pPr>
              <w:rPr>
                <w:rFonts w:ascii="Calibri" w:hAnsi="Calibri" w:cs="Calibri"/>
              </w:rPr>
            </w:pPr>
            <w:r w:rsidRPr="00615CA9">
              <w:rPr>
                <w:rFonts w:ascii="Calibri" w:hAnsi="Calibri" w:cs="Calibri"/>
              </w:rPr>
              <w:t>Good practice in cross-service commissioning and delivery would include:</w:t>
            </w:r>
            <w:r w:rsidRPr="00615CA9">
              <w:rPr>
                <w:rFonts w:ascii="Calibri" w:hAnsi="Calibri" w:cs="Calibri"/>
              </w:rPr>
              <w:br/>
              <w:t>• named paediatric and adult leads</w:t>
            </w:r>
            <w:r w:rsidRPr="00615CA9">
              <w:rPr>
                <w:rFonts w:ascii="Calibri" w:hAnsi="Calibri" w:cs="Calibri"/>
              </w:rPr>
              <w:br/>
              <w:t>• dedicated transition coordinators</w:t>
            </w:r>
            <w:r w:rsidRPr="00615CA9">
              <w:rPr>
                <w:rFonts w:ascii="Calibri" w:hAnsi="Calibri" w:cs="Calibri"/>
              </w:rPr>
              <w:br/>
              <w:t>• shared referral and handover templates</w:t>
            </w:r>
            <w:r w:rsidRPr="00615CA9">
              <w:rPr>
                <w:rFonts w:ascii="Calibri" w:hAnsi="Calibri" w:cs="Calibri"/>
              </w:rPr>
              <w:br/>
            </w:r>
            <w:r w:rsidRPr="00615CA9">
              <w:rPr>
                <w:rFonts w:ascii="Calibri" w:hAnsi="Calibri" w:cs="Calibri"/>
              </w:rPr>
              <w:t>• joint clinics or phased introductions where feasible</w:t>
            </w:r>
            <w:r w:rsidRPr="00615CA9">
              <w:rPr>
                <w:rFonts w:ascii="Calibri" w:hAnsi="Calibri" w:cs="Calibri"/>
              </w:rPr>
              <w:br/>
              <w:t>• clear processes for confirming first adult attendance</w:t>
            </w:r>
            <w:r w:rsidRPr="00615CA9">
              <w:rPr>
                <w:rFonts w:ascii="Calibri" w:hAnsi="Calibri" w:cs="Calibri"/>
              </w:rPr>
              <w:br/>
              <w:t>• active re-engagement after missed appointments</w:t>
            </w:r>
            <w:r w:rsidRPr="00615CA9">
              <w:rPr>
                <w:rFonts w:ascii="Calibri" w:hAnsi="Calibri" w:cs="Calibri"/>
              </w:rPr>
              <w:br/>
              <w:t>• agreed pathways for 16–18-year-olds who fall between paediatric and adult criteria</w:t>
            </w:r>
            <w:r w:rsidRPr="00615CA9">
              <w:rPr>
                <w:rFonts w:ascii="Calibri" w:hAnsi="Calibri" w:cs="Calibri"/>
              </w:rPr>
              <w:br/>
              <w:t>• specialist adult pathways for rare or complex paediatric-onset conditions</w:t>
            </w:r>
            <w:r w:rsidRPr="00615CA9">
              <w:rPr>
                <w:rFonts w:ascii="Calibri" w:hAnsi="Calibri" w:cs="Calibri"/>
              </w:rPr>
              <w:br/>
              <w:t>• involvement of primary care, social care, education, therapies, mental healt</w:t>
            </w:r>
            <w:r w:rsidRPr="00615CA9">
              <w:rPr>
                <w:rFonts w:ascii="Calibri" w:hAnsi="Calibri" w:cs="Calibri"/>
              </w:rPr>
              <w:t>h, and community services where needed</w:t>
            </w:r>
            <w:r w:rsidRPr="00615CA9">
              <w:rPr>
                <w:rFonts w:ascii="Calibri" w:hAnsi="Calibri" w:cs="Calibri"/>
              </w:rPr>
              <w:br/>
              <w:t>• and shared outcome measures to monitor delays, gaps, patient experience, and loss to follow-up.</w:t>
            </w:r>
          </w:p>
          <w:p w:rsidR="008076C0" w:rsidRPr="00615CA9" w:rsidP="005E073A">
            <w:pPr>
              <w:rPr>
                <w:rFonts w:ascii="Calibri" w:hAnsi="Calibri" w:cs="Calibri"/>
              </w:rPr>
            </w:pPr>
          </w:p>
          <w:p w:rsidR="008076C0" w:rsidRPr="00615CA9" w:rsidP="00AE4EA7">
            <w:pPr>
              <w:rPr>
                <w:rFonts w:ascii="Calibri" w:hAnsi="Calibri" w:cs="Calibri"/>
              </w:rPr>
            </w:pPr>
            <w:r w:rsidRPr="00615CA9">
              <w:rPr>
                <w:rFonts w:ascii="Calibri" w:hAnsi="Calibri" w:cs="Calibri"/>
              </w:rPr>
              <w:t>Overall, better joint working would improve provision by reducing delays, preventing loss to follow-up, improving patient and family confidence, supporting earlier identification of risk, and ensuring young people experience transition as a coordinated process rather than a series of disconnected referrals.</w:t>
            </w:r>
          </w:p>
        </w:tc>
      </w:tr>
      <w:tr w:rsidTr="00DD64F8">
        <w:tblPrEx>
          <w:tblW w:w="10490" w:type="dxa"/>
          <w:tblInd w:w="-714" w:type="dxa"/>
          <w:tblLook w:val="04A0"/>
        </w:tblPrEx>
        <w:trPr>
          <w:trHeight w:val="585"/>
        </w:trPr>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Impact and outcomes</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 xml:space="preserve">1. </w:t>
            </w:r>
            <w:r w:rsidRPr="00615CA9">
              <w:rPr>
                <w:rFonts w:ascii="Calibri" w:hAnsi="Calibri" w:cs="Calibri"/>
                <w:sz w:val="22"/>
                <w:szCs w:val="22"/>
              </w:rPr>
              <w:t>Where health and social care organisations have not been able to fulfil these statements of intent, what has the impact been?</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202999">
            <w:pPr>
              <w:rPr>
                <w:rFonts w:ascii="Calibri" w:hAnsi="Calibri" w:cs="Calibri"/>
              </w:rPr>
            </w:pPr>
            <w:r w:rsidRPr="00615CA9">
              <w:rPr>
                <w:rFonts w:ascii="Calibri" w:hAnsi="Calibri" w:cs="Calibri"/>
              </w:rPr>
              <w:t>Where health and social care organisations are unable to fulfil these statements of intent, the impact on young people and families can be significant and detrimental.</w:t>
            </w:r>
          </w:p>
          <w:p w:rsidR="008076C0" w:rsidRPr="00615CA9" w:rsidP="00202999">
            <w:pPr>
              <w:rPr>
                <w:rFonts w:ascii="Calibri" w:hAnsi="Calibri" w:cs="Calibri"/>
              </w:rPr>
            </w:pPr>
          </w:p>
          <w:p w:rsidR="008076C0" w:rsidRPr="00615CA9" w:rsidP="00202999">
            <w:pPr>
              <w:rPr>
                <w:rFonts w:ascii="Calibri" w:hAnsi="Calibri" w:cs="Calibri"/>
              </w:rPr>
            </w:pPr>
            <w:r w:rsidRPr="00615CA9">
              <w:rPr>
                <w:rFonts w:ascii="Calibri" w:hAnsi="Calibri" w:cs="Calibri"/>
              </w:rPr>
              <w:t>The most immediate impact is a loss of continuity. Young people may experience delayed adult review, unclear clinical responsibility, missed referrals, or gaps between paediatric discharge and adult service acceptance. For young people with complex or high-risk conditions, this is not simply an administrative issue; it can create significant patient safety risks, including delayed treatment, avoidable deterioration, emergency admissions, medication errors, loss to follow-up, and reduced access to specialist</w:t>
            </w:r>
            <w:r w:rsidRPr="00615CA9">
              <w:rPr>
                <w:rFonts w:ascii="Calibri" w:hAnsi="Calibri" w:cs="Calibri"/>
              </w:rPr>
              <w:t xml:space="preserve"> interventions.</w:t>
            </w:r>
          </w:p>
          <w:p w:rsidR="008076C0" w:rsidRPr="00615CA9" w:rsidP="00202999">
            <w:pPr>
              <w:rPr>
                <w:rFonts w:ascii="Calibri" w:hAnsi="Calibri" w:cs="Calibri"/>
              </w:rPr>
            </w:pPr>
          </w:p>
          <w:p w:rsidR="008076C0" w:rsidRPr="00615CA9" w:rsidP="00202999">
            <w:pPr>
              <w:rPr>
                <w:rFonts w:ascii="Calibri" w:hAnsi="Calibri" w:cs="Calibri"/>
              </w:rPr>
            </w:pPr>
            <w:r w:rsidRPr="00615CA9">
              <w:rPr>
                <w:rFonts w:ascii="Calibri" w:hAnsi="Calibri" w:cs="Calibri"/>
              </w:rPr>
              <w:t>There is also a substantial emotional and psychological impact. Poorly coordinated transition can increase anxiety for young people and families, particularly where paediatric teams have supported them for many years and the timing of transfer is uncertain. Families may feel abandoned, unclear about who is responsible for care, or forced to repeatedly advocate across disconnected systems.</w:t>
            </w:r>
          </w:p>
          <w:p w:rsidR="008076C0" w:rsidRPr="00615CA9" w:rsidP="00202999">
            <w:pPr>
              <w:rPr>
                <w:rFonts w:ascii="Calibri" w:hAnsi="Calibri" w:cs="Calibri"/>
              </w:rPr>
            </w:pPr>
          </w:p>
          <w:p w:rsidR="008076C0" w:rsidRPr="00615CA9" w:rsidP="00202999">
            <w:pPr>
              <w:rPr>
                <w:rFonts w:ascii="Calibri" w:hAnsi="Calibri" w:cs="Calibri"/>
              </w:rPr>
            </w:pPr>
            <w:r w:rsidRPr="00615CA9">
              <w:rPr>
                <w:rFonts w:ascii="Calibri" w:hAnsi="Calibri" w:cs="Calibri"/>
              </w:rPr>
              <w:t>Where adult services are unavailable, delayed, or lack equivalent expertise, paediatric teams may continue holding risk beyond their usual service boundaries. This can place additional pressure on already stretched paediatric teams and may result in young people remaining in paediatric care longer than clinically or developmentally appropriate.</w:t>
            </w:r>
          </w:p>
          <w:p w:rsidR="008076C0" w:rsidRPr="00615CA9" w:rsidP="00202999">
            <w:pPr>
              <w:rPr>
                <w:rFonts w:ascii="Calibri" w:hAnsi="Calibri" w:cs="Calibri"/>
              </w:rPr>
            </w:pPr>
          </w:p>
          <w:p w:rsidR="008076C0" w:rsidRPr="00615CA9" w:rsidP="00202999">
            <w:pPr>
              <w:rPr>
                <w:rFonts w:ascii="Calibri" w:hAnsi="Calibri" w:cs="Calibri"/>
              </w:rPr>
            </w:pPr>
            <w:r w:rsidRPr="00615CA9">
              <w:rPr>
                <w:rFonts w:ascii="Calibri" w:hAnsi="Calibri" w:cs="Calibri"/>
              </w:rPr>
              <w:t>For young people with learning disabilities, autism, communication needs, safeguarding concerns, mental health difficulties, or complex social circumstances, failure to jointly plan can be particularly harmful. These young people often require earlier, longer, and more coordinated transition processes. Without this, there is increased risk of disengagement, worsening psychosocial circumstances, loss of support, and inequitable access to adult care.</w:t>
            </w:r>
          </w:p>
          <w:p w:rsidR="008076C0" w:rsidRPr="00615CA9" w:rsidP="00202999">
            <w:pPr>
              <w:rPr>
                <w:rFonts w:ascii="Calibri" w:hAnsi="Calibri" w:cs="Calibri"/>
              </w:rPr>
            </w:pPr>
          </w:p>
          <w:p w:rsidR="008076C0" w:rsidRPr="00615CA9" w:rsidP="00202999">
            <w:pPr>
              <w:rPr>
                <w:rFonts w:ascii="Calibri" w:hAnsi="Calibri" w:cs="Calibri"/>
              </w:rPr>
            </w:pPr>
            <w:r w:rsidRPr="00615CA9">
              <w:rPr>
                <w:rFonts w:ascii="Calibri" w:hAnsi="Calibri" w:cs="Calibri"/>
              </w:rPr>
              <w:t>Some services described very concrete risks where gaps in joint working occur. Renal teams highlighted that young people transferring between paediatric and adult transplant systems may temporarily lose active transplant listing due to differing administrative processes, potentially reducing their chance of receiving an organ offer. Pulmonary hypertension teams described risks for young people on high-risk therapies where local services may not understand the severity of the condition or complexity of treat</w:t>
            </w:r>
            <w:r w:rsidRPr="00615CA9">
              <w:rPr>
                <w:rFonts w:ascii="Calibri" w:hAnsi="Calibri" w:cs="Calibri"/>
              </w:rPr>
              <w:t>ment. Device services described historical risks of cardiac device patients being lost to follow-up where device-specific transition was not clearly coordinated alongside wider hospital transfer.</w:t>
            </w:r>
          </w:p>
          <w:p w:rsidR="008076C0" w:rsidRPr="00615CA9" w:rsidP="00202999">
            <w:pPr>
              <w:rPr>
                <w:rFonts w:ascii="Calibri" w:hAnsi="Calibri" w:cs="Calibri"/>
              </w:rPr>
            </w:pPr>
          </w:p>
          <w:p w:rsidR="008076C0" w:rsidRPr="00615CA9" w:rsidP="00202999">
            <w:pPr>
              <w:rPr>
                <w:rFonts w:ascii="Calibri" w:hAnsi="Calibri" w:cs="Calibri"/>
              </w:rPr>
            </w:pPr>
            <w:r w:rsidRPr="00615CA9">
              <w:rPr>
                <w:rFonts w:ascii="Calibri" w:hAnsi="Calibri" w:cs="Calibri"/>
              </w:rPr>
              <w:t>The impact is also felt at system level. Poorly coordinated transition can lead to duplicated work, repeated chasing of referrals, increased administrative burden, inefficient use of specialist paediatric resource, avoidable emergency presentations, and preventable pressure on adult services. It may also undermine young people’s confidence in adult care and reduce engagement at the very point when they are expected to take greater ownership of their health.</w:t>
            </w:r>
          </w:p>
          <w:p w:rsidR="008076C0" w:rsidRPr="00615CA9" w:rsidP="00202999">
            <w:pPr>
              <w:rPr>
                <w:rFonts w:ascii="Calibri" w:hAnsi="Calibri" w:cs="Calibri"/>
              </w:rPr>
            </w:pPr>
          </w:p>
          <w:p w:rsidR="008076C0" w:rsidRPr="00615CA9" w:rsidP="00202999">
            <w:pPr>
              <w:rPr>
                <w:rFonts w:ascii="Calibri" w:hAnsi="Calibri" w:cs="Calibri"/>
              </w:rPr>
            </w:pPr>
            <w:r w:rsidRPr="00615CA9">
              <w:rPr>
                <w:rFonts w:ascii="Calibri" w:hAnsi="Calibri" w:cs="Calibri"/>
              </w:rPr>
              <w:t>Overall, failure to fulfil these statements of intent results in transition becoming dependent on individual advocacy, informal relationships, and crisis escalation rather than planned, equitable, and safe care. The consequence is increased risk for young people, greater burden on families, and avoidable inefficiency across the wider health and social care system.</w:t>
            </w:r>
          </w:p>
          <w:p w:rsidR="008076C0" w:rsidRPr="00615CA9" w:rsidP="00DD64F8">
            <w:pPr>
              <w:rPr>
                <w:rFonts w:ascii="Calibri" w:hAnsi="Calibri" w:cs="Calibri"/>
              </w:rPr>
            </w:pPr>
          </w:p>
        </w:tc>
      </w:tr>
      <w:tr w:rsidTr="00DD64F8">
        <w:tblPrEx>
          <w:tblW w:w="10490" w:type="dxa"/>
          <w:tblInd w:w="-714" w:type="dxa"/>
          <w:tblLook w:val="04A0"/>
        </w:tblPrEx>
        <w:trPr>
          <w:trHeight w:val="405"/>
        </w:trPr>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rPr>
            </w:pPr>
            <w:r w:rsidRPr="00615CA9">
              <w:rPr>
                <w:rFonts w:ascii="Calibri" w:hAnsi="Calibri" w:cs="Calibri"/>
                <w:sz w:val="22"/>
                <w:szCs w:val="22"/>
              </w:rPr>
              <w:t xml:space="preserve">2. </w:t>
            </w:r>
            <w:r w:rsidRPr="00615CA9">
              <w:rPr>
                <w:rFonts w:ascii="Calibri" w:hAnsi="Calibri" w:cs="Calibri"/>
                <w:sz w:val="22"/>
                <w:szCs w:val="22"/>
              </w:rPr>
              <w:t>What is the impact of joint working on an individual’s experience of the transition between child and adult services?</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EF67F1">
            <w:pPr>
              <w:rPr>
                <w:rFonts w:ascii="Calibri" w:hAnsi="Calibri" w:cs="Calibri"/>
              </w:rPr>
            </w:pPr>
            <w:r w:rsidRPr="00615CA9">
              <w:rPr>
                <w:rFonts w:ascii="Calibri" w:hAnsi="Calibri" w:cs="Calibri"/>
              </w:rPr>
              <w:t>The impact of joint working on an individual’s experience of transition should primarily be understood through the voices of young people and their families/carers. As clinicians and service leads, we can describe observed risks, processes and outcomes, but we should be cautious about speaking on behalf of young people about their lived experience.</w:t>
            </w:r>
          </w:p>
          <w:p w:rsidR="008076C0" w:rsidRPr="00615CA9" w:rsidP="00EF67F1">
            <w:pPr>
              <w:rPr>
                <w:rFonts w:ascii="Calibri" w:hAnsi="Calibri" w:cs="Calibri"/>
              </w:rPr>
            </w:pPr>
          </w:p>
          <w:p w:rsidR="008076C0" w:rsidRPr="00615CA9" w:rsidP="00EF67F1">
            <w:pPr>
              <w:rPr>
                <w:rFonts w:ascii="Calibri" w:hAnsi="Calibri" w:cs="Calibri"/>
              </w:rPr>
            </w:pPr>
            <w:r w:rsidRPr="00615CA9">
              <w:rPr>
                <w:rFonts w:ascii="Calibri" w:hAnsi="Calibri" w:cs="Calibri"/>
              </w:rPr>
              <w:t>Feedback from young people and families across services suggests that where joint working is effective, transition feels more planned, less abrupt, and less frightening. Young people benefit from knowing who their adult team will be, understanding what will change, having opportunities to ask questions, and feeling that paediatric and adult teams have communicated with each other.</w:t>
            </w:r>
          </w:p>
          <w:p w:rsidR="008076C0" w:rsidRPr="00615CA9" w:rsidP="00EF67F1">
            <w:pPr>
              <w:rPr>
                <w:rFonts w:ascii="Calibri" w:hAnsi="Calibri" w:cs="Calibri"/>
              </w:rPr>
            </w:pPr>
          </w:p>
          <w:p w:rsidR="008076C0" w:rsidRPr="00615CA9" w:rsidP="00EF67F1">
            <w:pPr>
              <w:rPr>
                <w:rFonts w:ascii="Calibri" w:hAnsi="Calibri" w:cs="Calibri"/>
              </w:rPr>
            </w:pPr>
            <w:r w:rsidRPr="00615CA9">
              <w:rPr>
                <w:rFonts w:ascii="Calibri" w:hAnsi="Calibri" w:cs="Calibri"/>
              </w:rPr>
              <w:t>Good joint working can help young people experience transition as a supported journey rather than a sudden ending. Familiarisation visits, joint clinics, named contacts, buddy systems, clear written information, and phased handovers can reduce anxiety and increase confidence. Families also benefit from knowing that responsibility has been clearly handed over and that they are not expected to coordinate the system alone.</w:t>
            </w:r>
          </w:p>
          <w:p w:rsidR="008076C0" w:rsidRPr="00615CA9" w:rsidP="00EF67F1">
            <w:pPr>
              <w:rPr>
                <w:rFonts w:ascii="Calibri" w:hAnsi="Calibri" w:cs="Calibri"/>
              </w:rPr>
            </w:pPr>
          </w:p>
          <w:p w:rsidR="008076C0" w:rsidRPr="00615CA9" w:rsidP="00EF67F1">
            <w:pPr>
              <w:rPr>
                <w:rFonts w:ascii="Calibri" w:hAnsi="Calibri" w:cs="Calibri"/>
              </w:rPr>
            </w:pPr>
            <w:r w:rsidRPr="00615CA9">
              <w:rPr>
                <w:rFonts w:ascii="Calibri" w:hAnsi="Calibri" w:cs="Calibri"/>
              </w:rPr>
              <w:t xml:space="preserve">Conversely, where joint working is poor, young people and families may experience uncertainty, anxiety, repeated storytelling, unclear responsibility, delayed appointments, and fear of being lost between services. This can be particularly </w:t>
            </w:r>
            <w:r w:rsidRPr="00615CA9">
              <w:rPr>
                <w:rFonts w:ascii="Calibri" w:hAnsi="Calibri" w:cs="Calibri"/>
              </w:rPr>
              <w:t>distressing where families have built long-term relationships with paediatric teams over many years.</w:t>
            </w:r>
          </w:p>
          <w:p w:rsidR="008076C0" w:rsidRPr="00615CA9" w:rsidP="00EF67F1">
            <w:pPr>
              <w:rPr>
                <w:rFonts w:ascii="Calibri" w:hAnsi="Calibri" w:cs="Calibri"/>
              </w:rPr>
            </w:pPr>
          </w:p>
          <w:p w:rsidR="008076C0" w:rsidRPr="00615CA9" w:rsidP="00EF67F1">
            <w:pPr>
              <w:rPr>
                <w:rFonts w:ascii="Calibri" w:hAnsi="Calibri" w:cs="Calibri"/>
              </w:rPr>
            </w:pPr>
            <w:r w:rsidRPr="00615CA9">
              <w:rPr>
                <w:rFonts w:ascii="Calibri" w:hAnsi="Calibri" w:cs="Calibri"/>
              </w:rPr>
              <w:t>The GOSH Youth Manifesto strongly reinforces that young people want care that is collaborative, empowering and connected to their lives beyond hospital. Young people describe wanting staff to “walk alongside” them, bridge care between hospital and home, value their views, and support them through “every age, every stage, transition, and milestone.”</w:t>
            </w:r>
          </w:p>
          <w:p w:rsidR="008076C0" w:rsidRPr="00615CA9" w:rsidP="00EF67F1">
            <w:pPr>
              <w:rPr>
                <w:rFonts w:ascii="Calibri" w:hAnsi="Calibri" w:cs="Calibri"/>
              </w:rPr>
            </w:pPr>
          </w:p>
          <w:p w:rsidR="008076C0" w:rsidRPr="00615CA9" w:rsidP="00EF67F1">
            <w:pPr>
              <w:rPr>
                <w:rFonts w:ascii="Calibri" w:hAnsi="Calibri" w:cs="Calibri"/>
              </w:rPr>
            </w:pPr>
            <w:r w:rsidRPr="00615CA9">
              <w:rPr>
                <w:rFonts w:ascii="Calibri" w:hAnsi="Calibri" w:cs="Calibri"/>
              </w:rPr>
              <w:t>This underlines that joint working should not only be judged by whether a referral has been sent or received, but by whether young people and families feel informed, prepared, respected, and confident in the next stage of care.</w:t>
            </w:r>
          </w:p>
          <w:p w:rsidR="008076C0" w:rsidRPr="00615CA9" w:rsidP="00EF67F1">
            <w:pPr>
              <w:rPr>
                <w:rFonts w:ascii="Calibri" w:hAnsi="Calibri" w:cs="Calibri"/>
              </w:rPr>
            </w:pPr>
          </w:p>
          <w:p w:rsidR="008076C0" w:rsidRPr="00615CA9" w:rsidP="00EF67F1">
            <w:pPr>
              <w:rPr>
                <w:rFonts w:ascii="Calibri" w:hAnsi="Calibri" w:cs="Calibri"/>
              </w:rPr>
            </w:pPr>
            <w:r w:rsidRPr="00615CA9">
              <w:rPr>
                <w:rFonts w:ascii="Calibri" w:hAnsi="Calibri" w:cs="Calibri"/>
              </w:rPr>
              <w:t>Overall, effective joint working appears to improve the experience of transition by reducing uncertainty, strengthening trust, supporting confidence, and helping young people feel that services are working together around them. However, this impact must be measured directly through young person and family feedback, rather than assumed from service processes alone.</w:t>
            </w:r>
          </w:p>
          <w:p w:rsidR="008076C0" w:rsidRPr="00615CA9" w:rsidP="00DD64F8">
            <w:pPr>
              <w:rPr>
                <w:rFonts w:ascii="Calibri" w:hAnsi="Calibri" w:cs="Calibri"/>
              </w:rPr>
            </w:pPr>
          </w:p>
        </w:tc>
      </w:tr>
      <w:tr w:rsidTr="00DD64F8">
        <w:tblPrEx>
          <w:tblW w:w="10490" w:type="dxa"/>
          <w:tblInd w:w="-714" w:type="dxa"/>
          <w:tblLook w:val="04A0"/>
        </w:tblPrEx>
        <w:trPr>
          <w:trHeight w:val="300"/>
        </w:trPr>
        <w:tc>
          <w:tcPr>
            <w:tcW w:w="1985" w:type="dxa"/>
            <w:vMerge/>
          </w:tcPr>
          <w:p w:rsidR="008076C0" w:rsidRPr="00615CA9" w:rsidP="00DD64F8">
            <w:pPr>
              <w:rPr>
                <w:rFonts w:ascii="Calibri" w:hAnsi="Calibri" w:cs="Calibri"/>
                <w:b/>
                <w:bCs/>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 xml:space="preserve">3. Is there available data demonstrating the proportion of young people who are transitioned to primary care management, for example where there is no specific adult service, or they do not meet the requirements for adult services? </w:t>
            </w:r>
          </w:p>
        </w:tc>
      </w:tr>
      <w:tr w:rsidTr="00DD64F8">
        <w:tblPrEx>
          <w:tblW w:w="10490" w:type="dxa"/>
          <w:tblInd w:w="-714" w:type="dxa"/>
          <w:tblLook w:val="04A0"/>
        </w:tblPrEx>
        <w:trPr>
          <w:trHeight w:val="300"/>
        </w:trPr>
        <w:tc>
          <w:tcPr>
            <w:tcW w:w="1985" w:type="dxa"/>
            <w:vMerge/>
          </w:tcPr>
          <w:p w:rsidR="008076C0" w:rsidRPr="00615CA9" w:rsidP="00DD64F8">
            <w:pPr>
              <w:rPr>
                <w:rFonts w:ascii="Calibri" w:hAnsi="Calibri" w:cs="Calibri"/>
                <w:b/>
                <w:bCs/>
                <w:sz w:val="20"/>
                <w:szCs w:val="20"/>
              </w:rPr>
            </w:pPr>
          </w:p>
        </w:tc>
        <w:tc>
          <w:tcPr>
            <w:tcW w:w="8505" w:type="dxa"/>
          </w:tcPr>
          <w:p w:rsidR="008076C0" w:rsidRPr="00615CA9" w:rsidP="00BA0EE4">
            <w:pPr>
              <w:rPr>
                <w:rFonts w:ascii="Calibri" w:hAnsi="Calibri" w:cs="Calibri"/>
                <w:sz w:val="22"/>
                <w:szCs w:val="22"/>
              </w:rPr>
            </w:pPr>
            <w:r w:rsidRPr="00615CA9">
              <w:rPr>
                <w:rFonts w:ascii="Calibri" w:hAnsi="Calibri" w:cs="Calibri"/>
                <w:sz w:val="22"/>
                <w:szCs w:val="22"/>
              </w:rPr>
              <w:t>At present, there is limited robust data demonstrating the proportion of young people transitioned to primary care management because no specific adult service exists, or because they do not meet eligibility criteria for adult services. This appears to be an important gap nationally, particularly for young people with rare, complex, or paediatric-onset conditions where adult pathways may be poorly defined.</w:t>
            </w:r>
          </w:p>
          <w:p w:rsidR="008076C0" w:rsidRPr="00615CA9" w:rsidP="00BA0EE4">
            <w:pPr>
              <w:rPr>
                <w:rFonts w:ascii="Calibri" w:hAnsi="Calibri" w:cs="Calibri"/>
                <w:sz w:val="22"/>
                <w:szCs w:val="22"/>
              </w:rPr>
            </w:pPr>
          </w:p>
          <w:p w:rsidR="008076C0" w:rsidRPr="00615CA9" w:rsidP="00BA0EE4">
            <w:pPr>
              <w:rPr>
                <w:rFonts w:ascii="Calibri" w:hAnsi="Calibri" w:cs="Calibri"/>
                <w:sz w:val="22"/>
                <w:szCs w:val="22"/>
              </w:rPr>
            </w:pPr>
            <w:r w:rsidRPr="00615CA9">
              <w:rPr>
                <w:rFonts w:ascii="Calibri" w:hAnsi="Calibri" w:cs="Calibri"/>
                <w:sz w:val="22"/>
                <w:szCs w:val="22"/>
              </w:rPr>
              <w:t>At GOSH, the RTT “Transfer to Adults” process should increasingly enable this data to be captured over time. The process requires teams to record where a young person is being referred, whether they have been seen by the receiving service, and where transfer has not occurred, the reason for this. As implementation matures, this should allow the Trust to identify how many young people are transferred to adult specialist services, how many experience delays, how many referrals are rejected or not received, an</w:t>
            </w:r>
            <w:r w:rsidRPr="00615CA9">
              <w:rPr>
                <w:rFonts w:ascii="Calibri" w:hAnsi="Calibri" w:cs="Calibri"/>
                <w:sz w:val="22"/>
                <w:szCs w:val="22"/>
              </w:rPr>
              <w:t>d how many are discharged to primary care because no appropriate adult pathway exists.</w:t>
            </w:r>
          </w:p>
          <w:p w:rsidR="008076C0" w:rsidRPr="00615CA9" w:rsidP="00BA0EE4">
            <w:pPr>
              <w:rPr>
                <w:rFonts w:ascii="Calibri" w:hAnsi="Calibri" w:cs="Calibri"/>
                <w:sz w:val="22"/>
                <w:szCs w:val="22"/>
              </w:rPr>
            </w:pPr>
          </w:p>
          <w:p w:rsidR="008076C0" w:rsidRPr="00615CA9" w:rsidP="00BA0EE4">
            <w:pPr>
              <w:rPr>
                <w:rFonts w:ascii="Calibri" w:hAnsi="Calibri" w:cs="Calibri"/>
                <w:sz w:val="22"/>
                <w:szCs w:val="22"/>
              </w:rPr>
            </w:pPr>
            <w:r w:rsidRPr="00615CA9">
              <w:rPr>
                <w:rFonts w:ascii="Calibri" w:hAnsi="Calibri" w:cs="Calibri"/>
                <w:sz w:val="22"/>
                <w:szCs w:val="22"/>
              </w:rPr>
              <w:t>However, the RTT “Transfer to Adults” process is still relatively new and is not yet consistently embedded across all specialties. Work is ongoing to support wider use by all teams, including training, engagement with administrative teams, and support from the Healthcare Transition and Adolescent Lead. As usage becomes more consistent, the process should provide more reliable data on transition outcomes and gaps in adult provision.</w:t>
            </w:r>
          </w:p>
          <w:p w:rsidR="008076C0" w:rsidRPr="00615CA9" w:rsidP="00BA0EE4">
            <w:pPr>
              <w:rPr>
                <w:rFonts w:ascii="Calibri" w:hAnsi="Calibri" w:cs="Calibri"/>
                <w:sz w:val="22"/>
                <w:szCs w:val="22"/>
              </w:rPr>
            </w:pPr>
          </w:p>
          <w:p w:rsidR="008076C0" w:rsidRPr="00615CA9" w:rsidP="00BA0EE4">
            <w:pPr>
              <w:rPr>
                <w:rFonts w:ascii="Calibri" w:hAnsi="Calibri" w:cs="Calibri"/>
                <w:sz w:val="22"/>
                <w:szCs w:val="22"/>
              </w:rPr>
            </w:pPr>
            <w:r w:rsidRPr="00615CA9">
              <w:rPr>
                <w:rFonts w:ascii="Calibri" w:hAnsi="Calibri" w:cs="Calibri"/>
                <w:sz w:val="22"/>
                <w:szCs w:val="22"/>
              </w:rPr>
              <w:t>Specialist teams have already highlighted examples where young people may be discharged to primary care despite ongoing specialist surveillance needs. This includes some paediatric surgical conditions where adult specialist follow-up is not available unless the young person currently requires surgery. In these cases, primary care may be expected to coordinate long-term surveillance, despite the highly specialised nature of the condition and the potential risks if monitoring is not completed.</w:t>
            </w:r>
          </w:p>
          <w:p w:rsidR="008076C0" w:rsidRPr="00615CA9" w:rsidP="00BA0EE4">
            <w:pPr>
              <w:rPr>
                <w:rFonts w:ascii="Calibri" w:hAnsi="Calibri" w:cs="Calibri"/>
                <w:sz w:val="22"/>
                <w:szCs w:val="22"/>
              </w:rPr>
            </w:pPr>
          </w:p>
          <w:p w:rsidR="008076C0" w:rsidRPr="00615CA9" w:rsidP="00BA0EE4">
            <w:pPr>
              <w:rPr>
                <w:rFonts w:ascii="Calibri" w:hAnsi="Calibri" w:cs="Calibri"/>
                <w:sz w:val="22"/>
                <w:szCs w:val="22"/>
              </w:rPr>
            </w:pPr>
            <w:r w:rsidRPr="00615CA9">
              <w:rPr>
                <w:rFonts w:ascii="Calibri" w:hAnsi="Calibri" w:cs="Calibri"/>
                <w:sz w:val="22"/>
                <w:szCs w:val="22"/>
              </w:rPr>
              <w:t xml:space="preserve">There are also concerns for young people with learning disabilities, autism, or complex needs where adult service eligibility and capacity may be limited. Where adult specialist services cannot accept responsibility, care may become increasingly dependent on primary care, local capacity, family advocacy, and individual professional knowledge. Clinicians also reported that capacity, best interests decision-making, and long-term support planning are not always well understood across systems, which can create </w:t>
            </w:r>
            <w:r w:rsidRPr="00615CA9">
              <w:rPr>
                <w:rFonts w:ascii="Calibri" w:hAnsi="Calibri" w:cs="Calibri"/>
                <w:sz w:val="22"/>
                <w:szCs w:val="22"/>
              </w:rPr>
              <w:t>further risk for vulnerable young people transitioning out of paediatric services.</w:t>
            </w:r>
          </w:p>
          <w:p w:rsidR="008076C0" w:rsidRPr="00615CA9" w:rsidP="00BA0EE4">
            <w:pPr>
              <w:rPr>
                <w:rFonts w:ascii="Calibri" w:hAnsi="Calibri" w:cs="Calibri"/>
                <w:sz w:val="22"/>
                <w:szCs w:val="22"/>
              </w:rPr>
            </w:pPr>
          </w:p>
          <w:p w:rsidR="008076C0" w:rsidRPr="00615CA9" w:rsidP="00BA0EE4">
            <w:pPr>
              <w:rPr>
                <w:rFonts w:ascii="Calibri" w:hAnsi="Calibri" w:cs="Calibri"/>
                <w:sz w:val="22"/>
                <w:szCs w:val="22"/>
              </w:rPr>
            </w:pPr>
            <w:r w:rsidRPr="00615CA9">
              <w:rPr>
                <w:rFonts w:ascii="Calibri" w:hAnsi="Calibri" w:cs="Calibri"/>
                <w:sz w:val="22"/>
                <w:szCs w:val="22"/>
              </w:rPr>
              <w:t>Overall, while comprehensive data are not yet available, the emerging picture suggests that transfer to primary care because of gaps in adult provision is a significant issue requiring better monitoring. The development of the RTT “Transfer to Adults” process provides an important opportunity to quantify this over time, but national standards for recording transition destination, rejected referrals, primary care discharge, and loss to specialist follow-up would be valuable.</w:t>
            </w:r>
          </w:p>
          <w:p w:rsidR="008076C0" w:rsidRPr="00615CA9" w:rsidP="00DD64F8">
            <w:pPr>
              <w:rPr>
                <w:rFonts w:ascii="Calibri" w:hAnsi="Calibri" w:cs="Calibri"/>
                <w:sz w:val="22"/>
                <w:szCs w:val="22"/>
              </w:rPr>
            </w:pP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Appropriateness</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1. Are current guidelines and guidance in this area appropriate for children and young people, and for the health and social care professionals involved?</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217C7C">
            <w:pPr>
              <w:rPr>
                <w:rFonts w:ascii="Calibri" w:hAnsi="Calibri" w:cs="Calibri"/>
              </w:rPr>
            </w:pPr>
            <w:r w:rsidRPr="00615CA9">
              <w:rPr>
                <w:rFonts w:ascii="Calibri" w:hAnsi="Calibri" w:cs="Calibri"/>
              </w:rPr>
              <w:t>Current guidelines are broadly appropriate in principle. They correctly emphasise early planning, joint working, gap analysis, coordinated commissioning, developmentally appropriate</w:t>
            </w:r>
            <w:r w:rsidRPr="00615CA9">
              <w:rPr>
                <w:rFonts w:ascii="Calibri" w:hAnsi="Calibri" w:cs="Calibri"/>
                <w:sz w:val="22"/>
                <w:szCs w:val="22"/>
              </w:rPr>
              <w:t xml:space="preserve"> and individualised</w:t>
            </w:r>
            <w:r w:rsidRPr="00615CA9">
              <w:rPr>
                <w:rFonts w:ascii="Calibri" w:hAnsi="Calibri" w:cs="Calibri"/>
              </w:rPr>
              <w:t xml:space="preserve"> support, and the need to identify young people who may not meet adult service eligibility criteria.</w:t>
            </w:r>
          </w:p>
          <w:p w:rsidR="008076C0" w:rsidRPr="00615CA9" w:rsidP="00217C7C">
            <w:pPr>
              <w:rPr>
                <w:rFonts w:ascii="Calibri" w:hAnsi="Calibri" w:cs="Calibri"/>
              </w:rPr>
            </w:pPr>
          </w:p>
          <w:p w:rsidR="008076C0" w:rsidRPr="00615CA9" w:rsidP="00217C7C">
            <w:pPr>
              <w:rPr>
                <w:rFonts w:ascii="Calibri" w:hAnsi="Calibri" w:cs="Calibri"/>
              </w:rPr>
            </w:pPr>
            <w:r w:rsidRPr="00615CA9">
              <w:rPr>
                <w:rFonts w:ascii="Calibri" w:hAnsi="Calibri" w:cs="Calibri"/>
              </w:rPr>
              <w:t>However, the main challenge is not the content of the guidance, but the limited infrastructure and resource available to implement it consistently. Many services recognise what good transition should look like, but lack the protected workforce capacity, administrative support, adult-service engagement, shared digital systems, and commissioning mechanisms required to deliver it reliably.</w:t>
            </w:r>
          </w:p>
          <w:p w:rsidR="008076C0" w:rsidRPr="00615CA9" w:rsidP="00217C7C">
            <w:pPr>
              <w:rPr>
                <w:rFonts w:ascii="Calibri" w:hAnsi="Calibri" w:cs="Calibri"/>
              </w:rPr>
            </w:pPr>
          </w:p>
          <w:p w:rsidR="008076C0" w:rsidRPr="00615CA9" w:rsidP="00217C7C">
            <w:pPr>
              <w:rPr>
                <w:rFonts w:ascii="Calibri" w:hAnsi="Calibri" w:cs="Calibri"/>
              </w:rPr>
            </w:pPr>
            <w:r w:rsidRPr="00615CA9">
              <w:rPr>
                <w:rFonts w:ascii="Calibri" w:hAnsi="Calibri" w:cs="Calibri"/>
              </w:rPr>
              <w:t>In practice, guidance can be difficult to action because responsibility is spread across multiple organisations, including paediatric services, adult services, primary care, local authorities, education, mental health, therapies, and social care. Without clear accountability and shared commissioning arrangements, young people may still experience gaps even where paediatric teams have identified risks and attempted to plan early.</w:t>
            </w:r>
          </w:p>
          <w:p w:rsidR="008076C0" w:rsidRPr="00615CA9" w:rsidP="00217C7C">
            <w:pPr>
              <w:rPr>
                <w:rFonts w:ascii="Calibri" w:hAnsi="Calibri" w:cs="Calibri"/>
              </w:rPr>
            </w:pPr>
          </w:p>
          <w:p w:rsidR="008076C0" w:rsidRPr="00615CA9" w:rsidP="00217C7C">
            <w:pPr>
              <w:rPr>
                <w:rFonts w:ascii="Calibri" w:hAnsi="Calibri" w:cs="Calibri"/>
              </w:rPr>
            </w:pPr>
            <w:r w:rsidRPr="00615CA9">
              <w:rPr>
                <w:rFonts w:ascii="Calibri" w:hAnsi="Calibri" w:cs="Calibri"/>
              </w:rPr>
              <w:t>The recommendation to carry out gap analysis is particularly important, but in practice it is difficult for individual specialist teams to act on gaps where they do not control adult service provision, local authority capacity, or commissioning decisions. Services may identify that no suitable adult pathway exists, but lack the authority or resource to create one.</w:t>
            </w:r>
          </w:p>
          <w:p w:rsidR="008076C0" w:rsidRPr="00615CA9" w:rsidP="00217C7C">
            <w:pPr>
              <w:rPr>
                <w:rFonts w:ascii="Calibri" w:hAnsi="Calibri" w:cs="Calibri"/>
              </w:rPr>
            </w:pPr>
          </w:p>
          <w:p w:rsidR="008076C0" w:rsidRPr="00615CA9" w:rsidP="00217C7C">
            <w:pPr>
              <w:rPr>
                <w:rFonts w:ascii="Calibri" w:hAnsi="Calibri" w:cs="Calibri"/>
              </w:rPr>
            </w:pPr>
            <w:r w:rsidRPr="00615CA9">
              <w:rPr>
                <w:rFonts w:ascii="Calibri" w:hAnsi="Calibri" w:cs="Calibri"/>
              </w:rPr>
              <w:t>Guidance also does not always reflect the complexity of modern paediatric survival. Increasing numbers of children with rare, complex, or previously life-limiting conditions now survive into adulthood, but equivalent adult services have not always developed in parallel. This leaves clinicians trying to apply appropriate guidance within systems that were not designed around these patient groups.</w:t>
            </w:r>
          </w:p>
          <w:p w:rsidR="008076C0" w:rsidRPr="00615CA9" w:rsidP="00217C7C">
            <w:pPr>
              <w:rPr>
                <w:rFonts w:ascii="Calibri" w:hAnsi="Calibri" w:cs="Calibri"/>
              </w:rPr>
            </w:pPr>
          </w:p>
          <w:p w:rsidR="008076C0" w:rsidRPr="00615CA9" w:rsidP="00217C7C">
            <w:pPr>
              <w:rPr>
                <w:rFonts w:ascii="Calibri" w:hAnsi="Calibri" w:cs="Calibri"/>
              </w:rPr>
            </w:pPr>
            <w:r w:rsidRPr="00615CA9">
              <w:rPr>
                <w:rFonts w:ascii="Calibri" w:hAnsi="Calibri" w:cs="Calibri"/>
              </w:rPr>
              <w:t>Overall, the guidance is appropriate, but implementation is inconsistent because it is not matched by sufficient resource, workforce planning, digital infrastructure, or commissioning accountability. Stronger national mechanisms may be needed to ensure that guidance is translated into funded pathways, measurable standards, and shared responsibility across child and adult services.</w:t>
            </w:r>
          </w:p>
          <w:p w:rsidR="008076C0" w:rsidRPr="00615CA9" w:rsidP="00DD64F8">
            <w:pPr>
              <w:rPr>
                <w:rFonts w:ascii="Calibri" w:hAnsi="Calibri" w:cs="Calibri"/>
              </w:rPr>
            </w:pP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Equality and diversity</w:t>
            </w:r>
          </w:p>
        </w:tc>
        <w:tc>
          <w:tcPr>
            <w:tcW w:w="8505" w:type="dxa"/>
          </w:tcPr>
          <w:p w:rsidR="008076C0" w:rsidRPr="00615CA9" w:rsidP="00DD64F8">
            <w:pPr>
              <w:rPr>
                <w:rFonts w:ascii="Calibri" w:hAnsi="Calibri" w:eastAsiaTheme="minorEastAsia" w:cs="Calibri"/>
                <w:sz w:val="22"/>
                <w:szCs w:val="22"/>
              </w:rPr>
            </w:pPr>
            <w:r w:rsidRPr="00615CA9">
              <w:rPr>
                <w:rFonts w:ascii="Calibri" w:hAnsi="Calibri" w:eastAsiaTheme="minorEastAsia" w:cs="Calibri"/>
                <w:sz w:val="22"/>
                <w:szCs w:val="22"/>
              </w:rPr>
              <w:t>1. How are underserved or vulnerable service-user groups, including those with additional needs, considered in the delivery of services under this guidance?</w:t>
            </w:r>
          </w:p>
        </w:tc>
      </w:tr>
      <w:tr w:rsidTr="00DD64F8">
        <w:tblPrEx>
          <w:tblW w:w="10490" w:type="dxa"/>
          <w:tblInd w:w="-714" w:type="dxa"/>
          <w:tblLook w:val="04A0"/>
        </w:tblPrEx>
        <w:tc>
          <w:tcPr>
            <w:tcW w:w="1985" w:type="dxa"/>
            <w:vMerge/>
          </w:tcPr>
          <w:p w:rsidR="008076C0" w:rsidRPr="00615CA9" w:rsidP="00DD64F8">
            <w:pPr>
              <w:rPr>
                <w:rFonts w:ascii="Calibri" w:hAnsi="Calibri" w:cs="Calibri"/>
              </w:rPr>
            </w:pPr>
          </w:p>
        </w:tc>
        <w:tc>
          <w:tcPr>
            <w:tcW w:w="8505" w:type="dxa"/>
          </w:tcPr>
          <w:p w:rsidR="008076C0" w:rsidRPr="00615CA9" w:rsidP="00987575">
            <w:pPr>
              <w:rPr>
                <w:rFonts w:ascii="Calibri" w:hAnsi="Calibri" w:cs="Calibri"/>
              </w:rPr>
            </w:pPr>
            <w:r w:rsidRPr="00615CA9">
              <w:rPr>
                <w:rFonts w:ascii="Calibri" w:hAnsi="Calibri" w:cs="Calibri"/>
              </w:rPr>
              <w:t>Underserved and vulnerable groups are considered by many specialist teams, but support remains variable and is often dependent on local service design, individual clinician awareness, and available workforce capacity.</w:t>
            </w:r>
          </w:p>
          <w:p w:rsidR="008076C0" w:rsidRPr="00615CA9" w:rsidP="00987575">
            <w:pPr>
              <w:rPr>
                <w:rFonts w:ascii="Calibri" w:hAnsi="Calibri" w:cs="Calibri"/>
              </w:rPr>
            </w:pPr>
          </w:p>
          <w:p w:rsidR="008076C0" w:rsidRPr="00615CA9" w:rsidP="00987575">
            <w:pPr>
              <w:rPr>
                <w:rFonts w:ascii="Calibri" w:hAnsi="Calibri" w:cs="Calibri"/>
              </w:rPr>
            </w:pPr>
            <w:r w:rsidRPr="00615CA9">
              <w:rPr>
                <w:rFonts w:ascii="Calibri" w:hAnsi="Calibri" w:cs="Calibri"/>
              </w:rPr>
              <w:t>Young people with learning disabilities, autism, communication needs, mental health difficulties, safeguarding concerns, complex medical needs, or limited family advocacy are consistently recognised as being at increased risk during transition. These young people often require earlier planning, longer preparation, repeated explanation, reasonable adjustments, and closer coordination between paediatric, adult, primary care, education, social care, and mental health services.</w:t>
            </w:r>
          </w:p>
          <w:p w:rsidR="008076C0" w:rsidRPr="00615CA9" w:rsidP="00987575">
            <w:pPr>
              <w:rPr>
                <w:rFonts w:ascii="Calibri" w:hAnsi="Calibri" w:cs="Calibri"/>
              </w:rPr>
            </w:pPr>
          </w:p>
          <w:p w:rsidR="008076C0" w:rsidRPr="00615CA9" w:rsidP="00987575">
            <w:pPr>
              <w:rPr>
                <w:rFonts w:ascii="Calibri" w:hAnsi="Calibri" w:cs="Calibri"/>
              </w:rPr>
            </w:pPr>
            <w:r w:rsidRPr="00615CA9">
              <w:rPr>
                <w:rFonts w:ascii="Calibri" w:hAnsi="Calibri" w:cs="Calibri"/>
              </w:rPr>
              <w:t>However, young people with learning disabilities and autism remain particularly underserved. There can be a misconception that transition should happen later for these young people, when in practice they often require a longer and more gradual transition process starting earlier. Without this, there is less time to build familiarity, assess capacity, plan reasonable adjustments, support families, and establish adult services safely.</w:t>
            </w:r>
          </w:p>
          <w:p w:rsidR="008076C0" w:rsidRPr="00615CA9" w:rsidP="00987575">
            <w:pPr>
              <w:rPr>
                <w:rFonts w:ascii="Calibri" w:hAnsi="Calibri" w:cs="Calibri"/>
              </w:rPr>
            </w:pPr>
          </w:p>
          <w:p w:rsidR="008076C0" w:rsidRPr="00615CA9" w:rsidP="00987575">
            <w:pPr>
              <w:rPr>
                <w:rFonts w:ascii="Calibri" w:hAnsi="Calibri" w:cs="Calibri"/>
              </w:rPr>
            </w:pPr>
            <w:r w:rsidRPr="00615CA9">
              <w:rPr>
                <w:rFonts w:ascii="Calibri" w:hAnsi="Calibri" w:cs="Calibri"/>
              </w:rPr>
              <w:t>Some services described examples of good practice. Cross-site adolescent services, including UCLH adolescent pathways, described offering additional support for young people with higher needs, including extra clinics, longer-term contact, communication support, translator support where needed, and involvement of play specialists or developmentally appropriate staff. These approaches can help reduce anxiety, improve understanding, and support engagement with adult services.</w:t>
            </w:r>
          </w:p>
          <w:p w:rsidR="008076C0" w:rsidRPr="00615CA9" w:rsidP="00987575">
            <w:pPr>
              <w:rPr>
                <w:rFonts w:ascii="Calibri" w:hAnsi="Calibri" w:cs="Calibri"/>
              </w:rPr>
            </w:pPr>
          </w:p>
          <w:p w:rsidR="008076C0" w:rsidRPr="00615CA9" w:rsidP="00987575">
            <w:pPr>
              <w:rPr>
                <w:rFonts w:ascii="Calibri" w:hAnsi="Calibri" w:cs="Calibri"/>
              </w:rPr>
            </w:pPr>
            <w:r w:rsidRPr="00615CA9">
              <w:rPr>
                <w:rFonts w:ascii="Calibri" w:hAnsi="Calibri" w:cs="Calibri"/>
              </w:rPr>
              <w:t>However, this level of support is not consistently available across all pathways. Where services lack dedicated adolescent clinics, youth workers, transition coordinators, learning disability expertise, or protected appointment time, support for vulnerable groups can become reactive rather than planned. This risks widening inequalities for young people who already face greater barriers to accessing and engaging with healthcare.</w:t>
            </w:r>
          </w:p>
          <w:p w:rsidR="008076C0" w:rsidRPr="00615CA9" w:rsidP="00987575">
            <w:pPr>
              <w:rPr>
                <w:rFonts w:ascii="Calibri" w:hAnsi="Calibri" w:cs="Calibri"/>
              </w:rPr>
            </w:pPr>
          </w:p>
          <w:p w:rsidR="008076C0" w:rsidRPr="00615CA9" w:rsidP="00987575">
            <w:pPr>
              <w:rPr>
                <w:rFonts w:ascii="Calibri" w:hAnsi="Calibri" w:cs="Calibri"/>
              </w:rPr>
            </w:pPr>
            <w:r w:rsidRPr="00615CA9">
              <w:rPr>
                <w:rFonts w:ascii="Calibri" w:hAnsi="Calibri" w:cs="Calibri"/>
              </w:rPr>
              <w:t>Overall, while many teams are highly aware of the needs of underserved groups, delivery remains inconsistent. More consistent provision would require earlier identification of vulnerability, routine reasonable adjustment planning, accessible information, interpreter and communication support, involvement of families and carers where appropriate, and dedicated transition coordination for young people with additional needs.</w:t>
            </w:r>
          </w:p>
          <w:p w:rsidR="008076C0" w:rsidRPr="00615CA9" w:rsidP="00DD64F8">
            <w:pPr>
              <w:rPr>
                <w:rFonts w:ascii="Calibri" w:hAnsi="Calibri" w:cs="Calibri"/>
              </w:rPr>
            </w:pPr>
          </w:p>
        </w:tc>
      </w:tr>
    </w:tbl>
    <w:p w:rsidR="008076C0" w:rsidRPr="00615CA9">
      <w:pPr>
        <w:rPr>
          <w:rFonts w:ascii="Calibri" w:hAnsi="Calibri" w:cs="Calibri"/>
        </w:rPr>
      </w:pPr>
    </w:p>
    <w:p w:rsidR="008076C0" w:rsidRPr="00615CA9">
      <w:pPr>
        <w:rPr>
          <w:rFonts w:ascii="Calibri" w:hAnsi="Calibri" w:cs="Calibri"/>
        </w:rPr>
      </w:pPr>
    </w:p>
    <w:tbl>
      <w:tblPr>
        <w:tblStyle w:val="TableGrid"/>
        <w:tblW w:w="10490" w:type="dxa"/>
        <w:tblInd w:w="-714" w:type="dxa"/>
        <w:tblLook w:val="04A0"/>
      </w:tblPr>
      <w:tblGrid>
        <w:gridCol w:w="1985"/>
        <w:gridCol w:w="8505"/>
      </w:tblGrid>
      <w:tr w:rsidTr="4FF11C81">
        <w:tblPrEx>
          <w:tblW w:w="10490" w:type="dxa"/>
          <w:tblInd w:w="-714" w:type="dxa"/>
          <w:tblLook w:val="04A0"/>
        </w:tblPrEx>
        <w:tc>
          <w:tcPr>
            <w:tcW w:w="10490" w:type="dxa"/>
            <w:gridSpan w:val="2"/>
          </w:tcPr>
          <w:p w:rsidR="008076C0" w:rsidRPr="00615CA9">
            <w:pPr>
              <w:rPr>
                <w:rFonts w:ascii="Calibri" w:hAnsi="Calibri" w:cs="Calibri"/>
                <w:b/>
                <w:bCs/>
              </w:rPr>
            </w:pPr>
            <w:r w:rsidRPr="00615CA9">
              <w:rPr>
                <w:rFonts w:ascii="Calibri" w:hAnsi="Calibri" w:cs="Calibri"/>
                <w:b/>
                <w:bCs/>
              </w:rPr>
              <w:t>FOCUS AREA 3</w:t>
            </w:r>
          </w:p>
          <w:p w:rsidR="008076C0" w:rsidRPr="00615CA9" w:rsidP="00DD64F8">
            <w:pPr>
              <w:rPr>
                <w:rFonts w:ascii="Calibri" w:hAnsi="Calibri" w:cs="Calibri"/>
                <w:b/>
                <w:bCs/>
              </w:rPr>
            </w:pPr>
            <w:r w:rsidRPr="00615CA9">
              <w:rPr>
                <w:rFonts w:ascii="Calibri" w:hAnsi="Calibri" w:cs="Calibri"/>
                <w:b/>
                <w:bCs/>
              </w:rPr>
              <w:t>MEANINGFUL INVOLVEMENT OF CHILDREN, YOUNG PEOPLE AND THEIR CARERS</w:t>
            </w:r>
          </w:p>
        </w:tc>
      </w:tr>
      <w:tr w:rsidTr="4FF11C81">
        <w:tblPrEx>
          <w:tblW w:w="10490" w:type="dxa"/>
          <w:tblInd w:w="-714" w:type="dxa"/>
          <w:tblLook w:val="04A0"/>
        </w:tblPrEx>
        <w:tc>
          <w:tcPr>
            <w:tcW w:w="10490" w:type="dxa"/>
            <w:gridSpan w:val="2"/>
          </w:tcPr>
          <w:p w:rsidR="008076C0" w:rsidRPr="00615CA9" w:rsidP="00DD64F8">
            <w:pPr>
              <w:spacing w:after="120" w:line="259" w:lineRule="auto"/>
              <w:rPr>
                <w:rFonts w:ascii="Calibri" w:hAnsi="Calibri" w:cs="Calibri"/>
                <w:sz w:val="22"/>
                <w:szCs w:val="22"/>
              </w:rPr>
            </w:pPr>
            <w:r w:rsidRPr="00615CA9">
              <w:rPr>
                <w:rFonts w:ascii="Calibri" w:hAnsi="Calibri" w:cs="Calibri"/>
                <w:b/>
                <w:bCs/>
                <w:sz w:val="22"/>
                <w:szCs w:val="22"/>
              </w:rPr>
              <w:t>Statement of intent 1</w:t>
            </w:r>
            <w:r w:rsidRPr="00615CA9">
              <w:rPr>
                <w:rFonts w:ascii="Calibri" w:hAnsi="Calibri" w:cs="Calibri"/>
                <w:sz w:val="22"/>
                <w:szCs w:val="22"/>
              </w:rPr>
              <w:t xml:space="preserve">: </w:t>
            </w:r>
            <w:r w:rsidRPr="00615CA9">
              <w:rPr>
                <w:rFonts w:ascii="Calibri" w:hAnsi="Calibri" w:cs="Calibri"/>
                <w:sz w:val="22"/>
                <w:szCs w:val="22"/>
                <w:lang w:val="en-US"/>
              </w:rPr>
              <w:t>Adults' services should take into account the individual needs and wishes of the young person when involving parents or carers in assessment, planning and support. For young people with an education, health and care plan or a care and support plan this must happen, as set out in the </w:t>
            </w:r>
            <w:r>
              <w:fldChar w:fldCharType="begin"/>
            </w:r>
            <w:r>
              <w:instrText xml:space="preserve"> HYPERLINK "http://www.legislation.gov.uk/ukpga/2014/6/contents/enacted" </w:instrText>
            </w:r>
            <w:r>
              <w:fldChar w:fldCharType="separate"/>
            </w:r>
            <w:r w:rsidRPr="00615CA9">
              <w:rPr>
                <w:rStyle w:val="Hyperlink"/>
                <w:rFonts w:ascii="Calibri" w:hAnsi="Calibri" w:cs="Calibri"/>
                <w:color w:val="auto"/>
                <w:sz w:val="22"/>
                <w:szCs w:val="22"/>
                <w:lang w:val="en-US"/>
              </w:rPr>
              <w:t>Children and Families Act 2014</w:t>
            </w:r>
            <w:r>
              <w:fldChar w:fldCharType="end"/>
            </w:r>
            <w:r w:rsidRPr="00615CA9">
              <w:rPr>
                <w:rFonts w:ascii="Calibri" w:hAnsi="Calibri" w:cs="Calibri"/>
                <w:sz w:val="22"/>
                <w:szCs w:val="22"/>
                <w:lang w:val="en-US"/>
              </w:rPr>
              <w:t> and the </w:t>
            </w:r>
            <w:r>
              <w:fldChar w:fldCharType="begin"/>
            </w:r>
            <w:r>
              <w:instrText xml:space="preserve"> HYPERLINK "http://www.legislation.gov.uk/ukpga/2014/23/contents/enacted" </w:instrText>
            </w:r>
            <w:r>
              <w:fldChar w:fldCharType="separate"/>
            </w:r>
            <w:r w:rsidRPr="00615CA9">
              <w:rPr>
                <w:rStyle w:val="Hyperlink"/>
                <w:rFonts w:ascii="Calibri" w:hAnsi="Calibri" w:cs="Calibri"/>
                <w:color w:val="auto"/>
                <w:sz w:val="22"/>
                <w:szCs w:val="22"/>
                <w:lang w:val="en-US"/>
              </w:rPr>
              <w:t>Care Act 2014</w:t>
            </w:r>
            <w:r>
              <w:fldChar w:fldCharType="end"/>
            </w:r>
            <w:r w:rsidRPr="00615CA9">
              <w:rPr>
                <w:rFonts w:ascii="Calibri" w:hAnsi="Calibri" w:cs="Calibri"/>
                <w:sz w:val="22"/>
                <w:szCs w:val="22"/>
              </w:rPr>
              <w:t xml:space="preserve">. </w:t>
            </w:r>
            <w:r>
              <w:fldChar w:fldCharType="begin"/>
            </w:r>
            <w:r>
              <w:instrText xml:space="preserve"> HYPERLINK "https://www.nice.org.uk/guidance/ng43/chapter/Recommendations" \l "transition-planning" </w:instrText>
            </w:r>
            <w:r>
              <w:fldChar w:fldCharType="separate"/>
            </w:r>
            <w:r w:rsidRPr="00615CA9">
              <w:rPr>
                <w:rStyle w:val="Hyperlink"/>
                <w:rFonts w:ascii="Calibri" w:hAnsi="Calibri" w:cs="Calibri"/>
                <w:color w:val="auto"/>
                <w:sz w:val="22"/>
                <w:szCs w:val="22"/>
                <w:lang w:val="en-US"/>
              </w:rPr>
              <w:t>NICE NG43 (1.2.22, 2016)</w:t>
            </w:r>
            <w:r>
              <w:fldChar w:fldCharType="end"/>
            </w:r>
            <w:r w:rsidRPr="00615CA9">
              <w:rPr>
                <w:rFonts w:ascii="Calibri" w:hAnsi="Calibri" w:cs="Calibri"/>
                <w:sz w:val="22"/>
                <w:szCs w:val="22"/>
              </w:rPr>
              <w:t> </w:t>
            </w:r>
          </w:p>
          <w:p w:rsidR="008076C0" w:rsidRPr="00615CA9" w:rsidP="00DD64F8">
            <w:pPr>
              <w:spacing w:after="120" w:line="259" w:lineRule="auto"/>
              <w:rPr>
                <w:rFonts w:ascii="Calibri" w:hAnsi="Calibri" w:cs="Calibri"/>
                <w:sz w:val="22"/>
                <w:szCs w:val="22"/>
              </w:rPr>
            </w:pPr>
            <w:r w:rsidRPr="00615CA9">
              <w:rPr>
                <w:rFonts w:ascii="Calibri" w:hAnsi="Calibri" w:cs="Calibri"/>
                <w:b/>
                <w:bCs/>
                <w:sz w:val="22"/>
                <w:szCs w:val="22"/>
              </w:rPr>
              <w:t xml:space="preserve">Statement of intent 2: </w:t>
            </w:r>
            <w:r w:rsidRPr="00615CA9">
              <w:rPr>
                <w:rFonts w:ascii="Calibri" w:hAnsi="Calibri" w:cs="Calibri"/>
                <w:sz w:val="22"/>
                <w:szCs w:val="22"/>
                <w:lang w:val="en-US"/>
              </w:rPr>
              <w:t>Offer young people help to become involved in their transition planning. This may be through: peer support, coaching and mentoring, advocacy, the use of mobile technology. </w:t>
            </w:r>
            <w:r>
              <w:fldChar w:fldCharType="begin"/>
            </w:r>
            <w:r>
              <w:instrText xml:space="preserve"> HYPERLINK "https://www.nice.org.uk/guidance/ng43/chapter/Recommendations" \l "support-before-transfer" </w:instrText>
            </w:r>
            <w:r>
              <w:fldChar w:fldCharType="separate"/>
            </w:r>
            <w:r w:rsidRPr="00615CA9">
              <w:rPr>
                <w:rStyle w:val="Hyperlink"/>
                <w:rFonts w:ascii="Calibri" w:hAnsi="Calibri" w:cs="Calibri"/>
                <w:color w:val="auto"/>
                <w:sz w:val="22"/>
                <w:szCs w:val="22"/>
                <w:lang w:val="en-US"/>
              </w:rPr>
              <w:t>NICE NG43 (1.2.11, 2016)</w:t>
            </w:r>
            <w:r>
              <w:fldChar w:fldCharType="end"/>
            </w:r>
            <w:r w:rsidRPr="00615CA9">
              <w:rPr>
                <w:rFonts w:ascii="Calibri" w:hAnsi="Calibri" w:cs="Calibri"/>
                <w:sz w:val="22"/>
                <w:szCs w:val="22"/>
              </w:rPr>
              <w:t> </w:t>
            </w:r>
          </w:p>
          <w:p w:rsidR="008076C0" w:rsidRPr="00615CA9" w:rsidP="00DD64F8">
            <w:pPr>
              <w:spacing w:line="259" w:lineRule="auto"/>
              <w:rPr>
                <w:rFonts w:ascii="Calibri" w:hAnsi="Calibri" w:cs="Calibri"/>
                <w:sz w:val="22"/>
                <w:szCs w:val="22"/>
              </w:rPr>
            </w:pPr>
            <w:r w:rsidRPr="00615CA9">
              <w:rPr>
                <w:rFonts w:ascii="Calibri" w:hAnsi="Calibri" w:cs="Calibri"/>
                <w:b/>
                <w:bCs/>
                <w:sz w:val="22"/>
                <w:szCs w:val="22"/>
              </w:rPr>
              <w:t xml:space="preserve">Statement of intent 3: </w:t>
            </w:r>
            <w:r w:rsidRPr="00615CA9">
              <w:rPr>
                <w:rFonts w:ascii="Calibri" w:hAnsi="Calibri" w:cs="Calibri"/>
                <w:sz w:val="22"/>
                <w:szCs w:val="22"/>
                <w:lang w:val="en-US"/>
              </w:rPr>
              <w:t>Involve young people and their carers in service design, delivery and evaluation related to </w:t>
            </w:r>
            <w:r>
              <w:fldChar w:fldCharType="begin"/>
            </w:r>
            <w:r>
              <w:instrText xml:space="preserve"> HYPERLINK "https://www.nice.org.uk/guidance/ng43/chapter/recommendations" \l "transition" </w:instrText>
            </w:r>
            <w:r>
              <w:fldChar w:fldCharType="separate"/>
            </w:r>
            <w:r w:rsidRPr="00615CA9">
              <w:rPr>
                <w:rStyle w:val="Hyperlink"/>
                <w:rFonts w:ascii="Calibri" w:hAnsi="Calibri" w:cs="Calibri"/>
                <w:color w:val="auto"/>
                <w:sz w:val="22"/>
                <w:szCs w:val="22"/>
                <w:lang w:val="en-US"/>
              </w:rPr>
              <w:t>transition</w:t>
            </w:r>
            <w:r>
              <w:fldChar w:fldCharType="end"/>
            </w:r>
            <w:r w:rsidRPr="00615CA9">
              <w:rPr>
                <w:rFonts w:ascii="Calibri" w:hAnsi="Calibri" w:cs="Calibri"/>
                <w:sz w:val="22"/>
                <w:szCs w:val="22"/>
                <w:lang w:val="en-US"/>
              </w:rPr>
              <w:t> by: coproducing transition policies and strategies with them; planning, coproducing and piloting materials and tools; asking them if the services helped them achieve agreed outcomes; feeding back to them about the effect their involvement has had. </w:t>
            </w:r>
            <w:r>
              <w:fldChar w:fldCharType="begin"/>
            </w:r>
            <w:r>
              <w:instrText xml:space="preserve"> HYPERLINK "https://www.nice.org.uk/guidance/ng43/chapter/Recommendations" \l "overarching-principles" </w:instrText>
            </w:r>
            <w:r>
              <w:fldChar w:fldCharType="separate"/>
            </w:r>
            <w:r w:rsidRPr="00615CA9">
              <w:rPr>
                <w:rStyle w:val="Hyperlink"/>
                <w:rFonts w:ascii="Calibri" w:hAnsi="Calibri" w:cs="Calibri"/>
                <w:color w:val="auto"/>
                <w:sz w:val="22"/>
                <w:szCs w:val="22"/>
                <w:lang w:val="en-US"/>
              </w:rPr>
              <w:t>NICE NG43 (1.1.1, 2016)</w:t>
            </w:r>
            <w:r>
              <w:fldChar w:fldCharType="end"/>
            </w:r>
            <w:r w:rsidRPr="00615CA9">
              <w:rPr>
                <w:rFonts w:ascii="Calibri" w:hAnsi="Calibri" w:cs="Calibri"/>
                <w:sz w:val="22"/>
                <w:szCs w:val="22"/>
              </w:rPr>
              <w:t> </w:t>
            </w:r>
          </w:p>
        </w:tc>
      </w:tr>
      <w:tr w:rsidTr="4FF11C81">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Resourcing</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1. How are services resourced to take into account the needs, wishes and aspirations of the young person, including during the planning process and after transition?</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FC35E4">
            <w:pPr>
              <w:rPr>
                <w:rFonts w:ascii="Calibri" w:hAnsi="Calibri" w:cs="Calibri"/>
                <w:sz w:val="22"/>
                <w:szCs w:val="22"/>
              </w:rPr>
            </w:pPr>
            <w:r w:rsidRPr="00615CA9">
              <w:rPr>
                <w:rFonts w:ascii="Calibri" w:hAnsi="Calibri" w:cs="Calibri"/>
                <w:sz w:val="22"/>
                <w:szCs w:val="22"/>
              </w:rPr>
              <w:t>Services are resourced variably to take into account the needs, wishes and aspirations of young people during transition planning and after transfer to adult services.</w:t>
            </w:r>
          </w:p>
          <w:p w:rsidR="008076C0" w:rsidRPr="00615CA9" w:rsidP="00FC35E4">
            <w:pPr>
              <w:rPr>
                <w:rFonts w:ascii="Calibri" w:hAnsi="Calibri" w:cs="Calibri"/>
                <w:sz w:val="22"/>
                <w:szCs w:val="22"/>
              </w:rPr>
            </w:pPr>
          </w:p>
          <w:p w:rsidR="008076C0" w:rsidRPr="00615CA9" w:rsidP="00FC35E4">
            <w:pPr>
              <w:rPr>
                <w:rFonts w:ascii="Calibri" w:hAnsi="Calibri" w:cs="Calibri"/>
                <w:sz w:val="22"/>
                <w:szCs w:val="22"/>
              </w:rPr>
            </w:pPr>
            <w:r w:rsidRPr="00615CA9">
              <w:rPr>
                <w:rFonts w:ascii="Calibri" w:hAnsi="Calibri" w:cs="Calibri"/>
                <w:sz w:val="22"/>
                <w:szCs w:val="22"/>
              </w:rPr>
              <w:t xml:space="preserve">Where services have dedicated adolescent pathways, specialist nurses, youth workers, psychologists, transition coordinators, play specialists, or established links with adult teams, they are better able to provide developmentally appropriate </w:t>
            </w:r>
            <w:r w:rsidRPr="00615CA9">
              <w:rPr>
                <w:rFonts w:ascii="Calibri" w:hAnsi="Calibri" w:cs="Calibri"/>
                <w:sz w:val="22"/>
                <w:szCs w:val="22"/>
              </w:rPr>
              <w:t xml:space="preserve">and individualised </w:t>
            </w:r>
            <w:r w:rsidRPr="00615CA9">
              <w:rPr>
                <w:rFonts w:ascii="Calibri" w:hAnsi="Calibri" w:cs="Calibri"/>
                <w:sz w:val="22"/>
                <w:szCs w:val="22"/>
              </w:rPr>
              <w:t>support and understand what matters to the young person beyond their diagnosis. These services are more likely to explore education, employment, relationships, independence, mental health, family involvement, confidence, and future goals as part of transition planning.</w:t>
            </w:r>
          </w:p>
          <w:p w:rsidR="008076C0" w:rsidRPr="00615CA9" w:rsidP="00FC35E4">
            <w:pPr>
              <w:rPr>
                <w:rFonts w:ascii="Calibri" w:hAnsi="Calibri" w:cs="Calibri"/>
                <w:sz w:val="22"/>
                <w:szCs w:val="22"/>
              </w:rPr>
            </w:pPr>
          </w:p>
          <w:p w:rsidR="008076C0" w:rsidRPr="00615CA9" w:rsidP="00FC35E4">
            <w:pPr>
              <w:rPr>
                <w:rFonts w:ascii="Calibri" w:hAnsi="Calibri" w:cs="Calibri"/>
                <w:sz w:val="22"/>
                <w:szCs w:val="22"/>
              </w:rPr>
            </w:pPr>
            <w:r w:rsidRPr="00615CA9">
              <w:rPr>
                <w:rFonts w:ascii="Calibri" w:hAnsi="Calibri" w:cs="Calibri"/>
                <w:sz w:val="22"/>
                <w:szCs w:val="22"/>
              </w:rPr>
              <w:t>However, this level of support is not consistently available across specialties. In many services, transition planning is undertaken within existing clinic time and by staff who already have significant clinical workloads. This limits the ability to provide personalised, strengths-based conversations, repeated education, peer support, coaching, mentoring, or follow-up after transfer.</w:t>
            </w:r>
          </w:p>
          <w:p w:rsidR="008076C0" w:rsidRPr="00615CA9" w:rsidP="00FC35E4">
            <w:pPr>
              <w:rPr>
                <w:rFonts w:ascii="Calibri" w:hAnsi="Calibri" w:cs="Calibri"/>
                <w:sz w:val="22"/>
                <w:szCs w:val="22"/>
              </w:rPr>
            </w:pPr>
          </w:p>
          <w:p w:rsidR="008076C0" w:rsidRPr="00615CA9" w:rsidP="00FC35E4">
            <w:pPr>
              <w:rPr>
                <w:rFonts w:ascii="Calibri" w:hAnsi="Calibri" w:cs="Calibri"/>
                <w:sz w:val="22"/>
                <w:szCs w:val="22"/>
              </w:rPr>
            </w:pPr>
            <w:r w:rsidRPr="00615CA9">
              <w:rPr>
                <w:rFonts w:ascii="Calibri" w:hAnsi="Calibri" w:cs="Calibri"/>
                <w:sz w:val="22"/>
                <w:szCs w:val="22"/>
              </w:rPr>
              <w:t>At GOSH, recent developments are helping to strengthen this work. The Healthcare Transition Check-In Tools for young people and parents/carers are designed to help identify what young people feel confident about, what they want to learn, and where further support is needed. Integration with Epic should allow confidence, readiness and educational needs to be documented and tracked over time.</w:t>
            </w:r>
          </w:p>
          <w:p w:rsidR="008076C0" w:rsidRPr="00615CA9" w:rsidP="00FC35E4">
            <w:pPr>
              <w:rPr>
                <w:rFonts w:ascii="Calibri" w:hAnsi="Calibri" w:cs="Calibri"/>
                <w:sz w:val="22"/>
                <w:szCs w:val="22"/>
              </w:rPr>
            </w:pPr>
          </w:p>
          <w:p w:rsidR="008076C0" w:rsidRPr="00615CA9" w:rsidP="00FC35E4">
            <w:pPr>
              <w:rPr>
                <w:rFonts w:ascii="Calibri" w:hAnsi="Calibri" w:cs="Calibri"/>
                <w:sz w:val="22"/>
                <w:szCs w:val="22"/>
              </w:rPr>
            </w:pPr>
            <w:r w:rsidRPr="00615CA9">
              <w:rPr>
                <w:rFonts w:ascii="Calibri" w:hAnsi="Calibri" w:cs="Calibri"/>
                <w:sz w:val="22"/>
                <w:szCs w:val="22"/>
              </w:rPr>
              <w:t>The GOSH Youth Manifesto and wider GOSH strategy also place strong emphasis on young people being seen as whole people, with care that supports body, mind, family, future, identity, connection and independence. However, translating this ambition into routine practice requires sustained resourcing.</w:t>
            </w:r>
          </w:p>
          <w:p w:rsidR="008076C0" w:rsidRPr="00615CA9" w:rsidP="00FC35E4">
            <w:pPr>
              <w:rPr>
                <w:rFonts w:ascii="Calibri" w:hAnsi="Calibri" w:cs="Calibri"/>
                <w:sz w:val="22"/>
                <w:szCs w:val="22"/>
              </w:rPr>
            </w:pPr>
          </w:p>
          <w:p w:rsidR="008076C0" w:rsidRPr="00615CA9" w:rsidP="00FC35E4">
            <w:pPr>
              <w:rPr>
                <w:rFonts w:ascii="Calibri" w:hAnsi="Calibri" w:cs="Calibri"/>
                <w:sz w:val="22"/>
                <w:szCs w:val="22"/>
              </w:rPr>
            </w:pPr>
            <w:r w:rsidRPr="00615CA9">
              <w:rPr>
                <w:rFonts w:ascii="Calibri" w:hAnsi="Calibri" w:cs="Calibri"/>
                <w:sz w:val="22"/>
                <w:szCs w:val="22"/>
              </w:rPr>
              <w:t>Overall, services are most able to take account of young people’s needs, wishes and aspirations where there is protected time, trained staff, adolescent expertise, accessible digital tools, youth worker or peer support, and strong links with adult services. Without this infrastructure, involvement risks becoming dependent on individual clinicians rather than being embedded consistently across pathways.</w:t>
            </w:r>
          </w:p>
          <w:p w:rsidR="008076C0" w:rsidRPr="00615CA9" w:rsidP="00DD64F8">
            <w:pPr>
              <w:rPr>
                <w:rFonts w:ascii="Calibri" w:hAnsi="Calibri" w:cs="Calibri"/>
                <w:sz w:val="22"/>
                <w:szCs w:val="22"/>
              </w:rPr>
            </w:pP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2. What resourcing is required to enable co-production of transition strategies/policies and provide feedback on the outcomes of the co-produced initiatives?</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6D17B6">
            <w:pPr>
              <w:rPr>
                <w:rFonts w:ascii="Calibri" w:hAnsi="Calibri" w:cs="Calibri"/>
                <w:sz w:val="22"/>
                <w:szCs w:val="22"/>
              </w:rPr>
            </w:pPr>
            <w:r w:rsidRPr="00615CA9">
              <w:rPr>
                <w:rFonts w:ascii="Calibri" w:hAnsi="Calibri" w:cs="Calibri"/>
                <w:sz w:val="22"/>
                <w:szCs w:val="22"/>
              </w:rPr>
              <w:t>Resourcing for co-production requires more than goodwill or one-off consultation. It requires dedicated time, facilitation, accessible engagement routes, administrative support, and clear mechanisms to show young people and families how their input has influenced policy and practice.</w:t>
            </w:r>
          </w:p>
          <w:p w:rsidR="008076C0" w:rsidRPr="00615CA9" w:rsidP="006D17B6">
            <w:pPr>
              <w:rPr>
                <w:rFonts w:ascii="Calibri" w:hAnsi="Calibri" w:cs="Calibri"/>
                <w:sz w:val="22"/>
                <w:szCs w:val="22"/>
              </w:rPr>
            </w:pPr>
          </w:p>
          <w:p w:rsidR="008076C0" w:rsidRPr="00615CA9" w:rsidP="006D17B6">
            <w:pPr>
              <w:rPr>
                <w:rFonts w:ascii="Calibri" w:hAnsi="Calibri" w:cs="Calibri"/>
                <w:sz w:val="22"/>
                <w:szCs w:val="22"/>
              </w:rPr>
            </w:pPr>
            <w:r w:rsidRPr="00615CA9">
              <w:rPr>
                <w:rFonts w:ascii="Calibri" w:hAnsi="Calibri" w:cs="Calibri"/>
                <w:sz w:val="22"/>
                <w:szCs w:val="22"/>
              </w:rPr>
              <w:t xml:space="preserve">At GOSH, significant progress has been made over the past year. A co-produced healthcare transition framework and updated transition policy have been developed with input from young people, families, and staff. This has been supported by the dedicated co-production platform </w:t>
            </w:r>
            <w:r w:rsidRPr="00615CA9">
              <w:rPr>
                <w:rFonts w:ascii="Calibri" w:hAnsi="Calibri" w:cs="Calibri"/>
                <w:b/>
                <w:bCs/>
                <w:sz w:val="22"/>
                <w:szCs w:val="22"/>
              </w:rPr>
              <w:t>Our GOSH</w:t>
            </w:r>
            <w:r w:rsidRPr="00615CA9">
              <w:rPr>
                <w:rFonts w:ascii="Calibri" w:hAnsi="Calibri" w:cs="Calibri"/>
                <w:sz w:val="22"/>
                <w:szCs w:val="22"/>
              </w:rPr>
              <w:t>, which has enabled wider engagement and provided a more structured route for young people, parents/carers, and staff to contribute.</w:t>
            </w:r>
          </w:p>
          <w:p w:rsidR="008076C0" w:rsidRPr="00615CA9" w:rsidP="006D17B6">
            <w:pPr>
              <w:rPr>
                <w:rFonts w:ascii="Calibri" w:hAnsi="Calibri" w:cs="Calibri"/>
                <w:sz w:val="22"/>
                <w:szCs w:val="22"/>
              </w:rPr>
            </w:pPr>
          </w:p>
          <w:p w:rsidR="008076C0" w:rsidRPr="00615CA9" w:rsidP="006D17B6">
            <w:pPr>
              <w:rPr>
                <w:rFonts w:ascii="Calibri" w:hAnsi="Calibri" w:cs="Calibri"/>
                <w:sz w:val="22"/>
                <w:szCs w:val="22"/>
              </w:rPr>
            </w:pPr>
            <w:r w:rsidRPr="00615CA9">
              <w:rPr>
                <w:rFonts w:ascii="Calibri" w:hAnsi="Calibri" w:cs="Calibri"/>
                <w:sz w:val="22"/>
                <w:szCs w:val="22"/>
              </w:rPr>
              <w:t>This type of infrastructure is important because meaningful co-production needs to be accessible, flexible, and ongoing. Young people with complex health needs may not always be able to attend meetings in person, and families may require different ways to share views around clinical appointments, school, work, caring responsibilities, or periods of illness.</w:t>
            </w:r>
          </w:p>
          <w:p w:rsidR="008076C0" w:rsidRPr="00615CA9" w:rsidP="006D17B6">
            <w:pPr>
              <w:rPr>
                <w:rFonts w:ascii="Calibri" w:hAnsi="Calibri" w:cs="Calibri"/>
                <w:sz w:val="22"/>
                <w:szCs w:val="22"/>
              </w:rPr>
            </w:pPr>
          </w:p>
          <w:p w:rsidR="008076C0" w:rsidRPr="00615CA9" w:rsidP="006D17B6">
            <w:pPr>
              <w:rPr>
                <w:rFonts w:ascii="Calibri" w:hAnsi="Calibri" w:cs="Calibri"/>
                <w:sz w:val="22"/>
                <w:szCs w:val="22"/>
              </w:rPr>
            </w:pPr>
            <w:r w:rsidRPr="00615CA9">
              <w:rPr>
                <w:rFonts w:ascii="Calibri" w:hAnsi="Calibri" w:cs="Calibri"/>
                <w:sz w:val="22"/>
                <w:szCs w:val="22"/>
              </w:rPr>
              <w:t>Resources required include:</w:t>
            </w:r>
            <w:r w:rsidRPr="00615CA9">
              <w:rPr>
                <w:rFonts w:ascii="Calibri" w:hAnsi="Calibri" w:cs="Calibri"/>
                <w:sz w:val="22"/>
                <w:szCs w:val="22"/>
              </w:rPr>
              <w:br/>
              <w:t>• dedicated co-production facilitation</w:t>
            </w:r>
            <w:r w:rsidRPr="00615CA9">
              <w:rPr>
                <w:rFonts w:ascii="Calibri" w:hAnsi="Calibri" w:cs="Calibri"/>
                <w:sz w:val="22"/>
                <w:szCs w:val="22"/>
              </w:rPr>
              <w:br/>
              <w:t>• staff time to design, run, analyse, and respond to engagement</w:t>
            </w:r>
            <w:r w:rsidRPr="00615CA9">
              <w:rPr>
                <w:rFonts w:ascii="Calibri" w:hAnsi="Calibri" w:cs="Calibri"/>
                <w:sz w:val="22"/>
                <w:szCs w:val="22"/>
              </w:rPr>
              <w:br/>
              <w:t>• accessible digital platforms</w:t>
            </w:r>
            <w:r w:rsidRPr="00615CA9">
              <w:rPr>
                <w:rFonts w:ascii="Calibri" w:hAnsi="Calibri" w:cs="Calibri"/>
                <w:sz w:val="22"/>
                <w:szCs w:val="22"/>
              </w:rPr>
              <w:br/>
              <w:t>• support for young people with communication, learning, language, or digital access needs</w:t>
            </w:r>
            <w:r w:rsidRPr="00615CA9">
              <w:rPr>
                <w:rFonts w:ascii="Calibri" w:hAnsi="Calibri" w:cs="Calibri"/>
                <w:sz w:val="22"/>
                <w:szCs w:val="22"/>
              </w:rPr>
              <w:br/>
              <w:t>• administrative support to coordinate involvement</w:t>
            </w:r>
            <w:r w:rsidRPr="00615CA9">
              <w:rPr>
                <w:rFonts w:ascii="Calibri" w:hAnsi="Calibri" w:cs="Calibri"/>
                <w:sz w:val="22"/>
                <w:szCs w:val="22"/>
              </w:rPr>
              <w:br/>
              <w:t>• and clear feedback loops showing what changed as a result of young people and family input.</w:t>
            </w:r>
          </w:p>
          <w:p w:rsidR="008076C0" w:rsidRPr="00615CA9" w:rsidP="006D17B6">
            <w:pPr>
              <w:rPr>
                <w:rFonts w:ascii="Calibri" w:hAnsi="Calibri" w:cs="Calibri"/>
                <w:sz w:val="22"/>
                <w:szCs w:val="22"/>
              </w:rPr>
            </w:pPr>
          </w:p>
          <w:p w:rsidR="008076C0" w:rsidRPr="00615CA9" w:rsidP="00DD64F8">
            <w:pPr>
              <w:rPr>
                <w:rFonts w:ascii="Calibri" w:hAnsi="Calibri" w:cs="Calibri"/>
                <w:sz w:val="22"/>
                <w:szCs w:val="22"/>
              </w:rPr>
            </w:pPr>
            <w:r w:rsidRPr="00615CA9">
              <w:rPr>
                <w:rFonts w:ascii="Calibri" w:hAnsi="Calibri" w:cs="Calibri"/>
                <w:sz w:val="22"/>
                <w:szCs w:val="22"/>
              </w:rPr>
              <w:t>Importantly, co-production should not end once a policy or tool is launched. Ongoing resource is needed to evaluate whether co-produced initiatives are achieving their intended outcomes, share findings back with contributors, and refine tools or pathways based on real-world use.</w:t>
            </w:r>
          </w:p>
        </w:tc>
      </w:tr>
      <w:tr w:rsidTr="4FF11C81">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Effectiveness and implementation</w:t>
            </w:r>
          </w:p>
        </w:tc>
        <w:tc>
          <w:tcPr>
            <w:tcW w:w="8505" w:type="dxa"/>
          </w:tcPr>
          <w:p w:rsidR="008076C0" w:rsidRPr="00615CA9" w:rsidP="00DD64F8">
            <w:pPr>
              <w:rPr>
                <w:rFonts w:ascii="Calibri" w:hAnsi="Calibri" w:cs="Calibri"/>
              </w:rPr>
            </w:pPr>
            <w:r w:rsidRPr="00615CA9">
              <w:rPr>
                <w:rFonts w:ascii="Calibri" w:hAnsi="Calibri" w:cs="Calibri"/>
                <w:sz w:val="22"/>
                <w:szCs w:val="22"/>
              </w:rPr>
              <w:t xml:space="preserve">1. How are young people, and their </w:t>
            </w:r>
            <w:r w:rsidRPr="00615CA9">
              <w:rPr>
                <w:rFonts w:ascii="Calibri" w:hAnsi="Calibri" w:cs="Calibri"/>
                <w:sz w:val="22"/>
                <w:szCs w:val="22"/>
              </w:rPr>
              <w:t>carers, involved in their transition planning and what methods are effective in supporting involvement?</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4C6CFF">
            <w:pPr>
              <w:rPr>
                <w:rFonts w:ascii="Calibri" w:hAnsi="Calibri" w:cs="Calibri"/>
              </w:rPr>
            </w:pPr>
            <w:r w:rsidRPr="00615CA9">
              <w:rPr>
                <w:rFonts w:ascii="Calibri" w:hAnsi="Calibri" w:cs="Calibri"/>
              </w:rPr>
              <w:t>Young people and carers are involved through a range of methods, but this remains variable across services.</w:t>
            </w:r>
          </w:p>
          <w:p w:rsidR="008076C0" w:rsidRPr="00615CA9" w:rsidP="004C6CFF">
            <w:pPr>
              <w:rPr>
                <w:rFonts w:ascii="Calibri" w:hAnsi="Calibri" w:cs="Calibri"/>
              </w:rPr>
            </w:pPr>
            <w:r w:rsidRPr="00615CA9">
              <w:rPr>
                <w:rFonts w:ascii="Calibri" w:hAnsi="Calibri" w:cs="Calibri"/>
              </w:rPr>
              <w:t>Effective methods include:</w:t>
            </w:r>
          </w:p>
          <w:p w:rsidR="008076C0" w:rsidRPr="00615CA9" w:rsidP="004C6CFF">
            <w:pPr>
              <w:numPr>
                <w:ilvl w:val="0"/>
                <w:numId w:val="35"/>
              </w:numPr>
              <w:rPr>
                <w:rFonts w:ascii="Calibri" w:hAnsi="Calibri" w:cs="Calibri"/>
              </w:rPr>
            </w:pPr>
            <w:r w:rsidRPr="00615CA9">
              <w:rPr>
                <w:rFonts w:ascii="Calibri" w:hAnsi="Calibri" w:cs="Calibri"/>
              </w:rPr>
              <w:t xml:space="preserve">early, repeated conversations rather than a single transition appointment </w:t>
            </w:r>
          </w:p>
          <w:p w:rsidR="008076C0" w:rsidRPr="00615CA9" w:rsidP="004C6CFF">
            <w:pPr>
              <w:numPr>
                <w:ilvl w:val="0"/>
                <w:numId w:val="35"/>
              </w:numPr>
              <w:rPr>
                <w:rFonts w:ascii="Calibri" w:hAnsi="Calibri" w:cs="Calibri"/>
              </w:rPr>
            </w:pPr>
            <w:r w:rsidRPr="00615CA9">
              <w:rPr>
                <w:rFonts w:ascii="Calibri" w:hAnsi="Calibri" w:cs="Calibri"/>
              </w:rPr>
              <w:t>developmentally appropriate</w:t>
            </w:r>
            <w:r w:rsidRPr="00615CA9">
              <w:rPr>
                <w:rFonts w:ascii="Calibri" w:hAnsi="Calibri" w:cs="Calibri"/>
                <w:sz w:val="22"/>
                <w:szCs w:val="22"/>
              </w:rPr>
              <w:t xml:space="preserve"> and individualised</w:t>
            </w:r>
            <w:r w:rsidRPr="00615CA9">
              <w:rPr>
                <w:rFonts w:ascii="Calibri" w:hAnsi="Calibri" w:cs="Calibri"/>
              </w:rPr>
              <w:t xml:space="preserve"> consultations where young people are spoken to directly </w:t>
            </w:r>
          </w:p>
          <w:p w:rsidR="008076C0" w:rsidRPr="00615CA9" w:rsidP="004C6CFF">
            <w:pPr>
              <w:numPr>
                <w:ilvl w:val="0"/>
                <w:numId w:val="35"/>
              </w:numPr>
              <w:rPr>
                <w:rFonts w:ascii="Calibri" w:hAnsi="Calibri" w:cs="Calibri"/>
              </w:rPr>
            </w:pPr>
            <w:r w:rsidRPr="00615CA9">
              <w:rPr>
                <w:rFonts w:ascii="Calibri" w:hAnsi="Calibri" w:cs="Calibri"/>
              </w:rPr>
              <w:t xml:space="preserve">gradual private consultation time with the young person, where appropriate </w:t>
            </w:r>
          </w:p>
          <w:p w:rsidR="008076C0" w:rsidRPr="00615CA9" w:rsidP="004C6CFF">
            <w:pPr>
              <w:numPr>
                <w:ilvl w:val="0"/>
                <w:numId w:val="35"/>
              </w:numPr>
              <w:rPr>
                <w:rFonts w:ascii="Calibri" w:hAnsi="Calibri" w:cs="Calibri"/>
              </w:rPr>
            </w:pPr>
            <w:r w:rsidRPr="00615CA9">
              <w:rPr>
                <w:rFonts w:ascii="Calibri" w:hAnsi="Calibri" w:cs="Calibri"/>
              </w:rPr>
              <w:t xml:space="preserve">parent/carer involvement that is negotiated with the young person </w:t>
            </w:r>
          </w:p>
          <w:p w:rsidR="008076C0" w:rsidRPr="00615CA9" w:rsidP="004C6CFF">
            <w:pPr>
              <w:numPr>
                <w:ilvl w:val="0"/>
                <w:numId w:val="35"/>
              </w:numPr>
              <w:rPr>
                <w:rFonts w:ascii="Calibri" w:hAnsi="Calibri" w:cs="Calibri"/>
              </w:rPr>
            </w:pPr>
            <w:r w:rsidRPr="00615CA9">
              <w:rPr>
                <w:rFonts w:ascii="Calibri" w:hAnsi="Calibri" w:cs="Calibri"/>
              </w:rPr>
              <w:t xml:space="preserve">written and digital information </w:t>
            </w:r>
          </w:p>
          <w:p w:rsidR="008076C0" w:rsidRPr="00615CA9" w:rsidP="004C6CFF">
            <w:pPr>
              <w:numPr>
                <w:ilvl w:val="0"/>
                <w:numId w:val="35"/>
              </w:numPr>
              <w:rPr>
                <w:rFonts w:ascii="Calibri" w:hAnsi="Calibri" w:cs="Calibri"/>
              </w:rPr>
            </w:pPr>
            <w:r w:rsidRPr="00615CA9">
              <w:rPr>
                <w:rFonts w:ascii="Calibri" w:hAnsi="Calibri" w:cs="Calibri"/>
              </w:rPr>
              <w:t xml:space="preserve">peer support, buddy systems, youth worker input, and familiarisation visits </w:t>
            </w:r>
          </w:p>
          <w:p w:rsidR="008076C0" w:rsidRPr="00615CA9" w:rsidP="004C6CFF">
            <w:pPr>
              <w:numPr>
                <w:ilvl w:val="0"/>
                <w:numId w:val="35"/>
              </w:numPr>
              <w:rPr>
                <w:rFonts w:ascii="Calibri" w:hAnsi="Calibri" w:cs="Calibri"/>
              </w:rPr>
            </w:pPr>
            <w:r w:rsidRPr="00615CA9">
              <w:rPr>
                <w:rFonts w:ascii="Calibri" w:hAnsi="Calibri" w:cs="Calibri"/>
              </w:rPr>
              <w:t xml:space="preserve">structured education sessions </w:t>
            </w:r>
          </w:p>
          <w:p w:rsidR="008076C0" w:rsidRPr="00615CA9" w:rsidP="004C6CFF">
            <w:pPr>
              <w:numPr>
                <w:ilvl w:val="0"/>
                <w:numId w:val="35"/>
              </w:numPr>
              <w:rPr>
                <w:rFonts w:ascii="Calibri" w:hAnsi="Calibri" w:cs="Calibri"/>
              </w:rPr>
            </w:pPr>
            <w:r w:rsidRPr="00615CA9">
              <w:rPr>
                <w:rFonts w:ascii="Calibri" w:hAnsi="Calibri" w:cs="Calibri"/>
              </w:rPr>
              <w:t xml:space="preserve">tools that prompt young people and families to identify what they want to learn or discuss. </w:t>
            </w:r>
          </w:p>
          <w:p w:rsidR="008076C0" w:rsidRPr="00615CA9" w:rsidP="004C6CFF">
            <w:pPr>
              <w:rPr>
                <w:rFonts w:ascii="Calibri" w:hAnsi="Calibri" w:cs="Calibri"/>
              </w:rPr>
            </w:pPr>
            <w:r w:rsidRPr="00615CA9">
              <w:rPr>
                <w:rFonts w:ascii="Calibri" w:hAnsi="Calibri" w:cs="Calibri"/>
              </w:rPr>
              <w:t xml:space="preserve">At GOSH, the Healthcare Transition Check-In Tools are being piloted to support this involvement more consistently. The Young Person Check-In Tool helps young people reflect on their confidence, knowledge, independence and priorities. The </w:t>
            </w:r>
            <w:r w:rsidRPr="00615CA9">
              <w:rPr>
                <w:rFonts w:ascii="Calibri" w:hAnsi="Calibri" w:cs="Calibri"/>
              </w:rPr>
              <w:t>Parent/Carer Check-In Tool helps families consider how they can support increasing independence while still remaining appropriately involved.</w:t>
            </w:r>
          </w:p>
          <w:p w:rsidR="008076C0" w:rsidRPr="00615CA9" w:rsidP="004C6CFF">
            <w:pPr>
              <w:rPr>
                <w:rFonts w:ascii="Calibri" w:hAnsi="Calibri" w:cs="Calibri"/>
              </w:rPr>
            </w:pPr>
            <w:r w:rsidRPr="00615CA9">
              <w:rPr>
                <w:rFonts w:ascii="Calibri" w:hAnsi="Calibri" w:cs="Calibri"/>
              </w:rPr>
              <w:t>Early feedback suggests these tools support more meaningful conversations, with 76% of young people and 86% of parents/carers reporting that the tools helped them think about things they would like to learn about their health. In addition, 70% of parents agreed that the tool helped their young person become more engaged in their healthcare.</w:t>
            </w:r>
          </w:p>
          <w:p w:rsidR="008076C0" w:rsidRPr="00615CA9" w:rsidP="004C6CFF">
            <w:pPr>
              <w:rPr>
                <w:rFonts w:ascii="Calibri" w:hAnsi="Calibri" w:cs="Calibri"/>
              </w:rPr>
            </w:pPr>
          </w:p>
          <w:p w:rsidR="008076C0" w:rsidRPr="00615CA9" w:rsidP="004C6CFF">
            <w:pPr>
              <w:rPr>
                <w:rFonts w:ascii="Calibri" w:hAnsi="Calibri" w:cs="Calibri"/>
              </w:rPr>
            </w:pPr>
          </w:p>
          <w:p w:rsidR="008076C0" w:rsidRPr="00615CA9" w:rsidP="004C6CFF">
            <w:pPr>
              <w:rPr>
                <w:rFonts w:ascii="Calibri" w:hAnsi="Calibri" w:cs="Calibri"/>
              </w:rPr>
            </w:pPr>
            <w:r w:rsidRPr="00615CA9">
              <w:rPr>
                <w:rFonts w:ascii="Calibri" w:hAnsi="Calibri" w:cs="Calibri"/>
              </w:rPr>
              <w:t>Services also described effective examples including rheumatology familiarisation visits to adult settings, buddy systems, flexible appointment scheduling around exams, CNS-led cardiology education sessions, and youth-worker-led peer support models.</w:t>
            </w:r>
          </w:p>
          <w:p w:rsidR="008076C0" w:rsidRPr="00615CA9" w:rsidP="004C6CFF">
            <w:pPr>
              <w:rPr>
                <w:rFonts w:ascii="Calibri" w:hAnsi="Calibri" w:cs="Calibri"/>
              </w:rPr>
            </w:pPr>
          </w:p>
          <w:p w:rsidR="008076C0" w:rsidRPr="00615CA9" w:rsidP="004C6CFF">
            <w:pPr>
              <w:rPr>
                <w:rFonts w:ascii="Calibri" w:hAnsi="Calibri" w:cs="Calibri"/>
              </w:rPr>
            </w:pPr>
            <w:r w:rsidRPr="00615CA9">
              <w:rPr>
                <w:rFonts w:ascii="Calibri" w:hAnsi="Calibri" w:cs="Calibri"/>
              </w:rPr>
              <w:t>Several specialties also use service-specific engagement activities to involve young people and families more directly. Immunology services, for example, hold an annual patient day to help co-produce how the service develops. Tours of adult services are also used across several specialties, including cardiology and renal services, to improve familiarity, reduce anxiety, and help young people and families understand what adult care will look like before transfer.</w:t>
            </w:r>
          </w:p>
          <w:p w:rsidR="008076C0" w:rsidRPr="00615CA9" w:rsidP="004C6CFF">
            <w:pPr>
              <w:rPr>
                <w:rFonts w:ascii="Calibri" w:hAnsi="Calibri" w:cs="Calibri"/>
              </w:rPr>
            </w:pPr>
          </w:p>
          <w:p w:rsidR="008076C0" w:rsidRPr="00615CA9" w:rsidP="004C6CFF">
            <w:pPr>
              <w:rPr>
                <w:rFonts w:ascii="Calibri" w:hAnsi="Calibri" w:cs="Calibri"/>
              </w:rPr>
            </w:pPr>
            <w:r w:rsidRPr="00615CA9">
              <w:rPr>
                <w:rFonts w:ascii="Calibri" w:hAnsi="Calibri" w:cs="Calibri"/>
              </w:rPr>
              <w:t>Overall, involvement is most effective when it is relational, repeated, personalised and supported by practical tools. It is least effective when transition is treated as a one-off information-giving exercise shortly before transfer.</w:t>
            </w:r>
          </w:p>
          <w:p w:rsidR="008076C0" w:rsidRPr="00615CA9" w:rsidP="00DD64F8">
            <w:pPr>
              <w:rPr>
                <w:rFonts w:ascii="Calibri" w:hAnsi="Calibri" w:cs="Calibri"/>
              </w:rPr>
            </w:pP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rPr>
            </w:pPr>
            <w:r w:rsidRPr="00615CA9">
              <w:rPr>
                <w:rFonts w:ascii="Calibri" w:hAnsi="Calibri" w:cs="Calibri"/>
                <w:sz w:val="22"/>
                <w:szCs w:val="22"/>
              </w:rPr>
              <w:t xml:space="preserve">2. What does effective inclusion of young people in the planning and delivery of their transition look like? </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840CE3">
            <w:pPr>
              <w:rPr>
                <w:rFonts w:ascii="Calibri" w:hAnsi="Calibri" w:cs="Calibri"/>
                <w:sz w:val="22"/>
                <w:szCs w:val="22"/>
              </w:rPr>
            </w:pPr>
            <w:r w:rsidRPr="00615CA9">
              <w:rPr>
                <w:rFonts w:ascii="Calibri" w:hAnsi="Calibri" w:cs="Calibri"/>
                <w:sz w:val="22"/>
                <w:szCs w:val="22"/>
              </w:rPr>
              <w:t>Effective inclusion means that young people are not passive recipients of transition plans designed by professionals, but active participants in shaping their own care, goals, priorities, and future support.</w:t>
            </w:r>
          </w:p>
          <w:p w:rsidR="008076C0" w:rsidRPr="00615CA9" w:rsidP="00840CE3">
            <w:pPr>
              <w:rPr>
                <w:rFonts w:ascii="Calibri" w:hAnsi="Calibri" w:cs="Calibri"/>
                <w:sz w:val="22"/>
                <w:szCs w:val="22"/>
              </w:rPr>
            </w:pPr>
          </w:p>
          <w:p w:rsidR="008076C0" w:rsidRPr="00615CA9" w:rsidP="00840CE3">
            <w:pPr>
              <w:rPr>
                <w:rFonts w:ascii="Calibri" w:hAnsi="Calibri" w:cs="Calibri"/>
                <w:sz w:val="22"/>
                <w:szCs w:val="22"/>
              </w:rPr>
            </w:pPr>
            <w:r w:rsidRPr="00615CA9">
              <w:rPr>
                <w:rFonts w:ascii="Calibri" w:hAnsi="Calibri" w:cs="Calibri"/>
                <w:sz w:val="22"/>
                <w:szCs w:val="22"/>
              </w:rPr>
              <w:t>In practice, effective inclusion is gradual, developmentally appropriate, and personalised. Young people should be given repeated opportunities over time to ask questions, build confidence, practise communication skills, and increasingly participate in decision-making according to their needs, wishes, capacity, and level of readiness.</w:t>
            </w:r>
          </w:p>
          <w:p w:rsidR="008076C0" w:rsidRPr="00615CA9" w:rsidP="00840CE3">
            <w:pPr>
              <w:rPr>
                <w:rFonts w:ascii="Calibri" w:hAnsi="Calibri" w:cs="Calibri"/>
                <w:sz w:val="22"/>
                <w:szCs w:val="22"/>
              </w:rPr>
            </w:pPr>
          </w:p>
          <w:p w:rsidR="008076C0" w:rsidRPr="00615CA9" w:rsidP="00840CE3">
            <w:pPr>
              <w:rPr>
                <w:rFonts w:ascii="Calibri" w:hAnsi="Calibri" w:cs="Calibri"/>
                <w:sz w:val="22"/>
                <w:szCs w:val="22"/>
              </w:rPr>
            </w:pPr>
            <w:r w:rsidRPr="00615CA9">
              <w:rPr>
                <w:rFonts w:ascii="Calibri" w:hAnsi="Calibri" w:cs="Calibri"/>
                <w:sz w:val="22"/>
                <w:szCs w:val="22"/>
              </w:rPr>
              <w:t>Young people consistently describe wanting to be treated as individuals rather than simply as diagnoses. Effective inclusion therefore involves clinicians understanding the young person’s broader life context, including education, friendships, family relationships, mental health, independence, employment aspirations, identity, and future goals.</w:t>
            </w:r>
          </w:p>
          <w:p w:rsidR="008076C0" w:rsidRPr="00615CA9" w:rsidP="00840CE3">
            <w:pPr>
              <w:rPr>
                <w:rFonts w:ascii="Calibri" w:hAnsi="Calibri" w:cs="Calibri"/>
                <w:sz w:val="22"/>
                <w:szCs w:val="22"/>
              </w:rPr>
            </w:pPr>
          </w:p>
          <w:p w:rsidR="008076C0" w:rsidRPr="00615CA9" w:rsidP="00840CE3">
            <w:pPr>
              <w:rPr>
                <w:rFonts w:ascii="Calibri" w:hAnsi="Calibri" w:cs="Calibri"/>
                <w:sz w:val="22"/>
                <w:szCs w:val="22"/>
              </w:rPr>
            </w:pPr>
            <w:r w:rsidRPr="00615CA9">
              <w:rPr>
                <w:rFonts w:ascii="Calibri" w:hAnsi="Calibri" w:cs="Calibri"/>
                <w:sz w:val="22"/>
                <w:szCs w:val="22"/>
              </w:rPr>
              <w:t>Good transition planning also involves agreeing with young people how parents and carers should be involved, recognising that family involvement often changes gradually over time rather than stopping abruptly at transfer.</w:t>
            </w:r>
          </w:p>
          <w:p w:rsidR="008076C0" w:rsidRPr="00615CA9" w:rsidP="00840CE3">
            <w:pPr>
              <w:rPr>
                <w:rFonts w:ascii="Calibri" w:hAnsi="Calibri" w:cs="Calibri"/>
                <w:sz w:val="22"/>
                <w:szCs w:val="22"/>
              </w:rPr>
            </w:pPr>
          </w:p>
          <w:p w:rsidR="008076C0" w:rsidRPr="00615CA9" w:rsidP="00840CE3">
            <w:pPr>
              <w:rPr>
                <w:rFonts w:ascii="Calibri" w:hAnsi="Calibri" w:cs="Calibri"/>
                <w:sz w:val="22"/>
                <w:szCs w:val="22"/>
              </w:rPr>
            </w:pPr>
            <w:r w:rsidRPr="00615CA9">
              <w:rPr>
                <w:rFonts w:ascii="Calibri" w:hAnsi="Calibri" w:cs="Calibri"/>
                <w:sz w:val="22"/>
                <w:szCs w:val="22"/>
              </w:rPr>
              <w:t>Services described several approaches that appear particularly effective:</w:t>
            </w:r>
            <w:r w:rsidRPr="00615CA9">
              <w:rPr>
                <w:rFonts w:ascii="Calibri" w:hAnsi="Calibri" w:cs="Calibri"/>
                <w:sz w:val="22"/>
                <w:szCs w:val="22"/>
              </w:rPr>
              <w:br/>
              <w:t>• phased education delivered over multiple appointments</w:t>
            </w:r>
            <w:r w:rsidRPr="00615CA9">
              <w:rPr>
                <w:rFonts w:ascii="Calibri" w:hAnsi="Calibri" w:cs="Calibri"/>
                <w:sz w:val="22"/>
                <w:szCs w:val="22"/>
              </w:rPr>
              <w:br/>
              <w:t>• young person-focused consultations</w:t>
            </w:r>
            <w:r w:rsidRPr="00615CA9">
              <w:rPr>
                <w:rFonts w:ascii="Calibri" w:hAnsi="Calibri" w:cs="Calibri"/>
                <w:sz w:val="22"/>
                <w:szCs w:val="22"/>
              </w:rPr>
              <w:br/>
              <w:t>• familiarisation visits to adult services</w:t>
            </w:r>
            <w:r w:rsidRPr="00615CA9">
              <w:rPr>
                <w:rFonts w:ascii="Calibri" w:hAnsi="Calibri" w:cs="Calibri"/>
                <w:sz w:val="22"/>
                <w:szCs w:val="22"/>
              </w:rPr>
              <w:br/>
            </w:r>
            <w:r w:rsidRPr="00615CA9">
              <w:rPr>
                <w:rFonts w:ascii="Calibri" w:hAnsi="Calibri" w:cs="Calibri"/>
                <w:sz w:val="22"/>
                <w:szCs w:val="22"/>
              </w:rPr>
              <w:t>• peer support and buddy systems</w:t>
            </w:r>
            <w:r w:rsidRPr="00615CA9">
              <w:rPr>
                <w:rFonts w:ascii="Calibri" w:hAnsi="Calibri" w:cs="Calibri"/>
                <w:sz w:val="22"/>
                <w:szCs w:val="22"/>
              </w:rPr>
              <w:br/>
              <w:t>• youth-worker involvement</w:t>
            </w:r>
            <w:r w:rsidRPr="00615CA9">
              <w:rPr>
                <w:rFonts w:ascii="Calibri" w:hAnsi="Calibri" w:cs="Calibri"/>
                <w:sz w:val="22"/>
                <w:szCs w:val="22"/>
              </w:rPr>
              <w:br/>
              <w:t>• accessible digital communication</w:t>
            </w:r>
            <w:r w:rsidRPr="00615CA9">
              <w:rPr>
                <w:rFonts w:ascii="Calibri" w:hAnsi="Calibri" w:cs="Calibri"/>
                <w:sz w:val="22"/>
                <w:szCs w:val="22"/>
              </w:rPr>
              <w:br/>
              <w:t>• co-produced tools and information resources</w:t>
            </w:r>
            <w:r w:rsidRPr="00615CA9">
              <w:rPr>
                <w:rFonts w:ascii="Calibri" w:hAnsi="Calibri" w:cs="Calibri"/>
                <w:sz w:val="22"/>
                <w:szCs w:val="22"/>
              </w:rPr>
              <w:br/>
              <w:t>• and psychologically safe opportunities for discussion.</w:t>
            </w:r>
          </w:p>
          <w:p w:rsidR="008076C0" w:rsidRPr="00615CA9" w:rsidP="00840CE3">
            <w:pPr>
              <w:rPr>
                <w:rFonts w:ascii="Calibri" w:hAnsi="Calibri" w:cs="Calibri"/>
                <w:sz w:val="22"/>
                <w:szCs w:val="22"/>
              </w:rPr>
            </w:pPr>
          </w:p>
          <w:p w:rsidR="008076C0" w:rsidRPr="00615CA9" w:rsidP="00840CE3">
            <w:pPr>
              <w:rPr>
                <w:rFonts w:ascii="Calibri" w:hAnsi="Calibri" w:cs="Calibri"/>
                <w:sz w:val="22"/>
                <w:szCs w:val="22"/>
              </w:rPr>
            </w:pPr>
            <w:r w:rsidRPr="00615CA9">
              <w:rPr>
                <w:rFonts w:ascii="Calibri" w:hAnsi="Calibri" w:cs="Calibri"/>
                <w:sz w:val="22"/>
                <w:szCs w:val="22"/>
              </w:rPr>
              <w:t>The GOSH Healthcare Transition Check-In Tools aim to support this by helping young people identify what they feel confident about, what they want to learn, and what matters most to them. Importantly, the tools are designed to facilitate conversations rather than simply assess readiness.</w:t>
            </w:r>
          </w:p>
          <w:p w:rsidR="008076C0" w:rsidRPr="00615CA9" w:rsidP="00840CE3">
            <w:pPr>
              <w:rPr>
                <w:rFonts w:ascii="Calibri" w:hAnsi="Calibri" w:cs="Calibri"/>
                <w:sz w:val="22"/>
                <w:szCs w:val="22"/>
              </w:rPr>
            </w:pPr>
          </w:p>
          <w:p w:rsidR="008076C0" w:rsidRPr="00615CA9" w:rsidP="00840CE3">
            <w:pPr>
              <w:rPr>
                <w:rFonts w:ascii="Calibri" w:hAnsi="Calibri" w:cs="Calibri"/>
                <w:sz w:val="22"/>
                <w:szCs w:val="22"/>
              </w:rPr>
            </w:pPr>
            <w:r w:rsidRPr="00615CA9">
              <w:rPr>
                <w:rFonts w:ascii="Calibri" w:hAnsi="Calibri" w:cs="Calibri"/>
                <w:sz w:val="22"/>
                <w:szCs w:val="22"/>
              </w:rPr>
              <w:t>Another example is the congenital cardiology endocarditis education quality improvement project, where young people with CHD helped shape how education about endocarditis and prevention should be delivered. This ensured the education was more relevant, accessible and engaging for young people, rather than being designed solely from a clinician perspective. This type of co-production is important because effective transition education must be understandable, memorable and meaningful to the young people expec</w:t>
            </w:r>
            <w:r w:rsidRPr="00615CA9">
              <w:rPr>
                <w:rFonts w:ascii="Calibri" w:hAnsi="Calibri" w:cs="Calibri"/>
                <w:sz w:val="22"/>
                <w:szCs w:val="22"/>
              </w:rPr>
              <w:t>ted to use it in real life.</w:t>
            </w:r>
          </w:p>
          <w:p w:rsidR="008076C0" w:rsidRPr="00615CA9" w:rsidP="00840CE3">
            <w:pPr>
              <w:rPr>
                <w:rFonts w:ascii="Calibri" w:hAnsi="Calibri" w:cs="Calibri"/>
                <w:sz w:val="22"/>
                <w:szCs w:val="22"/>
              </w:rPr>
            </w:pPr>
          </w:p>
          <w:p w:rsidR="008076C0" w:rsidRPr="00615CA9" w:rsidP="00840CE3">
            <w:pPr>
              <w:rPr>
                <w:rFonts w:ascii="Calibri" w:hAnsi="Calibri" w:cs="Calibri"/>
                <w:sz w:val="22"/>
                <w:szCs w:val="22"/>
              </w:rPr>
            </w:pPr>
            <w:r w:rsidRPr="00615CA9">
              <w:rPr>
                <w:rFonts w:ascii="Calibri" w:hAnsi="Calibri" w:cs="Calibri"/>
                <w:sz w:val="22"/>
                <w:szCs w:val="22"/>
              </w:rPr>
              <w:t>The GOSH Youth Manifesto also provides an important description of what meaningful inclusion looks like from the perspective of young people themselves. Young people describe wanting healthcare professionals to:</w:t>
            </w:r>
            <w:r w:rsidRPr="00615CA9">
              <w:rPr>
                <w:rFonts w:ascii="Calibri" w:hAnsi="Calibri" w:cs="Calibri"/>
                <w:sz w:val="22"/>
                <w:szCs w:val="22"/>
              </w:rPr>
              <w:br/>
              <w:t>• listen to them</w:t>
            </w:r>
            <w:r w:rsidRPr="00615CA9">
              <w:rPr>
                <w:rFonts w:ascii="Calibri" w:hAnsi="Calibri" w:cs="Calibri"/>
                <w:sz w:val="22"/>
                <w:szCs w:val="22"/>
              </w:rPr>
              <w:br/>
              <w:t>• walk alongside them</w:t>
            </w:r>
            <w:r w:rsidRPr="00615CA9">
              <w:rPr>
                <w:rFonts w:ascii="Calibri" w:hAnsi="Calibri" w:cs="Calibri"/>
                <w:sz w:val="22"/>
                <w:szCs w:val="22"/>
              </w:rPr>
              <w:br/>
              <w:t>• help bridge hospital and home life</w:t>
            </w:r>
            <w:r w:rsidRPr="00615CA9">
              <w:rPr>
                <w:rFonts w:ascii="Calibri" w:hAnsi="Calibri" w:cs="Calibri"/>
                <w:sz w:val="22"/>
                <w:szCs w:val="22"/>
              </w:rPr>
              <w:br/>
              <w:t>• support them through “every age, every stage, transition and milestone”</w:t>
            </w:r>
            <w:r w:rsidRPr="00615CA9">
              <w:rPr>
                <w:rFonts w:ascii="Calibri" w:hAnsi="Calibri" w:cs="Calibri"/>
                <w:sz w:val="22"/>
                <w:szCs w:val="22"/>
              </w:rPr>
              <w:br/>
              <w:t>• and involve them in decisions affecting their care and future.</w:t>
            </w:r>
          </w:p>
          <w:p w:rsidR="008076C0" w:rsidRPr="00615CA9" w:rsidP="00840CE3">
            <w:pPr>
              <w:rPr>
                <w:rFonts w:ascii="Calibri" w:hAnsi="Calibri" w:cs="Calibri"/>
                <w:sz w:val="22"/>
                <w:szCs w:val="22"/>
              </w:rPr>
            </w:pPr>
          </w:p>
          <w:p w:rsidR="008076C0" w:rsidRPr="00615CA9" w:rsidP="00840CE3">
            <w:pPr>
              <w:rPr>
                <w:rFonts w:ascii="Calibri" w:hAnsi="Calibri" w:cs="Calibri"/>
                <w:sz w:val="22"/>
                <w:szCs w:val="22"/>
              </w:rPr>
            </w:pPr>
            <w:r w:rsidRPr="00615CA9">
              <w:rPr>
                <w:rFonts w:ascii="Calibri" w:hAnsi="Calibri" w:cs="Calibri"/>
                <w:sz w:val="22"/>
                <w:szCs w:val="22"/>
              </w:rPr>
              <w:t>Effective inclusion also means feeding back to young people and families about how their involvement has shaped services, policies, and tools. Without visible impact, involvement risks becoming tokenistic rather than meaningful co-production.</w:t>
            </w:r>
          </w:p>
          <w:p w:rsidR="008076C0" w:rsidRPr="00615CA9" w:rsidP="00840CE3">
            <w:pPr>
              <w:rPr>
                <w:rFonts w:ascii="Calibri" w:hAnsi="Calibri" w:cs="Calibri"/>
                <w:sz w:val="22"/>
                <w:szCs w:val="22"/>
              </w:rPr>
            </w:pPr>
          </w:p>
          <w:p w:rsidR="008076C0" w:rsidRPr="00615CA9" w:rsidP="00840CE3">
            <w:pPr>
              <w:rPr>
                <w:rFonts w:ascii="Calibri" w:hAnsi="Calibri" w:cs="Calibri"/>
                <w:sz w:val="22"/>
                <w:szCs w:val="22"/>
              </w:rPr>
            </w:pPr>
            <w:r w:rsidRPr="00615CA9">
              <w:rPr>
                <w:rFonts w:ascii="Calibri" w:hAnsi="Calibri" w:cs="Calibri"/>
                <w:sz w:val="22"/>
                <w:szCs w:val="22"/>
              </w:rPr>
              <w:t>Overall, effective inclusion occurs when young people feel informed, respected, listened to, developmentally supported, and increasingly empowered to participate actively in their healthcare and future planning.</w:t>
            </w:r>
          </w:p>
          <w:p w:rsidR="008076C0" w:rsidRPr="00615CA9" w:rsidP="00DD64F8">
            <w:pPr>
              <w:rPr>
                <w:rFonts w:ascii="Calibri" w:hAnsi="Calibri" w:cs="Calibri"/>
                <w:sz w:val="22"/>
                <w:szCs w:val="22"/>
              </w:rPr>
            </w:pPr>
          </w:p>
          <w:p w:rsidR="008076C0" w:rsidRPr="00615CA9" w:rsidP="00DD64F8">
            <w:pPr>
              <w:rPr>
                <w:rFonts w:ascii="Calibri" w:hAnsi="Calibri" w:cs="Calibri"/>
                <w:sz w:val="22"/>
                <w:szCs w:val="22"/>
              </w:rPr>
            </w:pPr>
          </w:p>
        </w:tc>
      </w:tr>
      <w:tr w:rsidTr="4FF11C81">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Impact and outcomes</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1. What are the impacts of co-producing transition policies and strategies with children and young people?</w:t>
            </w:r>
          </w:p>
        </w:tc>
      </w:tr>
      <w:tr w:rsidTr="4FF11C81">
        <w:tblPrEx>
          <w:tblW w:w="10490" w:type="dxa"/>
          <w:tblInd w:w="-714" w:type="dxa"/>
          <w:tblLook w:val="04A0"/>
        </w:tblPrEx>
        <w:trPr>
          <w:trHeight w:val="201"/>
        </w:trPr>
        <w:tc>
          <w:tcPr>
            <w:tcW w:w="1985" w:type="dxa"/>
            <w:vMerge/>
          </w:tcPr>
          <w:p w:rsidR="008076C0" w:rsidRPr="00615CA9" w:rsidP="00DD64F8">
            <w:pPr>
              <w:rPr>
                <w:rFonts w:ascii="Calibri" w:hAnsi="Calibri" w:cs="Calibri"/>
                <w:b/>
                <w:sz w:val="20"/>
                <w:szCs w:val="20"/>
              </w:rPr>
            </w:pPr>
          </w:p>
        </w:tc>
        <w:tc>
          <w:tcPr>
            <w:tcW w:w="8505" w:type="dxa"/>
          </w:tcPr>
          <w:p w:rsidR="008076C0" w:rsidRPr="00615CA9" w:rsidP="00F4259C">
            <w:pPr>
              <w:rPr>
                <w:rFonts w:ascii="Calibri" w:hAnsi="Calibri" w:cs="Calibri"/>
              </w:rPr>
            </w:pPr>
            <w:r w:rsidRPr="00615CA9">
              <w:rPr>
                <w:rFonts w:ascii="Calibri" w:hAnsi="Calibri" w:cs="Calibri"/>
              </w:rPr>
              <w:t>It is currently too early to fully evaluate the long-term impact of recently co-produced transition policies and strategies at GOSH, as much of this work has only recently been completed and implementation remains ongoing across services. However, early feedback and stakeholder engagement suggest several important benefits.</w:t>
            </w:r>
          </w:p>
          <w:p w:rsidR="008076C0" w:rsidRPr="00615CA9" w:rsidP="00F4259C">
            <w:pPr>
              <w:rPr>
                <w:rFonts w:ascii="Calibri" w:hAnsi="Calibri" w:cs="Calibri"/>
              </w:rPr>
            </w:pPr>
          </w:p>
          <w:p w:rsidR="008076C0" w:rsidRPr="00615CA9" w:rsidP="00F4259C">
            <w:pPr>
              <w:rPr>
                <w:rFonts w:ascii="Calibri" w:hAnsi="Calibri" w:cs="Calibri"/>
              </w:rPr>
            </w:pPr>
            <w:r w:rsidRPr="00615CA9">
              <w:rPr>
                <w:rFonts w:ascii="Calibri" w:hAnsi="Calibri" w:cs="Calibri"/>
              </w:rPr>
              <w:t xml:space="preserve">Co-production has helped ensure that transition strategies and tools are more closely aligned with the real experiences, priorities, concerns, and communication preferences of young people and families, rather than being designed solely from an organisational or professional perspective. This is particularly important in transition, </w:t>
            </w:r>
            <w:r w:rsidRPr="00615CA9">
              <w:rPr>
                <w:rFonts w:ascii="Calibri" w:hAnsi="Calibri" w:cs="Calibri"/>
              </w:rPr>
              <w:t>where engagement, trust, confidence, and communication are central to successful outcomes.</w:t>
            </w:r>
          </w:p>
          <w:p w:rsidR="008076C0" w:rsidRPr="00615CA9" w:rsidP="00F4259C">
            <w:pPr>
              <w:rPr>
                <w:rFonts w:ascii="Calibri" w:hAnsi="Calibri" w:cs="Calibri"/>
              </w:rPr>
            </w:pPr>
          </w:p>
          <w:p w:rsidR="008076C0" w:rsidRPr="00615CA9" w:rsidP="00F4259C">
            <w:pPr>
              <w:rPr>
                <w:rFonts w:ascii="Calibri" w:hAnsi="Calibri" w:cs="Calibri"/>
              </w:rPr>
            </w:pPr>
            <w:r w:rsidRPr="00615CA9">
              <w:rPr>
                <w:rFonts w:ascii="Calibri" w:hAnsi="Calibri" w:cs="Calibri"/>
              </w:rPr>
              <w:t>Young people and families have consistently highlighted the importance of:</w:t>
            </w:r>
            <w:r w:rsidRPr="00615CA9">
              <w:rPr>
                <w:rFonts w:ascii="Calibri" w:hAnsi="Calibri" w:cs="Calibri"/>
              </w:rPr>
              <w:br/>
              <w:t>• being listened to and treated as individuals</w:t>
            </w:r>
            <w:r w:rsidRPr="00615CA9">
              <w:rPr>
                <w:rFonts w:ascii="Calibri" w:hAnsi="Calibri" w:cs="Calibri"/>
              </w:rPr>
              <w:br/>
              <w:t>• clear and accessible communication</w:t>
            </w:r>
            <w:r w:rsidRPr="00615CA9">
              <w:rPr>
                <w:rFonts w:ascii="Calibri" w:hAnsi="Calibri" w:cs="Calibri"/>
              </w:rPr>
              <w:br/>
              <w:t>• early preparation</w:t>
            </w:r>
            <w:r w:rsidRPr="00615CA9">
              <w:rPr>
                <w:rFonts w:ascii="Calibri" w:hAnsi="Calibri" w:cs="Calibri"/>
              </w:rPr>
              <w:br/>
              <w:t>• psychologically safe environments</w:t>
            </w:r>
            <w:r w:rsidRPr="00615CA9">
              <w:rPr>
                <w:rFonts w:ascii="Calibri" w:hAnsi="Calibri" w:cs="Calibri"/>
              </w:rPr>
              <w:br/>
              <w:t>• peer support</w:t>
            </w:r>
            <w:r w:rsidRPr="00615CA9">
              <w:rPr>
                <w:rFonts w:ascii="Calibri" w:hAnsi="Calibri" w:cs="Calibri"/>
              </w:rPr>
              <w:br/>
              <w:t>• continuity and familiarity with trusted professionals</w:t>
            </w:r>
            <w:r w:rsidRPr="00615CA9">
              <w:rPr>
                <w:rFonts w:ascii="Calibri" w:hAnsi="Calibri" w:cs="Calibri"/>
              </w:rPr>
              <w:br/>
              <w:t>• and being involved in decisions about their care and future.</w:t>
            </w:r>
          </w:p>
          <w:p w:rsidR="008076C0" w:rsidRPr="00615CA9" w:rsidP="00F4259C">
            <w:pPr>
              <w:rPr>
                <w:rFonts w:ascii="Calibri" w:hAnsi="Calibri" w:cs="Calibri"/>
              </w:rPr>
            </w:pPr>
          </w:p>
          <w:p w:rsidR="008076C0" w:rsidRPr="00615CA9" w:rsidP="00F4259C">
            <w:pPr>
              <w:rPr>
                <w:rFonts w:ascii="Calibri" w:hAnsi="Calibri" w:cs="Calibri"/>
              </w:rPr>
            </w:pPr>
            <w:r w:rsidRPr="00615CA9">
              <w:rPr>
                <w:rFonts w:ascii="Calibri" w:hAnsi="Calibri" w:cs="Calibri"/>
              </w:rPr>
              <w:t>These themes have directly influenced development of the GOSH Transition Framework, Healthcare Transition and Transfer Policy, Check-In Tools, patient-facing resources, and wider patient empowerment strategy.</w:t>
            </w:r>
          </w:p>
          <w:p w:rsidR="008076C0" w:rsidRPr="00615CA9" w:rsidP="00F4259C">
            <w:pPr>
              <w:rPr>
                <w:rFonts w:ascii="Calibri" w:hAnsi="Calibri" w:cs="Calibri"/>
              </w:rPr>
            </w:pPr>
            <w:r w:rsidRPr="00615CA9">
              <w:rPr>
                <w:rFonts w:ascii="Calibri" w:hAnsi="Calibri" w:cs="Calibri"/>
              </w:rPr>
              <w:t>Co-production has also helped identify areas that clinicians and organisations may otherwise underestimate, including:</w:t>
            </w:r>
            <w:r w:rsidRPr="00615CA9">
              <w:rPr>
                <w:rFonts w:ascii="Calibri" w:hAnsi="Calibri" w:cs="Calibri"/>
              </w:rPr>
              <w:br/>
              <w:t>• the emotional impact of transition uncertainty</w:t>
            </w:r>
            <w:r w:rsidRPr="00615CA9">
              <w:rPr>
                <w:rFonts w:ascii="Calibri" w:hAnsi="Calibri" w:cs="Calibri"/>
              </w:rPr>
              <w:br/>
              <w:t>• the importance of familiarity with environments and professionals</w:t>
            </w:r>
            <w:r w:rsidRPr="00615CA9">
              <w:rPr>
                <w:rFonts w:ascii="Calibri" w:hAnsi="Calibri" w:cs="Calibri"/>
              </w:rPr>
              <w:br/>
              <w:t>• the anxiety associated with sudden transfer</w:t>
            </w:r>
            <w:r w:rsidRPr="00615CA9">
              <w:rPr>
                <w:rFonts w:ascii="Calibri" w:hAnsi="Calibri" w:cs="Calibri"/>
              </w:rPr>
              <w:br/>
              <w:t>• the burden of repeating medical histories</w:t>
            </w:r>
            <w:r w:rsidRPr="00615CA9">
              <w:rPr>
                <w:rFonts w:ascii="Calibri" w:hAnsi="Calibri" w:cs="Calibri"/>
              </w:rPr>
              <w:br/>
              <w:t>• and the desire for healthcare professionals to ask about the young person “as a person first” rather than focusing solely on disease.</w:t>
            </w:r>
          </w:p>
          <w:p w:rsidR="008076C0" w:rsidRPr="00615CA9" w:rsidP="00F4259C">
            <w:pPr>
              <w:rPr>
                <w:rFonts w:ascii="Calibri" w:hAnsi="Calibri" w:cs="Calibri"/>
              </w:rPr>
            </w:pPr>
          </w:p>
          <w:p w:rsidR="008076C0" w:rsidRPr="00615CA9" w:rsidP="00F4259C">
            <w:pPr>
              <w:rPr>
                <w:rFonts w:ascii="Calibri" w:hAnsi="Calibri" w:cs="Calibri"/>
              </w:rPr>
            </w:pPr>
            <w:r w:rsidRPr="00615CA9">
              <w:rPr>
                <w:rFonts w:ascii="Calibri" w:hAnsi="Calibri" w:cs="Calibri"/>
              </w:rPr>
              <w:t>Involving young people in the design of educational interventions has also improved the relevance and accessibility of information provided. For example, within the congenital cardiology endocarditis education quality improvement project, young people helped shape how education about endocarditis prevention should be delivered, helping ensure that materials were understandable, engaging, and meaningful to the intended audience.</w:t>
            </w:r>
          </w:p>
          <w:p w:rsidR="008076C0" w:rsidRPr="00615CA9" w:rsidP="00F4259C">
            <w:pPr>
              <w:rPr>
                <w:rFonts w:ascii="Calibri" w:hAnsi="Calibri" w:cs="Calibri"/>
              </w:rPr>
            </w:pPr>
          </w:p>
          <w:p w:rsidR="008076C0" w:rsidRPr="00615CA9" w:rsidP="00F4259C">
            <w:pPr>
              <w:rPr>
                <w:rFonts w:ascii="Calibri" w:hAnsi="Calibri" w:cs="Calibri"/>
              </w:rPr>
            </w:pPr>
            <w:r w:rsidRPr="00615CA9">
              <w:rPr>
                <w:rFonts w:ascii="Calibri" w:hAnsi="Calibri" w:cs="Calibri"/>
              </w:rPr>
              <w:t>Co-production may also improve engagement with services because young people are more likely to engage with systems and resources they feel reflect their experiences and needs. In the longer term, this has the potential to support improved health literacy, confidence, transition readiness, patient experience, and self-management.</w:t>
            </w:r>
          </w:p>
          <w:p w:rsidR="008076C0" w:rsidRPr="00615CA9" w:rsidP="00F4259C">
            <w:pPr>
              <w:rPr>
                <w:rFonts w:ascii="Calibri" w:hAnsi="Calibri" w:cs="Calibri"/>
              </w:rPr>
            </w:pPr>
          </w:p>
          <w:p w:rsidR="008076C0" w:rsidRPr="00615CA9" w:rsidP="00F4259C">
            <w:pPr>
              <w:rPr>
                <w:rFonts w:ascii="Calibri" w:hAnsi="Calibri" w:cs="Calibri"/>
              </w:rPr>
            </w:pPr>
            <w:r w:rsidRPr="00615CA9">
              <w:rPr>
                <w:rFonts w:ascii="Calibri" w:hAnsi="Calibri" w:cs="Calibri"/>
              </w:rPr>
              <w:t>Importantly, co-production also represents a cultural shift away from paternalistic models of care towards partnership-based healthcare. It reinforces the principle that young people should not simply receive transition services, but actively help shape them.</w:t>
            </w:r>
          </w:p>
          <w:p w:rsidR="008076C0" w:rsidRPr="00615CA9" w:rsidP="00F4259C">
            <w:pPr>
              <w:rPr>
                <w:rFonts w:ascii="Calibri" w:hAnsi="Calibri" w:cs="Calibri"/>
              </w:rPr>
            </w:pPr>
          </w:p>
          <w:p w:rsidR="008076C0" w:rsidRPr="00615CA9" w:rsidP="00F4259C">
            <w:pPr>
              <w:rPr>
                <w:rFonts w:ascii="Calibri" w:hAnsi="Calibri" w:cs="Calibri"/>
              </w:rPr>
            </w:pPr>
            <w:r w:rsidRPr="00615CA9">
              <w:rPr>
                <w:rFonts w:ascii="Calibri" w:hAnsi="Calibri" w:cs="Calibri"/>
              </w:rPr>
              <w:t>However, meaningful co-production requires time, infrastructure, staff capacity, and mechanisms for ongoing feedback and evaluation. Without dedicated support, there is a risk that co-production becomes limited to isolated projects rather than embedded within routine service development and quality improvement processes.</w:t>
            </w:r>
          </w:p>
          <w:p w:rsidR="008076C0" w:rsidRPr="00615CA9" w:rsidP="00F4259C">
            <w:pPr>
              <w:rPr>
                <w:rFonts w:ascii="Calibri" w:hAnsi="Calibri" w:cs="Calibri"/>
              </w:rPr>
            </w:pPr>
          </w:p>
          <w:p w:rsidR="008076C0" w:rsidRPr="00615CA9" w:rsidP="00F4259C">
            <w:pPr>
              <w:rPr>
                <w:rFonts w:ascii="Calibri" w:hAnsi="Calibri" w:cs="Calibri"/>
              </w:rPr>
            </w:pPr>
            <w:r w:rsidRPr="00615CA9">
              <w:rPr>
                <w:rFonts w:ascii="Calibri" w:hAnsi="Calibri" w:cs="Calibri"/>
              </w:rPr>
              <w:t>As implementation progresses, ongoing evaluation will be important to determine whether co-produced transition strategies lead to measurable improvements in patient experience, engagement, transition readiness, continuity of care, and long-term outcomes across services.</w:t>
            </w:r>
          </w:p>
          <w:p w:rsidR="008076C0" w:rsidRPr="00615CA9" w:rsidP="00DD64F8">
            <w:pPr>
              <w:rPr>
                <w:rFonts w:ascii="Calibri" w:hAnsi="Calibri" w:cs="Calibri"/>
              </w:rPr>
            </w:pP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rPr>
            </w:pPr>
            <w:r w:rsidRPr="00615CA9">
              <w:rPr>
                <w:rFonts w:ascii="Calibri" w:hAnsi="Calibri" w:cs="Calibri"/>
                <w:sz w:val="22"/>
                <w:szCs w:val="22"/>
              </w:rPr>
              <w:t xml:space="preserve">2. What does a good transition service look like, and how is an effective transition defined, measured and monitored at both individual and service levels? </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6B2928">
            <w:pPr>
              <w:rPr>
                <w:rFonts w:ascii="Calibri" w:hAnsi="Calibri" w:cs="Calibri"/>
              </w:rPr>
            </w:pPr>
            <w:r w:rsidRPr="00615CA9">
              <w:rPr>
                <w:rFonts w:ascii="Calibri" w:hAnsi="Calibri" w:cs="Calibri"/>
              </w:rPr>
              <w:t>A good transition service is one that is developmentally appropriate</w:t>
            </w:r>
            <w:r w:rsidRPr="00615CA9">
              <w:rPr>
                <w:rFonts w:ascii="Calibri" w:hAnsi="Calibri" w:cs="Calibri"/>
              </w:rPr>
              <w:t>, individualised</w:t>
            </w:r>
            <w:r w:rsidRPr="00615CA9">
              <w:rPr>
                <w:rFonts w:ascii="Calibri" w:hAnsi="Calibri" w:cs="Calibri"/>
              </w:rPr>
              <w:t>, strengths-based, coordinated, and focused on empowerment rather than simply transfer. It should prepare young people over time to understand their condition, build confidence, develop self-management skills, participate in decisions, and move safely into adult services without gaps in care.</w:t>
            </w:r>
          </w:p>
          <w:p w:rsidR="008076C0" w:rsidRPr="00615CA9" w:rsidP="006B2928">
            <w:pPr>
              <w:rPr>
                <w:rFonts w:ascii="Calibri" w:hAnsi="Calibri" w:cs="Calibri"/>
              </w:rPr>
            </w:pPr>
          </w:p>
          <w:p w:rsidR="008076C0" w:rsidRPr="00615CA9" w:rsidP="006B2928">
            <w:pPr>
              <w:rPr>
                <w:rFonts w:ascii="Calibri" w:hAnsi="Calibri" w:cs="Calibri"/>
              </w:rPr>
            </w:pPr>
            <w:r w:rsidRPr="00615CA9">
              <w:rPr>
                <w:rFonts w:ascii="Calibri" w:hAnsi="Calibri" w:cs="Calibri"/>
              </w:rPr>
              <w:t>At an individual level, effective transition should be defined by whether the young person:</w:t>
            </w:r>
            <w:r w:rsidRPr="00615CA9">
              <w:rPr>
                <w:rFonts w:ascii="Calibri" w:hAnsi="Calibri" w:cs="Calibri"/>
              </w:rPr>
              <w:br/>
              <w:t>• understands their condition and treatment</w:t>
            </w:r>
            <w:r w:rsidRPr="00615CA9">
              <w:rPr>
                <w:rFonts w:ascii="Calibri" w:hAnsi="Calibri" w:cs="Calibri"/>
              </w:rPr>
              <w:br/>
              <w:t>• knows when and how to seek help</w:t>
            </w:r>
            <w:r w:rsidRPr="00615CA9">
              <w:rPr>
                <w:rFonts w:ascii="Calibri" w:hAnsi="Calibri" w:cs="Calibri"/>
              </w:rPr>
              <w:br/>
              <w:t>• can communicate with healthcare professionals</w:t>
            </w:r>
            <w:r w:rsidRPr="00615CA9">
              <w:rPr>
                <w:rFonts w:ascii="Calibri" w:hAnsi="Calibri" w:cs="Calibri"/>
              </w:rPr>
              <w:br/>
              <w:t>• is increasingly involved in decision-making</w:t>
            </w:r>
            <w:r w:rsidRPr="00615CA9">
              <w:rPr>
                <w:rFonts w:ascii="Calibri" w:hAnsi="Calibri" w:cs="Calibri"/>
              </w:rPr>
              <w:br/>
              <w:t>• feels confident and supported</w:t>
            </w:r>
            <w:r w:rsidRPr="00615CA9">
              <w:rPr>
                <w:rFonts w:ascii="Calibri" w:hAnsi="Calibri" w:cs="Calibri"/>
              </w:rPr>
              <w:br/>
              <w:t>• has documented discussions and planning around their future care and transfer to adult services</w:t>
            </w:r>
            <w:r w:rsidRPr="00615CA9">
              <w:rPr>
                <w:rFonts w:ascii="Calibri" w:hAnsi="Calibri" w:cs="Calibri"/>
              </w:rPr>
              <w:br/>
              <w:t>• has appropriate parent/carer involvement</w:t>
            </w:r>
            <w:r w:rsidRPr="00615CA9">
              <w:rPr>
                <w:rFonts w:ascii="Calibri" w:hAnsi="Calibri" w:cs="Calibri"/>
              </w:rPr>
              <w:br/>
              <w:t>• has reasonable adjustments documented where needed</w:t>
            </w:r>
            <w:r w:rsidRPr="00615CA9">
              <w:rPr>
                <w:rFonts w:ascii="Calibri" w:hAnsi="Calibri" w:cs="Calibri"/>
              </w:rPr>
              <w:br/>
              <w:t>• and is safely established in adult services after transfer.</w:t>
            </w:r>
          </w:p>
          <w:p w:rsidR="008076C0" w:rsidRPr="00615CA9" w:rsidP="006B2928">
            <w:pPr>
              <w:rPr>
                <w:rFonts w:ascii="Calibri" w:hAnsi="Calibri" w:cs="Calibri"/>
              </w:rPr>
            </w:pPr>
          </w:p>
          <w:p w:rsidR="008076C0" w:rsidRPr="00615CA9" w:rsidP="006B2928">
            <w:pPr>
              <w:rPr>
                <w:rFonts w:ascii="Calibri" w:hAnsi="Calibri" w:cs="Calibri"/>
              </w:rPr>
            </w:pPr>
            <w:r w:rsidRPr="00615CA9">
              <w:rPr>
                <w:rFonts w:ascii="Calibri" w:hAnsi="Calibri" w:cs="Calibri"/>
              </w:rPr>
              <w:t>A good transition service should also recognise that young people progress at different rates. For some, particularly those with learning disabilities, autism, mental health needs, safeguarding concerns or complex medical conditions, effective transition may require earlier planning, longer preparation, additional support, and closer coordination with families, social care, education and adult services.</w:t>
            </w:r>
          </w:p>
          <w:p w:rsidR="008076C0" w:rsidRPr="00615CA9" w:rsidP="006B2928">
            <w:pPr>
              <w:rPr>
                <w:rFonts w:ascii="Calibri" w:hAnsi="Calibri" w:cs="Calibri"/>
              </w:rPr>
            </w:pPr>
          </w:p>
          <w:p w:rsidR="008076C0" w:rsidRPr="00615CA9" w:rsidP="006B2928">
            <w:pPr>
              <w:rPr>
                <w:rFonts w:ascii="Calibri" w:hAnsi="Calibri" w:cs="Calibri"/>
              </w:rPr>
            </w:pPr>
            <w:r w:rsidRPr="00615CA9">
              <w:rPr>
                <w:rFonts w:ascii="Calibri" w:hAnsi="Calibri" w:cs="Calibri"/>
              </w:rPr>
              <w:t>At service level, effective transition should be measured not only by whether a referral has been sent, but by whether the young person has received meaningful preparation and has been safely received by adult services. Measures should include:</w:t>
            </w:r>
            <w:r w:rsidRPr="00615CA9">
              <w:rPr>
                <w:rFonts w:ascii="Calibri" w:hAnsi="Calibri" w:cs="Calibri"/>
              </w:rPr>
              <w:br/>
              <w:t>• age at start of transition planning</w:t>
            </w:r>
            <w:r w:rsidRPr="00615CA9">
              <w:rPr>
                <w:rFonts w:ascii="Calibri" w:hAnsi="Calibri" w:cs="Calibri"/>
              </w:rPr>
              <w:br/>
              <w:t>• documentation of a named key worker</w:t>
            </w:r>
            <w:r w:rsidRPr="00615CA9">
              <w:rPr>
                <w:rFonts w:ascii="Calibri" w:hAnsi="Calibri" w:cs="Calibri"/>
              </w:rPr>
              <w:br/>
              <w:t>• evidence of coordinated planning and communication around future adult care</w:t>
            </w:r>
            <w:r w:rsidRPr="00615CA9">
              <w:rPr>
                <w:rFonts w:ascii="Calibri" w:hAnsi="Calibri" w:cs="Calibri"/>
              </w:rPr>
              <w:br/>
              <w:t>• young person confidence/readiness measures</w:t>
            </w:r>
            <w:r w:rsidRPr="00615CA9">
              <w:rPr>
                <w:rFonts w:ascii="Calibri" w:hAnsi="Calibri" w:cs="Calibri"/>
              </w:rPr>
              <w:br/>
              <w:t>• parent/carer confidence measures</w:t>
            </w:r>
            <w:r w:rsidRPr="00615CA9">
              <w:rPr>
                <w:rFonts w:ascii="Calibri" w:hAnsi="Calibri" w:cs="Calibri"/>
              </w:rPr>
              <w:br/>
              <w:t>• evidence of education and empowerment activity</w:t>
            </w:r>
            <w:r w:rsidRPr="00615CA9">
              <w:rPr>
                <w:rFonts w:ascii="Calibri" w:hAnsi="Calibri" w:cs="Calibri"/>
              </w:rPr>
              <w:br/>
              <w:t>• timing of referral to adult services</w:t>
            </w:r>
            <w:r w:rsidRPr="00615CA9">
              <w:rPr>
                <w:rFonts w:ascii="Calibri" w:hAnsi="Calibri" w:cs="Calibri"/>
              </w:rPr>
              <w:br/>
              <w:t>• whether the adult service received and accepted the referral</w:t>
            </w:r>
            <w:r w:rsidRPr="00615CA9">
              <w:rPr>
                <w:rFonts w:ascii="Calibri" w:hAnsi="Calibri" w:cs="Calibri"/>
              </w:rPr>
              <w:br/>
              <w:t>• date of first adult appointment</w:t>
            </w:r>
            <w:r w:rsidRPr="00615CA9">
              <w:rPr>
                <w:rFonts w:ascii="Calibri" w:hAnsi="Calibri" w:cs="Calibri"/>
              </w:rPr>
              <w:br/>
              <w:t>• delay between requested review date and actual adult review</w:t>
            </w:r>
            <w:r w:rsidRPr="00615CA9">
              <w:rPr>
                <w:rFonts w:ascii="Calibri" w:hAnsi="Calibri" w:cs="Calibri"/>
              </w:rPr>
              <w:br/>
              <w:t>• DNA</w:t>
            </w:r>
            <w:r w:rsidRPr="00615CA9">
              <w:rPr>
                <w:rFonts w:ascii="Calibri" w:hAnsi="Calibri" w:cs="Calibri"/>
              </w:rPr>
              <w:t xml:space="preserve"> (Did not attend), WNB (w</w:t>
            </w:r>
            <w:r w:rsidRPr="00615CA9">
              <w:rPr>
                <w:rFonts w:ascii="Calibri" w:hAnsi="Calibri" w:cs="Calibri"/>
              </w:rPr>
              <w:t>as not brought)</w:t>
            </w:r>
            <w:r w:rsidRPr="00615CA9">
              <w:rPr>
                <w:rFonts w:ascii="Calibri" w:hAnsi="Calibri" w:cs="Calibri"/>
              </w:rPr>
              <w:t xml:space="preserve"> and re-engagement attempts</w:t>
            </w:r>
            <w:r w:rsidRPr="00615CA9">
              <w:rPr>
                <w:rFonts w:ascii="Calibri" w:hAnsi="Calibri" w:cs="Calibri"/>
              </w:rPr>
              <w:br/>
            </w:r>
            <w:r w:rsidRPr="00615CA9">
              <w:rPr>
                <w:rFonts w:ascii="Calibri" w:hAnsi="Calibri" w:cs="Calibri"/>
              </w:rPr>
              <w:t>• patient experience feedback</w:t>
            </w:r>
            <w:r w:rsidRPr="00615CA9">
              <w:rPr>
                <w:rFonts w:ascii="Calibri" w:hAnsi="Calibri" w:cs="Calibri"/>
              </w:rPr>
              <w:br/>
              <w:t>• and evidence of ongoing follow-up after transfer.</w:t>
            </w:r>
          </w:p>
          <w:p w:rsidR="008076C0" w:rsidRPr="00615CA9" w:rsidP="006B2928">
            <w:pPr>
              <w:rPr>
                <w:rFonts w:ascii="Calibri" w:hAnsi="Calibri" w:cs="Calibri"/>
              </w:rPr>
            </w:pPr>
          </w:p>
          <w:p w:rsidR="008076C0" w:rsidRPr="00615CA9" w:rsidP="006B2928">
            <w:pPr>
              <w:rPr>
                <w:rFonts w:ascii="Calibri" w:hAnsi="Calibri" w:cs="Calibri"/>
              </w:rPr>
            </w:pPr>
            <w:r w:rsidRPr="00615CA9">
              <w:rPr>
                <w:rFonts w:ascii="Calibri" w:hAnsi="Calibri" w:cs="Calibri"/>
              </w:rPr>
              <w:t>At GOSH, recent developments are beginning to support this more systematically. The Epic Healthcare Transition tab provides a dedicated place to document transition activity, while the Trust-wide transition dashboard allows variation in documentation and timing to be monitored. The Healthcare Transition Check-In Tools also provide a way to track young person and parent/carer confidence over time.</w:t>
            </w:r>
          </w:p>
          <w:p w:rsidR="008076C0" w:rsidRPr="00615CA9" w:rsidP="006B2928">
            <w:pPr>
              <w:rPr>
                <w:rFonts w:ascii="Calibri" w:hAnsi="Calibri" w:cs="Calibri"/>
              </w:rPr>
            </w:pPr>
          </w:p>
          <w:p w:rsidR="008076C0" w:rsidRPr="00615CA9" w:rsidP="006B2928">
            <w:pPr>
              <w:rPr>
                <w:rFonts w:ascii="Calibri" w:hAnsi="Calibri" w:cs="Calibri"/>
              </w:rPr>
            </w:pPr>
            <w:r w:rsidRPr="00615CA9">
              <w:rPr>
                <w:rFonts w:ascii="Calibri" w:hAnsi="Calibri" w:cs="Calibri"/>
              </w:rPr>
              <w:t>The RTT “Transfer to Adults” process provides an additional mechanism to monitor whether young people have been seen by adult services after referral. This helps identify referral delays, missed or unreceived referrals, waiting list issues, DNAs, and whether interim paediatric review may be needed.</w:t>
            </w:r>
          </w:p>
          <w:p w:rsidR="008076C0" w:rsidRPr="00615CA9" w:rsidP="006B2928">
            <w:pPr>
              <w:rPr>
                <w:rFonts w:ascii="Calibri" w:hAnsi="Calibri" w:cs="Calibri"/>
              </w:rPr>
            </w:pPr>
          </w:p>
          <w:p w:rsidR="008076C0" w:rsidRPr="00615CA9" w:rsidP="006B2928">
            <w:pPr>
              <w:rPr>
                <w:rFonts w:ascii="Calibri" w:hAnsi="Calibri" w:cs="Calibri"/>
              </w:rPr>
            </w:pPr>
            <w:r w:rsidRPr="00615CA9">
              <w:rPr>
                <w:rFonts w:ascii="Calibri" w:hAnsi="Calibri" w:cs="Calibri"/>
              </w:rPr>
              <w:t>However, it is important that monitoring does not become limited to process measures alone. A young person can have a completed form or referral but still feel unprepared, anxious, unsupported, or unclear about adult care. Effective transition must therefore include both quantitative measures and qualitative feedback from young people and families.</w:t>
            </w:r>
          </w:p>
          <w:p w:rsidR="008076C0" w:rsidRPr="00615CA9" w:rsidP="006B2928">
            <w:pPr>
              <w:rPr>
                <w:rFonts w:ascii="Calibri" w:hAnsi="Calibri" w:cs="Calibri"/>
              </w:rPr>
            </w:pPr>
          </w:p>
          <w:p w:rsidR="008076C0" w:rsidRPr="00615CA9" w:rsidP="00DD64F8">
            <w:pPr>
              <w:rPr>
                <w:rFonts w:ascii="Calibri" w:hAnsi="Calibri" w:cs="Calibri"/>
              </w:rPr>
            </w:pPr>
            <w:r w:rsidRPr="00615CA9">
              <w:rPr>
                <w:rFonts w:ascii="Calibri" w:hAnsi="Calibri" w:cs="Calibri"/>
              </w:rPr>
              <w:t>Overall, a transition service should be measured by whether young people experience transition as planned, empowering, safe and coordinated. At both individual and service level, effective transition should be defined by improved confidence, health literacy, engagement, continuity, patient experience, and successful establishment in adult care — not simply by discharge from paediatric services.</w:t>
            </w:r>
          </w:p>
        </w:tc>
      </w:tr>
      <w:tr w:rsidTr="4FF11C81">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Appropriateness</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1. Are the current guidelines for the involvement of individuals and their carers in the transition to adult services appropriate for the needs of young people and services?</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841B84">
            <w:pPr>
              <w:rPr>
                <w:rFonts w:ascii="Calibri" w:hAnsi="Calibri" w:cs="Calibri"/>
              </w:rPr>
            </w:pPr>
            <w:r w:rsidRPr="00615CA9">
              <w:rPr>
                <w:rFonts w:ascii="Calibri" w:hAnsi="Calibri" w:cs="Calibri"/>
              </w:rPr>
              <w:t>The current guidelines are broadly appropriate in principle. They rightly emphasise that young people should be actively involved in transition planning, that parents and carers should be included according to the young person’s needs and wishes, and that transition should be personalised rather than based solely on organisational processes.</w:t>
            </w:r>
          </w:p>
          <w:p w:rsidR="008076C0" w:rsidRPr="00615CA9" w:rsidP="00841B84">
            <w:pPr>
              <w:rPr>
                <w:rFonts w:ascii="Calibri" w:hAnsi="Calibri" w:cs="Calibri"/>
              </w:rPr>
            </w:pPr>
          </w:p>
          <w:p w:rsidR="008076C0" w:rsidRPr="00615CA9" w:rsidP="00841B84">
            <w:pPr>
              <w:rPr>
                <w:rFonts w:ascii="Calibri" w:hAnsi="Calibri" w:cs="Calibri"/>
              </w:rPr>
            </w:pPr>
            <w:r w:rsidRPr="00615CA9">
              <w:rPr>
                <w:rFonts w:ascii="Calibri" w:hAnsi="Calibri" w:cs="Calibri"/>
              </w:rPr>
              <w:t>However, as with much national guidance, the challenge is implementation rather than intent. Meaningful involvement requires time, skilled communication, developmentally appropriate</w:t>
            </w:r>
            <w:r w:rsidRPr="00615CA9">
              <w:rPr>
                <w:rFonts w:ascii="Calibri" w:hAnsi="Calibri" w:cs="Calibri"/>
                <w:sz w:val="22"/>
                <w:szCs w:val="22"/>
              </w:rPr>
              <w:t xml:space="preserve"> and individualised</w:t>
            </w:r>
            <w:r w:rsidRPr="00615CA9">
              <w:rPr>
                <w:rFonts w:ascii="Calibri" w:hAnsi="Calibri" w:cs="Calibri"/>
              </w:rPr>
              <w:t xml:space="preserve"> education, accessible information, digital inclusion, and repeated conversations over several years. These are difficult to deliver consistently within overstretched services, short clinic appointments, and variable transition pathways.</w:t>
            </w:r>
          </w:p>
          <w:p w:rsidR="008076C0" w:rsidRPr="00615CA9" w:rsidP="00841B84">
            <w:pPr>
              <w:rPr>
                <w:rFonts w:ascii="Calibri" w:hAnsi="Calibri" w:cs="Calibri"/>
              </w:rPr>
            </w:pPr>
          </w:p>
          <w:p w:rsidR="008076C0" w:rsidRPr="00615CA9" w:rsidP="00841B84">
            <w:pPr>
              <w:rPr>
                <w:rFonts w:ascii="Calibri" w:hAnsi="Calibri" w:cs="Calibri"/>
              </w:rPr>
            </w:pPr>
            <w:r w:rsidRPr="00615CA9">
              <w:rPr>
                <w:rFonts w:ascii="Calibri" w:hAnsi="Calibri" w:cs="Calibri"/>
              </w:rPr>
              <w:t>The guidance appropriately recognises the need to involve parents and carers while also supporting the young person’s growing independence. In practice, this can be complex and requires staff to manage confidentiality, capacity, consent, safeguarding, family anxiety, and differing levels of readiness. Staff need training and protected time to do this well.</w:t>
            </w:r>
          </w:p>
          <w:p w:rsidR="008076C0" w:rsidRPr="00615CA9" w:rsidP="00841B84">
            <w:pPr>
              <w:rPr>
                <w:rFonts w:ascii="Calibri" w:hAnsi="Calibri" w:cs="Calibri"/>
              </w:rPr>
            </w:pPr>
          </w:p>
          <w:p w:rsidR="008076C0" w:rsidRPr="00615CA9" w:rsidP="00841B84">
            <w:pPr>
              <w:rPr>
                <w:rFonts w:ascii="Calibri" w:hAnsi="Calibri" w:cs="Calibri"/>
              </w:rPr>
            </w:pPr>
            <w:r w:rsidRPr="00615CA9">
              <w:rPr>
                <w:rFonts w:ascii="Calibri" w:hAnsi="Calibri" w:cs="Calibri"/>
              </w:rPr>
              <w:t>The guidance is appropriate in encouraging peer support, coaching, mentoring, advocacy and mobile technology. However, these approaches require funded youth work, digital access, governance support, and sustainable staffing. Without this, they remain aspirational rather than consistently available.</w:t>
            </w:r>
          </w:p>
          <w:p w:rsidR="008076C0" w:rsidRPr="00615CA9" w:rsidP="00841B84">
            <w:pPr>
              <w:rPr>
                <w:rFonts w:ascii="Calibri" w:hAnsi="Calibri" w:cs="Calibri"/>
              </w:rPr>
            </w:pPr>
          </w:p>
          <w:p w:rsidR="008076C0" w:rsidRPr="00615CA9" w:rsidP="00DD64F8">
            <w:pPr>
              <w:rPr>
                <w:rFonts w:ascii="Calibri" w:hAnsi="Calibri" w:cs="Calibri"/>
              </w:rPr>
            </w:pPr>
            <w:r w:rsidRPr="00615CA9">
              <w:rPr>
                <w:rFonts w:ascii="Calibri" w:hAnsi="Calibri" w:cs="Calibri"/>
              </w:rPr>
              <w:t>Overall, the guidelines are appropriate for the needs of young people and services, but they need to be supported by clearer implementation standards, workforce investment, digital infrastructure, and measurable expectations. Otherwise, involvement risks becoming tokenistic or dependent on individual clinicians rather than embedded routinely across transition pathways.</w:t>
            </w:r>
          </w:p>
          <w:p w:rsidR="008076C0" w:rsidRPr="00615CA9" w:rsidP="00DD64F8">
            <w:pPr>
              <w:rPr>
                <w:rFonts w:ascii="Calibri" w:hAnsi="Calibri" w:cs="Calibri"/>
              </w:rPr>
            </w:pPr>
          </w:p>
        </w:tc>
      </w:tr>
      <w:tr w:rsidTr="4FF11C81">
        <w:tblPrEx>
          <w:tblW w:w="10490" w:type="dxa"/>
          <w:tblInd w:w="-714" w:type="dxa"/>
          <w:tblLook w:val="04A0"/>
        </w:tblPrEx>
        <w:tc>
          <w:tcPr>
            <w:tcW w:w="1985" w:type="dxa"/>
            <w:vMerge w:val="restart"/>
            <w:tcBorders>
              <w:left w:val="single" w:sz="4" w:space="0" w:color="auto"/>
            </w:tcBorders>
          </w:tcPr>
          <w:p w:rsidR="008076C0" w:rsidRPr="00615CA9" w:rsidP="00DD64F8">
            <w:pPr>
              <w:rPr>
                <w:rFonts w:ascii="Calibri" w:hAnsi="Calibri" w:cs="Calibri"/>
                <w:b/>
                <w:sz w:val="20"/>
                <w:szCs w:val="20"/>
              </w:rPr>
            </w:pPr>
            <w:r w:rsidRPr="00615CA9">
              <w:rPr>
                <w:rFonts w:ascii="Calibri" w:hAnsi="Calibri" w:cs="Calibri"/>
                <w:b/>
                <w:sz w:val="20"/>
                <w:szCs w:val="20"/>
              </w:rPr>
              <w:t>Equality and diversity</w:t>
            </w:r>
          </w:p>
        </w:tc>
        <w:tc>
          <w:tcPr>
            <w:tcW w:w="8505" w:type="dxa"/>
          </w:tcPr>
          <w:p w:rsidR="008076C0" w:rsidRPr="00615CA9" w:rsidP="00DD64F8">
            <w:pPr>
              <w:rPr>
                <w:rFonts w:ascii="Calibri" w:hAnsi="Calibri" w:cs="Calibri"/>
              </w:rPr>
            </w:pPr>
            <w:r w:rsidRPr="00615CA9">
              <w:rPr>
                <w:rFonts w:ascii="Calibri" w:hAnsi="Calibri" w:eastAsiaTheme="minorEastAsia" w:cs="Calibri"/>
                <w:sz w:val="22"/>
              </w:rPr>
              <w:t xml:space="preserve">1. How are underserved or vulnerable patient groups, including those with special educational needs and disabilities involved in their own transition planning? </w:t>
            </w:r>
            <w:r>
              <w:fldChar w:fldCharType="begin"/>
            </w:r>
            <w:r>
              <w:instrText xml:space="preserve"> HYPERLINK "https://assets.publishing.service.gov.uk/media/5a7dcb85ed915d2ac884d995/SEND_Code_of_Practice_January_2015.pdf" </w:instrText>
            </w:r>
            <w:r>
              <w:fldChar w:fldCharType="separate"/>
            </w:r>
            <w:r w:rsidRPr="00615CA9">
              <w:rPr>
                <w:rStyle w:val="Hyperlink"/>
                <w:rFonts w:ascii="Calibri" w:hAnsi="Calibri" w:eastAsiaTheme="minorEastAsia" w:cs="Calibri"/>
                <w:color w:val="auto"/>
                <w:sz w:val="22"/>
              </w:rPr>
              <w:t>SEND Code of Practice 0-25 years (8.54, 2015)</w:t>
            </w:r>
            <w:r>
              <w:fldChar w:fldCharType="end"/>
            </w:r>
          </w:p>
        </w:tc>
      </w:tr>
      <w:tr w:rsidTr="4FF11C81">
        <w:tblPrEx>
          <w:tblW w:w="10490" w:type="dxa"/>
          <w:tblInd w:w="-714" w:type="dxa"/>
          <w:tblLook w:val="04A0"/>
        </w:tblPrEx>
        <w:tc>
          <w:tcPr>
            <w:tcW w:w="1985" w:type="dxa"/>
            <w:vMerge/>
          </w:tcPr>
          <w:p w:rsidR="008076C0" w:rsidRPr="00615CA9" w:rsidP="000B71E2">
            <w:pPr>
              <w:rPr>
                <w:rFonts w:ascii="Calibri" w:hAnsi="Calibri" w:cs="Calibri"/>
              </w:rPr>
            </w:pPr>
          </w:p>
        </w:tc>
        <w:tc>
          <w:tcPr>
            <w:tcW w:w="8505" w:type="dxa"/>
          </w:tcPr>
          <w:p w:rsidR="008076C0" w:rsidRPr="00615CA9" w:rsidP="000B71E2">
            <w:pPr>
              <w:rPr>
                <w:rFonts w:ascii="Calibri" w:hAnsi="Calibri" w:cs="Calibri"/>
                <w:sz w:val="22"/>
                <w:szCs w:val="22"/>
              </w:rPr>
            </w:pPr>
            <w:r w:rsidRPr="00615CA9">
              <w:rPr>
                <w:rFonts w:ascii="Calibri" w:hAnsi="Calibri" w:cs="Calibri"/>
                <w:sz w:val="22"/>
                <w:szCs w:val="22"/>
              </w:rPr>
              <w:t>Underserved or vulnerable young people, including those with special educational needs and disabilities, are often recognised by services as requiring additional support during transition planning. However, the extent to which they are meaningfully involved in their own planning remains variable and is strongly affected by adult-service availability, workforce capacity, communication support, and family advocacy.</w:t>
            </w:r>
          </w:p>
          <w:p w:rsidR="008076C0" w:rsidRPr="00615CA9" w:rsidP="000B71E2">
            <w:pPr>
              <w:rPr>
                <w:rFonts w:ascii="Calibri" w:hAnsi="Calibri" w:cs="Calibri"/>
                <w:sz w:val="22"/>
                <w:szCs w:val="22"/>
              </w:rPr>
            </w:pPr>
          </w:p>
          <w:p w:rsidR="008076C0" w:rsidRPr="00615CA9" w:rsidP="000B71E2">
            <w:pPr>
              <w:rPr>
                <w:rFonts w:ascii="Calibri" w:hAnsi="Calibri" w:cs="Calibri"/>
                <w:sz w:val="22"/>
                <w:szCs w:val="22"/>
              </w:rPr>
            </w:pPr>
            <w:r w:rsidRPr="00615CA9">
              <w:rPr>
                <w:rFonts w:ascii="Calibri" w:hAnsi="Calibri" w:cs="Calibri"/>
                <w:sz w:val="22"/>
                <w:szCs w:val="22"/>
              </w:rPr>
              <w:t>The SEND Code of Practice appropriately emphasises that professionals should understand the young person’s individual needs, including learning difficulties or disabilities, and coordinate health care around those needs. It also states that young people should know who is taking the lead in coordinating care and how to contact them. In practice, this is difficult to achieve consistently where there is no equivalent adult specialist service or named adult lead available.</w:t>
            </w:r>
          </w:p>
          <w:p w:rsidR="008076C0" w:rsidRPr="00615CA9" w:rsidP="000B71E2">
            <w:pPr>
              <w:rPr>
                <w:rFonts w:ascii="Calibri" w:hAnsi="Calibri" w:cs="Calibri"/>
                <w:sz w:val="22"/>
                <w:szCs w:val="22"/>
              </w:rPr>
            </w:pPr>
          </w:p>
          <w:p w:rsidR="008076C0" w:rsidRPr="00615CA9" w:rsidP="000B71E2">
            <w:pPr>
              <w:rPr>
                <w:rFonts w:ascii="Calibri" w:hAnsi="Calibri" w:cs="Calibri"/>
                <w:sz w:val="22"/>
                <w:szCs w:val="22"/>
              </w:rPr>
            </w:pPr>
            <w:r w:rsidRPr="00615CA9">
              <w:rPr>
                <w:rFonts w:ascii="Calibri" w:hAnsi="Calibri" w:cs="Calibri"/>
                <w:sz w:val="22"/>
                <w:szCs w:val="22"/>
              </w:rPr>
              <w:t>Paediatric teams highlighted that for many young people with complex needs, learning disabilities, autism, or rare paediatric-onset conditions, there are limited or no specialist adult services able to provide equivalent care. In these cases, young people may be discharged back to primary care, where ongoing support can vary depending on local expertise, GP capacity, and whether there is a clinician with a particular interest in the young person’s condition. This can make it difficult to provide the coordin</w:t>
            </w:r>
            <w:r w:rsidRPr="00615CA9">
              <w:rPr>
                <w:rFonts w:ascii="Calibri" w:hAnsi="Calibri" w:cs="Calibri"/>
                <w:sz w:val="22"/>
                <w:szCs w:val="22"/>
              </w:rPr>
              <w:t>ated, named, specialist-led transition planning described in the SEND Code of Practice.</w:t>
            </w:r>
          </w:p>
          <w:p w:rsidR="008076C0" w:rsidRPr="00615CA9" w:rsidP="000B71E2">
            <w:pPr>
              <w:rPr>
                <w:rFonts w:ascii="Calibri" w:hAnsi="Calibri" w:cs="Calibri"/>
                <w:sz w:val="22"/>
                <w:szCs w:val="22"/>
              </w:rPr>
            </w:pPr>
            <w:r w:rsidRPr="00615CA9">
              <w:rPr>
                <w:rFonts w:ascii="Calibri" w:hAnsi="Calibri" w:cs="Calibri"/>
                <w:sz w:val="22"/>
                <w:szCs w:val="22"/>
              </w:rPr>
              <w:t>For young people with SEND, involvement in transition planning often needs to be more gradual, accessible, and supported. This may require:</w:t>
            </w:r>
            <w:r w:rsidRPr="00615CA9">
              <w:rPr>
                <w:rFonts w:ascii="Calibri" w:hAnsi="Calibri" w:cs="Calibri"/>
                <w:sz w:val="22"/>
                <w:szCs w:val="22"/>
              </w:rPr>
              <w:br/>
              <w:t>• longer appointments</w:t>
            </w:r>
            <w:r w:rsidRPr="00615CA9">
              <w:rPr>
                <w:rFonts w:ascii="Calibri" w:hAnsi="Calibri" w:cs="Calibri"/>
                <w:sz w:val="22"/>
                <w:szCs w:val="22"/>
              </w:rPr>
              <w:br/>
              <w:t>• repeated explanations</w:t>
            </w:r>
            <w:r w:rsidRPr="00615CA9">
              <w:rPr>
                <w:rFonts w:ascii="Calibri" w:hAnsi="Calibri" w:cs="Calibri"/>
                <w:sz w:val="22"/>
                <w:szCs w:val="22"/>
              </w:rPr>
              <w:br/>
              <w:t>• easy-read or visual information</w:t>
            </w:r>
            <w:r w:rsidRPr="00615CA9">
              <w:rPr>
                <w:rFonts w:ascii="Calibri" w:hAnsi="Calibri" w:cs="Calibri"/>
                <w:sz w:val="22"/>
                <w:szCs w:val="22"/>
              </w:rPr>
              <w:br/>
              <w:t>• communication aids</w:t>
            </w:r>
            <w:r w:rsidRPr="00615CA9">
              <w:rPr>
                <w:rFonts w:ascii="Calibri" w:hAnsi="Calibri" w:cs="Calibri"/>
                <w:sz w:val="22"/>
                <w:szCs w:val="22"/>
              </w:rPr>
              <w:br/>
              <w:t>• reasonable adjustments</w:t>
            </w:r>
            <w:r w:rsidRPr="00615CA9">
              <w:rPr>
                <w:rFonts w:ascii="Calibri" w:hAnsi="Calibri" w:cs="Calibri"/>
                <w:sz w:val="22"/>
                <w:szCs w:val="22"/>
              </w:rPr>
              <w:br/>
              <w:t>• familiarisation with adult services</w:t>
            </w:r>
            <w:r w:rsidRPr="00615CA9">
              <w:rPr>
                <w:rFonts w:ascii="Calibri" w:hAnsi="Calibri" w:cs="Calibri"/>
                <w:sz w:val="22"/>
                <w:szCs w:val="22"/>
              </w:rPr>
              <w:br/>
              <w:t>• involvement of parents/carers or advocates where appropriate</w:t>
            </w:r>
            <w:r w:rsidRPr="00615CA9">
              <w:rPr>
                <w:rFonts w:ascii="Calibri" w:hAnsi="Calibri" w:cs="Calibri"/>
                <w:sz w:val="22"/>
                <w:szCs w:val="22"/>
              </w:rPr>
              <w:br/>
              <w:t>• and clear documentation of who is coordinating care.</w:t>
            </w:r>
          </w:p>
          <w:p w:rsidR="008076C0" w:rsidRPr="00615CA9" w:rsidP="000B71E2">
            <w:pPr>
              <w:rPr>
                <w:rFonts w:ascii="Calibri" w:hAnsi="Calibri" w:cs="Calibri"/>
                <w:sz w:val="22"/>
                <w:szCs w:val="22"/>
              </w:rPr>
            </w:pPr>
          </w:p>
          <w:p w:rsidR="008076C0" w:rsidRPr="00615CA9" w:rsidP="000B71E2">
            <w:pPr>
              <w:rPr>
                <w:rFonts w:ascii="Calibri" w:hAnsi="Calibri" w:cs="Calibri"/>
                <w:sz w:val="22"/>
                <w:szCs w:val="22"/>
              </w:rPr>
            </w:pPr>
            <w:r w:rsidRPr="00615CA9">
              <w:rPr>
                <w:rFonts w:ascii="Calibri" w:hAnsi="Calibri" w:cs="Calibri"/>
                <w:sz w:val="22"/>
                <w:szCs w:val="22"/>
              </w:rPr>
              <w:t>A key concern raised by specialist teams is that some young people with SEND are incorrectly perceived as needing transition “later”, when in fact they often require transition planning to start earlier and continue for longer. Earlier preparation allows more time to build trust, assess communication needs, involve families, coordinate social care, clarify capacity and best-interests decision-making where relevant, and establish adult services safely.</w:t>
            </w:r>
          </w:p>
          <w:p w:rsidR="008076C0" w:rsidRPr="00615CA9" w:rsidP="000B71E2">
            <w:pPr>
              <w:rPr>
                <w:rFonts w:ascii="Calibri" w:hAnsi="Calibri" w:cs="Calibri"/>
                <w:sz w:val="22"/>
                <w:szCs w:val="22"/>
              </w:rPr>
            </w:pPr>
          </w:p>
          <w:p w:rsidR="008076C0" w:rsidRPr="00615CA9" w:rsidP="000B71E2">
            <w:pPr>
              <w:rPr>
                <w:rFonts w:ascii="Calibri" w:hAnsi="Calibri" w:cs="Calibri"/>
                <w:sz w:val="22"/>
                <w:szCs w:val="22"/>
              </w:rPr>
            </w:pPr>
            <w:r w:rsidRPr="00615CA9">
              <w:rPr>
                <w:rFonts w:ascii="Calibri" w:hAnsi="Calibri" w:cs="Calibri"/>
                <w:sz w:val="22"/>
                <w:szCs w:val="22"/>
              </w:rPr>
              <w:t>Where there are no appropriate adult services, the young person’s ability to be meaningfully involved may be limited by the absence of a clear destination pathway. It is difficult to support a young person to understand and prepare for adult care when the receiving service is uncertain, unavailable, or dependent on local primary care capacity.</w:t>
            </w:r>
          </w:p>
          <w:p w:rsidR="008076C0" w:rsidRPr="00615CA9" w:rsidP="000B71E2">
            <w:pPr>
              <w:rPr>
                <w:rFonts w:ascii="Calibri" w:hAnsi="Calibri" w:cs="Calibri"/>
                <w:sz w:val="22"/>
                <w:szCs w:val="22"/>
              </w:rPr>
            </w:pPr>
          </w:p>
          <w:p w:rsidR="008076C0" w:rsidRPr="00615CA9" w:rsidP="000B71E2">
            <w:pPr>
              <w:rPr>
                <w:rFonts w:ascii="Calibri" w:hAnsi="Calibri" w:cs="Calibri"/>
                <w:sz w:val="22"/>
                <w:szCs w:val="22"/>
              </w:rPr>
            </w:pPr>
            <w:r w:rsidRPr="00615CA9">
              <w:rPr>
                <w:rFonts w:ascii="Calibri" w:hAnsi="Calibri" w:cs="Calibri"/>
                <w:sz w:val="22"/>
                <w:szCs w:val="22"/>
              </w:rPr>
              <w:t>Overall, while the principles of the SEND Code of Practice are appropriate, delivery is inconsistent. Young people with SEND require earlier, longer, and more personalised transition planning, but this must be supported by clear adult pathways, named coordinators, accessible communication, reasonable adjustments, and stronger integration between paediatric services, adult services, primary care, social care, education, and families.</w:t>
            </w:r>
          </w:p>
          <w:p w:rsidR="008076C0" w:rsidRPr="00615CA9" w:rsidP="000B71E2">
            <w:pPr>
              <w:rPr>
                <w:rFonts w:ascii="Calibri" w:hAnsi="Calibri" w:cs="Calibri"/>
              </w:rPr>
            </w:pPr>
          </w:p>
        </w:tc>
      </w:tr>
      <w:tr w:rsidTr="4FF11C81">
        <w:tblPrEx>
          <w:tblW w:w="10490" w:type="dxa"/>
          <w:tblInd w:w="-714" w:type="dxa"/>
          <w:tblLook w:val="04A0"/>
        </w:tblPrEx>
        <w:tc>
          <w:tcPr>
            <w:tcW w:w="1985" w:type="dxa"/>
            <w:vMerge/>
          </w:tcPr>
          <w:p w:rsidR="008076C0" w:rsidRPr="00615CA9" w:rsidP="000B71E2">
            <w:pPr>
              <w:rPr>
                <w:rFonts w:ascii="Calibri" w:hAnsi="Calibri" w:cs="Calibri"/>
              </w:rPr>
            </w:pPr>
          </w:p>
        </w:tc>
        <w:tc>
          <w:tcPr>
            <w:tcW w:w="8505" w:type="dxa"/>
          </w:tcPr>
          <w:p w:rsidR="008076C0" w:rsidRPr="00615CA9" w:rsidP="000B71E2">
            <w:pPr>
              <w:rPr>
                <w:rFonts w:ascii="Calibri" w:hAnsi="Calibri" w:cs="Calibri"/>
              </w:rPr>
            </w:pPr>
            <w:r w:rsidRPr="00615CA9">
              <w:rPr>
                <w:rFonts w:ascii="Calibri" w:hAnsi="Calibri" w:eastAsiaTheme="minorEastAsia" w:cs="Calibri"/>
                <w:sz w:val="22"/>
                <w:szCs w:val="22"/>
              </w:rPr>
              <w:t>2. To what extent are underserved or vulnerable service-user</w:t>
            </w:r>
            <w:r w:rsidRPr="00615CA9">
              <w:rPr>
                <w:rFonts w:ascii="Calibri" w:hAnsi="Calibri" w:eastAsiaTheme="minorEastAsia" w:cs="Calibri"/>
                <w:sz w:val="22"/>
                <w:szCs w:val="22"/>
              </w:rPr>
              <w:t xml:space="preserve"> groups involved in co-production of transition policies and strategies?</w:t>
            </w:r>
          </w:p>
        </w:tc>
      </w:tr>
      <w:tr w:rsidTr="4FF11C81">
        <w:tblPrEx>
          <w:tblW w:w="10490" w:type="dxa"/>
          <w:tblInd w:w="-714" w:type="dxa"/>
          <w:tblLook w:val="04A0"/>
        </w:tblPrEx>
        <w:tc>
          <w:tcPr>
            <w:tcW w:w="1985" w:type="dxa"/>
            <w:vMerge/>
          </w:tcPr>
          <w:p w:rsidR="008076C0" w:rsidRPr="00615CA9" w:rsidP="000B71E2">
            <w:pPr>
              <w:rPr>
                <w:rFonts w:ascii="Calibri" w:hAnsi="Calibri" w:cs="Calibri"/>
              </w:rPr>
            </w:pPr>
          </w:p>
        </w:tc>
        <w:tc>
          <w:tcPr>
            <w:tcW w:w="8505" w:type="dxa"/>
          </w:tcPr>
          <w:p w:rsidR="008076C0" w:rsidRPr="00615CA9" w:rsidP="000B71E2">
            <w:pPr>
              <w:rPr>
                <w:rFonts w:ascii="Calibri" w:hAnsi="Calibri" w:cs="Calibri"/>
              </w:rPr>
            </w:pPr>
            <w:r w:rsidRPr="00615CA9">
              <w:rPr>
                <w:rFonts w:ascii="Calibri" w:hAnsi="Calibri" w:cs="Calibri"/>
              </w:rPr>
              <w:t>This was not specifically assessed as part of the evidence gathered for this submission, so it is difficult to provide a full assessment of the extent to which underserved or vulnerable groups are involved in co-production of transition policies and strategies.</w:t>
            </w:r>
          </w:p>
          <w:p w:rsidR="008076C0" w:rsidRPr="00615CA9" w:rsidP="000B71E2">
            <w:pPr>
              <w:rPr>
                <w:rFonts w:ascii="Calibri" w:hAnsi="Calibri" w:cs="Calibri"/>
              </w:rPr>
            </w:pPr>
          </w:p>
          <w:p w:rsidR="008076C0" w:rsidRPr="00615CA9" w:rsidP="000B71E2">
            <w:pPr>
              <w:rPr>
                <w:rFonts w:ascii="Calibri" w:hAnsi="Calibri" w:cs="Calibri"/>
              </w:rPr>
            </w:pPr>
            <w:r w:rsidRPr="00615CA9">
              <w:rPr>
                <w:rFonts w:ascii="Calibri" w:hAnsi="Calibri" w:cs="Calibri"/>
              </w:rPr>
              <w:t>At GOSH, co-production is supported through routes such as Our GOSH, GOSH Voice, the Young People’s Forum, patient and family engagement work, and involvement of young people and families in developing transition-related tools and resources. These mechanisms provide opportunities for young people and families to influence transition policy, strategy, materials and service development.</w:t>
            </w:r>
          </w:p>
          <w:p w:rsidR="008076C0" w:rsidRPr="00615CA9" w:rsidP="000B71E2">
            <w:pPr>
              <w:rPr>
                <w:rFonts w:ascii="Calibri" w:hAnsi="Calibri" w:cs="Calibri"/>
              </w:rPr>
            </w:pPr>
          </w:p>
          <w:p w:rsidR="008076C0" w:rsidRPr="00615CA9" w:rsidP="000B71E2">
            <w:pPr>
              <w:rPr>
                <w:rFonts w:ascii="Calibri" w:hAnsi="Calibri" w:cs="Calibri"/>
              </w:rPr>
            </w:pPr>
            <w:r w:rsidRPr="00615CA9">
              <w:rPr>
                <w:rFonts w:ascii="Calibri" w:hAnsi="Calibri" w:cs="Calibri"/>
              </w:rPr>
              <w:t>However, ensuring that underserved or vulnerable groups are meaningfully represented requires intentional planning. Young people with learning disabilities, autism, communication needs, language barriers, digital exclusion, complex health needs, safeguarding concerns, or limited family advocacy may require additional support to participate in co-production.</w:t>
            </w:r>
          </w:p>
          <w:p w:rsidR="008076C0" w:rsidRPr="00615CA9" w:rsidP="000B71E2">
            <w:pPr>
              <w:rPr>
                <w:rFonts w:ascii="Calibri" w:hAnsi="Calibri" w:cs="Calibri"/>
              </w:rPr>
            </w:pPr>
          </w:p>
          <w:p w:rsidR="008076C0" w:rsidRPr="00615CA9" w:rsidP="000B71E2">
            <w:pPr>
              <w:rPr>
                <w:rFonts w:ascii="Calibri" w:hAnsi="Calibri" w:cs="Calibri"/>
              </w:rPr>
            </w:pPr>
            <w:r w:rsidRPr="00615CA9">
              <w:rPr>
                <w:rFonts w:ascii="Calibri" w:hAnsi="Calibri" w:cs="Calibri"/>
              </w:rPr>
              <w:t>Further work is needed to understand how consistently these groups are represented within transition co-production activity, and how services can make engagement more accessible, inclusive and responsive to different needs.</w:t>
            </w:r>
          </w:p>
          <w:p w:rsidR="008076C0" w:rsidRPr="00615CA9" w:rsidP="000B71E2">
            <w:pPr>
              <w:rPr>
                <w:rFonts w:ascii="Calibri" w:hAnsi="Calibri" w:cs="Calibri"/>
              </w:rPr>
            </w:pPr>
          </w:p>
          <w:p w:rsidR="008076C0" w:rsidRPr="00615CA9" w:rsidP="000B71E2">
            <w:pPr>
              <w:rPr>
                <w:rFonts w:ascii="Calibri" w:hAnsi="Calibri" w:cs="Calibri"/>
              </w:rPr>
            </w:pPr>
          </w:p>
        </w:tc>
      </w:tr>
    </w:tbl>
    <w:p w:rsidR="008076C0" w:rsidRPr="00615CA9">
      <w:pPr>
        <w:rPr>
          <w:rFonts w:ascii="Calibri" w:hAnsi="Calibri" w:cs="Calibri"/>
        </w:rPr>
      </w:pPr>
    </w:p>
    <w:p w:rsidR="008076C0" w:rsidRPr="00615CA9">
      <w:pPr>
        <w:rPr>
          <w:rFonts w:ascii="Calibri" w:hAnsi="Calibri" w:cs="Calibri"/>
        </w:rPr>
      </w:pPr>
    </w:p>
    <w:tbl>
      <w:tblPr>
        <w:tblStyle w:val="TableGrid"/>
        <w:tblW w:w="10490" w:type="dxa"/>
        <w:tblInd w:w="-714" w:type="dxa"/>
        <w:tblLook w:val="04A0"/>
      </w:tblPr>
      <w:tblGrid>
        <w:gridCol w:w="1985"/>
        <w:gridCol w:w="8505"/>
      </w:tblGrid>
      <w:tr w:rsidTr="4FF11C81">
        <w:tblPrEx>
          <w:tblW w:w="10490" w:type="dxa"/>
          <w:tblInd w:w="-714" w:type="dxa"/>
          <w:tblLook w:val="04A0"/>
        </w:tblPrEx>
        <w:tc>
          <w:tcPr>
            <w:tcW w:w="10490" w:type="dxa"/>
            <w:gridSpan w:val="2"/>
          </w:tcPr>
          <w:p w:rsidR="008076C0" w:rsidRPr="00615CA9">
            <w:pPr>
              <w:rPr>
                <w:rFonts w:ascii="Calibri" w:hAnsi="Calibri" w:cs="Calibri"/>
                <w:b/>
                <w:bCs/>
              </w:rPr>
            </w:pPr>
            <w:r w:rsidRPr="00615CA9">
              <w:rPr>
                <w:rFonts w:ascii="Calibri" w:hAnsi="Calibri" w:cs="Calibri"/>
                <w:b/>
                <w:bCs/>
              </w:rPr>
              <w:t>FOCUS AREA 4</w:t>
            </w:r>
          </w:p>
          <w:p w:rsidR="008076C0" w:rsidRPr="00615CA9" w:rsidP="00DD64F8">
            <w:pPr>
              <w:rPr>
                <w:rFonts w:ascii="Calibri" w:hAnsi="Calibri" w:cs="Calibri"/>
                <w:b/>
                <w:bCs/>
              </w:rPr>
            </w:pPr>
            <w:r w:rsidRPr="00615CA9">
              <w:rPr>
                <w:rFonts w:ascii="Calibri" w:hAnsi="Calibri" w:cs="Calibri"/>
                <w:b/>
                <w:bCs/>
              </w:rPr>
              <w:t>WORKFORCE AND TRAINING</w:t>
            </w:r>
          </w:p>
        </w:tc>
      </w:tr>
      <w:tr w:rsidTr="4FF11C81">
        <w:tblPrEx>
          <w:tblW w:w="10490" w:type="dxa"/>
          <w:tblInd w:w="-714" w:type="dxa"/>
          <w:tblLook w:val="04A0"/>
        </w:tblPrEx>
        <w:tc>
          <w:tcPr>
            <w:tcW w:w="10490" w:type="dxa"/>
            <w:gridSpan w:val="2"/>
          </w:tcPr>
          <w:p w:rsidR="008076C0" w:rsidRPr="00615CA9" w:rsidP="00DD64F8">
            <w:pPr>
              <w:spacing w:after="120"/>
              <w:rPr>
                <w:rFonts w:ascii="Calibri" w:hAnsi="Calibri" w:cs="Calibri"/>
                <w:sz w:val="22"/>
                <w:szCs w:val="22"/>
                <w:lang w:val="en-US"/>
              </w:rPr>
            </w:pPr>
            <w:r w:rsidRPr="00615CA9">
              <w:rPr>
                <w:rFonts w:ascii="Calibri" w:hAnsi="Calibri" w:cs="Calibri"/>
                <w:b/>
                <w:bCs/>
                <w:sz w:val="22"/>
                <w:szCs w:val="22"/>
              </w:rPr>
              <w:t>Statement of intent 1</w:t>
            </w:r>
            <w:r w:rsidRPr="00615CA9">
              <w:rPr>
                <w:rFonts w:ascii="Calibri" w:hAnsi="Calibri" w:cs="Calibri"/>
                <w:sz w:val="22"/>
                <w:szCs w:val="22"/>
              </w:rPr>
              <w:t xml:space="preserve">: </w:t>
            </w:r>
            <w:r w:rsidRPr="00615CA9">
              <w:rPr>
                <w:rFonts w:ascii="Calibri" w:hAnsi="Calibri" w:cs="Calibri"/>
                <w:sz w:val="22"/>
                <w:szCs w:val="22"/>
                <w:lang w:val="en-US"/>
              </w:rPr>
              <w:t xml:space="preserve">Staff receive training in adolescent development, managing long-term conditions and transitional care, such as the </w:t>
            </w:r>
            <w:r>
              <w:fldChar w:fldCharType="begin"/>
            </w:r>
            <w:r>
              <w:instrText xml:space="preserve"> HYPERLINK "https://url.uk.m.mimecastprotect.com/s/WTvACjZpltjQVXqWTWf0SmqDdm?domain=e-lfh.org.uk/" </w:instrText>
            </w:r>
            <w:r>
              <w:fldChar w:fldCharType="separate"/>
            </w:r>
            <w:r w:rsidRPr="00615CA9">
              <w:rPr>
                <w:rStyle w:val="Hyperlink"/>
                <w:rFonts w:ascii="Calibri" w:hAnsi="Calibri" w:cs="Calibri"/>
                <w:color w:val="auto"/>
                <w:sz w:val="22"/>
                <w:szCs w:val="22"/>
                <w:lang w:val="en-US"/>
              </w:rPr>
              <w:t>Adolescent Health Programme e-learning</w:t>
            </w:r>
            <w:r>
              <w:fldChar w:fldCharType="end"/>
            </w:r>
            <w:r w:rsidRPr="00615CA9">
              <w:rPr>
                <w:rFonts w:ascii="Calibri" w:hAnsi="Calibri" w:cs="Calibri"/>
                <w:sz w:val="22"/>
                <w:szCs w:val="22"/>
                <w:lang w:val="en-US"/>
              </w:rPr>
              <w:t xml:space="preserve">, as a context for understanding the impact of complex and long-term health needs. </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615CA9">
              <w:rPr>
                <w:rStyle w:val="Hyperlink"/>
                <w:rFonts w:ascii="Calibri" w:hAnsi="Calibri" w:cs="Calibri"/>
                <w:color w:val="auto"/>
                <w:sz w:val="22"/>
                <w:szCs w:val="22"/>
                <w:lang w:val="en-US"/>
              </w:rPr>
              <w:t>OHID You’re Welcome</w:t>
            </w:r>
            <w:r>
              <w:fldChar w:fldCharType="end"/>
            </w:r>
            <w:r w:rsidRPr="00615CA9">
              <w:rPr>
                <w:rFonts w:ascii="Calibri" w:hAnsi="Calibri" w:cs="Calibri"/>
                <w:sz w:val="22"/>
                <w:szCs w:val="22"/>
                <w:lang w:val="en-US"/>
              </w:rPr>
              <w:t xml:space="preserve"> (4, 2023)</w:t>
            </w:r>
          </w:p>
          <w:p w:rsidR="008076C0" w:rsidRPr="00615CA9" w:rsidP="00DD64F8">
            <w:pPr>
              <w:spacing w:after="120" w:line="259" w:lineRule="auto"/>
              <w:rPr>
                <w:rFonts w:ascii="Calibri" w:hAnsi="Calibri" w:cs="Calibri"/>
                <w:b/>
                <w:sz w:val="22"/>
                <w:szCs w:val="22"/>
                <w:lang w:val="en-US"/>
              </w:rPr>
            </w:pPr>
            <w:r w:rsidRPr="00615CA9">
              <w:rPr>
                <w:rFonts w:ascii="Calibri" w:hAnsi="Calibri" w:cs="Calibri"/>
                <w:b/>
                <w:bCs/>
                <w:sz w:val="22"/>
                <w:szCs w:val="22"/>
                <w:lang w:val="en-US"/>
              </w:rPr>
              <w:t>Statement of intent 2</w:t>
            </w:r>
            <w:r w:rsidRPr="00615CA9">
              <w:rPr>
                <w:rFonts w:ascii="Calibri" w:hAnsi="Calibri" w:cs="Calibri"/>
                <w:sz w:val="22"/>
                <w:szCs w:val="22"/>
                <w:lang w:val="en-US"/>
              </w:rPr>
              <w:t xml:space="preserve">: Young people who are moving from children's to adults' services have a named worker to coordinate care and support before, during and after transfer. </w:t>
            </w:r>
            <w:r>
              <w:fldChar w:fldCharType="begin"/>
            </w:r>
            <w:r>
              <w:instrText xml:space="preserve"> HYPERLINK "https://www.nice.org.uk/guidance/qs140/chapter/Quality-statement-4-Named-worker" </w:instrText>
            </w:r>
            <w:r>
              <w:fldChar w:fldCharType="separate"/>
            </w:r>
            <w:r w:rsidRPr="00615CA9">
              <w:rPr>
                <w:rStyle w:val="Hyperlink"/>
                <w:rFonts w:ascii="Calibri" w:hAnsi="Calibri" w:cs="Calibri"/>
                <w:color w:val="auto"/>
                <w:sz w:val="22"/>
                <w:szCs w:val="22"/>
                <w:lang w:val="en-US"/>
              </w:rPr>
              <w:t>NICE QS140 (4, 2016)</w:t>
            </w:r>
            <w:r>
              <w:fldChar w:fldCharType="end"/>
            </w:r>
          </w:p>
          <w:p w:rsidR="008076C0" w:rsidRPr="00615CA9" w:rsidP="00DD64F8">
            <w:pPr>
              <w:spacing w:line="259" w:lineRule="auto"/>
              <w:rPr>
                <w:rFonts w:ascii="Calibri" w:hAnsi="Calibri" w:cs="Calibri"/>
                <w:b/>
                <w:sz w:val="22"/>
                <w:szCs w:val="22"/>
                <w:lang w:val="en-US"/>
              </w:rPr>
            </w:pPr>
            <w:r w:rsidRPr="00615CA9">
              <w:rPr>
                <w:rFonts w:ascii="Calibri" w:hAnsi="Calibri" w:cs="Calibri"/>
                <w:b/>
                <w:bCs/>
                <w:sz w:val="22"/>
                <w:szCs w:val="22"/>
                <w:lang w:val="en-US"/>
              </w:rPr>
              <w:t>Statement of intent 3:</w:t>
            </w:r>
            <w:r w:rsidRPr="00615CA9">
              <w:rPr>
                <w:rFonts w:ascii="Calibri" w:hAnsi="Calibri" w:cs="Calibri"/>
                <w:sz w:val="22"/>
                <w:szCs w:val="22"/>
                <w:lang w:val="en-US"/>
              </w:rPr>
              <w:t xml:space="preserve"> Each health and social care organisation, in both children's and adults' services supporting young people in transition, should nominate: 1 senior executive to be accountable for developing and publishing transition strategies and policies, 1 senior manager to be accountable for implementing transition strategies and policies. The senior executive should be responsible for championing transitions at a strategic level. The senior manager should be responsible for: liaising with the senior executive; champio</w:t>
            </w:r>
            <w:r w:rsidRPr="00615CA9">
              <w:rPr>
                <w:rFonts w:ascii="Calibri" w:hAnsi="Calibri" w:cs="Calibri"/>
                <w:sz w:val="22"/>
                <w:szCs w:val="22"/>
                <w:lang w:val="en-US"/>
              </w:rPr>
              <w:t xml:space="preserve">ning, implementing, monitoring and reviewing the effectiveness of transition strategies and policies. </w:t>
            </w:r>
            <w:r>
              <w:fldChar w:fldCharType="begin"/>
            </w:r>
            <w:r>
              <w:instrText xml:space="preserve"> HYPERLINK "https://www.nice.org.uk/guidance/ng43/chapter/Recommendations" \l "supporting-infrastructure" </w:instrText>
            </w:r>
            <w:r>
              <w:fldChar w:fldCharType="separate"/>
            </w:r>
            <w:r w:rsidRPr="00615CA9">
              <w:rPr>
                <w:rStyle w:val="Hyperlink"/>
                <w:rFonts w:ascii="Calibri" w:hAnsi="Calibri" w:cs="Calibri"/>
                <w:color w:val="auto"/>
                <w:sz w:val="22"/>
                <w:szCs w:val="22"/>
                <w:lang w:val="en-US"/>
              </w:rPr>
              <w:t>NICE NG43 (1.5.1-3, 2016)</w:t>
            </w:r>
            <w:r>
              <w:fldChar w:fldCharType="end"/>
            </w:r>
          </w:p>
        </w:tc>
      </w:tr>
      <w:tr w:rsidTr="4FF11C81">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Resourcing</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 xml:space="preserve">1. Which healthcare professionals form the transition team for young people, and are their roles- including that of the lead healthcare professional- clearly defined? Do staff have sufficient time allocated for their specified roles? </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0B71E2">
            <w:pPr>
              <w:rPr>
                <w:rFonts w:ascii="Calibri" w:hAnsi="Calibri" w:cs="Calibri"/>
                <w:sz w:val="22"/>
                <w:szCs w:val="22"/>
              </w:rPr>
            </w:pPr>
            <w:r w:rsidRPr="00615CA9">
              <w:rPr>
                <w:rFonts w:ascii="Calibri" w:hAnsi="Calibri" w:cs="Calibri"/>
                <w:sz w:val="22"/>
                <w:szCs w:val="22"/>
              </w:rPr>
              <w:t>The professionals involved in transition vary depending on the young person’s specialty, clinical complexity, developmental needs and adult destination pathway. At GOSH, transition support may involve consultants, Clinical Nurse Specialists, nurses, allied health professionals, psychologists, safeguarding teams, Learning Disability and Autism CNS input, administrative teams, interpreters, youth workers where available, and the Healthcare Transition and Adolescent Lead. Primary care, adult services, communit</w:t>
            </w:r>
            <w:r w:rsidRPr="00615CA9">
              <w:rPr>
                <w:rFonts w:ascii="Calibri" w:hAnsi="Calibri" w:cs="Calibri"/>
                <w:sz w:val="22"/>
                <w:szCs w:val="22"/>
              </w:rPr>
              <w:t>y teams, social care, education and local authorities may also need to be involved depending on the young person’s needs.</w:t>
            </w:r>
          </w:p>
          <w:p w:rsidR="008076C0" w:rsidRPr="00615CA9" w:rsidP="000B71E2">
            <w:pPr>
              <w:rPr>
                <w:rFonts w:ascii="Calibri" w:hAnsi="Calibri" w:cs="Calibri"/>
                <w:sz w:val="22"/>
                <w:szCs w:val="22"/>
              </w:rPr>
            </w:pPr>
          </w:p>
          <w:p w:rsidR="008076C0" w:rsidRPr="00615CA9" w:rsidP="000B71E2">
            <w:pPr>
              <w:rPr>
                <w:rFonts w:ascii="Calibri" w:hAnsi="Calibri" w:cs="Calibri"/>
                <w:sz w:val="22"/>
                <w:szCs w:val="22"/>
              </w:rPr>
            </w:pPr>
            <w:r w:rsidRPr="00615CA9">
              <w:rPr>
                <w:rFonts w:ascii="Calibri" w:hAnsi="Calibri" w:cs="Calibri"/>
                <w:sz w:val="22"/>
                <w:szCs w:val="22"/>
              </w:rPr>
              <w:t>In well-developed pathways, roles are often clearer, with named clinicians, specialist nurses, adolescent clinics, agreed referral routes and established links with adult services. These services demonstrate the significant work and dedication that individual teams have invested over many years to build effective transition models.</w:t>
            </w:r>
          </w:p>
          <w:p w:rsidR="008076C0" w:rsidRPr="00615CA9" w:rsidP="000B71E2">
            <w:pPr>
              <w:rPr>
                <w:rFonts w:ascii="Calibri" w:hAnsi="Calibri" w:cs="Calibri"/>
                <w:sz w:val="22"/>
                <w:szCs w:val="22"/>
              </w:rPr>
            </w:pPr>
            <w:r w:rsidRPr="00615CA9">
              <w:rPr>
                <w:rFonts w:ascii="Calibri" w:hAnsi="Calibri" w:cs="Calibri"/>
                <w:sz w:val="22"/>
                <w:szCs w:val="22"/>
              </w:rPr>
              <w:t>However, transition roles are not yet consistently defined or resourced across all specialties. This is not due to lack of commitment from staff, but because transition has historically not been commissioned or funded as a core part of service delivery. In many areas, transition work is undertaken in addition to existing clinical and administrative responsibilities.</w:t>
            </w:r>
          </w:p>
          <w:p w:rsidR="008076C0" w:rsidRPr="00615CA9" w:rsidP="000B71E2">
            <w:pPr>
              <w:rPr>
                <w:rFonts w:ascii="Calibri" w:hAnsi="Calibri" w:cs="Calibri"/>
                <w:sz w:val="22"/>
                <w:szCs w:val="22"/>
              </w:rPr>
            </w:pPr>
          </w:p>
          <w:p w:rsidR="008076C0" w:rsidRPr="00615CA9" w:rsidP="000B71E2">
            <w:pPr>
              <w:rPr>
                <w:rFonts w:ascii="Calibri" w:hAnsi="Calibri" w:cs="Calibri"/>
                <w:sz w:val="22"/>
                <w:szCs w:val="22"/>
              </w:rPr>
            </w:pPr>
            <w:r w:rsidRPr="00615CA9">
              <w:rPr>
                <w:rFonts w:ascii="Calibri" w:hAnsi="Calibri" w:cs="Calibri"/>
                <w:sz w:val="22"/>
                <w:szCs w:val="22"/>
              </w:rPr>
              <w:t>The Healthcare Transition Tab within Epic, the RTT “Transfer to Adults” process, the Trust-wide transition dashboard, Check-In Tools and updated training offer are helping to clarify responsibilities and embed transition more consistently. However, staff still require protected time, administrative support, clear pathways, adult-service engagement and ongoing education to deliver transition as a longitudinal patient empowerment process rather than a late-stage transfer task.</w:t>
            </w:r>
          </w:p>
          <w:p w:rsidR="008076C0" w:rsidRPr="00615CA9" w:rsidP="000B71E2">
            <w:pPr>
              <w:rPr>
                <w:rFonts w:ascii="Calibri" w:hAnsi="Calibri" w:cs="Calibri"/>
                <w:sz w:val="22"/>
                <w:szCs w:val="22"/>
              </w:rPr>
            </w:pPr>
          </w:p>
          <w:p w:rsidR="008076C0" w:rsidRPr="00615CA9" w:rsidP="000B71E2">
            <w:pPr>
              <w:rPr>
                <w:rFonts w:ascii="Calibri" w:hAnsi="Calibri" w:cs="Calibri"/>
                <w:sz w:val="22"/>
                <w:szCs w:val="22"/>
              </w:rPr>
            </w:pPr>
            <w:r w:rsidRPr="00615CA9">
              <w:rPr>
                <w:rFonts w:ascii="Calibri" w:hAnsi="Calibri" w:cs="Calibri"/>
                <w:sz w:val="22"/>
                <w:szCs w:val="22"/>
              </w:rPr>
              <w:t>Overall, strong examples of transition roles exist across several services, but role clarity and protected time are not yet consistent across all pathways. Sustainable implementation requires dedicated transition capacity, clearer national expectations, and commissioning models that recognise transition as core patient safety, safeguarding and empowerment work.</w:t>
            </w:r>
          </w:p>
          <w:p w:rsidR="008076C0" w:rsidRPr="00615CA9" w:rsidP="00DD64F8">
            <w:pPr>
              <w:rPr>
                <w:rFonts w:ascii="Calibri" w:hAnsi="Calibri" w:cs="Calibri"/>
                <w:sz w:val="22"/>
                <w:szCs w:val="22"/>
              </w:rPr>
            </w:pP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2. What is the role of health and social care organisation executives in overseeing the implementation and evaluation of the transfer to adult services?</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74431C">
            <w:pPr>
              <w:rPr>
                <w:rFonts w:ascii="Calibri" w:hAnsi="Calibri" w:cs="Calibri"/>
                <w:sz w:val="22"/>
                <w:szCs w:val="22"/>
              </w:rPr>
            </w:pPr>
            <w:r w:rsidRPr="00615CA9">
              <w:rPr>
                <w:rFonts w:ascii="Calibri" w:hAnsi="Calibri" w:cs="Calibri"/>
                <w:sz w:val="22"/>
                <w:szCs w:val="22"/>
              </w:rPr>
              <w:t>Health and social care organisation executives play an important role in determining whether transition is treated as a core organisational priority or remains dependent on individual clinician interest and goodwill.</w:t>
            </w:r>
          </w:p>
          <w:p w:rsidR="008076C0" w:rsidRPr="00615CA9" w:rsidP="0074431C">
            <w:pPr>
              <w:rPr>
                <w:rFonts w:ascii="Calibri" w:hAnsi="Calibri" w:cs="Calibri"/>
                <w:sz w:val="22"/>
                <w:szCs w:val="22"/>
              </w:rPr>
            </w:pPr>
          </w:p>
          <w:p w:rsidR="008076C0" w:rsidRPr="00615CA9" w:rsidP="0074431C">
            <w:pPr>
              <w:rPr>
                <w:rFonts w:ascii="Calibri" w:hAnsi="Calibri" w:cs="Calibri"/>
                <w:sz w:val="22"/>
                <w:szCs w:val="22"/>
              </w:rPr>
            </w:pPr>
            <w:r w:rsidRPr="00615CA9">
              <w:rPr>
                <w:rFonts w:ascii="Calibri" w:hAnsi="Calibri" w:cs="Calibri"/>
                <w:sz w:val="22"/>
                <w:szCs w:val="22"/>
              </w:rPr>
              <w:t>Executive oversight is important for:</w:t>
            </w:r>
            <w:r w:rsidRPr="00615CA9">
              <w:rPr>
                <w:rFonts w:ascii="Calibri" w:hAnsi="Calibri" w:cs="Calibri"/>
                <w:sz w:val="22"/>
                <w:szCs w:val="22"/>
              </w:rPr>
              <w:br/>
              <w:t>• embedding transition within organisational strategy and governance</w:t>
            </w:r>
            <w:r w:rsidRPr="00615CA9">
              <w:rPr>
                <w:rFonts w:ascii="Calibri" w:hAnsi="Calibri" w:cs="Calibri"/>
                <w:sz w:val="22"/>
                <w:szCs w:val="22"/>
              </w:rPr>
              <w:br/>
              <w:t>• ensuring transition is recognised as a patient safety, quality improvement and health inequalities issue</w:t>
            </w:r>
            <w:r w:rsidRPr="00615CA9">
              <w:rPr>
                <w:rFonts w:ascii="Calibri" w:hAnsi="Calibri" w:cs="Calibri"/>
                <w:sz w:val="22"/>
                <w:szCs w:val="22"/>
              </w:rPr>
              <w:br/>
              <w:t>• supporting workforce and administrative capacity</w:t>
            </w:r>
            <w:r w:rsidRPr="00615CA9">
              <w:rPr>
                <w:rFonts w:ascii="Calibri" w:hAnsi="Calibri" w:cs="Calibri"/>
                <w:sz w:val="22"/>
                <w:szCs w:val="22"/>
              </w:rPr>
              <w:br/>
            </w:r>
            <w:r w:rsidRPr="00615CA9">
              <w:rPr>
                <w:rFonts w:ascii="Calibri" w:hAnsi="Calibri" w:cs="Calibri"/>
                <w:sz w:val="22"/>
                <w:szCs w:val="22"/>
              </w:rPr>
              <w:t>• enabling digital infrastructure and data monitoring</w:t>
            </w:r>
            <w:r w:rsidRPr="00615CA9">
              <w:rPr>
                <w:rFonts w:ascii="Calibri" w:hAnsi="Calibri" w:cs="Calibri"/>
                <w:sz w:val="22"/>
                <w:szCs w:val="22"/>
              </w:rPr>
              <w:br/>
              <w:t>• supporting cross-organisational collaboration with adult providers and local authorities</w:t>
            </w:r>
            <w:r w:rsidRPr="00615CA9">
              <w:rPr>
                <w:rFonts w:ascii="Calibri" w:hAnsi="Calibri" w:cs="Calibri"/>
                <w:sz w:val="22"/>
                <w:szCs w:val="22"/>
              </w:rPr>
              <w:br/>
              <w:t>• and ensuring transition outcomes are routinely reviewed at organisational level.</w:t>
            </w:r>
          </w:p>
          <w:p w:rsidR="008076C0" w:rsidRPr="00615CA9" w:rsidP="0074431C">
            <w:pPr>
              <w:rPr>
                <w:rFonts w:ascii="Calibri" w:hAnsi="Calibri" w:cs="Calibri"/>
                <w:sz w:val="22"/>
                <w:szCs w:val="22"/>
              </w:rPr>
            </w:pPr>
          </w:p>
          <w:p w:rsidR="008076C0" w:rsidRPr="00615CA9" w:rsidP="0074431C">
            <w:pPr>
              <w:rPr>
                <w:rFonts w:ascii="Calibri" w:hAnsi="Calibri" w:cs="Calibri"/>
                <w:sz w:val="22"/>
                <w:szCs w:val="22"/>
              </w:rPr>
            </w:pPr>
            <w:r w:rsidRPr="00615CA9">
              <w:rPr>
                <w:rFonts w:ascii="Calibri" w:hAnsi="Calibri" w:cs="Calibri"/>
                <w:sz w:val="22"/>
                <w:szCs w:val="22"/>
              </w:rPr>
              <w:t>From an operational perspective, one of the major barriers identified across services is that transition work is often added onto existing clinical and administrative roles without protected time, dedicated staffing, or sustainable commissioning. Executive</w:t>
            </w:r>
            <w:r w:rsidRPr="00615CA9">
              <w:rPr>
                <w:rFonts w:ascii="Calibri" w:hAnsi="Calibri" w:cs="Calibri"/>
                <w:sz w:val="22"/>
                <w:szCs w:val="22"/>
              </w:rPr>
              <w:t xml:space="preserve"> buy-in and</w:t>
            </w:r>
            <w:r w:rsidRPr="00615CA9">
              <w:rPr>
                <w:rFonts w:ascii="Calibri" w:hAnsi="Calibri" w:cs="Calibri"/>
                <w:sz w:val="22"/>
                <w:szCs w:val="22"/>
              </w:rPr>
              <w:t xml:space="preserve"> support </w:t>
            </w:r>
            <w:r w:rsidRPr="00615CA9">
              <w:rPr>
                <w:rFonts w:ascii="Calibri" w:hAnsi="Calibri" w:cs="Calibri"/>
                <w:sz w:val="22"/>
                <w:szCs w:val="22"/>
              </w:rPr>
              <w:t>is</w:t>
            </w:r>
            <w:r w:rsidRPr="00615CA9">
              <w:rPr>
                <w:rFonts w:ascii="Calibri" w:hAnsi="Calibri" w:cs="Calibri"/>
                <w:sz w:val="22"/>
                <w:szCs w:val="22"/>
              </w:rPr>
              <w:t xml:space="preserve"> essential if transition services are to move from isolated examples of good practice towards consistent</w:t>
            </w:r>
            <w:r w:rsidRPr="00615CA9">
              <w:rPr>
                <w:rFonts w:ascii="Calibri" w:hAnsi="Calibri" w:cs="Calibri"/>
                <w:sz w:val="22"/>
                <w:szCs w:val="22"/>
              </w:rPr>
              <w:t>, sustainable</w:t>
            </w:r>
            <w:r w:rsidRPr="00615CA9">
              <w:rPr>
                <w:rFonts w:ascii="Calibri" w:hAnsi="Calibri" w:cs="Calibri"/>
                <w:sz w:val="22"/>
                <w:szCs w:val="22"/>
              </w:rPr>
              <w:t xml:space="preserve"> organisation-wide delivery.</w:t>
            </w:r>
          </w:p>
          <w:p w:rsidR="008076C0" w:rsidRPr="00615CA9" w:rsidP="0074431C">
            <w:pPr>
              <w:rPr>
                <w:rFonts w:ascii="Calibri" w:hAnsi="Calibri" w:cs="Calibri"/>
                <w:sz w:val="22"/>
                <w:szCs w:val="22"/>
              </w:rPr>
            </w:pPr>
          </w:p>
          <w:p w:rsidR="008076C0" w:rsidRPr="00615CA9" w:rsidP="0074431C">
            <w:pPr>
              <w:rPr>
                <w:rFonts w:ascii="Calibri" w:hAnsi="Calibri" w:cs="Calibri"/>
                <w:sz w:val="22"/>
                <w:szCs w:val="22"/>
              </w:rPr>
            </w:pPr>
            <w:r w:rsidRPr="00615CA9">
              <w:rPr>
                <w:rFonts w:ascii="Calibri" w:hAnsi="Calibri" w:cs="Calibri"/>
                <w:sz w:val="22"/>
                <w:szCs w:val="22"/>
              </w:rPr>
              <w:t>At GOSH, transition and patient empowerment have recently been identified within the Trust strategy as one of the organisation’s flagship programmes. This has supported development of Trust-wide infrastructure including the Healthcare Transition Framework, Epic transition documentation, transition dashboards, Check-In Tools, and patient empowerment initiatives. These developments demonstrate how executive-level prioritisation can help embed transition more systematically within routine care.</w:t>
            </w:r>
          </w:p>
          <w:p w:rsidR="008076C0" w:rsidRPr="00615CA9" w:rsidP="0074431C">
            <w:pPr>
              <w:rPr>
                <w:rFonts w:ascii="Calibri" w:hAnsi="Calibri" w:cs="Calibri"/>
                <w:sz w:val="22"/>
                <w:szCs w:val="22"/>
              </w:rPr>
            </w:pPr>
          </w:p>
          <w:p w:rsidR="008076C0" w:rsidRPr="00615CA9" w:rsidP="0074431C">
            <w:pPr>
              <w:rPr>
                <w:rFonts w:ascii="Calibri" w:hAnsi="Calibri" w:cs="Calibri"/>
                <w:sz w:val="22"/>
                <w:szCs w:val="22"/>
              </w:rPr>
            </w:pPr>
            <w:r w:rsidRPr="00615CA9">
              <w:rPr>
                <w:rFonts w:ascii="Calibri" w:hAnsi="Calibri" w:cs="Calibri"/>
                <w:sz w:val="22"/>
                <w:szCs w:val="22"/>
              </w:rPr>
              <w:t>Executive oversight may also be important for ensuring that transition services are evaluated beyond simple transfer metrics alone. Meaningful evaluation should include patient experience, engagement, health literacy, transition readiness, continuity of care, loss to follow-up, and successful establishment within adult services.</w:t>
            </w:r>
          </w:p>
          <w:p w:rsidR="008076C0" w:rsidRPr="00615CA9" w:rsidP="0074431C">
            <w:pPr>
              <w:rPr>
                <w:rFonts w:ascii="Calibri" w:hAnsi="Calibri" w:cs="Calibri"/>
                <w:sz w:val="22"/>
                <w:szCs w:val="22"/>
              </w:rPr>
            </w:pPr>
          </w:p>
          <w:p w:rsidR="008076C0" w:rsidRPr="00615CA9" w:rsidP="00DD64F8">
            <w:pPr>
              <w:rPr>
                <w:rFonts w:ascii="Calibri" w:hAnsi="Calibri" w:cs="Calibri"/>
                <w:sz w:val="22"/>
                <w:szCs w:val="22"/>
              </w:rPr>
            </w:pPr>
            <w:r w:rsidRPr="00615CA9">
              <w:rPr>
                <w:rFonts w:ascii="Calibri" w:hAnsi="Calibri" w:cs="Calibri"/>
                <w:sz w:val="22"/>
                <w:szCs w:val="22"/>
              </w:rPr>
              <w:t>However, despite growing strategic recognition of transition, there remains significant variation nationally in executive ownership, workforce investment, and organisational accountability for transition outcomes. In practice, many transition programmes continue to rely heavily on highly motivated individuals rather than consistently embedded system-level support.</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3. Is there any workforce data to demonstrate the required capacity to deliver an effective transition for young people at service level? To what extent is this currently being met?</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C81059">
            <w:pPr>
              <w:rPr>
                <w:rFonts w:ascii="Calibri" w:hAnsi="Calibri" w:cs="Calibri"/>
                <w:sz w:val="22"/>
                <w:szCs w:val="22"/>
              </w:rPr>
            </w:pPr>
            <w:r w:rsidRPr="00615CA9">
              <w:rPr>
                <w:rFonts w:ascii="Calibri" w:hAnsi="Calibri" w:cs="Calibri"/>
                <w:sz w:val="22"/>
                <w:szCs w:val="22"/>
              </w:rPr>
              <w:t>There does not currently appear to be robust national workforce data defining the staffing capacity required to deliver effective healthcare transition at service level across different specialties. One of the challenges is that transition workload and complexity vary significantly between specialties and patient populations, making standardisation difficult.</w:t>
            </w:r>
          </w:p>
          <w:p w:rsidR="008076C0" w:rsidRPr="00615CA9" w:rsidP="00C81059">
            <w:pPr>
              <w:rPr>
                <w:rFonts w:ascii="Calibri" w:hAnsi="Calibri" w:cs="Calibri"/>
                <w:sz w:val="22"/>
                <w:szCs w:val="22"/>
              </w:rPr>
            </w:pPr>
          </w:p>
          <w:p w:rsidR="008076C0" w:rsidRPr="00615CA9" w:rsidP="00C81059">
            <w:pPr>
              <w:rPr>
                <w:rFonts w:ascii="Calibri" w:hAnsi="Calibri" w:cs="Calibri"/>
                <w:sz w:val="22"/>
                <w:szCs w:val="22"/>
              </w:rPr>
            </w:pPr>
            <w:r w:rsidRPr="00615CA9">
              <w:rPr>
                <w:rFonts w:ascii="Calibri" w:hAnsi="Calibri" w:cs="Calibri"/>
                <w:sz w:val="22"/>
                <w:szCs w:val="22"/>
              </w:rPr>
              <w:t>For example, the workforce requirements for a specialty managing relatively stable chronic conditions may differ substantially from those supporting young people with highly complex congenital conditions, learning disabilities, mental health difficulties, transplant needs, safeguarding concerns, or technology dependence. Even within specialties, transition complexity can vary considerably between sub-specialties and individual patients.</w:t>
            </w:r>
          </w:p>
          <w:p w:rsidR="008076C0" w:rsidRPr="00615CA9" w:rsidP="00C81059">
            <w:pPr>
              <w:rPr>
                <w:rFonts w:ascii="Calibri" w:hAnsi="Calibri" w:cs="Calibri"/>
                <w:sz w:val="22"/>
                <w:szCs w:val="22"/>
              </w:rPr>
            </w:pPr>
          </w:p>
          <w:p w:rsidR="008076C0" w:rsidRPr="00615CA9" w:rsidP="00C81059">
            <w:pPr>
              <w:rPr>
                <w:rFonts w:ascii="Calibri" w:hAnsi="Calibri" w:cs="Calibri"/>
                <w:sz w:val="22"/>
                <w:szCs w:val="22"/>
              </w:rPr>
            </w:pPr>
            <w:r w:rsidRPr="00615CA9">
              <w:rPr>
                <w:rFonts w:ascii="Calibri" w:hAnsi="Calibri" w:cs="Calibri"/>
                <w:sz w:val="22"/>
                <w:szCs w:val="22"/>
              </w:rPr>
              <w:t>At present, much transition activity appears to be delivered through existing clinical, nursing, administrative, youth work, psychology, allied health professional, and safeguarding teams in addition to their primary roles, rather than through dedicated commissioned workforce models. Multiple teams reported that workforce pressures, staffing shortages, administrative burden, and lack of protected time significantly limit the ability to deliver longitudinal,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transition support consistently.</w:t>
            </w:r>
          </w:p>
          <w:p w:rsidR="008076C0" w:rsidRPr="00615CA9" w:rsidP="00C81059">
            <w:pPr>
              <w:rPr>
                <w:rFonts w:ascii="Calibri" w:hAnsi="Calibri" w:cs="Calibri"/>
                <w:sz w:val="22"/>
                <w:szCs w:val="22"/>
              </w:rPr>
            </w:pPr>
          </w:p>
          <w:p w:rsidR="008076C0" w:rsidRPr="00615CA9" w:rsidP="00C81059">
            <w:pPr>
              <w:rPr>
                <w:rFonts w:ascii="Calibri" w:hAnsi="Calibri" w:cs="Calibri"/>
                <w:sz w:val="22"/>
                <w:szCs w:val="22"/>
              </w:rPr>
            </w:pPr>
            <w:r w:rsidRPr="00615CA9">
              <w:rPr>
                <w:rFonts w:ascii="Calibri" w:hAnsi="Calibri" w:cs="Calibri"/>
                <w:sz w:val="22"/>
                <w:szCs w:val="22"/>
              </w:rPr>
              <w:t>There are examples where protected staffing and dedicated adolescent services appear associated with stronger transition pathways and better patient experience. However, these models are not consistently available nationally and are often dependent on local service interest, historical development, charitable funding, or highly motivated individuals.</w:t>
            </w:r>
          </w:p>
          <w:p w:rsidR="008076C0" w:rsidRPr="00615CA9" w:rsidP="00C81059">
            <w:pPr>
              <w:rPr>
                <w:rFonts w:ascii="Calibri" w:hAnsi="Calibri" w:cs="Calibri"/>
                <w:sz w:val="22"/>
                <w:szCs w:val="22"/>
              </w:rPr>
            </w:pPr>
          </w:p>
          <w:p w:rsidR="008076C0" w:rsidRPr="00615CA9" w:rsidP="00C81059">
            <w:pPr>
              <w:rPr>
                <w:rFonts w:ascii="Calibri" w:hAnsi="Calibri" w:cs="Calibri"/>
                <w:sz w:val="22"/>
                <w:szCs w:val="22"/>
              </w:rPr>
            </w:pPr>
            <w:r w:rsidRPr="00615CA9">
              <w:rPr>
                <w:rFonts w:ascii="Calibri" w:hAnsi="Calibri" w:cs="Calibri"/>
                <w:sz w:val="22"/>
                <w:szCs w:val="22"/>
              </w:rPr>
              <w:t>The recently developed GOSH Healthcare Transition Check-In Tools, Epic Healthcare Transition documentation, and Trust-wide transition dashboard may help provide future opportunities to better understand workforce needs and service effectiveness over time. As more services use these systems, it may become possible to compare outcomes such as age at transition initiation, patient confidence, engagement, transfer delays, and patient experience against different service models and staffing structures.</w:t>
            </w:r>
          </w:p>
          <w:p w:rsidR="008076C0" w:rsidRPr="00615CA9" w:rsidP="00C81059">
            <w:pPr>
              <w:rPr>
                <w:rFonts w:ascii="Calibri" w:hAnsi="Calibri" w:cs="Calibri"/>
                <w:sz w:val="22"/>
                <w:szCs w:val="22"/>
              </w:rPr>
            </w:pPr>
          </w:p>
          <w:p w:rsidR="008076C0" w:rsidRPr="00615CA9" w:rsidP="00C81059">
            <w:pPr>
              <w:rPr>
                <w:rFonts w:ascii="Calibri" w:hAnsi="Calibri" w:cs="Calibri"/>
                <w:sz w:val="22"/>
                <w:szCs w:val="22"/>
              </w:rPr>
            </w:pPr>
            <w:r w:rsidRPr="00615CA9">
              <w:rPr>
                <w:rFonts w:ascii="Calibri" w:hAnsi="Calibri" w:cs="Calibri"/>
                <w:sz w:val="22"/>
                <w:szCs w:val="22"/>
              </w:rPr>
              <w:t>This could help identify which workforce approaches are associated with stronger outcomes and may inform future workforce planning. However, it is likely that any future workforce modelling would still require flexibility to account for differences in specialty complexity, psychosocial need, safeguarding risk, neurodiversity, and availability of adult services.</w:t>
            </w:r>
          </w:p>
          <w:p w:rsidR="008076C0" w:rsidRPr="00615CA9" w:rsidP="00C81059">
            <w:pPr>
              <w:rPr>
                <w:rFonts w:ascii="Calibri" w:hAnsi="Calibri" w:cs="Calibri"/>
                <w:sz w:val="22"/>
                <w:szCs w:val="22"/>
              </w:rPr>
            </w:pPr>
          </w:p>
          <w:p w:rsidR="008076C0" w:rsidRPr="00615CA9" w:rsidP="00C81059">
            <w:pPr>
              <w:rPr>
                <w:rFonts w:ascii="Calibri" w:hAnsi="Calibri" w:cs="Calibri"/>
                <w:sz w:val="22"/>
                <w:szCs w:val="22"/>
              </w:rPr>
            </w:pPr>
            <w:r w:rsidRPr="00615CA9">
              <w:rPr>
                <w:rFonts w:ascii="Calibri" w:hAnsi="Calibri" w:cs="Calibri"/>
                <w:sz w:val="22"/>
                <w:szCs w:val="22"/>
              </w:rPr>
              <w:t>Overall, current workforce provision does not appear sufficient to consistently deliver the level of longitudinal, personalised, and developmentally appropriate transition support described within national guidance. Transition services frequently remain dependent on additional goodwill and discretionary effort from already stretched teams rather than supported through clearly defined, sustainably commissioned workforce models.</w:t>
            </w:r>
          </w:p>
          <w:p w:rsidR="008076C0" w:rsidRPr="00615CA9" w:rsidP="00DD64F8">
            <w:pPr>
              <w:rPr>
                <w:rFonts w:ascii="Calibri" w:hAnsi="Calibri" w:cs="Calibri"/>
                <w:sz w:val="22"/>
                <w:szCs w:val="22"/>
              </w:rPr>
            </w:pPr>
          </w:p>
        </w:tc>
      </w:tr>
      <w:tr w:rsidTr="4FF11C81">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Effectiveness and implementation</w:t>
            </w:r>
          </w:p>
        </w:tc>
        <w:tc>
          <w:tcPr>
            <w:tcW w:w="8505" w:type="dxa"/>
          </w:tcPr>
          <w:p w:rsidR="008076C0" w:rsidRPr="00615CA9" w:rsidP="00DD64F8">
            <w:pPr>
              <w:rPr>
                <w:rFonts w:ascii="Calibri" w:hAnsi="Calibri" w:cs="Calibri"/>
              </w:rPr>
            </w:pPr>
            <w:r w:rsidRPr="00615CA9">
              <w:rPr>
                <w:rFonts w:ascii="Calibri" w:hAnsi="Calibri" w:cs="Calibri"/>
                <w:sz w:val="22"/>
                <w:szCs w:val="22"/>
              </w:rPr>
              <w:t>1. Are existing training and education in place for staff effective in improving experiences for young people at the point of transition/transfer between services?</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900035">
            <w:pPr>
              <w:rPr>
                <w:rFonts w:ascii="Calibri" w:hAnsi="Calibri" w:cs="Calibri"/>
              </w:rPr>
            </w:pPr>
            <w:r w:rsidRPr="00615CA9">
              <w:rPr>
                <w:rFonts w:ascii="Calibri" w:hAnsi="Calibri" w:cs="Calibri"/>
              </w:rPr>
              <w:t>Existing training and education are in place, but their effectiveness is likely to vary depending on uptake, role, specialty, and how regularly learning is reinforced in practice.</w:t>
            </w:r>
          </w:p>
          <w:p w:rsidR="008076C0" w:rsidRPr="00615CA9" w:rsidP="00900035">
            <w:pPr>
              <w:rPr>
                <w:rFonts w:ascii="Calibri" w:hAnsi="Calibri" w:cs="Calibri"/>
              </w:rPr>
            </w:pPr>
          </w:p>
          <w:p w:rsidR="008076C0" w:rsidRPr="00615CA9" w:rsidP="00900035">
            <w:pPr>
              <w:rPr>
                <w:rFonts w:ascii="Calibri" w:hAnsi="Calibri" w:cs="Calibri"/>
              </w:rPr>
            </w:pPr>
            <w:r w:rsidRPr="00615CA9">
              <w:rPr>
                <w:rFonts w:ascii="Calibri" w:hAnsi="Calibri" w:cs="Calibri"/>
              </w:rPr>
              <w:t>At GOSH, there is statutory mandatory transition training, which provides an important baseline. However, transition is a complex area involving adolescent development, communication, empowerment, safeguarding, consent and capacity, mental health, health literacy, family adjustment, adult-service pathways, and system coordination. As a result, one-off training is unlikely to be sufficient on its own.</w:t>
            </w:r>
          </w:p>
          <w:p w:rsidR="008076C0" w:rsidRPr="00615CA9" w:rsidP="00900035">
            <w:pPr>
              <w:rPr>
                <w:rFonts w:ascii="Calibri" w:hAnsi="Calibri" w:cs="Calibri"/>
              </w:rPr>
            </w:pPr>
          </w:p>
          <w:p w:rsidR="008076C0" w:rsidRPr="00615CA9" w:rsidP="00900035">
            <w:pPr>
              <w:rPr>
                <w:rFonts w:ascii="Calibri" w:hAnsi="Calibri" w:cs="Calibri"/>
              </w:rPr>
            </w:pPr>
            <w:r w:rsidRPr="00615CA9">
              <w:rPr>
                <w:rFonts w:ascii="Calibri" w:hAnsi="Calibri" w:cs="Calibri"/>
              </w:rPr>
              <w:t>To strengthen staff education, GOSH also offers a four-part training series through the GOSH Learning Academy Advanced Practice Hub. This provides more detailed learning around patient empowerment, healthcare transition, communication, documentation, and practical use of transition tools. However, this training is currently optional, meaning engagement may vary between staff and services.</w:t>
            </w:r>
          </w:p>
          <w:p w:rsidR="008076C0" w:rsidRPr="00615CA9" w:rsidP="00900035">
            <w:pPr>
              <w:rPr>
                <w:rFonts w:ascii="Calibri" w:hAnsi="Calibri" w:cs="Calibri"/>
              </w:rPr>
            </w:pPr>
          </w:p>
          <w:p w:rsidR="008076C0" w:rsidRPr="00615CA9" w:rsidP="00900035">
            <w:pPr>
              <w:rPr>
                <w:rFonts w:ascii="Calibri" w:hAnsi="Calibri" w:cs="Calibri"/>
              </w:rPr>
            </w:pPr>
            <w:r w:rsidRPr="00615CA9">
              <w:rPr>
                <w:rFonts w:ascii="Calibri" w:hAnsi="Calibri" w:cs="Calibri"/>
              </w:rPr>
              <w:t>Transition has also recently been added to Level 3 safeguarding training, which is repeated every three years. This is a positive development because it reinforces transition as a patient safety and safeguarding issue, particularly for vulnerable young people at risk of loss to follow-up, disengagement, or gaps in care.</w:t>
            </w:r>
          </w:p>
          <w:p w:rsidR="008076C0" w:rsidRPr="00615CA9" w:rsidP="00900035">
            <w:pPr>
              <w:rPr>
                <w:rFonts w:ascii="Calibri" w:hAnsi="Calibri" w:cs="Calibri"/>
              </w:rPr>
            </w:pPr>
          </w:p>
          <w:p w:rsidR="008076C0" w:rsidRPr="00615CA9" w:rsidP="00900035">
            <w:pPr>
              <w:rPr>
                <w:rFonts w:ascii="Calibri" w:hAnsi="Calibri" w:cs="Calibri"/>
              </w:rPr>
            </w:pPr>
            <w:r w:rsidRPr="00615CA9">
              <w:rPr>
                <w:rFonts w:ascii="Calibri" w:hAnsi="Calibri" w:cs="Calibri"/>
              </w:rPr>
              <w:t xml:space="preserve">In addition, </w:t>
            </w:r>
            <w:r w:rsidRPr="00615CA9">
              <w:rPr>
                <w:rFonts w:ascii="Calibri" w:hAnsi="Calibri" w:cs="Calibri"/>
                <w:b/>
                <w:bCs/>
              </w:rPr>
              <w:t>Me first</w:t>
            </w:r>
            <w:r w:rsidRPr="00615CA9">
              <w:rPr>
                <w:rFonts w:ascii="Calibri" w:hAnsi="Calibri" w:cs="Calibri"/>
              </w:rPr>
              <w:t>, developed by Specialty Education within the Great Ormond Street Hospital Learning Academy and Common Room Consulting, provides education and training to help health and social care professionals develop the knowledge, skills and confidence to communicate effectively with children and young people. It was developed in partnership with health and social care professionals and children and young people, and supports a child-centred approach through practical tools, advice and communication strategies</w:t>
            </w:r>
            <w:r w:rsidRPr="00615CA9">
              <w:rPr>
                <w:rFonts w:ascii="Calibri" w:hAnsi="Calibri" w:cs="Calibri"/>
              </w:rPr>
              <w:t>.</w:t>
            </w:r>
          </w:p>
          <w:p w:rsidR="008076C0" w:rsidRPr="00615CA9" w:rsidP="00900035">
            <w:pPr>
              <w:rPr>
                <w:rFonts w:ascii="Calibri" w:hAnsi="Calibri" w:cs="Calibri"/>
              </w:rPr>
            </w:pPr>
          </w:p>
          <w:p w:rsidR="008076C0" w:rsidRPr="00615CA9" w:rsidP="00900035">
            <w:pPr>
              <w:rPr>
                <w:rFonts w:ascii="Calibri" w:hAnsi="Calibri" w:cs="Calibri"/>
              </w:rPr>
            </w:pPr>
            <w:r w:rsidRPr="00615CA9">
              <w:rPr>
                <w:rFonts w:ascii="Calibri" w:hAnsi="Calibri" w:cs="Calibri"/>
              </w:rPr>
              <w:t>Staff intranet guidance and resources are also being updated to support practice. These resources will help staff access practical information, tools, documentation guidance, and service-level support outside formal training sessions.</w:t>
            </w:r>
          </w:p>
          <w:p w:rsidR="008076C0" w:rsidRPr="00615CA9" w:rsidP="00900035">
            <w:pPr>
              <w:rPr>
                <w:rFonts w:ascii="Calibri" w:hAnsi="Calibri" w:cs="Calibri"/>
              </w:rPr>
            </w:pPr>
          </w:p>
          <w:p w:rsidR="008076C0" w:rsidRPr="00615CA9" w:rsidP="00900035">
            <w:pPr>
              <w:rPr>
                <w:rFonts w:ascii="Calibri" w:hAnsi="Calibri" w:cs="Calibri"/>
              </w:rPr>
            </w:pPr>
            <w:r w:rsidRPr="00615CA9">
              <w:rPr>
                <w:rFonts w:ascii="Calibri" w:hAnsi="Calibri" w:cs="Calibri"/>
              </w:rPr>
              <w:t>Patient empowerment and healthcare transition training should also be embedded within national undergraduate and postgraduate curricula for medical, nursing, mental health, and allied health professional training. This should include both paediatric and adult-facing professionals. Transition is not a niche specialty issue; it is a core component of caring for young people with long-term conditions. Embedding this training early would help ensure that future clinicians understand transition as a longitudinal</w:t>
            </w:r>
            <w:r w:rsidRPr="00615CA9">
              <w:rPr>
                <w:rFonts w:ascii="Calibri" w:hAnsi="Calibri" w:cs="Calibri"/>
              </w:rPr>
              <w:t xml:space="preserve"> empowerment process, rather than learning about it only once they are already working within stretched clinical services.</w:t>
            </w:r>
          </w:p>
          <w:p w:rsidR="008076C0" w:rsidRPr="00615CA9" w:rsidP="00900035">
            <w:pPr>
              <w:rPr>
                <w:rFonts w:ascii="Calibri" w:hAnsi="Calibri" w:cs="Calibri"/>
              </w:rPr>
            </w:pPr>
          </w:p>
          <w:p w:rsidR="008076C0" w:rsidRPr="00615CA9" w:rsidP="00DD64F8">
            <w:pPr>
              <w:rPr>
                <w:rFonts w:ascii="Calibri" w:hAnsi="Calibri" w:cs="Calibri"/>
              </w:rPr>
            </w:pPr>
            <w:r w:rsidRPr="00615CA9">
              <w:rPr>
                <w:rFonts w:ascii="Calibri" w:hAnsi="Calibri" w:cs="Calibri"/>
              </w:rPr>
              <w:t xml:space="preserve">Overall, training is improving, but further work is needed to ensure consistent impact across all services. Effective education for transition likely requires mandatory baseline training, regular refresher learning, practical specialty-level support, accessible resources, and opportunities for staff to apply learning within their own clinical pathways. National curricula should also embed patient empowerment, adolescent health, and healthcare transition across professional training so that these principles </w:t>
            </w:r>
            <w:r w:rsidRPr="00615CA9">
              <w:rPr>
                <w:rFonts w:ascii="Calibri" w:hAnsi="Calibri" w:cs="Calibri"/>
              </w:rPr>
              <w:t>are sustained throughout careers.</w:t>
            </w:r>
          </w:p>
          <w:p w:rsidR="008076C0" w:rsidRPr="00615CA9" w:rsidP="00DD64F8">
            <w:pPr>
              <w:rPr>
                <w:rFonts w:ascii="Calibri" w:hAnsi="Calibri" w:cs="Calibri"/>
              </w:rPr>
            </w:pP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rPr>
            </w:pPr>
            <w:r w:rsidRPr="00615CA9">
              <w:rPr>
                <w:rFonts w:ascii="Calibri" w:hAnsi="Calibri" w:cs="Calibri"/>
                <w:sz w:val="22"/>
                <w:szCs w:val="22"/>
              </w:rPr>
              <w:t>2. How are staff trained to effectively support young people through the transition from child to adult health and social care? What is the standard training offer- is this available to all, and how is this different for staff regularly involved in transitions?</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4A034F">
            <w:pPr>
              <w:rPr>
                <w:rFonts w:ascii="Calibri" w:hAnsi="Calibri" w:cs="Calibri"/>
                <w:sz w:val="22"/>
                <w:szCs w:val="22"/>
              </w:rPr>
            </w:pPr>
            <w:r w:rsidRPr="00615CA9">
              <w:rPr>
                <w:rFonts w:ascii="Calibri" w:hAnsi="Calibri" w:cs="Calibri"/>
                <w:sz w:val="22"/>
                <w:szCs w:val="22"/>
              </w:rPr>
              <w:t>Staff are trained through a combination of statutory mandatory training, safeguarding training, optional advanced training, external communication resources, and developing intranet guidance. However, the amount of mandatory training that can realistically be provided is limited by staff time, competing training requirements, and cognitive load.</w:t>
            </w:r>
          </w:p>
          <w:p w:rsidR="008076C0" w:rsidRPr="00615CA9" w:rsidP="004A034F">
            <w:pPr>
              <w:rPr>
                <w:rFonts w:ascii="Calibri" w:hAnsi="Calibri" w:cs="Calibri"/>
                <w:sz w:val="22"/>
                <w:szCs w:val="22"/>
              </w:rPr>
            </w:pPr>
          </w:p>
          <w:p w:rsidR="008076C0" w:rsidRPr="00615CA9" w:rsidP="004A034F">
            <w:pPr>
              <w:rPr>
                <w:rFonts w:ascii="Calibri" w:hAnsi="Calibri" w:cs="Calibri"/>
                <w:sz w:val="22"/>
                <w:szCs w:val="22"/>
              </w:rPr>
            </w:pPr>
            <w:r w:rsidRPr="00615CA9">
              <w:rPr>
                <w:rFonts w:ascii="Calibri" w:hAnsi="Calibri" w:cs="Calibri"/>
                <w:sz w:val="22"/>
                <w:szCs w:val="22"/>
              </w:rPr>
              <w:t>At GOSH, statutory mandatory transition training provides a baseline introduction. Transition has also recently been incorporated into Level 3 safeguarding training, repeated every three years, reinforcing that transition is relevant to patient safety, safeguarding, continuity of care and loss to follow-up.</w:t>
            </w:r>
          </w:p>
          <w:p w:rsidR="008076C0" w:rsidRPr="00615CA9" w:rsidP="004A034F">
            <w:pPr>
              <w:rPr>
                <w:rFonts w:ascii="Calibri" w:hAnsi="Calibri" w:cs="Calibri"/>
                <w:sz w:val="22"/>
                <w:szCs w:val="22"/>
              </w:rPr>
            </w:pPr>
          </w:p>
          <w:p w:rsidR="008076C0" w:rsidRPr="00615CA9" w:rsidP="004A034F">
            <w:pPr>
              <w:rPr>
                <w:rFonts w:ascii="Calibri" w:hAnsi="Calibri" w:cs="Calibri"/>
                <w:sz w:val="22"/>
                <w:szCs w:val="22"/>
              </w:rPr>
            </w:pPr>
            <w:r w:rsidRPr="00615CA9">
              <w:rPr>
                <w:rFonts w:ascii="Calibri" w:hAnsi="Calibri" w:cs="Calibri"/>
                <w:sz w:val="22"/>
                <w:szCs w:val="22"/>
              </w:rPr>
              <w:t>For staff more regularly involved in transition, GOSH offers a four-part training series through the GOSH Learning Academy Advanced Practice Hub. This provides more detailed teaching on patient empowerment, healthcare transition, communication, documentation, and practical use of transition tools. However, as this is optional, uptake can vary.</w:t>
            </w:r>
          </w:p>
          <w:p w:rsidR="008076C0" w:rsidRPr="00615CA9" w:rsidP="004A034F">
            <w:pPr>
              <w:rPr>
                <w:rFonts w:ascii="Calibri" w:hAnsi="Calibri" w:cs="Calibri"/>
                <w:sz w:val="22"/>
                <w:szCs w:val="22"/>
              </w:rPr>
            </w:pPr>
          </w:p>
          <w:p w:rsidR="008076C0" w:rsidRPr="00615CA9" w:rsidP="004A034F">
            <w:pPr>
              <w:rPr>
                <w:rFonts w:ascii="Calibri" w:hAnsi="Calibri" w:cs="Calibri"/>
                <w:sz w:val="22"/>
                <w:szCs w:val="22"/>
              </w:rPr>
            </w:pPr>
            <w:r w:rsidRPr="00615CA9">
              <w:rPr>
                <w:rFonts w:ascii="Calibri" w:hAnsi="Calibri" w:cs="Calibri"/>
                <w:sz w:val="22"/>
                <w:szCs w:val="22"/>
              </w:rPr>
              <w:t>Me first, developed by Specialty Education within the GOSH Learning Academy and Common Room Consulting, also supports staff to develop knowledge, skills and confidence in communicating with children and young people. It promotes a child-centred approach through practical tools, advice and communication strategies.</w:t>
            </w:r>
          </w:p>
          <w:p w:rsidR="008076C0" w:rsidRPr="00615CA9" w:rsidP="004A034F">
            <w:pPr>
              <w:rPr>
                <w:rFonts w:ascii="Calibri" w:hAnsi="Calibri" w:cs="Calibri"/>
                <w:sz w:val="22"/>
                <w:szCs w:val="22"/>
              </w:rPr>
            </w:pPr>
          </w:p>
          <w:p w:rsidR="008076C0" w:rsidRPr="00615CA9" w:rsidP="004A034F">
            <w:pPr>
              <w:rPr>
                <w:rFonts w:ascii="Calibri" w:hAnsi="Calibri" w:cs="Calibri"/>
                <w:sz w:val="22"/>
                <w:szCs w:val="22"/>
              </w:rPr>
            </w:pPr>
            <w:r w:rsidRPr="00615CA9">
              <w:rPr>
                <w:rFonts w:ascii="Calibri" w:hAnsi="Calibri" w:cs="Calibri"/>
                <w:sz w:val="22"/>
                <w:szCs w:val="22"/>
              </w:rPr>
              <w:t xml:space="preserve">A key challenge is that even where training exists, transition may still be perceived as “someone else’s role” unless it is framed as part of everyone’s responsibility. Teaching transition through the lens of patient empowerment may be more effective, because it helps </w:t>
            </w:r>
            <w:r w:rsidRPr="00615CA9">
              <w:rPr>
                <w:rFonts w:ascii="Calibri" w:hAnsi="Calibri" w:cs="Calibri"/>
                <w:sz w:val="22"/>
                <w:szCs w:val="22"/>
              </w:rPr>
              <w:t>staff understand that every interaction can support a young person to build confidence, knowledge, communication skills and independence.</w:t>
            </w:r>
          </w:p>
          <w:p w:rsidR="008076C0" w:rsidRPr="00615CA9" w:rsidP="004A034F">
            <w:pPr>
              <w:rPr>
                <w:rFonts w:ascii="Calibri" w:hAnsi="Calibri" w:cs="Calibri"/>
                <w:sz w:val="22"/>
                <w:szCs w:val="22"/>
              </w:rPr>
            </w:pPr>
          </w:p>
          <w:p w:rsidR="008076C0" w:rsidRPr="00615CA9" w:rsidP="00DD64F8">
            <w:pPr>
              <w:rPr>
                <w:rFonts w:ascii="Calibri" w:hAnsi="Calibri" w:cs="Calibri"/>
                <w:sz w:val="22"/>
                <w:szCs w:val="22"/>
              </w:rPr>
            </w:pPr>
            <w:r w:rsidRPr="00615CA9">
              <w:rPr>
                <w:rFonts w:ascii="Calibri" w:hAnsi="Calibri" w:cs="Calibri"/>
                <w:sz w:val="22"/>
                <w:szCs w:val="22"/>
              </w:rPr>
              <w:t>Overall, the standard offer is available to all staff at a baseline level, with more detailed optional training for those regularly involved. Further improvement requires regular refresher training, specialty-level application, accessible resources, and a cultural shift so transition is understood as a shared responsibility rather than a task owned only by transition leads or specialist clinics.</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3. To what extent are executives of health and social care organisations exercising their duty to champion transitions at a strategic level?</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FC4ED6">
            <w:pPr>
              <w:rPr>
                <w:rFonts w:ascii="Calibri" w:hAnsi="Calibri" w:cs="Calibri"/>
                <w:sz w:val="22"/>
                <w:szCs w:val="22"/>
              </w:rPr>
            </w:pPr>
            <w:r w:rsidRPr="00615CA9">
              <w:rPr>
                <w:rFonts w:ascii="Calibri" w:hAnsi="Calibri" w:cs="Calibri"/>
                <w:sz w:val="22"/>
                <w:szCs w:val="22"/>
              </w:rPr>
              <w:t xml:space="preserve">Executive championing of transition appears variable across the wider system. At GOSH, transition has increasingly been recognised at </w:t>
            </w:r>
            <w:r w:rsidRPr="00615CA9">
              <w:rPr>
                <w:rFonts w:ascii="Calibri" w:hAnsi="Calibri" w:cs="Calibri"/>
                <w:sz w:val="22"/>
                <w:szCs w:val="22"/>
              </w:rPr>
              <w:t xml:space="preserve">a </w:t>
            </w:r>
            <w:r w:rsidRPr="00615CA9">
              <w:rPr>
                <w:rFonts w:ascii="Calibri" w:hAnsi="Calibri" w:cs="Calibri"/>
                <w:sz w:val="22"/>
                <w:szCs w:val="22"/>
              </w:rPr>
              <w:t>strategic level, with healthcare transition and patient empowerment identified within the Trust strategy as a flagship programme. This has supported organisational focus on transition infrastructure, including policy development, Epic documentation, dashboards, Check-In Tools, training, and patient empowerment initiatives.</w:t>
            </w:r>
            <w:r w:rsidRPr="00615CA9">
              <w:rPr>
                <w:rFonts w:ascii="Calibri" w:hAnsi="Calibri" w:cs="Calibri"/>
                <w:sz w:val="22"/>
                <w:szCs w:val="22"/>
              </w:rPr>
              <w:t xml:space="preserve"> </w:t>
            </w:r>
          </w:p>
          <w:p w:rsidR="008076C0" w:rsidRPr="00615CA9" w:rsidP="00FC4ED6">
            <w:pPr>
              <w:rPr>
                <w:rFonts w:ascii="Calibri" w:hAnsi="Calibri" w:cs="Calibri"/>
                <w:sz w:val="22"/>
                <w:szCs w:val="22"/>
              </w:rPr>
            </w:pPr>
          </w:p>
          <w:p w:rsidR="008076C0" w:rsidRPr="00615CA9" w:rsidP="00FC4ED6">
            <w:pPr>
              <w:rPr>
                <w:rFonts w:ascii="Calibri" w:hAnsi="Calibri" w:cs="Calibri"/>
                <w:sz w:val="22"/>
                <w:szCs w:val="22"/>
              </w:rPr>
            </w:pPr>
            <w:r w:rsidRPr="00615CA9">
              <w:rPr>
                <w:rFonts w:ascii="Calibri" w:hAnsi="Calibri" w:cs="Calibri"/>
                <w:sz w:val="22"/>
                <w:szCs w:val="22"/>
              </w:rPr>
              <w:t>Healthcare transition also sits within the safeguarding portfolio, reflecting recognition that unsuccessful transition, loss to follow-up, and gaps in adult care represent patient safety and safeguarding risks, particularly for vulnerable young people with chronic or complex conditions.</w:t>
            </w:r>
          </w:p>
          <w:p w:rsidR="008076C0" w:rsidRPr="00615CA9" w:rsidP="00FC4ED6">
            <w:pPr>
              <w:rPr>
                <w:rFonts w:ascii="Calibri" w:hAnsi="Calibri" w:cs="Calibri"/>
                <w:sz w:val="22"/>
                <w:szCs w:val="22"/>
              </w:rPr>
            </w:pPr>
          </w:p>
          <w:p w:rsidR="008076C0" w:rsidRPr="00615CA9" w:rsidP="00FC4ED6">
            <w:pPr>
              <w:rPr>
                <w:rFonts w:ascii="Calibri" w:hAnsi="Calibri" w:cs="Calibri"/>
                <w:sz w:val="22"/>
                <w:szCs w:val="22"/>
              </w:rPr>
            </w:pPr>
            <w:r w:rsidRPr="00615CA9">
              <w:rPr>
                <w:rFonts w:ascii="Calibri" w:hAnsi="Calibri" w:cs="Calibri"/>
                <w:sz w:val="22"/>
                <w:szCs w:val="22"/>
              </w:rPr>
              <w:t>However, across the wider health and social care system, executive-level championing appears inconsistent. Many barriers described by services — including lack of adult pathways, limited local authority capacity, poor interoperability, gaps in 16–18 provision, and insufficient transition coordination — cannot be resolved by individual clinical teams alone. They require strategic leadership, cross-organisational accountability, and commissioning-level action.</w:t>
            </w:r>
          </w:p>
          <w:p w:rsidR="008076C0" w:rsidRPr="00615CA9" w:rsidP="00FC4ED6">
            <w:pPr>
              <w:rPr>
                <w:rFonts w:ascii="Calibri" w:hAnsi="Calibri" w:cs="Calibri"/>
                <w:sz w:val="22"/>
                <w:szCs w:val="22"/>
              </w:rPr>
            </w:pPr>
          </w:p>
          <w:p w:rsidR="008076C0" w:rsidRPr="00615CA9" w:rsidP="00FC4ED6">
            <w:pPr>
              <w:rPr>
                <w:rFonts w:ascii="Calibri" w:hAnsi="Calibri" w:cs="Calibri"/>
                <w:sz w:val="22"/>
                <w:szCs w:val="22"/>
              </w:rPr>
            </w:pPr>
            <w:r w:rsidRPr="00615CA9">
              <w:rPr>
                <w:rFonts w:ascii="Calibri" w:hAnsi="Calibri" w:cs="Calibri"/>
                <w:sz w:val="22"/>
                <w:szCs w:val="22"/>
              </w:rPr>
              <w:t>Executives therefore have a key role in ensuring transition is not treated as an optional service improvement project, but as a core quality, safety, safeguarding, workforce, health inequalities and patient experience priority. Where executive ownership is absent or unclear, transition risks rema</w:t>
            </w:r>
            <w:r w:rsidRPr="00615CA9">
              <w:rPr>
                <w:rFonts w:ascii="Calibri" w:hAnsi="Calibri" w:cs="Calibri"/>
                <w:sz w:val="22"/>
                <w:szCs w:val="22"/>
              </w:rPr>
              <w:t>in</w:t>
            </w:r>
            <w:r w:rsidRPr="00615CA9">
              <w:rPr>
                <w:rFonts w:ascii="Calibri" w:hAnsi="Calibri" w:cs="Calibri"/>
                <w:sz w:val="22"/>
                <w:szCs w:val="22"/>
              </w:rPr>
              <w:t xml:space="preserve"> dependent on individual champions, goodwill, and local workarounds rather than embedded system-wide delivery.</w:t>
            </w:r>
          </w:p>
          <w:p w:rsidR="008076C0" w:rsidRPr="00615CA9" w:rsidP="00DD64F8">
            <w:pPr>
              <w:rPr>
                <w:rFonts w:ascii="Calibri" w:hAnsi="Calibri" w:cs="Calibri"/>
                <w:sz w:val="22"/>
                <w:szCs w:val="22"/>
              </w:rPr>
            </w:pPr>
          </w:p>
          <w:p w:rsidR="008076C0" w:rsidRPr="00615CA9" w:rsidP="00DD64F8">
            <w:pPr>
              <w:rPr>
                <w:rFonts w:ascii="Calibri" w:hAnsi="Calibri" w:cs="Calibri"/>
                <w:sz w:val="22"/>
                <w:szCs w:val="22"/>
              </w:rPr>
            </w:pPr>
          </w:p>
        </w:tc>
      </w:tr>
      <w:tr w:rsidTr="4FF11C81">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Impact and outcomes</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1. What is the impact of training and education for staff on their experience, and young people’s experiences, of transitioning between child to adult services? How is this monitored?</w:t>
            </w:r>
          </w:p>
        </w:tc>
      </w:tr>
      <w:tr w:rsidTr="4FF11C81">
        <w:tblPrEx>
          <w:tblW w:w="10490" w:type="dxa"/>
          <w:tblInd w:w="-714" w:type="dxa"/>
          <w:tblLook w:val="04A0"/>
        </w:tblPrEx>
        <w:trPr>
          <w:trHeight w:val="201"/>
        </w:trPr>
        <w:tc>
          <w:tcPr>
            <w:tcW w:w="1985" w:type="dxa"/>
            <w:vMerge/>
          </w:tcPr>
          <w:p w:rsidR="008076C0" w:rsidRPr="00615CA9" w:rsidP="00DD64F8">
            <w:pPr>
              <w:rPr>
                <w:rFonts w:ascii="Calibri" w:hAnsi="Calibri" w:cs="Calibri"/>
                <w:b/>
                <w:sz w:val="20"/>
                <w:szCs w:val="20"/>
              </w:rPr>
            </w:pPr>
          </w:p>
        </w:tc>
        <w:tc>
          <w:tcPr>
            <w:tcW w:w="8505" w:type="dxa"/>
          </w:tcPr>
          <w:p w:rsidR="008076C0" w:rsidRPr="00615CA9" w:rsidP="000F6F77">
            <w:pPr>
              <w:rPr>
                <w:rFonts w:ascii="Calibri" w:hAnsi="Calibri" w:cs="Calibri"/>
              </w:rPr>
            </w:pPr>
            <w:r w:rsidRPr="00615CA9">
              <w:rPr>
                <w:rFonts w:ascii="Calibri" w:hAnsi="Calibri" w:cs="Calibri"/>
              </w:rPr>
              <w:t>The impact of training and education should ultimately be judged through the experiences of young people and families themselves, rather than assumed from staff training completion rates alone.</w:t>
            </w:r>
          </w:p>
          <w:p w:rsidR="008076C0" w:rsidRPr="00615CA9" w:rsidP="000F6F77">
            <w:pPr>
              <w:rPr>
                <w:rFonts w:ascii="Calibri" w:hAnsi="Calibri" w:cs="Calibri"/>
              </w:rPr>
            </w:pPr>
          </w:p>
          <w:p w:rsidR="008076C0" w:rsidRPr="00615CA9" w:rsidP="000F6F77">
            <w:pPr>
              <w:rPr>
                <w:rFonts w:ascii="Calibri" w:hAnsi="Calibri" w:cs="Calibri"/>
              </w:rPr>
            </w:pPr>
            <w:r w:rsidRPr="00615CA9">
              <w:rPr>
                <w:rFonts w:ascii="Calibri" w:hAnsi="Calibri" w:cs="Calibri"/>
              </w:rPr>
              <w:t>Training can improve staff confidence, understanding and consistency, particularly where it helps staff recognise transition as a longitudinal patient empowerment process rather than simply transfer to adult services. Effective training may support better communication with young people, earlier transition conversations, more appropriate parent/carer involvement, improved documentation, and increased awareness of safeguarding, mental health, capacity, consent, and reasonable adjustment needs.</w:t>
            </w:r>
          </w:p>
          <w:p w:rsidR="008076C0" w:rsidRPr="00615CA9" w:rsidP="000F6F77">
            <w:pPr>
              <w:rPr>
                <w:rFonts w:ascii="Calibri" w:hAnsi="Calibri" w:cs="Calibri"/>
              </w:rPr>
            </w:pPr>
          </w:p>
          <w:p w:rsidR="008076C0" w:rsidRPr="00615CA9" w:rsidP="000F6F77">
            <w:pPr>
              <w:rPr>
                <w:rFonts w:ascii="Calibri" w:hAnsi="Calibri" w:cs="Calibri"/>
              </w:rPr>
            </w:pPr>
            <w:r w:rsidRPr="00615CA9">
              <w:rPr>
                <w:rFonts w:ascii="Calibri" w:hAnsi="Calibri" w:cs="Calibri"/>
              </w:rPr>
              <w:t>For staff, training can also help clarify that transition is not solely the responsibility of specialist transition leads or adolescent clinics. Every member of the multidisciplinary team can contribute to empowerment by supporting young people to understand their condition, ask questions, practise communication, and take increasing ownership of their care.</w:t>
            </w:r>
          </w:p>
          <w:p w:rsidR="008076C0" w:rsidRPr="00615CA9" w:rsidP="000F6F77">
            <w:pPr>
              <w:rPr>
                <w:rFonts w:ascii="Calibri" w:hAnsi="Calibri" w:cs="Calibri"/>
              </w:rPr>
            </w:pPr>
          </w:p>
          <w:p w:rsidR="008076C0" w:rsidRPr="00615CA9" w:rsidP="000F6F77">
            <w:pPr>
              <w:rPr>
                <w:rFonts w:ascii="Calibri" w:hAnsi="Calibri" w:cs="Calibri"/>
              </w:rPr>
            </w:pPr>
            <w:r w:rsidRPr="00615CA9">
              <w:rPr>
                <w:rFonts w:ascii="Calibri" w:hAnsi="Calibri" w:cs="Calibri"/>
              </w:rPr>
              <w:t>However, the impact of training is difficult to measure at present. Attendance or completion data alone do not demonstrate whether training has changed practice or improved young people’s experience. Monitoring needs to include both staff-facing and patient-facing measures.</w:t>
            </w:r>
          </w:p>
          <w:p w:rsidR="008076C0" w:rsidRPr="00615CA9" w:rsidP="000F6F77">
            <w:pPr>
              <w:rPr>
                <w:rFonts w:ascii="Calibri" w:hAnsi="Calibri" w:cs="Calibri"/>
              </w:rPr>
            </w:pPr>
          </w:p>
          <w:p w:rsidR="008076C0" w:rsidRPr="00615CA9" w:rsidP="000F6F77">
            <w:pPr>
              <w:rPr>
                <w:rFonts w:ascii="Calibri" w:hAnsi="Calibri" w:cs="Calibri"/>
              </w:rPr>
            </w:pPr>
            <w:r w:rsidRPr="00615CA9">
              <w:rPr>
                <w:rFonts w:ascii="Calibri" w:hAnsi="Calibri" w:cs="Calibri"/>
              </w:rPr>
              <w:t>At GOSH, future evaluation is expected to draw on several developing data sources, including:</w:t>
            </w:r>
            <w:r w:rsidRPr="00615CA9">
              <w:rPr>
                <w:rFonts w:ascii="Calibri" w:hAnsi="Calibri" w:cs="Calibri"/>
              </w:rPr>
              <w:br/>
              <w:t>• uptake of transition training</w:t>
            </w:r>
            <w:r w:rsidRPr="00615CA9">
              <w:rPr>
                <w:rFonts w:ascii="Calibri" w:hAnsi="Calibri" w:cs="Calibri"/>
              </w:rPr>
              <w:br/>
              <w:t>• use of the Epic Healthcare Transition tab</w:t>
            </w:r>
            <w:r w:rsidRPr="00615CA9">
              <w:rPr>
                <w:rFonts w:ascii="Calibri" w:hAnsi="Calibri" w:cs="Calibri"/>
              </w:rPr>
              <w:br/>
              <w:t>• transition dashboard data</w:t>
            </w:r>
            <w:r w:rsidRPr="00615CA9">
              <w:rPr>
                <w:rFonts w:ascii="Calibri" w:hAnsi="Calibri" w:cs="Calibri"/>
              </w:rPr>
              <w:br/>
              <w:t>• Check-In Tool responses from young people and parents/carers</w:t>
            </w:r>
            <w:r w:rsidRPr="00615CA9">
              <w:rPr>
                <w:rFonts w:ascii="Calibri" w:hAnsi="Calibri" w:cs="Calibri"/>
              </w:rPr>
              <w:br/>
              <w:t>• patient-reported experience measures</w:t>
            </w:r>
            <w:r w:rsidRPr="00615CA9">
              <w:rPr>
                <w:rFonts w:ascii="Calibri" w:hAnsi="Calibri" w:cs="Calibri"/>
              </w:rPr>
              <w:br/>
              <w:t>• staff feedback</w:t>
            </w:r>
            <w:r w:rsidRPr="00615CA9">
              <w:rPr>
                <w:rFonts w:ascii="Calibri" w:hAnsi="Calibri" w:cs="Calibri"/>
              </w:rPr>
              <w:br/>
              <w:t>• documentation of transition conversations</w:t>
            </w:r>
            <w:r w:rsidRPr="00615CA9">
              <w:rPr>
                <w:rFonts w:ascii="Calibri" w:hAnsi="Calibri" w:cs="Calibri"/>
              </w:rPr>
              <w:br/>
              <w:t>• and transfer outcome data through the RTT “Transfer to Adults” process.</w:t>
            </w:r>
          </w:p>
          <w:p w:rsidR="008076C0" w:rsidRPr="00615CA9" w:rsidP="000F6F77">
            <w:pPr>
              <w:rPr>
                <w:rFonts w:ascii="Calibri" w:hAnsi="Calibri" w:cs="Calibri"/>
              </w:rPr>
            </w:pPr>
          </w:p>
          <w:p w:rsidR="008076C0" w:rsidRPr="00615CA9" w:rsidP="000F6F77">
            <w:pPr>
              <w:rPr>
                <w:rFonts w:ascii="Calibri" w:hAnsi="Calibri" w:cs="Calibri"/>
              </w:rPr>
            </w:pPr>
            <w:r w:rsidRPr="00615CA9">
              <w:rPr>
                <w:rFonts w:ascii="Calibri" w:hAnsi="Calibri" w:cs="Calibri"/>
              </w:rPr>
              <w:t>Over time, the Check-In Tools may help demonstrate whether young people report improved confidence, knowledge, engagement and readiness as transition training and documentation become more embedded. Patient-reported experience data will also be important in understanding whether young people feel listened to, respected, prepared and supported.</w:t>
            </w:r>
          </w:p>
          <w:p w:rsidR="008076C0" w:rsidRPr="00615CA9" w:rsidP="000F6F77">
            <w:pPr>
              <w:rPr>
                <w:rFonts w:ascii="Calibri" w:hAnsi="Calibri" w:cs="Calibri"/>
              </w:rPr>
            </w:pPr>
          </w:p>
          <w:p w:rsidR="008076C0" w:rsidRPr="00615CA9" w:rsidP="000F6F77">
            <w:pPr>
              <w:rPr>
                <w:rFonts w:ascii="Calibri" w:hAnsi="Calibri" w:cs="Calibri"/>
              </w:rPr>
            </w:pPr>
            <w:r w:rsidRPr="00615CA9">
              <w:rPr>
                <w:rFonts w:ascii="Calibri" w:hAnsi="Calibri" w:cs="Calibri"/>
              </w:rPr>
              <w:t>Overall, training is likely to be beneficial, but its true impact should be measured through changes in practice and young people’s lived experience, not simply by the number of staff completing training.</w:t>
            </w:r>
          </w:p>
          <w:p w:rsidR="008076C0" w:rsidRPr="00615CA9" w:rsidP="00DD64F8">
            <w:pPr>
              <w:rPr>
                <w:rFonts w:ascii="Calibri" w:hAnsi="Calibri" w:cs="Calibri"/>
              </w:rPr>
            </w:pP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rPr>
            </w:pPr>
            <w:r w:rsidRPr="00615CA9">
              <w:rPr>
                <w:rFonts w:ascii="Calibri" w:hAnsi="Calibri" w:cs="Calibri"/>
                <w:sz w:val="22"/>
                <w:szCs w:val="22"/>
              </w:rPr>
              <w:t>2. Where staff are not equipped with the right skills, what is the impact on the service, and the young people it serves?</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5C16C3">
            <w:pPr>
              <w:rPr>
                <w:rFonts w:ascii="Calibri" w:hAnsi="Calibri" w:cs="Calibri"/>
              </w:rPr>
            </w:pPr>
            <w:r w:rsidRPr="00615CA9">
              <w:rPr>
                <w:rFonts w:ascii="Calibri" w:hAnsi="Calibri" w:cs="Calibri"/>
              </w:rPr>
              <w:t>Where staff are not equipped with the right skills, transition is more likely to be delayed, inconsistent, or treated as a final transfer task rather than a gradual empowerment process.</w:t>
            </w:r>
          </w:p>
          <w:p w:rsidR="008076C0" w:rsidRPr="00615CA9" w:rsidP="005C16C3">
            <w:pPr>
              <w:rPr>
                <w:rFonts w:ascii="Calibri" w:hAnsi="Calibri" w:cs="Calibri"/>
              </w:rPr>
            </w:pPr>
          </w:p>
          <w:p w:rsidR="008076C0" w:rsidRPr="00615CA9" w:rsidP="005C16C3">
            <w:pPr>
              <w:rPr>
                <w:rFonts w:ascii="Calibri" w:hAnsi="Calibri" w:cs="Calibri"/>
              </w:rPr>
            </w:pPr>
            <w:r w:rsidRPr="00615CA9">
              <w:rPr>
                <w:rFonts w:ascii="Calibri" w:hAnsi="Calibri" w:cs="Calibri"/>
              </w:rPr>
              <w:t>One practical impact is delayed or absent referral to dedicated adolescent or transition services where these exist within a specialty. Several teams described young people being referred into adolescent pathways much later than intended, sometimes at 16–17 years or even after reaching adulthood, despite services being designed to support transition from early adolescence. This reduces the time available to build knowledge, confidence, self-management skills, family adjustment, and familiarity with adult se</w:t>
            </w:r>
            <w:r w:rsidRPr="00615CA9">
              <w:rPr>
                <w:rFonts w:ascii="Calibri" w:hAnsi="Calibri" w:cs="Calibri"/>
              </w:rPr>
              <w:t>rvices.</w:t>
            </w:r>
          </w:p>
          <w:p w:rsidR="008076C0" w:rsidRPr="00615CA9" w:rsidP="005C16C3">
            <w:pPr>
              <w:rPr>
                <w:rFonts w:ascii="Calibri" w:hAnsi="Calibri" w:cs="Calibri"/>
              </w:rPr>
            </w:pPr>
          </w:p>
          <w:p w:rsidR="008076C0" w:rsidRPr="00615CA9" w:rsidP="005C16C3">
            <w:pPr>
              <w:rPr>
                <w:rFonts w:ascii="Calibri" w:hAnsi="Calibri" w:cs="Calibri"/>
              </w:rPr>
            </w:pPr>
            <w:r w:rsidRPr="00615CA9">
              <w:rPr>
                <w:rFonts w:ascii="Calibri" w:hAnsi="Calibri" w:cs="Calibri"/>
              </w:rPr>
              <w:t>Staff who lack training may also be less confident discussing adolescent development, mental health, safeguarding, consent, capacity, confidentiality, sexual health, education, employment, independence, or family dynamics. As a result, transition conversations may focus narrowly on referral logistics rather than the wider biopsychosocial preparation young people need.</w:t>
            </w:r>
          </w:p>
          <w:p w:rsidR="008076C0" w:rsidRPr="00615CA9" w:rsidP="005C16C3">
            <w:pPr>
              <w:rPr>
                <w:rFonts w:ascii="Calibri" w:hAnsi="Calibri" w:cs="Calibri"/>
              </w:rPr>
            </w:pPr>
          </w:p>
          <w:p w:rsidR="008076C0" w:rsidRPr="00615CA9" w:rsidP="005C16C3">
            <w:pPr>
              <w:rPr>
                <w:rFonts w:ascii="Calibri" w:hAnsi="Calibri" w:cs="Calibri"/>
              </w:rPr>
            </w:pPr>
            <w:r w:rsidRPr="00615CA9">
              <w:rPr>
                <w:rFonts w:ascii="Calibri" w:hAnsi="Calibri" w:cs="Calibri"/>
              </w:rPr>
              <w:t>For young people, the impact can include poorer preparation, increased anxiety, reduced confidence, limited understanding of their condition or treatment, weaker engagement with adult services, and greater risk of being lost to follow-up. For families, it can increase uncertainty and reinforce dependence on paediatric teams, particularly where parents or carers are anxious about adult services.</w:t>
            </w:r>
          </w:p>
          <w:p w:rsidR="008076C0" w:rsidRPr="00615CA9" w:rsidP="005C16C3">
            <w:pPr>
              <w:rPr>
                <w:rFonts w:ascii="Calibri" w:hAnsi="Calibri" w:cs="Calibri"/>
              </w:rPr>
            </w:pPr>
          </w:p>
          <w:p w:rsidR="008076C0" w:rsidRPr="00615CA9" w:rsidP="005C16C3">
            <w:pPr>
              <w:rPr>
                <w:rFonts w:ascii="Calibri" w:hAnsi="Calibri" w:cs="Calibri"/>
              </w:rPr>
            </w:pPr>
            <w:r w:rsidRPr="00615CA9">
              <w:rPr>
                <w:rFonts w:ascii="Calibri" w:hAnsi="Calibri" w:cs="Calibri"/>
              </w:rPr>
              <w:t>For services, insufficient staff training can lead to variation in practice, poor documentation, missed opportunities for early intervention, increased administrative chasing, delayed transfers, and greater reliance on specialist transition leads to correct problems later. This is inefficient and can increase risk, particularly for young people with complex medical needs, learning disabilities, autism, mental health difficulties, or safeguarding concerns.</w:t>
            </w:r>
          </w:p>
          <w:p w:rsidR="008076C0" w:rsidRPr="00615CA9" w:rsidP="005C16C3">
            <w:pPr>
              <w:rPr>
                <w:rFonts w:ascii="Calibri" w:hAnsi="Calibri" w:cs="Calibri"/>
              </w:rPr>
            </w:pPr>
          </w:p>
          <w:p w:rsidR="008076C0" w:rsidRPr="00615CA9" w:rsidP="005C16C3">
            <w:pPr>
              <w:rPr>
                <w:rFonts w:ascii="Calibri" w:hAnsi="Calibri" w:cs="Calibri"/>
              </w:rPr>
            </w:pPr>
            <w:r w:rsidRPr="00615CA9">
              <w:rPr>
                <w:rFonts w:ascii="Calibri" w:hAnsi="Calibri" w:cs="Calibri"/>
              </w:rPr>
              <w:t>Overall, where staff are not equipped with the right skills, transition becomes reactive rather than planned. Young people may miss the opportunity for years of phased education and empowerment, and services may struggle to deliver safe, consistent, developmentally appropriate</w:t>
            </w:r>
            <w:r w:rsidRPr="00615CA9">
              <w:rPr>
                <w:rFonts w:ascii="Calibri" w:hAnsi="Calibri" w:cs="Calibri"/>
                <w:sz w:val="22"/>
                <w:szCs w:val="22"/>
              </w:rPr>
              <w:t xml:space="preserve"> and individualised</w:t>
            </w:r>
            <w:r w:rsidRPr="00615CA9">
              <w:rPr>
                <w:rFonts w:ascii="Calibri" w:hAnsi="Calibri" w:cs="Calibri"/>
              </w:rPr>
              <w:t xml:space="preserve"> transition support.</w:t>
            </w:r>
          </w:p>
          <w:p w:rsidR="008076C0" w:rsidRPr="00615CA9" w:rsidP="00DD64F8">
            <w:pPr>
              <w:rPr>
                <w:rFonts w:ascii="Calibri" w:hAnsi="Calibri" w:cs="Calibri"/>
              </w:rPr>
            </w:pPr>
          </w:p>
          <w:p w:rsidR="008076C0" w:rsidRPr="00615CA9" w:rsidP="00DD64F8">
            <w:pPr>
              <w:rPr>
                <w:rFonts w:ascii="Calibri" w:hAnsi="Calibri" w:cs="Calibri"/>
              </w:rPr>
            </w:pP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3. What is the impact of having named staff members responsible for transitions – for example, a named worker for each individual, a clinical lead and a named executive and senior manager at the organisational level?</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AC3CA1">
            <w:pPr>
              <w:rPr>
                <w:rFonts w:ascii="Calibri" w:hAnsi="Calibri" w:cs="Calibri"/>
              </w:rPr>
            </w:pPr>
            <w:r w:rsidRPr="00615CA9">
              <w:rPr>
                <w:rFonts w:ascii="Calibri" w:hAnsi="Calibri" w:cs="Calibri"/>
              </w:rPr>
              <w:t>Having named staff responsible for transition has a significant positive impact because it creates clearer accountability, improves coordination, and reduces the risk that young people fall between services.</w:t>
            </w:r>
          </w:p>
          <w:p w:rsidR="008076C0" w:rsidRPr="00615CA9" w:rsidP="00AC3CA1">
            <w:pPr>
              <w:rPr>
                <w:rFonts w:ascii="Calibri" w:hAnsi="Calibri" w:cs="Calibri"/>
              </w:rPr>
            </w:pPr>
          </w:p>
          <w:p w:rsidR="008076C0" w:rsidRPr="00615CA9" w:rsidP="00AC3CA1">
            <w:pPr>
              <w:rPr>
                <w:rFonts w:ascii="Calibri" w:hAnsi="Calibri" w:cs="Calibri"/>
              </w:rPr>
            </w:pPr>
            <w:r w:rsidRPr="00615CA9">
              <w:rPr>
                <w:rFonts w:ascii="Calibri" w:hAnsi="Calibri" w:cs="Calibri"/>
              </w:rPr>
              <w:t>At individual level, a named key worker helps young people and families understand who is coordinating transition, who to contact with questions, and how planning will progress. This is particularly important for young people with complex conditions, learning disabilities, autism, mental health needs, safeguarding concerns, or multiple teams involved in their care.</w:t>
            </w:r>
          </w:p>
          <w:p w:rsidR="008076C0" w:rsidRPr="00615CA9" w:rsidP="00AC3CA1">
            <w:pPr>
              <w:rPr>
                <w:rFonts w:ascii="Calibri" w:hAnsi="Calibri" w:cs="Calibri"/>
              </w:rPr>
            </w:pPr>
          </w:p>
          <w:p w:rsidR="008076C0" w:rsidRPr="00615CA9" w:rsidP="00AC3CA1">
            <w:pPr>
              <w:rPr>
                <w:rFonts w:ascii="Calibri" w:hAnsi="Calibri" w:cs="Calibri"/>
              </w:rPr>
            </w:pPr>
            <w:r w:rsidRPr="00615CA9">
              <w:rPr>
                <w:rFonts w:ascii="Calibri" w:hAnsi="Calibri" w:cs="Calibri"/>
              </w:rPr>
              <w:t>At service level, a clinical transition lead can support staff education, pathway development, documentation, audit, escalation of concerns, and links with adult services. Services with dedicated adolescent or transition leads are often better able to provide proactive, phased support rather than relying on late referral shortly before transfer.</w:t>
            </w:r>
          </w:p>
          <w:p w:rsidR="008076C0" w:rsidRPr="00615CA9" w:rsidP="00AC3CA1">
            <w:pPr>
              <w:rPr>
                <w:rFonts w:ascii="Calibri" w:hAnsi="Calibri" w:cs="Calibri"/>
              </w:rPr>
            </w:pPr>
          </w:p>
          <w:p w:rsidR="008076C0" w:rsidRPr="00615CA9" w:rsidP="00AC3CA1">
            <w:pPr>
              <w:rPr>
                <w:rFonts w:ascii="Calibri" w:hAnsi="Calibri" w:cs="Calibri"/>
              </w:rPr>
            </w:pPr>
            <w:r w:rsidRPr="00615CA9">
              <w:rPr>
                <w:rFonts w:ascii="Calibri" w:hAnsi="Calibri" w:cs="Calibri"/>
              </w:rPr>
              <w:t xml:space="preserve">At organisational level, named senior managers and executive leads are important because many transition barriers cannot be solved by individual clinicians alone. Issues such as adult-service engagement, workforce capacity, digital infrastructure, </w:t>
            </w:r>
            <w:r w:rsidRPr="00615CA9">
              <w:rPr>
                <w:rFonts w:ascii="Calibri" w:hAnsi="Calibri" w:cs="Calibri"/>
              </w:rPr>
              <w:t>safeguarding governance, health inequalities, and commissioning gaps require senior leadership and strategic oversight.</w:t>
            </w:r>
          </w:p>
          <w:p w:rsidR="008076C0" w:rsidRPr="00615CA9" w:rsidP="00AC3CA1">
            <w:pPr>
              <w:rPr>
                <w:rFonts w:ascii="Calibri" w:hAnsi="Calibri" w:cs="Calibri"/>
              </w:rPr>
            </w:pPr>
          </w:p>
          <w:p w:rsidR="008076C0" w:rsidRPr="00615CA9" w:rsidP="00DD64F8">
            <w:pPr>
              <w:rPr>
                <w:rFonts w:ascii="Calibri" w:hAnsi="Calibri" w:cs="Calibri"/>
              </w:rPr>
            </w:pPr>
            <w:r w:rsidRPr="00615CA9">
              <w:rPr>
                <w:rFonts w:ascii="Calibri" w:hAnsi="Calibri" w:cs="Calibri"/>
              </w:rPr>
              <w:t>Without named responsibility, transition can become fragmented and dependent on goodwill. With named roles at individual, service and organisational levels, transition is more likely to be planned, monitored, escalated when needed, and treated as a core patient safety and empowerment priority rather than an optional administrative task.</w:t>
            </w:r>
          </w:p>
        </w:tc>
      </w:tr>
      <w:tr w:rsidTr="4FF11C81">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Appropriateness</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1. Is the level of training and education provided to staff appropriate for the needs of young people at the point of transition?</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2"/>
                <w:szCs w:val="22"/>
              </w:rPr>
            </w:pPr>
          </w:p>
        </w:tc>
        <w:tc>
          <w:tcPr>
            <w:tcW w:w="8505" w:type="dxa"/>
          </w:tcPr>
          <w:p w:rsidR="008076C0" w:rsidRPr="00615CA9" w:rsidP="00DB6FAF">
            <w:pPr>
              <w:rPr>
                <w:rFonts w:ascii="Calibri" w:hAnsi="Calibri" w:cs="Calibri"/>
              </w:rPr>
            </w:pPr>
            <w:r w:rsidRPr="00615CA9">
              <w:rPr>
                <w:rFonts w:ascii="Calibri" w:hAnsi="Calibri" w:cs="Calibri"/>
              </w:rPr>
              <w:t>The level of training and education provided to staff is improving, but is not yet consistently sufficient for the complexity of young people’s needs during transition.</w:t>
            </w:r>
          </w:p>
          <w:p w:rsidR="008076C0" w:rsidRPr="00615CA9" w:rsidP="00DB6FAF">
            <w:pPr>
              <w:rPr>
                <w:rFonts w:ascii="Calibri" w:hAnsi="Calibri" w:cs="Calibri"/>
              </w:rPr>
            </w:pPr>
          </w:p>
          <w:p w:rsidR="008076C0" w:rsidRPr="00615CA9" w:rsidP="00DB6FAF">
            <w:pPr>
              <w:rPr>
                <w:rFonts w:ascii="Calibri" w:hAnsi="Calibri" w:cs="Calibri"/>
              </w:rPr>
            </w:pPr>
            <w:r w:rsidRPr="00615CA9">
              <w:rPr>
                <w:rFonts w:ascii="Calibri" w:hAnsi="Calibri" w:cs="Calibri"/>
              </w:rPr>
              <w:t>At GOSH, statutory mandatory transition training provides a baseline, and transition has recently been incorporated into Level 3 safeguarding training. A more detailed four-part patient empowerment and healthcare transition training series is also available through the GOSH Learning Academy Advanced Practice Hub, alongside communication resources such as Me first.</w:t>
            </w:r>
          </w:p>
          <w:p w:rsidR="008076C0" w:rsidRPr="00615CA9" w:rsidP="00DB6FAF">
            <w:pPr>
              <w:rPr>
                <w:rFonts w:ascii="Calibri" w:hAnsi="Calibri" w:cs="Calibri"/>
              </w:rPr>
            </w:pPr>
          </w:p>
          <w:p w:rsidR="008076C0" w:rsidRPr="00615CA9" w:rsidP="00DB6FAF">
            <w:pPr>
              <w:rPr>
                <w:rFonts w:ascii="Calibri" w:hAnsi="Calibri" w:cs="Calibri"/>
              </w:rPr>
            </w:pPr>
            <w:r w:rsidRPr="00615CA9">
              <w:rPr>
                <w:rFonts w:ascii="Calibri" w:hAnsi="Calibri" w:cs="Calibri"/>
              </w:rPr>
              <w:t>However, transition is a complex area requiring understanding of adolescent development, communication, health literacy, mental health, safeguarding, consent, capacity, confidentiality, family dynamics, learning disability, autism, reasonable adjustments, and adult-service pathways. A limited amount of mandatory training cannot fully prepare staff for this complexity, particularly where transition is still frequently misunderstood as transfer.</w:t>
            </w:r>
          </w:p>
          <w:p w:rsidR="008076C0" w:rsidRPr="00615CA9" w:rsidP="00DB6FAF">
            <w:pPr>
              <w:rPr>
                <w:rFonts w:ascii="Calibri" w:hAnsi="Calibri" w:cs="Calibri"/>
              </w:rPr>
            </w:pPr>
          </w:p>
          <w:p w:rsidR="008076C0" w:rsidRPr="00615CA9" w:rsidP="00DB6FAF">
            <w:pPr>
              <w:rPr>
                <w:rFonts w:ascii="Calibri" w:hAnsi="Calibri" w:cs="Calibri"/>
              </w:rPr>
            </w:pPr>
            <w:r w:rsidRPr="00615CA9">
              <w:rPr>
                <w:rFonts w:ascii="Calibri" w:hAnsi="Calibri" w:cs="Calibri"/>
              </w:rPr>
              <w:t>The current training offer is therefore appropriate as a foundation, but further development is needed. Staff require repeated reinforcement, practical specialty-level application, accessible resources, and support to understand transition as everyone’s responsibility. Training also needs to be embedded in undergraduate and postgraduate education for medical, nursing, mental health and allied health professionals, so patient empowerment and transition are understood early and sustained throughout careers.</w:t>
            </w:r>
          </w:p>
          <w:p w:rsidR="008076C0" w:rsidRPr="00615CA9" w:rsidP="00DB6FAF">
            <w:pPr>
              <w:rPr>
                <w:rFonts w:ascii="Calibri" w:hAnsi="Calibri" w:cs="Calibri"/>
              </w:rPr>
            </w:pPr>
          </w:p>
          <w:p w:rsidR="008076C0" w:rsidRPr="00615CA9" w:rsidP="00DD64F8">
            <w:pPr>
              <w:rPr>
                <w:rFonts w:ascii="Calibri" w:hAnsi="Calibri" w:cs="Calibri"/>
              </w:rPr>
            </w:pPr>
            <w:r w:rsidRPr="00615CA9">
              <w:rPr>
                <w:rFonts w:ascii="Calibri" w:hAnsi="Calibri" w:cs="Calibri"/>
              </w:rPr>
              <w:t>Overall, current training is a positive starting point, but more consistent, recurrent and practical education is needed to meet young people’s needs fully.</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2"/>
                <w:szCs w:val="22"/>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2. Is there any staff feedback on the utility and suitability of the training provided, or data on the uptake?</w:t>
            </w:r>
          </w:p>
        </w:tc>
      </w:tr>
      <w:tr w:rsidTr="4FF11C81">
        <w:tblPrEx>
          <w:tblW w:w="10490" w:type="dxa"/>
          <w:tblInd w:w="-714" w:type="dxa"/>
          <w:tblLook w:val="04A0"/>
        </w:tblPrEx>
        <w:tc>
          <w:tcPr>
            <w:tcW w:w="1985" w:type="dxa"/>
            <w:vMerge/>
          </w:tcPr>
          <w:p w:rsidR="008076C0" w:rsidRPr="00615CA9" w:rsidP="00DD64F8">
            <w:pPr>
              <w:rPr>
                <w:rFonts w:ascii="Calibri" w:hAnsi="Calibri" w:cs="Calibri"/>
                <w:b/>
                <w:sz w:val="22"/>
                <w:szCs w:val="22"/>
              </w:rPr>
            </w:pPr>
          </w:p>
        </w:tc>
        <w:tc>
          <w:tcPr>
            <w:tcW w:w="8505" w:type="dxa"/>
          </w:tcPr>
          <w:p w:rsidR="008076C0" w:rsidRPr="00615CA9" w:rsidP="00845FC8">
            <w:pPr>
              <w:rPr>
                <w:rFonts w:ascii="Calibri" w:hAnsi="Calibri" w:cs="Calibri"/>
              </w:rPr>
            </w:pPr>
            <w:r w:rsidRPr="00615CA9">
              <w:rPr>
                <w:rFonts w:ascii="Calibri" w:hAnsi="Calibri" w:cs="Calibri"/>
              </w:rPr>
              <w:t>There are feedback mechanisms built into transition training at GOSH, and feedback is reviewed and acted upon to improve future sessions and resources. Training uptake data are also available, which allows the Trust to monitor engagement with the offer.</w:t>
            </w:r>
          </w:p>
          <w:p w:rsidR="008076C0" w:rsidRPr="00615CA9" w:rsidP="00845FC8">
            <w:pPr>
              <w:rPr>
                <w:rFonts w:ascii="Calibri" w:hAnsi="Calibri" w:cs="Calibri"/>
              </w:rPr>
            </w:pPr>
          </w:p>
          <w:p w:rsidR="008076C0" w:rsidRPr="00615CA9" w:rsidP="00845FC8">
            <w:pPr>
              <w:rPr>
                <w:rFonts w:ascii="Calibri" w:hAnsi="Calibri" w:cs="Calibri"/>
              </w:rPr>
            </w:pPr>
            <w:r w:rsidRPr="00615CA9">
              <w:rPr>
                <w:rFonts w:ascii="Calibri" w:hAnsi="Calibri" w:cs="Calibri"/>
              </w:rPr>
              <w:t xml:space="preserve">However, uptake data alone are not sufficient to demonstrate whether training improves practice or young people’s experiences. Future evaluation should link staff training uptake and feedback with wider outcome measures, including use of Epic </w:t>
            </w:r>
            <w:r w:rsidRPr="00615CA9">
              <w:rPr>
                <w:rFonts w:ascii="Calibri" w:hAnsi="Calibri" w:cs="Calibri"/>
              </w:rPr>
              <w:t>transition documentation, Check-In Tool responses, PREMs, transfer outcomes, and young people/family feedback.</w:t>
            </w:r>
          </w:p>
          <w:p w:rsidR="008076C0" w:rsidRPr="00615CA9" w:rsidP="00845FC8">
            <w:pPr>
              <w:rPr>
                <w:rFonts w:ascii="Calibri" w:hAnsi="Calibri" w:cs="Calibri"/>
              </w:rPr>
            </w:pPr>
          </w:p>
          <w:p w:rsidR="008076C0" w:rsidRPr="00615CA9" w:rsidP="00DD64F8">
            <w:pPr>
              <w:rPr>
                <w:rFonts w:ascii="Calibri" w:hAnsi="Calibri" w:cs="Calibri"/>
              </w:rPr>
            </w:pPr>
            <w:r w:rsidRPr="00615CA9">
              <w:rPr>
                <w:rFonts w:ascii="Calibri" w:hAnsi="Calibri" w:cs="Calibri"/>
              </w:rPr>
              <w:t>This would allow services to understand not only whether staff are attending training, but whether training is translating into improved communication, earlier transition conversations, better documentation, and more meaningful patient empowerment.</w:t>
            </w:r>
          </w:p>
          <w:p w:rsidR="008076C0" w:rsidRPr="00615CA9" w:rsidP="00DD64F8">
            <w:pPr>
              <w:rPr>
                <w:rFonts w:ascii="Calibri" w:hAnsi="Calibri" w:cs="Calibri"/>
              </w:rPr>
            </w:pPr>
          </w:p>
        </w:tc>
      </w:tr>
      <w:tr w:rsidTr="4FF11C81">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Equality and diversity</w:t>
            </w:r>
          </w:p>
        </w:tc>
        <w:tc>
          <w:tcPr>
            <w:tcW w:w="8505" w:type="dxa"/>
          </w:tcPr>
          <w:p w:rsidR="008076C0" w:rsidRPr="00615CA9" w:rsidP="00DD64F8">
            <w:pPr>
              <w:rPr>
                <w:rFonts w:ascii="Calibri" w:hAnsi="Calibri" w:cs="Calibri"/>
              </w:rPr>
            </w:pPr>
            <w:r w:rsidRPr="00615CA9">
              <w:rPr>
                <w:rFonts w:ascii="Calibri" w:hAnsi="Calibri" w:eastAsiaTheme="minorEastAsia" w:cs="Calibri"/>
                <w:sz w:val="22"/>
              </w:rPr>
              <w:t>1. To what extent are staff trained to deliver person-centred care for young people with additional needs, and to support their carers?</w:t>
            </w:r>
          </w:p>
        </w:tc>
      </w:tr>
      <w:tr w:rsidTr="4FF11C81">
        <w:tblPrEx>
          <w:tblW w:w="10490" w:type="dxa"/>
          <w:tblInd w:w="-714" w:type="dxa"/>
          <w:tblLook w:val="04A0"/>
        </w:tblPrEx>
        <w:tc>
          <w:tcPr>
            <w:tcW w:w="1985" w:type="dxa"/>
            <w:vMerge/>
          </w:tcPr>
          <w:p w:rsidR="008076C0" w:rsidRPr="00615CA9" w:rsidP="00DD64F8">
            <w:pPr>
              <w:rPr>
                <w:rFonts w:ascii="Calibri" w:hAnsi="Calibri" w:cs="Calibri"/>
              </w:rPr>
            </w:pPr>
          </w:p>
        </w:tc>
        <w:tc>
          <w:tcPr>
            <w:tcW w:w="8505" w:type="dxa"/>
          </w:tcPr>
          <w:p w:rsidR="008076C0" w:rsidRPr="00615CA9" w:rsidP="001F65D2">
            <w:pPr>
              <w:rPr>
                <w:rFonts w:ascii="Calibri" w:hAnsi="Calibri" w:cs="Calibri"/>
              </w:rPr>
            </w:pPr>
            <w:r w:rsidRPr="00615CA9">
              <w:rPr>
                <w:rFonts w:ascii="Calibri" w:hAnsi="Calibri" w:cs="Calibri"/>
              </w:rPr>
              <w:t>Staff receive training through multiple routes to support person-centred care for young people with additional needs and their carers. At GOSH, this is covered briefly within statutory mandatory transition training, with more detailed consideration included within Level 3 safeguarding training. The Oliver McGowan Mandatory Training on Learning Disability and Autism also provides an important mandatory training route, and GOSH is developing additional transition-related content within this programme.</w:t>
            </w:r>
          </w:p>
          <w:p w:rsidR="008076C0" w:rsidRPr="00615CA9" w:rsidP="001F65D2">
            <w:pPr>
              <w:rPr>
                <w:rFonts w:ascii="Calibri" w:hAnsi="Calibri" w:cs="Calibri"/>
              </w:rPr>
            </w:pPr>
          </w:p>
          <w:p w:rsidR="008076C0" w:rsidRPr="00615CA9" w:rsidP="001F65D2">
            <w:pPr>
              <w:rPr>
                <w:rFonts w:ascii="Calibri" w:hAnsi="Calibri" w:cs="Calibri"/>
              </w:rPr>
            </w:pPr>
            <w:r w:rsidRPr="00615CA9">
              <w:rPr>
                <w:rFonts w:ascii="Calibri" w:hAnsi="Calibri" w:cs="Calibri"/>
              </w:rPr>
              <w:t>Further training is available through the optional GOSH Learning Academy four-part patient empowerment and healthcare transition series, which includes a dedicated session focused on supporting young people with additional needs and their families/carers. Optional Me first training also supports staff to improve communication with children and young people through child-centred approaches, practical tools and communication strategies.</w:t>
            </w:r>
          </w:p>
          <w:p w:rsidR="008076C0" w:rsidRPr="00615CA9" w:rsidP="001F65D2">
            <w:pPr>
              <w:rPr>
                <w:rFonts w:ascii="Calibri" w:hAnsi="Calibri" w:cs="Calibri"/>
              </w:rPr>
            </w:pPr>
          </w:p>
          <w:p w:rsidR="008076C0" w:rsidRPr="00615CA9" w:rsidP="001F65D2">
            <w:pPr>
              <w:rPr>
                <w:rFonts w:ascii="Calibri" w:hAnsi="Calibri" w:cs="Calibri"/>
              </w:rPr>
            </w:pPr>
            <w:r w:rsidRPr="00615CA9">
              <w:rPr>
                <w:rFonts w:ascii="Calibri" w:hAnsi="Calibri" w:cs="Calibri"/>
              </w:rPr>
              <w:t>Patient empowerment is taught throughout these programmes through the wider principles of developmentally appropriate</w:t>
            </w:r>
            <w:r w:rsidRPr="00615CA9">
              <w:rPr>
                <w:rFonts w:ascii="Calibri" w:hAnsi="Calibri" w:cs="Calibri"/>
                <w:sz w:val="22"/>
                <w:szCs w:val="22"/>
              </w:rPr>
              <w:t xml:space="preserve"> and individualised</w:t>
            </w:r>
            <w:r w:rsidRPr="00615CA9">
              <w:rPr>
                <w:rFonts w:ascii="Calibri" w:hAnsi="Calibri" w:cs="Calibri"/>
              </w:rPr>
              <w:t xml:space="preserve"> healthcare. As a result, person-centred care, communication, gradual independence-building, family involvement, reasonable adjustments, and tailoring care to the young person’s developmental stage are reinforced throughout the training rather than taught as isolated concepts.</w:t>
            </w:r>
          </w:p>
          <w:p w:rsidR="008076C0" w:rsidRPr="00615CA9" w:rsidP="001F65D2">
            <w:pPr>
              <w:rPr>
                <w:rFonts w:ascii="Calibri" w:hAnsi="Calibri" w:cs="Calibri"/>
              </w:rPr>
            </w:pPr>
          </w:p>
          <w:p w:rsidR="008076C0" w:rsidRPr="00615CA9" w:rsidP="001F65D2">
            <w:pPr>
              <w:rPr>
                <w:rFonts w:ascii="Calibri" w:hAnsi="Calibri" w:cs="Calibri"/>
              </w:rPr>
            </w:pPr>
            <w:r w:rsidRPr="00615CA9">
              <w:rPr>
                <w:rFonts w:ascii="Calibri" w:hAnsi="Calibri" w:cs="Calibri"/>
              </w:rPr>
              <w:t>However, because some of the more in-depth training is optional, uptake may vary between staff and services. More consistent training, regular refreshers and practical specialty-level support would help ensure staff feel confident to provide person-centred transition support, reasonable adjustments, accessible communication, and appropriate involvement of carers across all pathways.</w:t>
            </w:r>
          </w:p>
          <w:p w:rsidR="008076C0" w:rsidRPr="00615CA9" w:rsidP="00DD64F8">
            <w:pPr>
              <w:rPr>
                <w:rFonts w:ascii="Calibri" w:hAnsi="Calibri" w:cs="Calibri"/>
              </w:rPr>
            </w:pPr>
          </w:p>
        </w:tc>
      </w:tr>
    </w:tbl>
    <w:p w:rsidR="008076C0" w:rsidRPr="00615CA9">
      <w:pPr>
        <w:rPr>
          <w:rFonts w:ascii="Calibri" w:hAnsi="Calibri" w:cs="Calibri"/>
        </w:rPr>
      </w:pPr>
    </w:p>
    <w:p w:rsidR="008076C0" w:rsidRPr="00615CA9">
      <w:pPr>
        <w:rPr>
          <w:rFonts w:ascii="Calibri" w:hAnsi="Calibri" w:cs="Calibri"/>
        </w:rPr>
      </w:pPr>
    </w:p>
    <w:tbl>
      <w:tblPr>
        <w:tblStyle w:val="TableGrid"/>
        <w:tblW w:w="10490" w:type="dxa"/>
        <w:tblInd w:w="-714" w:type="dxa"/>
        <w:tblLook w:val="04A0"/>
      </w:tblPr>
      <w:tblGrid>
        <w:gridCol w:w="1985"/>
        <w:gridCol w:w="8505"/>
      </w:tblGrid>
      <w:tr w:rsidTr="00DD64F8">
        <w:tblPrEx>
          <w:tblW w:w="10490" w:type="dxa"/>
          <w:tblInd w:w="-714" w:type="dxa"/>
          <w:tblLook w:val="04A0"/>
        </w:tblPrEx>
        <w:tc>
          <w:tcPr>
            <w:tcW w:w="10490" w:type="dxa"/>
            <w:gridSpan w:val="2"/>
          </w:tcPr>
          <w:p w:rsidR="008076C0" w:rsidRPr="00615CA9">
            <w:pPr>
              <w:rPr>
                <w:rFonts w:ascii="Calibri" w:hAnsi="Calibri" w:cs="Calibri"/>
                <w:b/>
                <w:bCs/>
              </w:rPr>
            </w:pPr>
            <w:r w:rsidRPr="00615CA9">
              <w:rPr>
                <w:rFonts w:ascii="Calibri" w:hAnsi="Calibri" w:cs="Calibri"/>
                <w:b/>
                <w:bCs/>
              </w:rPr>
              <w:t xml:space="preserve">FOCUS AREA 5 </w:t>
            </w:r>
          </w:p>
          <w:p w:rsidR="008076C0" w:rsidRPr="00615CA9" w:rsidP="00DD64F8">
            <w:pPr>
              <w:rPr>
                <w:rFonts w:ascii="Calibri" w:hAnsi="Calibri" w:cs="Calibri"/>
                <w:b/>
                <w:bCs/>
              </w:rPr>
            </w:pPr>
            <w:r w:rsidRPr="00615CA9">
              <w:rPr>
                <w:rFonts w:ascii="Calibri" w:hAnsi="Calibri" w:cs="Calibri"/>
                <w:b/>
                <w:bCs/>
              </w:rPr>
              <w:t xml:space="preserve">ENABLING DEVELOPMENTALLY APPROPRIATE INDEPENDENCE </w:t>
            </w:r>
          </w:p>
        </w:tc>
      </w:tr>
      <w:tr w:rsidTr="00DD64F8">
        <w:tblPrEx>
          <w:tblW w:w="10490" w:type="dxa"/>
          <w:tblInd w:w="-714" w:type="dxa"/>
          <w:tblLook w:val="04A0"/>
        </w:tblPrEx>
        <w:trPr>
          <w:trHeight w:val="2550"/>
        </w:trPr>
        <w:tc>
          <w:tcPr>
            <w:tcW w:w="10490" w:type="dxa"/>
            <w:gridSpan w:val="2"/>
          </w:tcPr>
          <w:p w:rsidR="008076C0" w:rsidRPr="00615CA9" w:rsidP="00DD64F8">
            <w:pPr>
              <w:spacing w:after="120" w:line="259" w:lineRule="auto"/>
              <w:rPr>
                <w:rFonts w:ascii="Calibri" w:hAnsi="Calibri" w:cs="Calibri"/>
                <w:sz w:val="22"/>
                <w:szCs w:val="22"/>
              </w:rPr>
            </w:pPr>
            <w:r w:rsidRPr="00615CA9">
              <w:rPr>
                <w:rFonts w:ascii="Calibri" w:hAnsi="Calibri" w:cs="Calibri"/>
                <w:b/>
                <w:bCs/>
                <w:sz w:val="22"/>
                <w:szCs w:val="22"/>
              </w:rPr>
              <w:t>Statement of intent 1</w:t>
            </w:r>
            <w:r w:rsidRPr="00615CA9">
              <w:rPr>
                <w:rFonts w:ascii="Calibri" w:hAnsi="Calibri" w:cs="Calibri"/>
                <w:sz w:val="22"/>
                <w:szCs w:val="22"/>
              </w:rPr>
              <w:t xml:space="preserve">: </w:t>
            </w:r>
            <w:r w:rsidRPr="00615CA9">
              <w:rPr>
                <w:rFonts w:ascii="Calibri" w:hAnsi="Calibri" w:cs="Calibri"/>
                <w:sz w:val="22"/>
                <w:szCs w:val="22"/>
                <w:lang w:val="en-US"/>
              </w:rPr>
              <w:t>Service managers should ensure there are developmentally appropriate services for children, young people and adults to support transition, for example, age banded clinics. </w:t>
            </w:r>
            <w:r>
              <w:fldChar w:fldCharType="begin"/>
            </w:r>
            <w:r>
              <w:instrText xml:space="preserve"> HYPERLINK "https://www.nice.org.uk/guidance/ng43/chapter/Recommendations" \l "transition-planning" </w:instrText>
            </w:r>
            <w:r>
              <w:fldChar w:fldCharType="separate"/>
            </w:r>
            <w:r w:rsidRPr="00615CA9">
              <w:rPr>
                <w:rStyle w:val="Hyperlink"/>
                <w:rFonts w:ascii="Calibri" w:hAnsi="Calibri" w:cs="Calibri"/>
                <w:color w:val="auto"/>
                <w:sz w:val="22"/>
                <w:szCs w:val="22"/>
                <w:lang w:val="en-US"/>
              </w:rPr>
              <w:t>NICE NG43 (1.5.11, 2016)</w:t>
            </w:r>
            <w:r>
              <w:fldChar w:fldCharType="end"/>
            </w:r>
            <w:r w:rsidRPr="00615CA9">
              <w:rPr>
                <w:rFonts w:ascii="Calibri" w:hAnsi="Calibri" w:cs="Calibri"/>
                <w:sz w:val="22"/>
                <w:szCs w:val="22"/>
              </w:rPr>
              <w:t> </w:t>
            </w:r>
          </w:p>
          <w:p w:rsidR="008076C0" w:rsidRPr="00615CA9" w:rsidP="00DD64F8">
            <w:pPr>
              <w:spacing w:after="120" w:line="259" w:lineRule="auto"/>
              <w:rPr>
                <w:rFonts w:ascii="Calibri" w:hAnsi="Calibri" w:cs="Calibri"/>
                <w:sz w:val="22"/>
                <w:szCs w:val="22"/>
              </w:rPr>
            </w:pPr>
            <w:r w:rsidRPr="00615CA9">
              <w:rPr>
                <w:rFonts w:ascii="Calibri" w:hAnsi="Calibri" w:cs="Calibri"/>
                <w:b/>
                <w:bCs/>
                <w:sz w:val="22"/>
                <w:szCs w:val="22"/>
              </w:rPr>
              <w:t xml:space="preserve">Statement of intent 2: </w:t>
            </w:r>
            <w:r w:rsidRPr="00615CA9">
              <w:rPr>
                <w:rFonts w:ascii="Calibri" w:hAnsi="Calibri" w:cs="Calibri"/>
                <w:sz w:val="22"/>
                <w:szCs w:val="22"/>
                <w:lang w:val="en-US"/>
              </w:rPr>
              <w:t>Use person-centred approaches to ensure that transition support addresses all relevant outcomes, including those related to education and employment, community inclusion, health and wellbeing, including emotional health, independent living and housing options. </w:t>
            </w:r>
            <w:r>
              <w:fldChar w:fldCharType="begin"/>
            </w:r>
            <w:r>
              <w:instrText xml:space="preserve"> HYPERLINK "https://www.nice.org.uk/guidance/ng43/chapter/Recommendations" \l "transition-planning" </w:instrText>
            </w:r>
            <w:r>
              <w:fldChar w:fldCharType="separate"/>
            </w:r>
            <w:r w:rsidRPr="00615CA9">
              <w:rPr>
                <w:rStyle w:val="Hyperlink"/>
                <w:rFonts w:ascii="Calibri" w:hAnsi="Calibri" w:cs="Calibri"/>
                <w:color w:val="auto"/>
                <w:sz w:val="22"/>
                <w:szCs w:val="22"/>
                <w:lang w:val="en-US"/>
              </w:rPr>
              <w:t>NICE NG43 (1.1.4)</w:t>
            </w:r>
            <w:r>
              <w:fldChar w:fldCharType="end"/>
            </w:r>
            <w:r w:rsidRPr="00615CA9">
              <w:rPr>
                <w:rFonts w:ascii="Calibri" w:hAnsi="Calibri" w:cs="Calibri"/>
                <w:sz w:val="22"/>
                <w:szCs w:val="22"/>
              </w:rPr>
              <w:t> </w:t>
            </w:r>
          </w:p>
          <w:p w:rsidR="008076C0" w:rsidRPr="00615CA9" w:rsidP="00DD64F8">
            <w:pPr>
              <w:spacing w:line="259" w:lineRule="auto"/>
              <w:rPr>
                <w:rFonts w:ascii="Calibri" w:hAnsi="Calibri" w:cs="Calibri"/>
                <w:sz w:val="22"/>
                <w:szCs w:val="22"/>
              </w:rPr>
            </w:pPr>
            <w:r w:rsidRPr="00615CA9">
              <w:rPr>
                <w:rFonts w:ascii="Calibri" w:hAnsi="Calibri" w:cs="Calibri"/>
                <w:b/>
                <w:bCs/>
                <w:sz w:val="22"/>
                <w:szCs w:val="22"/>
              </w:rPr>
              <w:t>Statement of intent 3</w:t>
            </w:r>
            <w:r w:rsidRPr="00615CA9">
              <w:rPr>
                <w:rFonts w:ascii="Calibri" w:hAnsi="Calibri" w:cs="Calibri"/>
                <w:sz w:val="22"/>
                <w:szCs w:val="22"/>
              </w:rPr>
              <w:t xml:space="preserve">: Local authorities are required to maintain a Pathway Plan for every eligible care leaver, setting out how the young person’s health needs- including mental health- will be met. </w:t>
            </w:r>
            <w:r>
              <w:fldChar w:fldCharType="begin"/>
            </w:r>
            <w:r>
              <w:instrText xml:space="preserve"> HYPERLINK "https://www.legislation.gov.uk/ukpga/1989/41/contents" </w:instrText>
            </w:r>
            <w:r>
              <w:fldChar w:fldCharType="separate"/>
            </w:r>
            <w:r w:rsidRPr="00615CA9">
              <w:rPr>
                <w:rStyle w:val="Hyperlink"/>
                <w:rFonts w:ascii="Calibri" w:hAnsi="Calibri" w:cs="Calibri"/>
                <w:color w:val="auto"/>
                <w:sz w:val="22"/>
                <w:szCs w:val="22"/>
              </w:rPr>
              <w:t>Children Act 1989</w:t>
            </w:r>
            <w:r>
              <w:fldChar w:fldCharType="end"/>
            </w:r>
            <w:r w:rsidRPr="00615CA9">
              <w:rPr>
                <w:rFonts w:ascii="Calibri" w:hAnsi="Calibri" w:cs="Calibri"/>
                <w:sz w:val="22"/>
                <w:szCs w:val="22"/>
              </w:rPr>
              <w:t xml:space="preserve"> as amended by the </w:t>
            </w:r>
            <w:r>
              <w:fldChar w:fldCharType="begin"/>
            </w:r>
            <w:r>
              <w:instrText xml:space="preserve"> HYPERLINK "https://www.legislation.gov.uk/ukpga/2000/35/contents" </w:instrText>
            </w:r>
            <w:r>
              <w:fldChar w:fldCharType="separate"/>
            </w:r>
            <w:r w:rsidRPr="00615CA9">
              <w:rPr>
                <w:rStyle w:val="Hyperlink"/>
                <w:rFonts w:ascii="Calibri" w:hAnsi="Calibri" w:cs="Calibri"/>
                <w:color w:val="auto"/>
                <w:sz w:val="22"/>
                <w:szCs w:val="22"/>
              </w:rPr>
              <w:t>Children (Leaving Care) Act 2000</w:t>
            </w:r>
            <w:r>
              <w:fldChar w:fldCharType="end"/>
            </w:r>
            <w:r w:rsidRPr="00615CA9">
              <w:rPr>
                <w:rFonts w:ascii="Calibri" w:hAnsi="Calibri" w:cs="Calibri"/>
                <w:sz w:val="22"/>
                <w:szCs w:val="22"/>
              </w:rPr>
              <w:t>.</w:t>
            </w: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Resourcing</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1. Are services sufficiently resourced to offer developmentally appropriate provisions, such as age-banded services, and how is this monitored?</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6C7163">
            <w:pPr>
              <w:rPr>
                <w:rFonts w:ascii="Calibri" w:hAnsi="Calibri" w:cs="Calibri"/>
                <w:sz w:val="22"/>
                <w:szCs w:val="22"/>
              </w:rPr>
            </w:pPr>
            <w:r w:rsidRPr="00615CA9">
              <w:rPr>
                <w:rFonts w:ascii="Calibri" w:hAnsi="Calibri" w:cs="Calibri"/>
                <w:sz w:val="22"/>
                <w:szCs w:val="22"/>
              </w:rPr>
              <w:t>Services are not consistently resourced to offer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provision such as age-banded clinics, adolescent services, youth work, peer support, or dedicated transition pathways. Where these services exist, they are often highly valued by young people and families, but provision varies significantly between specialties.</w:t>
            </w:r>
          </w:p>
          <w:p w:rsidR="008076C0" w:rsidRPr="00615CA9" w:rsidP="006C7163">
            <w:pPr>
              <w:rPr>
                <w:rFonts w:ascii="Calibri" w:hAnsi="Calibri" w:cs="Calibri"/>
                <w:sz w:val="22"/>
                <w:szCs w:val="22"/>
              </w:rPr>
            </w:pPr>
          </w:p>
          <w:p w:rsidR="008076C0" w:rsidRPr="00615CA9" w:rsidP="006C7163">
            <w:pPr>
              <w:rPr>
                <w:rFonts w:ascii="Calibri" w:hAnsi="Calibri" w:cs="Calibri"/>
                <w:sz w:val="22"/>
                <w:szCs w:val="22"/>
              </w:rPr>
            </w:pPr>
            <w:r w:rsidRPr="00615CA9">
              <w:rPr>
                <w:rFonts w:ascii="Calibri" w:hAnsi="Calibri" w:cs="Calibri"/>
                <w:sz w:val="22"/>
                <w:szCs w:val="22"/>
              </w:rPr>
              <w:t>At GOSH, some services have established adolescent-focused pathways or clinics, including areas such as congenital cardiology, rheumatology, renal, dermatology and other specialist services. These models allow young people to be seen in a more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way, with time for education, confidence-building, psychosocial discussion, preparation for adult care, and gradual involvement in decision-making.</w:t>
            </w:r>
          </w:p>
          <w:p w:rsidR="008076C0" w:rsidRPr="00615CA9" w:rsidP="006C7163">
            <w:pPr>
              <w:rPr>
                <w:rFonts w:ascii="Calibri" w:hAnsi="Calibri" w:cs="Calibri"/>
                <w:sz w:val="22"/>
                <w:szCs w:val="22"/>
              </w:rPr>
            </w:pPr>
          </w:p>
          <w:p w:rsidR="008076C0" w:rsidRPr="00615CA9" w:rsidP="006C7163">
            <w:pPr>
              <w:rPr>
                <w:rFonts w:ascii="Calibri" w:hAnsi="Calibri" w:cs="Calibri"/>
                <w:sz w:val="22"/>
                <w:szCs w:val="22"/>
              </w:rPr>
            </w:pPr>
            <w:r w:rsidRPr="00615CA9">
              <w:rPr>
                <w:rFonts w:ascii="Calibri" w:hAnsi="Calibri" w:cs="Calibri"/>
                <w:sz w:val="22"/>
                <w:szCs w:val="22"/>
              </w:rPr>
              <w:t>However, such provision is not universal. Many services continue to deliver care within standard paediatric clinics, where time, space, staffing and clinical pressures may limit opportunities for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conversations. In these settings, transition support may depend on individual clinicians rather than being embedded within the service model.</w:t>
            </w:r>
          </w:p>
          <w:p w:rsidR="008076C0" w:rsidRPr="00615CA9" w:rsidP="006C7163">
            <w:pPr>
              <w:rPr>
                <w:rFonts w:ascii="Calibri" w:hAnsi="Calibri" w:cs="Calibri"/>
                <w:sz w:val="22"/>
                <w:szCs w:val="22"/>
              </w:rPr>
            </w:pPr>
          </w:p>
          <w:p w:rsidR="008076C0" w:rsidRPr="00615CA9" w:rsidP="006C7163">
            <w:pPr>
              <w:rPr>
                <w:rFonts w:ascii="Calibri" w:hAnsi="Calibri" w:cs="Calibri"/>
                <w:sz w:val="22"/>
                <w:szCs w:val="22"/>
              </w:rPr>
            </w:pPr>
            <w:r w:rsidRPr="00615CA9">
              <w:rPr>
                <w:rFonts w:ascii="Calibri" w:hAnsi="Calibri" w:cs="Calibri"/>
                <w:sz w:val="22"/>
                <w:szCs w:val="22"/>
              </w:rPr>
              <w:t>Dedicated age-banded or adolescent transition clinics can also be difficult to establish in services with smaller patient cohorts. Where clinics run only occasionally, young people may have limited choice of appointment dates, and practical barriers such as illness, transport difficulties, school commitments, examinations, or family responsibilities can mean they miss the opportunity to attend. For smaller specialties,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provision may therefore need to be delivered through flexible models, such as embedding transition discussions into routine clinics, virtual education, shared clinics across related specialties, or individualised transition appointments rather than relying solely on separate age-banded clinics.</w:t>
            </w:r>
          </w:p>
          <w:p w:rsidR="008076C0" w:rsidRPr="00615CA9" w:rsidP="006C7163">
            <w:pPr>
              <w:rPr>
                <w:rFonts w:ascii="Calibri" w:hAnsi="Calibri" w:cs="Calibri"/>
                <w:sz w:val="22"/>
                <w:szCs w:val="22"/>
              </w:rPr>
            </w:pPr>
          </w:p>
          <w:p w:rsidR="008076C0" w:rsidRPr="00615CA9" w:rsidP="006C7163">
            <w:pPr>
              <w:rPr>
                <w:rFonts w:ascii="Calibri" w:hAnsi="Calibri" w:cs="Calibri"/>
                <w:sz w:val="22"/>
                <w:szCs w:val="22"/>
              </w:rPr>
            </w:pPr>
            <w:r w:rsidRPr="00615CA9">
              <w:rPr>
                <w:rFonts w:ascii="Calibri" w:hAnsi="Calibri" w:cs="Calibri"/>
                <w:sz w:val="22"/>
                <w:szCs w:val="22"/>
              </w:rPr>
              <w:t>Age-banded clinics are often intended to allow young people to see peers of a similar age around them, helping to normalise the experience of attending hospital as an adolescent. In practice, however, this benefit may be limited in large paediatric hospitals where multiple clinics run simultaneously and waiting areas are still predominantly occupied by younger children. The benefit of age-banded clinics may therefore be as much about shaping clinician behaviour as the physical clinic environment: when staff</w:t>
            </w:r>
            <w:r w:rsidRPr="00615CA9">
              <w:rPr>
                <w:rFonts w:ascii="Calibri" w:hAnsi="Calibri" w:cs="Calibri"/>
                <w:sz w:val="22"/>
                <w:szCs w:val="22"/>
              </w:rPr>
              <w:t xml:space="preserve"> know they are running an adolescent-focused clinic, they are more likely to speak directly to the young person, consider developmental stage, focus on empowerment, and frame the consultation around increasing independence.</w:t>
            </w:r>
          </w:p>
          <w:p w:rsidR="008076C0" w:rsidRPr="00615CA9" w:rsidP="006C7163">
            <w:pPr>
              <w:rPr>
                <w:rFonts w:ascii="Calibri" w:hAnsi="Calibri" w:cs="Calibri"/>
                <w:sz w:val="22"/>
                <w:szCs w:val="22"/>
              </w:rPr>
            </w:pPr>
          </w:p>
          <w:p w:rsidR="008076C0" w:rsidRPr="00615CA9" w:rsidP="006C7163">
            <w:pPr>
              <w:rPr>
                <w:rFonts w:ascii="Calibri" w:hAnsi="Calibri" w:cs="Calibri"/>
                <w:sz w:val="22"/>
                <w:szCs w:val="22"/>
              </w:rPr>
            </w:pPr>
            <w:r w:rsidRPr="00615CA9">
              <w:rPr>
                <w:rFonts w:ascii="Calibri" w:hAnsi="Calibri" w:cs="Calibri"/>
                <w:sz w:val="22"/>
                <w:szCs w:val="22"/>
              </w:rPr>
              <w:t xml:space="preserve">Age-banded or adolescent services require protected clinical time, administrative support, youth work, psychology input, nursing expertise, transition coordination and appropriate </w:t>
            </w:r>
            <w:r w:rsidRPr="00615CA9">
              <w:rPr>
                <w:rFonts w:ascii="Calibri" w:hAnsi="Calibri" w:cs="Calibri"/>
                <w:sz w:val="22"/>
                <w:szCs w:val="22"/>
              </w:rPr>
              <w:t>physical or digital spaces. Without these resources, services may struggle to move beyond basic transfer planning into meaningful preparation for adult life.</w:t>
            </w:r>
          </w:p>
          <w:p w:rsidR="008076C0" w:rsidRPr="00615CA9" w:rsidP="006C7163">
            <w:pPr>
              <w:rPr>
                <w:rFonts w:ascii="Calibri" w:hAnsi="Calibri" w:cs="Calibri"/>
                <w:sz w:val="22"/>
                <w:szCs w:val="22"/>
              </w:rPr>
            </w:pPr>
          </w:p>
          <w:p w:rsidR="008076C0" w:rsidRPr="00615CA9" w:rsidP="006C7163">
            <w:pPr>
              <w:rPr>
                <w:rFonts w:ascii="Calibri" w:hAnsi="Calibri" w:cs="Calibri"/>
                <w:sz w:val="22"/>
                <w:szCs w:val="22"/>
              </w:rPr>
            </w:pPr>
            <w:r w:rsidRPr="00615CA9">
              <w:rPr>
                <w:rFonts w:ascii="Calibri" w:hAnsi="Calibri" w:cs="Calibri"/>
                <w:sz w:val="22"/>
                <w:szCs w:val="22"/>
              </w:rPr>
              <w:t xml:space="preserve">Monitoring is also still developing. At GOSH, the Epic Healthcare Transition tab, Trust-wide transition dashboard and Healthcare Transition Check-In Tools provide emerging mechanisms to monitor transition activity, age at start of documented transition, confidence, readiness and variation between services. However, monitoring of whether services are genuinely developmentally appropriate </w:t>
            </w:r>
            <w:r w:rsidRPr="00615CA9">
              <w:rPr>
                <w:rFonts w:ascii="Calibri" w:hAnsi="Calibri" w:cs="Calibri"/>
                <w:sz w:val="22"/>
                <w:szCs w:val="22"/>
              </w:rPr>
              <w:t xml:space="preserve">and individualised </w:t>
            </w:r>
            <w:r w:rsidRPr="00615CA9">
              <w:rPr>
                <w:rFonts w:ascii="Calibri" w:hAnsi="Calibri" w:cs="Calibri"/>
                <w:sz w:val="22"/>
                <w:szCs w:val="22"/>
              </w:rPr>
              <w:t>remains more difficult and currently relies on patient feedback, local audit, PREMs and service-level review.</w:t>
            </w:r>
          </w:p>
          <w:p w:rsidR="008076C0" w:rsidRPr="00615CA9" w:rsidP="006C7163">
            <w:pPr>
              <w:rPr>
                <w:rFonts w:ascii="Calibri" w:hAnsi="Calibri" w:cs="Calibri"/>
                <w:sz w:val="22"/>
                <w:szCs w:val="22"/>
              </w:rPr>
            </w:pPr>
          </w:p>
          <w:p w:rsidR="008076C0" w:rsidRPr="00615CA9" w:rsidP="00DD64F8">
            <w:pPr>
              <w:rPr>
                <w:rFonts w:ascii="Calibri" w:hAnsi="Calibri" w:cs="Calibri"/>
                <w:sz w:val="22"/>
                <w:szCs w:val="22"/>
              </w:rPr>
            </w:pPr>
            <w:r w:rsidRPr="00615CA9">
              <w:rPr>
                <w:rFonts w:ascii="Calibri" w:hAnsi="Calibri" w:cs="Calibri"/>
                <w:sz w:val="22"/>
                <w:szCs w:val="22"/>
              </w:rPr>
              <w:t xml:space="preserve">Overall, services are only partially resourced to offer developmentally appropriate </w:t>
            </w:r>
            <w:r w:rsidRPr="00615CA9">
              <w:rPr>
                <w:rFonts w:ascii="Calibri" w:hAnsi="Calibri" w:cs="Calibri"/>
                <w:sz w:val="22"/>
                <w:szCs w:val="22"/>
              </w:rPr>
              <w:t xml:space="preserve">and individualised </w:t>
            </w:r>
            <w:r w:rsidRPr="00615CA9">
              <w:rPr>
                <w:rFonts w:ascii="Calibri" w:hAnsi="Calibri" w:cs="Calibri"/>
                <w:sz w:val="22"/>
                <w:szCs w:val="22"/>
              </w:rPr>
              <w:t>provision. Strong examples exist, but wider implementation requires dedicated adolescent infrastructure, protected workforce capacity, better monitoring, and recognition that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care is a core component of safe transition rather than an optional enhancement.</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 xml:space="preserve">2. Are services sufficiently resourced to assess need and provide support for the cross-sector outcomes listed in </w:t>
            </w:r>
            <w:r>
              <w:fldChar w:fldCharType="begin"/>
            </w:r>
            <w:r>
              <w:instrText xml:space="preserve"> HYPERLINK "https://www.nice.org.uk/guidance/ng43/chapter/Recommendations" \l "transition-planning" \t "_blank" </w:instrText>
            </w:r>
            <w:r>
              <w:fldChar w:fldCharType="separate"/>
            </w:r>
            <w:r w:rsidRPr="00615CA9">
              <w:rPr>
                <w:rStyle w:val="Hyperlink"/>
                <w:rFonts w:ascii="Calibri" w:hAnsi="Calibri" w:cs="Calibri"/>
                <w:color w:val="auto"/>
                <w:sz w:val="22"/>
                <w:szCs w:val="22"/>
                <w:lang w:val="en-US"/>
              </w:rPr>
              <w:t>NICE NG43 (1.1.4)</w:t>
            </w:r>
            <w:r>
              <w:fldChar w:fldCharType="end"/>
            </w:r>
            <w:r w:rsidRPr="00615CA9">
              <w:rPr>
                <w:rFonts w:ascii="Calibri" w:hAnsi="Calibri" w:cs="Calibri"/>
              </w:rPr>
              <w:t>?</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837837">
            <w:pPr>
              <w:rPr>
                <w:rFonts w:ascii="Calibri" w:hAnsi="Calibri" w:cs="Calibri"/>
                <w:sz w:val="22"/>
                <w:szCs w:val="22"/>
              </w:rPr>
            </w:pPr>
            <w:r w:rsidRPr="00615CA9">
              <w:rPr>
                <w:rFonts w:ascii="Calibri" w:hAnsi="Calibri" w:cs="Calibri"/>
                <w:sz w:val="22"/>
                <w:szCs w:val="22"/>
              </w:rPr>
              <w:t>Few services are sufficiently resourced to assess need and provide support across the full range of cross-sector outcomes described in NICE NG43, including education, employment, community inclusion, emotional wellbeing, independent living and housing.</w:t>
            </w:r>
          </w:p>
          <w:p w:rsidR="008076C0" w:rsidRPr="00615CA9" w:rsidP="00837837">
            <w:pPr>
              <w:rPr>
                <w:rFonts w:ascii="Calibri" w:hAnsi="Calibri" w:cs="Calibri"/>
                <w:sz w:val="22"/>
                <w:szCs w:val="22"/>
              </w:rPr>
            </w:pPr>
          </w:p>
          <w:p w:rsidR="008076C0" w:rsidRPr="00615CA9" w:rsidP="00837837">
            <w:pPr>
              <w:rPr>
                <w:rFonts w:ascii="Calibri" w:hAnsi="Calibri" w:cs="Calibri"/>
                <w:sz w:val="22"/>
                <w:szCs w:val="22"/>
              </w:rPr>
            </w:pPr>
            <w:r w:rsidRPr="00615CA9">
              <w:rPr>
                <w:rFonts w:ascii="Calibri" w:hAnsi="Calibri" w:cs="Calibri"/>
                <w:sz w:val="22"/>
                <w:szCs w:val="22"/>
              </w:rPr>
              <w:t>In practice, many services focus primarily on disease-specific education, medication knowledge, surveillance, referral to adult services and transfer logistics. These are important, but they do not fully address the wider developmental outcomes that young people need to prepare for adult life.</w:t>
            </w:r>
          </w:p>
          <w:p w:rsidR="008076C0" w:rsidRPr="00615CA9" w:rsidP="00837837">
            <w:pPr>
              <w:rPr>
                <w:rFonts w:ascii="Calibri" w:hAnsi="Calibri" w:cs="Calibri"/>
                <w:sz w:val="22"/>
                <w:szCs w:val="22"/>
              </w:rPr>
            </w:pPr>
          </w:p>
          <w:p w:rsidR="008076C0" w:rsidRPr="00615CA9" w:rsidP="00837837">
            <w:pPr>
              <w:rPr>
                <w:rFonts w:ascii="Calibri" w:hAnsi="Calibri" w:cs="Calibri"/>
                <w:sz w:val="22"/>
                <w:szCs w:val="22"/>
              </w:rPr>
            </w:pPr>
            <w:r w:rsidRPr="00615CA9">
              <w:rPr>
                <w:rFonts w:ascii="Calibri" w:hAnsi="Calibri" w:cs="Calibri"/>
                <w:sz w:val="22"/>
                <w:szCs w:val="22"/>
              </w:rPr>
              <w:t>A key challenge is that meaningful transition support requires time. Attempting to cover multiple topics in a single appointment — including diagnosis, treatment, self-management, risk reduction, mental health, education, employment, relationships, social participation and adult service planning — risks cognitive overload. Young people may have a positive experience at the time, but only retain a limited amount of information if education is not phased and repeated.</w:t>
            </w:r>
          </w:p>
          <w:p w:rsidR="008076C0" w:rsidRPr="00615CA9" w:rsidP="00837837">
            <w:pPr>
              <w:rPr>
                <w:rFonts w:ascii="Calibri" w:hAnsi="Calibri" w:cs="Calibri"/>
                <w:sz w:val="22"/>
                <w:szCs w:val="22"/>
              </w:rPr>
            </w:pPr>
          </w:p>
          <w:p w:rsidR="008076C0" w:rsidRPr="00615CA9" w:rsidP="00837837">
            <w:pPr>
              <w:rPr>
                <w:rFonts w:ascii="Calibri" w:hAnsi="Calibri" w:cs="Calibri"/>
                <w:sz w:val="22"/>
                <w:szCs w:val="22"/>
              </w:rPr>
            </w:pPr>
            <w:r w:rsidRPr="00615CA9">
              <w:rPr>
                <w:rFonts w:ascii="Calibri" w:hAnsi="Calibri" w:cs="Calibri"/>
                <w:sz w:val="22"/>
                <w:szCs w:val="22"/>
              </w:rPr>
              <w:t>This was demonstrated through local quality improvement work in congenital cardiology. The endocarditis patient education project showed that redesigned education, delivered through a combination of medical clinic discussions and Clinical Nurse Specialist-led education clinics, improved how young people were empowered and educated. Rather than attempting to deliver all key information in one consultation, education was broken into smaller topics across more regular appointments. This approach reduced cognit</w:t>
            </w:r>
            <w:r w:rsidRPr="00615CA9">
              <w:rPr>
                <w:rFonts w:ascii="Calibri" w:hAnsi="Calibri" w:cs="Calibri"/>
                <w:sz w:val="22"/>
                <w:szCs w:val="22"/>
              </w:rPr>
              <w:t>ive overload and resulted in significantly improved knowledge retention at one year compared with previous teaching methods.</w:t>
            </w:r>
          </w:p>
          <w:p w:rsidR="008076C0" w:rsidRPr="00615CA9" w:rsidP="00837837">
            <w:pPr>
              <w:rPr>
                <w:rFonts w:ascii="Calibri" w:hAnsi="Calibri" w:cs="Calibri"/>
                <w:sz w:val="22"/>
                <w:szCs w:val="22"/>
              </w:rPr>
            </w:pPr>
          </w:p>
          <w:p w:rsidR="008076C0" w:rsidRPr="00615CA9" w:rsidP="00837837">
            <w:pPr>
              <w:rPr>
                <w:rFonts w:ascii="Calibri" w:hAnsi="Calibri" w:cs="Calibri"/>
                <w:sz w:val="22"/>
                <w:szCs w:val="22"/>
              </w:rPr>
            </w:pPr>
            <w:r w:rsidRPr="00615CA9">
              <w:rPr>
                <w:rFonts w:ascii="Calibri" w:hAnsi="Calibri" w:cs="Calibri"/>
                <w:sz w:val="22"/>
                <w:szCs w:val="22"/>
              </w:rPr>
              <w:t>The project also tested more novel education methods, including incentivised digital quizzes that young people could complete independently while waiting in clinic. This helped turn waiting time into an opportunity for active learning and encouraged young people and families to engage with key prevention messages before or alongside clinical discussion. This reflects an important principle of patient empowerment: supporting young people to do more for themselves, practise accessing reliable information, and</w:t>
            </w:r>
            <w:r w:rsidRPr="00615CA9">
              <w:rPr>
                <w:rFonts w:ascii="Calibri" w:hAnsi="Calibri" w:cs="Calibri"/>
                <w:sz w:val="22"/>
                <w:szCs w:val="22"/>
              </w:rPr>
              <w:t xml:space="preserve"> take an active role in their own learning rather than relying solely on clinician-led education.</w:t>
            </w:r>
          </w:p>
          <w:p w:rsidR="008076C0" w:rsidRPr="00615CA9" w:rsidP="00837837">
            <w:pPr>
              <w:rPr>
                <w:rFonts w:ascii="Calibri" w:hAnsi="Calibri" w:cs="Calibri"/>
                <w:sz w:val="22"/>
                <w:szCs w:val="22"/>
              </w:rPr>
            </w:pPr>
          </w:p>
          <w:p w:rsidR="008076C0" w:rsidRPr="00615CA9" w:rsidP="00837837">
            <w:pPr>
              <w:rPr>
                <w:rFonts w:ascii="Calibri" w:hAnsi="Calibri" w:cs="Calibri"/>
                <w:sz w:val="22"/>
                <w:szCs w:val="22"/>
              </w:rPr>
            </w:pPr>
            <w:r w:rsidRPr="00615CA9">
              <w:rPr>
                <w:rFonts w:ascii="Calibri" w:hAnsi="Calibri" w:cs="Calibri"/>
                <w:sz w:val="22"/>
                <w:szCs w:val="22"/>
              </w:rPr>
              <w:t>This learning is highly relevant to broader transition support. Supporting young people across the outcomes listed in NICE NG43 requires repeated,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conversations over time, not one-off information delivery. It also requires staff with the right skills and enough capacity to address broader life outcomes, including education, employment, emotional wellbeing, family roles, social participation and independent living.</w:t>
            </w:r>
          </w:p>
          <w:p w:rsidR="008076C0" w:rsidRPr="00615CA9" w:rsidP="00837837">
            <w:pPr>
              <w:rPr>
                <w:rFonts w:ascii="Calibri" w:hAnsi="Calibri" w:cs="Calibri"/>
                <w:sz w:val="22"/>
                <w:szCs w:val="22"/>
              </w:rPr>
            </w:pPr>
          </w:p>
          <w:p w:rsidR="008076C0" w:rsidRPr="00615CA9" w:rsidP="00837837">
            <w:pPr>
              <w:rPr>
                <w:rFonts w:ascii="Calibri" w:hAnsi="Calibri" w:cs="Calibri"/>
                <w:sz w:val="22"/>
                <w:szCs w:val="22"/>
              </w:rPr>
            </w:pPr>
            <w:r w:rsidRPr="00615CA9">
              <w:rPr>
                <w:rFonts w:ascii="Calibri" w:hAnsi="Calibri" w:cs="Calibri"/>
                <w:sz w:val="22"/>
                <w:szCs w:val="22"/>
              </w:rPr>
              <w:t>Some services have strong examples of person-centred support, particularly where dedicated adolescent clinics, CNS-led education, youth workers, psychology, peer support, or transition coordinators are available. However, this is not consistent across specialties. In many services, there is insufficient time within standard outpatient appointments to deliver the full breadth of transition support expected by the guidance.</w:t>
            </w:r>
          </w:p>
          <w:p w:rsidR="008076C0" w:rsidRPr="00615CA9" w:rsidP="00837837">
            <w:pPr>
              <w:rPr>
                <w:rFonts w:ascii="Calibri" w:hAnsi="Calibri" w:cs="Calibri"/>
                <w:sz w:val="22"/>
                <w:szCs w:val="22"/>
              </w:rPr>
            </w:pPr>
          </w:p>
          <w:p w:rsidR="008076C0" w:rsidRPr="00615CA9" w:rsidP="00837837">
            <w:pPr>
              <w:rPr>
                <w:rFonts w:ascii="Calibri" w:hAnsi="Calibri" w:cs="Calibri"/>
                <w:sz w:val="22"/>
                <w:szCs w:val="22"/>
              </w:rPr>
            </w:pPr>
            <w:r w:rsidRPr="00615CA9">
              <w:rPr>
                <w:rFonts w:ascii="Calibri" w:hAnsi="Calibri" w:cs="Calibri"/>
                <w:sz w:val="22"/>
                <w:szCs w:val="22"/>
              </w:rPr>
              <w:t>Overall, the principles in NICE NG43 are appropriate, but services are not consistently resourced to deliver them fully. To address all relevant cross-sector outcomes effectively, services require protected transition time, phased education pathways, youth work, psychology and mental health support, administrative coordination, links with education and social care, and tools that help young people identify and review their own goals over time.</w:t>
            </w:r>
          </w:p>
          <w:p w:rsidR="008076C0" w:rsidRPr="00615CA9" w:rsidP="00DD64F8">
            <w:pPr>
              <w:rPr>
                <w:rFonts w:ascii="Calibri" w:hAnsi="Calibri" w:cs="Calibri"/>
                <w:sz w:val="22"/>
                <w:szCs w:val="22"/>
              </w:rPr>
            </w:pPr>
          </w:p>
          <w:p w:rsidR="008076C0" w:rsidRPr="00615CA9" w:rsidP="00DD64F8">
            <w:pPr>
              <w:rPr>
                <w:rFonts w:ascii="Calibri" w:hAnsi="Calibri" w:cs="Calibri"/>
                <w:sz w:val="22"/>
                <w:szCs w:val="22"/>
              </w:rPr>
            </w:pP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Effectiveness and implementation</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1. What methods of delivering person-centred transition support have been effective in improving outcomes across the</w:t>
            </w:r>
            <w:r w:rsidRPr="00615CA9">
              <w:rPr>
                <w:rFonts w:ascii="Calibri" w:hAnsi="Calibri" w:cs="Calibri"/>
                <w:sz w:val="22"/>
                <w:szCs w:val="22"/>
              </w:rPr>
              <w:t xml:space="preserve"> areas listed in statement of intent 2? Are there any methods that have been ineffective and have been discontinued as a result?</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F96E2B">
            <w:pPr>
              <w:rPr>
                <w:rFonts w:ascii="Calibri" w:hAnsi="Calibri" w:cs="Calibri"/>
              </w:rPr>
            </w:pPr>
            <w:r w:rsidRPr="00615CA9">
              <w:rPr>
                <w:rFonts w:ascii="Calibri" w:hAnsi="Calibri" w:cs="Calibri"/>
              </w:rPr>
              <w:t>Methods appear most effective when they are personalised, phased, repeated and embedded into routine care rather than delivered as a one-off transition discussion shortly before transfer.</w:t>
            </w:r>
          </w:p>
          <w:p w:rsidR="008076C0" w:rsidRPr="00615CA9" w:rsidP="00F96E2B">
            <w:pPr>
              <w:rPr>
                <w:rFonts w:ascii="Calibri" w:hAnsi="Calibri" w:cs="Calibri"/>
              </w:rPr>
            </w:pPr>
          </w:p>
          <w:p w:rsidR="008076C0" w:rsidRPr="00615CA9" w:rsidP="00F96E2B">
            <w:pPr>
              <w:rPr>
                <w:rFonts w:ascii="Calibri" w:hAnsi="Calibri" w:cs="Calibri"/>
              </w:rPr>
            </w:pPr>
            <w:r w:rsidRPr="00615CA9">
              <w:rPr>
                <w:rFonts w:ascii="Calibri" w:hAnsi="Calibri" w:cs="Calibri"/>
              </w:rPr>
              <w:t>Effective approaches described across services include:</w:t>
            </w:r>
            <w:r w:rsidRPr="00615CA9">
              <w:rPr>
                <w:rFonts w:ascii="Calibri" w:hAnsi="Calibri" w:cs="Calibri"/>
              </w:rPr>
              <w:br/>
              <w:t>• dedicated adolescent or young adult clinics</w:t>
            </w:r>
            <w:r w:rsidRPr="00615CA9">
              <w:rPr>
                <w:rFonts w:ascii="Calibri" w:hAnsi="Calibri" w:cs="Calibri"/>
              </w:rPr>
              <w:br/>
              <w:t>• CNS-led education sessions</w:t>
            </w:r>
            <w:r w:rsidRPr="00615CA9">
              <w:rPr>
                <w:rFonts w:ascii="Calibri" w:hAnsi="Calibri" w:cs="Calibri"/>
              </w:rPr>
              <w:br/>
            </w:r>
            <w:r w:rsidRPr="00615CA9">
              <w:rPr>
                <w:rFonts w:ascii="Calibri" w:hAnsi="Calibri" w:cs="Calibri"/>
              </w:rPr>
              <w:t>• youth-worker-led peer support</w:t>
            </w:r>
            <w:r w:rsidRPr="00615CA9">
              <w:rPr>
                <w:rFonts w:ascii="Calibri" w:hAnsi="Calibri" w:cs="Calibri"/>
              </w:rPr>
              <w:br/>
              <w:t>• buddy systems</w:t>
            </w:r>
            <w:r w:rsidRPr="00615CA9">
              <w:rPr>
                <w:rFonts w:ascii="Calibri" w:hAnsi="Calibri" w:cs="Calibri"/>
              </w:rPr>
              <w:br/>
              <w:t>• familiarisation visits or tours of adult services</w:t>
            </w:r>
            <w:r w:rsidRPr="00615CA9">
              <w:rPr>
                <w:rFonts w:ascii="Calibri" w:hAnsi="Calibri" w:cs="Calibri"/>
              </w:rPr>
              <w:br/>
              <w:t>• flexible appointment planning around exams and personal commitments</w:t>
            </w:r>
            <w:r w:rsidRPr="00615CA9">
              <w:rPr>
                <w:rFonts w:ascii="Calibri" w:hAnsi="Calibri" w:cs="Calibri"/>
              </w:rPr>
              <w:br/>
              <w:t>• digital tools such as MyChart/MyGOSH</w:t>
            </w:r>
            <w:r w:rsidRPr="00615CA9">
              <w:rPr>
                <w:rFonts w:ascii="Calibri" w:hAnsi="Calibri" w:cs="Calibri"/>
              </w:rPr>
              <w:br/>
              <w:t>• structured Check-In Tools</w:t>
            </w:r>
            <w:r w:rsidRPr="00615CA9">
              <w:rPr>
                <w:rFonts w:ascii="Calibri" w:hAnsi="Calibri" w:cs="Calibri"/>
              </w:rPr>
              <w:br/>
              <w:t>• teach-back approaches</w:t>
            </w:r>
            <w:r w:rsidRPr="00615CA9">
              <w:rPr>
                <w:rFonts w:ascii="Calibri" w:hAnsi="Calibri" w:cs="Calibri"/>
              </w:rPr>
              <w:br/>
              <w:t>• and education delivered in smaller, repeated sections over time.</w:t>
            </w:r>
          </w:p>
          <w:p w:rsidR="008076C0" w:rsidRPr="00615CA9" w:rsidP="00F96E2B">
            <w:pPr>
              <w:rPr>
                <w:rFonts w:ascii="Calibri" w:hAnsi="Calibri" w:cs="Calibri"/>
              </w:rPr>
            </w:pPr>
          </w:p>
          <w:p w:rsidR="008076C0" w:rsidRPr="00615CA9" w:rsidP="00F96E2B">
            <w:pPr>
              <w:rPr>
                <w:rFonts w:ascii="Calibri" w:hAnsi="Calibri" w:cs="Calibri"/>
              </w:rPr>
            </w:pPr>
            <w:r w:rsidRPr="00615CA9">
              <w:rPr>
                <w:rFonts w:ascii="Calibri" w:hAnsi="Calibri" w:cs="Calibri"/>
              </w:rPr>
              <w:t>The congenital cardiology endocarditis education project demonstrated the value of redesigning patient education to reduce cognitive overload. Education was delivered through a combination of medical clinic discussions and CNS-led education clinics, with information split across appointments rather than delivered all at once. This supported improved retention of key prevention messages over time.</w:t>
            </w:r>
          </w:p>
          <w:p w:rsidR="008076C0" w:rsidRPr="00615CA9" w:rsidP="00F96E2B">
            <w:pPr>
              <w:rPr>
                <w:rFonts w:ascii="Calibri" w:hAnsi="Calibri" w:cs="Calibri"/>
              </w:rPr>
            </w:pPr>
          </w:p>
          <w:p w:rsidR="008076C0" w:rsidRPr="00615CA9" w:rsidP="00F96E2B">
            <w:pPr>
              <w:rPr>
                <w:rFonts w:ascii="Calibri" w:hAnsi="Calibri" w:cs="Calibri"/>
              </w:rPr>
            </w:pPr>
            <w:r w:rsidRPr="00615CA9">
              <w:rPr>
                <w:rFonts w:ascii="Calibri" w:hAnsi="Calibri" w:cs="Calibri"/>
              </w:rPr>
              <w:t xml:space="preserve">Novel approaches such as incentivised digital quizzes in clinic waiting areas also helped young people engage independently with key prevention messages and practise learning for themselves. This reflects an important principle of patient empowerment: supporting young people to do more for themselves, practise </w:t>
            </w:r>
            <w:r w:rsidRPr="00615CA9">
              <w:rPr>
                <w:rFonts w:ascii="Calibri" w:hAnsi="Calibri" w:cs="Calibri"/>
              </w:rPr>
              <w:t>accessing reliable information, and take an active role in their own learning rather than relying solely on clinician-led education.</w:t>
            </w:r>
          </w:p>
          <w:p w:rsidR="008076C0" w:rsidRPr="00615CA9" w:rsidP="00F96E2B">
            <w:pPr>
              <w:rPr>
                <w:rFonts w:ascii="Calibri" w:hAnsi="Calibri" w:cs="Calibri"/>
              </w:rPr>
            </w:pPr>
          </w:p>
          <w:p w:rsidR="008076C0" w:rsidRPr="00615CA9" w:rsidP="00F96E2B">
            <w:pPr>
              <w:rPr>
                <w:rFonts w:ascii="Calibri" w:hAnsi="Calibri" w:cs="Calibri"/>
              </w:rPr>
            </w:pPr>
            <w:r w:rsidRPr="00615CA9">
              <w:rPr>
                <w:rFonts w:ascii="Calibri" w:hAnsi="Calibri" w:cs="Calibri"/>
              </w:rPr>
              <w:t>Nephrology also developed the “Renal Rangers” programme, a youth-worker-facilitated peer education model. This brought young people together in a psychologically safe peer setting, with specialist input from consultants, Clinical Nurse Specialists, dietitians and other MDT members to provide focused education on relevant topics. The youth worker played an important role in facilitating discussion, encouraging peer support and helping young people explore how information applied to their own lives. This mode</w:t>
            </w:r>
            <w:r w:rsidRPr="00615CA9">
              <w:rPr>
                <w:rFonts w:ascii="Calibri" w:hAnsi="Calibri" w:cs="Calibri"/>
              </w:rPr>
              <w:t>l demonstrates the value of combining specialist education with peer connection and youth-worker expertise to support confidence, engagement and self-management.</w:t>
            </w:r>
          </w:p>
          <w:p w:rsidR="008076C0" w:rsidRPr="00615CA9" w:rsidP="00F96E2B">
            <w:pPr>
              <w:rPr>
                <w:rFonts w:ascii="Calibri" w:hAnsi="Calibri" w:cs="Calibri"/>
              </w:rPr>
            </w:pPr>
          </w:p>
          <w:p w:rsidR="008076C0" w:rsidRPr="00615CA9" w:rsidP="00F96E2B">
            <w:pPr>
              <w:rPr>
                <w:rFonts w:ascii="Calibri" w:hAnsi="Calibri" w:cs="Calibri"/>
              </w:rPr>
            </w:pPr>
            <w:r w:rsidRPr="00615CA9">
              <w:rPr>
                <w:rFonts w:ascii="Calibri" w:hAnsi="Calibri" w:cs="Calibri"/>
              </w:rPr>
              <w:t>Patient information leaflets and written resources are also more effective when used as active education tools rather than simply handed to young people and families. For example, clinicians can use leaflets to structure discussion, check understanding, and apply teach-back methods, asking young people to explain key points in their own words. This allows staff to identify misunderstanding, tailor further education, and reinforce information over time.</w:t>
            </w:r>
          </w:p>
          <w:p w:rsidR="008076C0" w:rsidRPr="00615CA9" w:rsidP="00F96E2B">
            <w:pPr>
              <w:rPr>
                <w:rFonts w:ascii="Calibri" w:hAnsi="Calibri" w:cs="Calibri"/>
              </w:rPr>
            </w:pPr>
          </w:p>
          <w:p w:rsidR="008076C0" w:rsidRPr="00615CA9" w:rsidP="00F96E2B">
            <w:pPr>
              <w:rPr>
                <w:rFonts w:ascii="Calibri" w:hAnsi="Calibri" w:cs="Calibri"/>
              </w:rPr>
            </w:pPr>
            <w:r w:rsidRPr="00615CA9">
              <w:rPr>
                <w:rFonts w:ascii="Calibri" w:hAnsi="Calibri" w:cs="Calibri"/>
              </w:rPr>
              <w:t>Multimedia approaches may also improve engagement and retention when used well. Some services have used slide decks, images, diagrams, quizzes and visual explanations to support patient education. This aligns with principles such as dual coding and multimedia learning, where information is more likely to be understood and retained when verbal explanations are supported by relevant visual material. For young people, particularly those who may find long written resources difficult to engage with, visual and i</w:t>
            </w:r>
            <w:r w:rsidRPr="00615CA9">
              <w:rPr>
                <w:rFonts w:ascii="Calibri" w:hAnsi="Calibri" w:cs="Calibri"/>
              </w:rPr>
              <w:t>nteractive formats can make education more accessible, memorable</w:t>
            </w:r>
            <w:r w:rsidRPr="00615CA9">
              <w:rPr>
                <w:rFonts w:ascii="Calibri" w:hAnsi="Calibri" w:cs="Calibri"/>
              </w:rPr>
              <w:t>,</w:t>
            </w:r>
            <w:r w:rsidRPr="00615CA9">
              <w:rPr>
                <w:rFonts w:ascii="Calibri" w:hAnsi="Calibri" w:cs="Calibri"/>
              </w:rPr>
              <w:t xml:space="preserve"> developmentally appropriate</w:t>
            </w:r>
            <w:r w:rsidRPr="00615CA9">
              <w:rPr>
                <w:rFonts w:ascii="Calibri" w:hAnsi="Calibri" w:cs="Calibri"/>
                <w:sz w:val="22"/>
                <w:szCs w:val="22"/>
              </w:rPr>
              <w:t xml:space="preserve"> and individualised</w:t>
            </w:r>
            <w:r w:rsidRPr="00615CA9">
              <w:rPr>
                <w:rFonts w:ascii="Calibri" w:hAnsi="Calibri" w:cs="Calibri"/>
              </w:rPr>
              <w:t>.</w:t>
            </w:r>
          </w:p>
          <w:p w:rsidR="008076C0" w:rsidRPr="00615CA9" w:rsidP="00F96E2B">
            <w:pPr>
              <w:rPr>
                <w:rFonts w:ascii="Calibri" w:hAnsi="Calibri" w:cs="Calibri"/>
              </w:rPr>
            </w:pPr>
          </w:p>
          <w:p w:rsidR="008076C0" w:rsidRPr="00615CA9" w:rsidP="00F96E2B">
            <w:pPr>
              <w:rPr>
                <w:rFonts w:ascii="Calibri" w:hAnsi="Calibri" w:cs="Calibri"/>
              </w:rPr>
            </w:pPr>
            <w:r w:rsidRPr="00615CA9">
              <w:rPr>
                <w:rFonts w:ascii="Calibri" w:hAnsi="Calibri" w:cs="Calibri"/>
              </w:rPr>
              <w:t>The GOSH Healthcare Transition Check-In Tools also support person-centred transition by prompting young people and parents/carers to reflect on confidence, knowledge and independence before or during clinic appointments. This can create a “question-behaviour” effect: when a young person identifies low confidence in an area, they may be more likely to seek information, discuss it with family, look it up, or ask their clinician. Early pilot observations suggested that young people and families discussed their</w:t>
            </w:r>
            <w:r w:rsidRPr="00615CA9">
              <w:rPr>
                <w:rFonts w:ascii="Calibri" w:hAnsi="Calibri" w:cs="Calibri"/>
              </w:rPr>
              <w:t xml:space="preserve"> respective tools with each other in waiting areas, with some parents encouraging young people to raise topics directly with clinicians.</w:t>
            </w:r>
          </w:p>
          <w:p w:rsidR="008076C0" w:rsidRPr="00615CA9" w:rsidP="00F96E2B">
            <w:pPr>
              <w:rPr>
                <w:rFonts w:ascii="Calibri" w:hAnsi="Calibri" w:cs="Calibri"/>
              </w:rPr>
            </w:pPr>
          </w:p>
          <w:p w:rsidR="008076C0" w:rsidRPr="00615CA9" w:rsidP="00F96E2B">
            <w:pPr>
              <w:rPr>
                <w:rFonts w:ascii="Calibri" w:hAnsi="Calibri" w:cs="Calibri"/>
              </w:rPr>
            </w:pPr>
            <w:r w:rsidRPr="00615CA9">
              <w:rPr>
                <w:rFonts w:ascii="Calibri" w:hAnsi="Calibri" w:cs="Calibri"/>
              </w:rPr>
              <w:t>These approaches reflect a broader principle of patient empowerment: helping young people build knowledge, confidence and self-management skills gradually, rather than expecting them to absorb large volumes of information during isolated consultations.</w:t>
            </w:r>
          </w:p>
          <w:p w:rsidR="008076C0" w:rsidRPr="00615CA9" w:rsidP="00F96E2B">
            <w:pPr>
              <w:rPr>
                <w:rFonts w:ascii="Calibri" w:hAnsi="Calibri" w:cs="Calibri"/>
              </w:rPr>
            </w:pPr>
          </w:p>
          <w:p w:rsidR="008076C0" w:rsidRPr="00615CA9" w:rsidP="00DD64F8">
            <w:pPr>
              <w:rPr>
                <w:rFonts w:ascii="Calibri" w:hAnsi="Calibri" w:cs="Calibri"/>
              </w:rPr>
            </w:pPr>
            <w:r w:rsidRPr="00615CA9">
              <w:rPr>
                <w:rFonts w:ascii="Calibri" w:hAnsi="Calibri" w:cs="Calibri"/>
              </w:rPr>
              <w:t xml:space="preserve">Methods that appear less effective include large generic transition booklets, long information-heavy appointments, or transition discussions that attempt to cover too many topics in one sitting. Several teams reported that young people may disengage from lengthy materials, and staff may not have time to discuss them meaningfully. </w:t>
            </w:r>
            <w:r w:rsidRPr="00615CA9">
              <w:rPr>
                <w:rFonts w:ascii="Calibri" w:hAnsi="Calibri" w:cs="Calibri"/>
              </w:rPr>
              <w:t>Such approaches risk cognitive overload and poor information retention, even if the appointment experience itself is positive.</w:t>
            </w:r>
          </w:p>
          <w:p w:rsidR="008076C0" w:rsidRPr="00615CA9" w:rsidP="00DD64F8">
            <w:pPr>
              <w:rPr>
                <w:rFonts w:ascii="Calibri" w:hAnsi="Calibri" w:cs="Calibri"/>
              </w:rPr>
            </w:pP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2. What methods of service design and delivery have been effective in ensuring that transition provision is developmentally appropriate, including being responsive to young people’s developmental stage, maturity and readiness for independence? Are there any particular methods of service design which have been ineffective and discontinued?</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9777E3">
            <w:pPr>
              <w:rPr>
                <w:rFonts w:ascii="Calibri" w:hAnsi="Calibri" w:cs="Calibri"/>
                <w:sz w:val="22"/>
                <w:szCs w:val="22"/>
              </w:rPr>
            </w:pPr>
            <w:r w:rsidRPr="00615CA9">
              <w:rPr>
                <w:rFonts w:ascii="Calibri" w:hAnsi="Calibri" w:cs="Calibri"/>
                <w:sz w:val="22"/>
                <w:szCs w:val="22"/>
              </w:rPr>
              <w:t>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transition provision appears most effective where services create space for young people to be treated as adolescents and emerging adults, rather than simply as older children within paediatric services.</w:t>
            </w:r>
          </w:p>
          <w:p w:rsidR="008076C0" w:rsidRPr="00615CA9" w:rsidP="009777E3">
            <w:pPr>
              <w:rPr>
                <w:rFonts w:ascii="Calibri" w:hAnsi="Calibri" w:cs="Calibri"/>
                <w:sz w:val="22"/>
                <w:szCs w:val="22"/>
              </w:rPr>
            </w:pPr>
          </w:p>
          <w:p w:rsidR="008076C0" w:rsidRPr="00615CA9" w:rsidP="009777E3">
            <w:pPr>
              <w:rPr>
                <w:rFonts w:ascii="Calibri" w:hAnsi="Calibri" w:cs="Calibri"/>
                <w:sz w:val="22"/>
                <w:szCs w:val="22"/>
              </w:rPr>
            </w:pPr>
            <w:r w:rsidRPr="00615CA9">
              <w:rPr>
                <w:rFonts w:ascii="Calibri" w:hAnsi="Calibri" w:cs="Calibri"/>
                <w:sz w:val="22"/>
                <w:szCs w:val="22"/>
              </w:rPr>
              <w:t>Effective service design methods include:</w:t>
            </w:r>
            <w:r w:rsidRPr="00615CA9">
              <w:rPr>
                <w:rFonts w:ascii="Calibri" w:hAnsi="Calibri" w:cs="Calibri"/>
                <w:sz w:val="22"/>
                <w:szCs w:val="22"/>
              </w:rPr>
              <w:br/>
            </w:r>
            <w:r w:rsidRPr="00615CA9">
              <w:rPr>
                <w:rFonts w:ascii="Calibri" w:hAnsi="Calibri" w:cs="Calibri"/>
                <w:sz w:val="22"/>
                <w:szCs w:val="22"/>
              </w:rPr>
              <w:t>• age-banded or adolescent-focused clinics where feasible</w:t>
            </w:r>
            <w:r w:rsidRPr="00615CA9">
              <w:rPr>
                <w:rFonts w:ascii="Calibri" w:hAnsi="Calibri" w:cs="Calibri"/>
                <w:sz w:val="22"/>
                <w:szCs w:val="22"/>
              </w:rPr>
              <w:br/>
              <w:t>• young-person-centred consultations</w:t>
            </w:r>
            <w:r w:rsidRPr="00615CA9">
              <w:rPr>
                <w:rFonts w:ascii="Calibri" w:hAnsi="Calibri" w:cs="Calibri"/>
                <w:sz w:val="22"/>
                <w:szCs w:val="22"/>
              </w:rPr>
              <w:br/>
              <w:t>• gradual private consultation time with the young person</w:t>
            </w:r>
            <w:r w:rsidRPr="00615CA9">
              <w:rPr>
                <w:rFonts w:ascii="Calibri" w:hAnsi="Calibri" w:cs="Calibri"/>
                <w:sz w:val="22"/>
                <w:szCs w:val="22"/>
              </w:rPr>
              <w:br/>
              <w:t>• phased education and empowerment pathways</w:t>
            </w:r>
            <w:r w:rsidRPr="00615CA9">
              <w:rPr>
                <w:rFonts w:ascii="Calibri" w:hAnsi="Calibri" w:cs="Calibri"/>
                <w:sz w:val="22"/>
                <w:szCs w:val="22"/>
              </w:rPr>
              <w:br/>
              <w:t>• named CNS/key worker support</w:t>
            </w:r>
            <w:r w:rsidRPr="00615CA9">
              <w:rPr>
                <w:rFonts w:ascii="Calibri" w:hAnsi="Calibri" w:cs="Calibri"/>
                <w:sz w:val="22"/>
                <w:szCs w:val="22"/>
              </w:rPr>
              <w:br/>
              <w:t>• joint paediatric-adult clinics or phased introductions</w:t>
            </w:r>
            <w:r w:rsidRPr="00615CA9">
              <w:rPr>
                <w:rFonts w:ascii="Calibri" w:hAnsi="Calibri" w:cs="Calibri"/>
                <w:sz w:val="22"/>
                <w:szCs w:val="22"/>
              </w:rPr>
              <w:br/>
              <w:t>• youth-worker or peer-support models</w:t>
            </w:r>
            <w:r w:rsidRPr="00615CA9">
              <w:rPr>
                <w:rFonts w:ascii="Calibri" w:hAnsi="Calibri" w:cs="Calibri"/>
                <w:sz w:val="22"/>
                <w:szCs w:val="22"/>
              </w:rPr>
              <w:br/>
              <w:t>• psychologically safe spaces for discussion</w:t>
            </w:r>
            <w:r w:rsidRPr="00615CA9">
              <w:rPr>
                <w:rFonts w:ascii="Calibri" w:hAnsi="Calibri" w:cs="Calibri"/>
                <w:sz w:val="22"/>
                <w:szCs w:val="22"/>
              </w:rPr>
              <w:br/>
              <w:t>• multimedia and interactive education resources</w:t>
            </w:r>
            <w:r w:rsidRPr="00615CA9">
              <w:rPr>
                <w:rFonts w:ascii="Calibri" w:hAnsi="Calibri" w:cs="Calibri"/>
                <w:sz w:val="22"/>
                <w:szCs w:val="22"/>
              </w:rPr>
              <w:br/>
              <w:t>• and routine use of tools that help young people identify what they understand, what they want</w:t>
            </w:r>
            <w:r w:rsidRPr="00615CA9">
              <w:rPr>
                <w:rFonts w:ascii="Calibri" w:hAnsi="Calibri" w:cs="Calibri"/>
                <w:sz w:val="22"/>
                <w:szCs w:val="22"/>
              </w:rPr>
              <w:t xml:space="preserve"> to learn, and what support they need.</w:t>
            </w:r>
          </w:p>
          <w:p w:rsidR="008076C0" w:rsidRPr="00615CA9" w:rsidP="009777E3">
            <w:pPr>
              <w:rPr>
                <w:rFonts w:ascii="Calibri" w:hAnsi="Calibri" w:cs="Calibri"/>
                <w:sz w:val="22"/>
                <w:szCs w:val="22"/>
              </w:rPr>
            </w:pPr>
          </w:p>
          <w:p w:rsidR="008076C0" w:rsidRPr="00615CA9" w:rsidP="009777E3">
            <w:pPr>
              <w:rPr>
                <w:rFonts w:ascii="Calibri" w:hAnsi="Calibri" w:cs="Calibri"/>
                <w:sz w:val="22"/>
                <w:szCs w:val="22"/>
              </w:rPr>
            </w:pPr>
            <w:r w:rsidRPr="00615CA9">
              <w:rPr>
                <w:rFonts w:ascii="Calibri" w:hAnsi="Calibri" w:cs="Calibri"/>
                <w:sz w:val="22"/>
                <w:szCs w:val="22"/>
              </w:rPr>
              <w:t>Dedicated adolescent clinics can help clinicians consciously shift their consultation style towards speaking directly to the young person, exploring their priorities, and supporting increasing independence. However, the benefit is not only the age label of the clinic; it is the change in professional behaviour and expectations that accompanies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care.</w:t>
            </w:r>
          </w:p>
          <w:p w:rsidR="008076C0" w:rsidRPr="00615CA9" w:rsidP="009777E3">
            <w:pPr>
              <w:rPr>
                <w:rFonts w:ascii="Calibri" w:hAnsi="Calibri" w:cs="Calibri"/>
                <w:sz w:val="22"/>
                <w:szCs w:val="22"/>
              </w:rPr>
            </w:pPr>
          </w:p>
          <w:p w:rsidR="008076C0" w:rsidRPr="00615CA9" w:rsidP="009777E3">
            <w:pPr>
              <w:rPr>
                <w:rFonts w:ascii="Calibri" w:hAnsi="Calibri" w:cs="Calibri"/>
                <w:sz w:val="22"/>
                <w:szCs w:val="22"/>
              </w:rPr>
            </w:pPr>
            <w:r w:rsidRPr="00615CA9">
              <w:rPr>
                <w:rFonts w:ascii="Calibri" w:hAnsi="Calibri" w:cs="Calibri"/>
                <w:sz w:val="22"/>
                <w:szCs w:val="22"/>
              </w:rPr>
              <w:t>For smaller services, separate adolescent clinics may not be practical or equitable if they run infrequently. Young people may miss limited appointment opportunities because of illness, transport problems, school commitments or family responsibilities. In these services, flexible models may be more effective, such as embedding transition conversations into routine clinics, offering virtual education, providing individualised transition appointments, or creating shared clinics across related specialties.</w:t>
            </w:r>
          </w:p>
          <w:p w:rsidR="008076C0" w:rsidRPr="00615CA9" w:rsidP="009777E3">
            <w:pPr>
              <w:rPr>
                <w:rFonts w:ascii="Calibri" w:hAnsi="Calibri" w:cs="Calibri"/>
                <w:sz w:val="22"/>
                <w:szCs w:val="22"/>
              </w:rPr>
            </w:pPr>
          </w:p>
          <w:p w:rsidR="008076C0" w:rsidRPr="00615CA9" w:rsidP="009777E3">
            <w:pPr>
              <w:rPr>
                <w:rFonts w:ascii="Calibri" w:hAnsi="Calibri" w:cs="Calibri"/>
                <w:sz w:val="22"/>
                <w:szCs w:val="22"/>
              </w:rPr>
            </w:pPr>
            <w:r w:rsidRPr="00615CA9">
              <w:rPr>
                <w:rFonts w:ascii="Calibri" w:hAnsi="Calibri" w:cs="Calibri"/>
                <w:sz w:val="22"/>
                <w:szCs w:val="22"/>
              </w:rPr>
              <w:t>The GOSH Healthcare Transition Check-In Tools are one example of a flexible model intended to support developmentally appropriate</w:t>
            </w:r>
            <w:r w:rsidRPr="00615CA9">
              <w:rPr>
                <w:rFonts w:ascii="Calibri" w:hAnsi="Calibri" w:cs="Calibri"/>
                <w:sz w:val="22"/>
                <w:szCs w:val="22"/>
              </w:rPr>
              <w:t xml:space="preserve"> and individualised</w:t>
            </w:r>
            <w:r w:rsidRPr="00615CA9">
              <w:rPr>
                <w:rFonts w:ascii="Calibri" w:hAnsi="Calibri" w:cs="Calibri"/>
                <w:sz w:val="22"/>
                <w:szCs w:val="22"/>
              </w:rPr>
              <w:t xml:space="preserve"> care across specialties. They prompt reflection from young people and parents/carers, support personalised conversations, and help clinicians tailor education according to confidence, readiness and individual need.</w:t>
            </w:r>
          </w:p>
          <w:p w:rsidR="008076C0" w:rsidRPr="00615CA9" w:rsidP="009777E3">
            <w:pPr>
              <w:rPr>
                <w:rFonts w:ascii="Calibri" w:hAnsi="Calibri" w:cs="Calibri"/>
                <w:sz w:val="22"/>
                <w:szCs w:val="22"/>
              </w:rPr>
            </w:pPr>
          </w:p>
          <w:p w:rsidR="008076C0" w:rsidRPr="00615CA9" w:rsidP="00DD64F8">
            <w:pPr>
              <w:rPr>
                <w:rFonts w:ascii="Calibri" w:hAnsi="Calibri" w:cs="Calibri"/>
                <w:sz w:val="22"/>
                <w:szCs w:val="22"/>
              </w:rPr>
            </w:pPr>
            <w:r w:rsidRPr="00615CA9">
              <w:rPr>
                <w:rFonts w:ascii="Calibri" w:hAnsi="Calibri" w:cs="Calibri"/>
                <w:sz w:val="22"/>
                <w:szCs w:val="22"/>
              </w:rPr>
              <w:t>Approaches that appear less effective are those that rely on a single late transition clinic, large information packs, or rigid age-based pathways without consideration of maturity, confidence, mental health, learning needs, family context or readiness. These models can give the impression that transition has been completed without ensuring that the young person is genuinely prepared.</w:t>
            </w:r>
          </w:p>
        </w:tc>
      </w:tr>
      <w:tr w:rsidTr="00DD64F8">
        <w:tblPrEx>
          <w:tblW w:w="10490" w:type="dxa"/>
          <w:tblInd w:w="-714" w:type="dxa"/>
          <w:tblLook w:val="04A0"/>
        </w:tblPrEx>
        <w:trPr>
          <w:trHeight w:val="765"/>
        </w:trPr>
        <w:tc>
          <w:tcPr>
            <w:tcW w:w="1985" w:type="dxa"/>
            <w:vMerge/>
          </w:tcPr>
          <w:p w:rsidR="008076C0" w:rsidRPr="00615CA9">
            <w:pPr>
              <w:rPr>
                <w:rFonts w:ascii="Calibri" w:hAnsi="Calibri" w:cs="Calibri"/>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 xml:space="preserve">3. To what extent are local authorities fulfilling their duty to provide ‘Pathway Plans’ for children in care as they approach adulthood, in accordance with the </w:t>
            </w:r>
            <w:r>
              <w:fldChar w:fldCharType="begin"/>
            </w:r>
            <w:r>
              <w:instrText xml:space="preserve"> HYPERLINK "https://www.legislation.gov.uk/uksi/2010/2571/made" </w:instrText>
            </w:r>
            <w:r>
              <w:fldChar w:fldCharType="separate"/>
            </w:r>
            <w:r w:rsidRPr="00615CA9">
              <w:rPr>
                <w:rStyle w:val="Hyperlink"/>
                <w:rFonts w:ascii="Calibri" w:hAnsi="Calibri" w:cs="Calibri"/>
                <w:color w:val="auto"/>
                <w:sz w:val="22"/>
                <w:szCs w:val="22"/>
              </w:rPr>
              <w:t>Care Leavers (England) Regulations 2010</w:t>
            </w:r>
            <w:r>
              <w:fldChar w:fldCharType="end"/>
            </w:r>
            <w:r w:rsidRPr="00615CA9">
              <w:rPr>
                <w:rFonts w:ascii="Calibri" w:hAnsi="Calibri" w:cs="Calibri"/>
                <w:sz w:val="22"/>
                <w:szCs w:val="22"/>
              </w:rPr>
              <w:t>? How is this monitored?</w:t>
            </w:r>
          </w:p>
        </w:tc>
      </w:tr>
      <w:tr w:rsidTr="00DD64F8">
        <w:tblPrEx>
          <w:tblW w:w="10490" w:type="dxa"/>
          <w:tblInd w:w="-714" w:type="dxa"/>
          <w:tblLook w:val="04A0"/>
        </w:tblPrEx>
        <w:trPr>
          <w:trHeight w:val="300"/>
        </w:trPr>
        <w:tc>
          <w:tcPr>
            <w:tcW w:w="1985" w:type="dxa"/>
            <w:vMerge/>
          </w:tcPr>
          <w:p w:rsidR="008076C0" w:rsidRPr="00615CA9">
            <w:pPr>
              <w:rPr>
                <w:rFonts w:ascii="Calibri" w:hAnsi="Calibri" w:cs="Calibri"/>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Not answered. This falls outside the direct evidence gathered from the specialist tertiary healthcare teams consulted for this submission.</w:t>
            </w:r>
          </w:p>
          <w:p w:rsidR="008076C0" w:rsidRPr="00615CA9" w:rsidP="00DD64F8">
            <w:pPr>
              <w:rPr>
                <w:rFonts w:ascii="Calibri" w:hAnsi="Calibri" w:cs="Calibri"/>
                <w:sz w:val="22"/>
                <w:szCs w:val="22"/>
              </w:rPr>
            </w:pP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Impact and outcomes</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1. What evidence is there that developmentally appropriate transition support improves safety and independence-related outcomes after entry to adult services?</w:t>
            </w:r>
          </w:p>
        </w:tc>
      </w:tr>
      <w:tr w:rsidTr="00DD64F8">
        <w:tblPrEx>
          <w:tblW w:w="10490" w:type="dxa"/>
          <w:tblInd w:w="-714" w:type="dxa"/>
          <w:tblLook w:val="04A0"/>
        </w:tblPrEx>
        <w:trPr>
          <w:trHeight w:val="201"/>
        </w:trPr>
        <w:tc>
          <w:tcPr>
            <w:tcW w:w="1985" w:type="dxa"/>
            <w:vMerge/>
          </w:tcPr>
          <w:p w:rsidR="008076C0" w:rsidRPr="00615CA9" w:rsidP="00DD64F8">
            <w:pPr>
              <w:rPr>
                <w:rFonts w:ascii="Calibri" w:hAnsi="Calibri" w:cs="Calibri"/>
                <w:b/>
                <w:sz w:val="20"/>
                <w:szCs w:val="20"/>
              </w:rPr>
            </w:pPr>
          </w:p>
        </w:tc>
        <w:tc>
          <w:tcPr>
            <w:tcW w:w="8505" w:type="dxa"/>
          </w:tcPr>
          <w:p w:rsidR="008076C0" w:rsidRPr="00615CA9" w:rsidP="0018758C">
            <w:pPr>
              <w:rPr>
                <w:rFonts w:ascii="Calibri" w:hAnsi="Calibri" w:cs="Calibri"/>
              </w:rPr>
            </w:pPr>
            <w:r w:rsidRPr="00615CA9">
              <w:rPr>
                <w:rFonts w:ascii="Calibri" w:hAnsi="Calibri" w:cs="Calibri"/>
              </w:rPr>
              <w:t>Developmentally appropriate</w:t>
            </w:r>
            <w:r w:rsidRPr="00615CA9">
              <w:rPr>
                <w:rFonts w:ascii="Calibri" w:hAnsi="Calibri" w:cs="Calibri"/>
                <w:sz w:val="22"/>
                <w:szCs w:val="22"/>
              </w:rPr>
              <w:t xml:space="preserve"> and individualised</w:t>
            </w:r>
            <w:r w:rsidRPr="00615CA9">
              <w:rPr>
                <w:rFonts w:ascii="Calibri" w:hAnsi="Calibri" w:cs="Calibri"/>
              </w:rPr>
              <w:t xml:space="preserve"> transition support is expected to improve safety and independence-related outcomes after entry to adult services; however, this outcome is difficult for paediatric services to evidence fully once young people have transferred.</w:t>
            </w:r>
          </w:p>
          <w:p w:rsidR="008076C0" w:rsidRPr="00615CA9" w:rsidP="0018758C">
            <w:pPr>
              <w:rPr>
                <w:rFonts w:ascii="Calibri" w:hAnsi="Calibri" w:cs="Calibri"/>
              </w:rPr>
            </w:pPr>
          </w:p>
          <w:p w:rsidR="008076C0" w:rsidRPr="00615CA9" w:rsidP="0018758C">
            <w:pPr>
              <w:rPr>
                <w:rFonts w:ascii="Calibri" w:hAnsi="Calibri" w:cs="Calibri"/>
              </w:rPr>
            </w:pPr>
            <w:r w:rsidRPr="00615CA9">
              <w:rPr>
                <w:rFonts w:ascii="Calibri" w:hAnsi="Calibri" w:cs="Calibri"/>
              </w:rPr>
              <w:t>This question may be better answered by adult services, which are better placed to evaluate post-transfer outcomes such as ongoing attendance, treatment adherence, emergency presentations, complications, engagement with adult care, and independence in managing appointments, medicines and self-care.</w:t>
            </w:r>
          </w:p>
          <w:p w:rsidR="008076C0" w:rsidRPr="00615CA9" w:rsidP="0018758C">
            <w:pPr>
              <w:rPr>
                <w:rFonts w:ascii="Calibri" w:hAnsi="Calibri" w:cs="Calibri"/>
              </w:rPr>
            </w:pPr>
          </w:p>
          <w:p w:rsidR="008076C0" w:rsidRPr="00615CA9" w:rsidP="0018758C">
            <w:pPr>
              <w:rPr>
                <w:rFonts w:ascii="Calibri" w:hAnsi="Calibri" w:cs="Calibri"/>
              </w:rPr>
            </w:pPr>
            <w:r w:rsidRPr="00615CA9">
              <w:rPr>
                <w:rFonts w:ascii="Calibri" w:hAnsi="Calibri" w:cs="Calibri"/>
              </w:rPr>
              <w:t>A key improvement would be for adult services to routinely share outcome data back with paediatric teams through regular pathway meetings. This would allow paediatric services to understand whether transition preparation has been effective, identify gaps in education or support, and improve future transition pathways.</w:t>
            </w:r>
          </w:p>
          <w:p w:rsidR="008076C0" w:rsidRPr="00615CA9" w:rsidP="0018758C">
            <w:pPr>
              <w:rPr>
                <w:rFonts w:ascii="Calibri" w:hAnsi="Calibri" w:cs="Calibri"/>
              </w:rPr>
            </w:pPr>
          </w:p>
          <w:p w:rsidR="008076C0" w:rsidRPr="00615CA9" w:rsidP="0018758C">
            <w:pPr>
              <w:rPr>
                <w:rFonts w:ascii="Calibri" w:hAnsi="Calibri" w:cs="Calibri"/>
              </w:rPr>
            </w:pPr>
            <w:r w:rsidRPr="00615CA9">
              <w:rPr>
                <w:rFonts w:ascii="Calibri" w:hAnsi="Calibri" w:cs="Calibri"/>
              </w:rPr>
              <w:t>Without feedback from adult services, paediatric teams may know whether a referral was sent or whether the first adult appointment occurred, but not whether the young person remains engaged, safe and confident in adult care over time.</w:t>
            </w:r>
          </w:p>
          <w:p w:rsidR="008076C0" w:rsidRPr="00615CA9" w:rsidP="00DD64F8">
            <w:pPr>
              <w:rPr>
                <w:rFonts w:ascii="Calibri" w:hAnsi="Calibri" w:cs="Calibri"/>
              </w:rPr>
            </w:pP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rPr>
            </w:pPr>
            <w:r w:rsidRPr="00615CA9">
              <w:rPr>
                <w:rFonts w:ascii="Calibri" w:hAnsi="Calibri" w:cs="Calibri"/>
                <w:sz w:val="22"/>
                <w:szCs w:val="22"/>
              </w:rPr>
              <w:t xml:space="preserve">2. Across education and employment, community inclusion, health and wellbeing, independent living and housing options, are there areas which require more or better guidance to enable effective transition? </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Not answered in detail. This question sits largely outside the evidence gathered from the specialist tertiary healthcare teams consulted for this submission. A fuller response would require input from education, social care, housing, community inclusion services, adult services, and young people/families with lived experience.</w:t>
            </w:r>
          </w:p>
          <w:p w:rsidR="008076C0" w:rsidRPr="00615CA9" w:rsidP="00DD64F8">
            <w:pPr>
              <w:rPr>
                <w:rFonts w:ascii="Calibri" w:hAnsi="Calibri" w:cs="Calibri"/>
                <w:sz w:val="22"/>
                <w:szCs w:val="22"/>
              </w:rPr>
            </w:pP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rPr>
            </w:pPr>
            <w:r w:rsidRPr="00615CA9">
              <w:rPr>
                <w:rFonts w:ascii="Calibri" w:hAnsi="Calibri" w:cs="Calibri"/>
                <w:sz w:val="22"/>
                <w:szCs w:val="22"/>
              </w:rPr>
              <w:t xml:space="preserve">3. What evidence is there that the use of ‘Pathway Plans’ improves care leavers' access to appropriate health and mental health support and contributes to better outcomes in adult life? </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Style w:val="CommentReference"/>
                <w:rFonts w:ascii="Calibri" w:hAnsi="Calibri" w:cs="Calibri"/>
                <w:sz w:val="24"/>
                <w:szCs w:val="24"/>
              </w:rPr>
            </w:pPr>
            <w:r w:rsidRPr="00615CA9">
              <w:rPr>
                <w:rFonts w:ascii="Calibri" w:hAnsi="Calibri" w:cs="Calibri"/>
              </w:rPr>
              <w:t>Not answered. This question falls outside the evidence gathered for this submission and would require input from local authorities, care leaver services, adult social care, mental health services, and care-experienced young people.</w:t>
            </w:r>
          </w:p>
          <w:p w:rsidR="008076C0" w:rsidRPr="00615CA9" w:rsidP="00DD64F8">
            <w:pPr>
              <w:rPr>
                <w:rStyle w:val="CommentReference"/>
                <w:rFonts w:ascii="Calibri" w:hAnsi="Calibri" w:cs="Calibri"/>
                <w:sz w:val="24"/>
                <w:szCs w:val="24"/>
              </w:rPr>
            </w:pP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Style w:val="CommentReference"/>
                <w:rFonts w:ascii="Calibri" w:hAnsi="Calibri" w:cs="Calibri"/>
                <w:sz w:val="24"/>
                <w:szCs w:val="24"/>
              </w:rPr>
            </w:pPr>
            <w:r w:rsidRPr="00615CA9">
              <w:rPr>
                <w:rFonts w:ascii="Calibri" w:hAnsi="Calibri" w:cs="Calibri"/>
                <w:sz w:val="22"/>
                <w:szCs w:val="22"/>
              </w:rPr>
              <w:t>4. What are the consequences when transition support is absent or inconsistent?</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FF1AC8">
            <w:pPr>
              <w:rPr>
                <w:rFonts w:ascii="Calibri" w:hAnsi="Calibri" w:cs="Calibri"/>
                <w:sz w:val="22"/>
                <w:szCs w:val="22"/>
              </w:rPr>
            </w:pPr>
            <w:r w:rsidRPr="00615CA9">
              <w:rPr>
                <w:rFonts w:ascii="Calibri" w:hAnsi="Calibri" w:cs="Calibri"/>
                <w:sz w:val="22"/>
                <w:szCs w:val="22"/>
              </w:rPr>
              <w:t xml:space="preserve">When transition support is absent or inconsistent, the consequences can be significant for young people, families and services. This is well documented in national reports including the CQC report </w:t>
            </w:r>
            <w:r w:rsidRPr="00615CA9">
              <w:rPr>
                <w:rFonts w:ascii="Calibri" w:hAnsi="Calibri" w:cs="Calibri"/>
                <w:i/>
                <w:iCs/>
                <w:sz w:val="22"/>
                <w:szCs w:val="22"/>
              </w:rPr>
              <w:t>From the Pond into the Sea</w:t>
            </w:r>
            <w:r w:rsidRPr="00615CA9">
              <w:rPr>
                <w:rFonts w:ascii="Calibri" w:hAnsi="Calibri" w:cs="Calibri"/>
                <w:sz w:val="22"/>
                <w:szCs w:val="22"/>
              </w:rPr>
              <w:t xml:space="preserve">, NCEPOD’s </w:t>
            </w:r>
            <w:r w:rsidRPr="00615CA9">
              <w:rPr>
                <w:rFonts w:ascii="Calibri" w:hAnsi="Calibri" w:cs="Calibri"/>
                <w:i/>
                <w:iCs/>
                <w:sz w:val="22"/>
                <w:szCs w:val="22"/>
              </w:rPr>
              <w:t>The Inbetweeners</w:t>
            </w:r>
            <w:r w:rsidRPr="00615CA9">
              <w:rPr>
                <w:rFonts w:ascii="Calibri" w:hAnsi="Calibri" w:cs="Calibri"/>
                <w:sz w:val="22"/>
                <w:szCs w:val="22"/>
              </w:rPr>
              <w:t>, and the NHS Youth Forum Healthcare Transition Report.</w:t>
            </w:r>
          </w:p>
          <w:p w:rsidR="008076C0" w:rsidRPr="00615CA9" w:rsidP="00FF1AC8">
            <w:pPr>
              <w:rPr>
                <w:rFonts w:ascii="Calibri" w:hAnsi="Calibri" w:cs="Calibri"/>
                <w:sz w:val="22"/>
                <w:szCs w:val="22"/>
              </w:rPr>
            </w:pPr>
          </w:p>
          <w:p w:rsidR="008076C0" w:rsidRPr="00615CA9" w:rsidP="00FF1AC8">
            <w:pPr>
              <w:rPr>
                <w:rFonts w:ascii="Calibri" w:hAnsi="Calibri" w:cs="Calibri"/>
                <w:sz w:val="22"/>
                <w:szCs w:val="22"/>
              </w:rPr>
            </w:pPr>
            <w:r w:rsidRPr="00615CA9">
              <w:rPr>
                <w:rFonts w:ascii="Calibri" w:hAnsi="Calibri" w:cs="Calibri"/>
                <w:sz w:val="22"/>
                <w:szCs w:val="22"/>
              </w:rPr>
              <w:t xml:space="preserve">Poor transition can result in young people being lost to follow-up, experiencing gaps in care, losing access to named clinicians, having to repeat medical histories, or being left unclear about who is responsible for their care. The CQC report described poor transition as leading </w:t>
            </w:r>
            <w:r w:rsidRPr="00615CA9">
              <w:rPr>
                <w:rFonts w:ascii="Calibri" w:hAnsi="Calibri" w:cs="Calibri"/>
                <w:sz w:val="22"/>
                <w:szCs w:val="22"/>
              </w:rPr>
              <w:t>to “drop-out from medical care”, deterioration in disabilities, and unnecessary, costly and distressing hospital admissions.</w:t>
            </w:r>
          </w:p>
          <w:p w:rsidR="008076C0" w:rsidRPr="00615CA9" w:rsidP="00FF1AC8">
            <w:pPr>
              <w:rPr>
                <w:rFonts w:ascii="Calibri" w:hAnsi="Calibri" w:cs="Calibri"/>
                <w:sz w:val="22"/>
                <w:szCs w:val="22"/>
              </w:rPr>
            </w:pPr>
          </w:p>
          <w:p w:rsidR="008076C0" w:rsidRPr="00615CA9" w:rsidP="00FF1AC8">
            <w:pPr>
              <w:rPr>
                <w:rFonts w:ascii="Calibri" w:hAnsi="Calibri" w:cs="Calibri"/>
                <w:sz w:val="22"/>
                <w:szCs w:val="22"/>
              </w:rPr>
            </w:pPr>
            <w:r w:rsidRPr="00615CA9">
              <w:rPr>
                <w:rFonts w:ascii="Calibri" w:hAnsi="Calibri" w:cs="Calibri"/>
                <w:sz w:val="22"/>
                <w:szCs w:val="22"/>
              </w:rPr>
              <w:t>The NHS Youth Forum report similarly found that young people described delays, poor communication, inadequate support, sudden disconnection from services, and feeling “lost within the system”. It also identified key issues including lack of continuity, abrupt movement to adult services, negative impact on mental health, limited services for 16–18-year-olds, unclear pathways and increased travel burden.</w:t>
            </w:r>
          </w:p>
          <w:p w:rsidR="008076C0" w:rsidRPr="00615CA9" w:rsidP="00FF1AC8">
            <w:pPr>
              <w:rPr>
                <w:rFonts w:ascii="Calibri" w:hAnsi="Calibri" w:cs="Calibri"/>
                <w:sz w:val="22"/>
                <w:szCs w:val="22"/>
              </w:rPr>
            </w:pPr>
          </w:p>
          <w:p w:rsidR="008076C0" w:rsidRPr="00615CA9" w:rsidP="00FF1AC8">
            <w:pPr>
              <w:rPr>
                <w:rFonts w:ascii="Calibri" w:hAnsi="Calibri" w:cs="Calibri"/>
                <w:sz w:val="22"/>
                <w:szCs w:val="22"/>
              </w:rPr>
            </w:pPr>
            <w:r w:rsidRPr="00615CA9">
              <w:rPr>
                <w:rFonts w:ascii="Calibri" w:hAnsi="Calibri" w:cs="Calibri"/>
                <w:sz w:val="22"/>
                <w:szCs w:val="22"/>
              </w:rPr>
              <w:t>NCEPOD also highlighted that when young people disengage from healthcare, their conditions can deteriorate with significant personal and socioeconomic costs. The report emphasised that transition should be part of core business for all healthcare professionals, not only the responsibility of the team the young person is leaving.</w:t>
            </w:r>
          </w:p>
          <w:p w:rsidR="008076C0" w:rsidRPr="00615CA9" w:rsidP="00FF1AC8">
            <w:pPr>
              <w:rPr>
                <w:rFonts w:ascii="Calibri" w:hAnsi="Calibri" w:cs="Calibri"/>
                <w:sz w:val="22"/>
                <w:szCs w:val="22"/>
              </w:rPr>
            </w:pPr>
          </w:p>
          <w:p w:rsidR="008076C0" w:rsidRPr="00615CA9" w:rsidP="00FF1AC8">
            <w:pPr>
              <w:rPr>
                <w:rFonts w:ascii="Calibri" w:hAnsi="Calibri" w:cs="Calibri"/>
                <w:sz w:val="22"/>
                <w:szCs w:val="22"/>
              </w:rPr>
            </w:pPr>
            <w:r w:rsidRPr="00615CA9">
              <w:rPr>
                <w:rFonts w:ascii="Calibri" w:hAnsi="Calibri" w:cs="Calibri"/>
                <w:sz w:val="22"/>
                <w:szCs w:val="22"/>
              </w:rPr>
              <w:t>In practical terms, absent or inconsistent transition support may lead to:</w:t>
            </w:r>
            <w:r w:rsidRPr="00615CA9">
              <w:rPr>
                <w:rFonts w:ascii="Calibri" w:hAnsi="Calibri" w:cs="Calibri"/>
                <w:sz w:val="22"/>
                <w:szCs w:val="22"/>
              </w:rPr>
              <w:br/>
              <w:t>• delayed or missed adult appointments</w:t>
            </w:r>
            <w:r w:rsidRPr="00615CA9">
              <w:rPr>
                <w:rFonts w:ascii="Calibri" w:hAnsi="Calibri" w:cs="Calibri"/>
                <w:sz w:val="22"/>
                <w:szCs w:val="22"/>
              </w:rPr>
              <w:br/>
              <w:t>• medication errors or poor adherence</w:t>
            </w:r>
            <w:r w:rsidRPr="00615CA9">
              <w:rPr>
                <w:rFonts w:ascii="Calibri" w:hAnsi="Calibri" w:cs="Calibri"/>
                <w:sz w:val="22"/>
                <w:szCs w:val="22"/>
              </w:rPr>
              <w:br/>
              <w:t>• avoidable deterioration or emergency admission</w:t>
            </w:r>
            <w:r w:rsidRPr="00615CA9">
              <w:rPr>
                <w:rFonts w:ascii="Calibri" w:hAnsi="Calibri" w:cs="Calibri"/>
                <w:sz w:val="22"/>
                <w:szCs w:val="22"/>
              </w:rPr>
              <w:br/>
              <w:t>• increased anxiety and reduced confidence</w:t>
            </w:r>
            <w:r w:rsidRPr="00615CA9">
              <w:rPr>
                <w:rFonts w:ascii="Calibri" w:hAnsi="Calibri" w:cs="Calibri"/>
                <w:sz w:val="22"/>
                <w:szCs w:val="22"/>
              </w:rPr>
              <w:br/>
              <w:t>• loss of trust in adult services</w:t>
            </w:r>
            <w:r w:rsidRPr="00615CA9">
              <w:rPr>
                <w:rFonts w:ascii="Calibri" w:hAnsi="Calibri" w:cs="Calibri"/>
                <w:sz w:val="22"/>
                <w:szCs w:val="22"/>
              </w:rPr>
              <w:br/>
              <w:t>• families having to coordinate care themselves</w:t>
            </w:r>
            <w:r w:rsidRPr="00615CA9">
              <w:rPr>
                <w:rFonts w:ascii="Calibri" w:hAnsi="Calibri" w:cs="Calibri"/>
                <w:sz w:val="22"/>
                <w:szCs w:val="22"/>
              </w:rPr>
              <w:br/>
              <w:t>• poorer mental health and wellbeing</w:t>
            </w:r>
            <w:r w:rsidRPr="00615CA9">
              <w:rPr>
                <w:rFonts w:ascii="Calibri" w:hAnsi="Calibri" w:cs="Calibri"/>
                <w:sz w:val="22"/>
                <w:szCs w:val="22"/>
              </w:rPr>
              <w:br/>
              <w:t>• increased risk for young people with learning disabilities, autism, complex needs or safeguarding concerns</w:t>
            </w:r>
            <w:r w:rsidRPr="00615CA9">
              <w:rPr>
                <w:rFonts w:ascii="Calibri" w:hAnsi="Calibri" w:cs="Calibri"/>
                <w:sz w:val="22"/>
                <w:szCs w:val="22"/>
              </w:rPr>
              <w:br/>
              <w:t>• and greater pressure on paediatric, primary care and emergency services.</w:t>
            </w:r>
          </w:p>
          <w:p w:rsidR="008076C0" w:rsidRPr="00615CA9" w:rsidP="00FF1AC8">
            <w:pPr>
              <w:rPr>
                <w:rFonts w:ascii="Calibri" w:hAnsi="Calibri" w:cs="Calibri"/>
                <w:sz w:val="22"/>
                <w:szCs w:val="22"/>
              </w:rPr>
            </w:pPr>
          </w:p>
          <w:p w:rsidR="008076C0" w:rsidRPr="00615CA9" w:rsidP="00FF1AC8">
            <w:pPr>
              <w:rPr>
                <w:rFonts w:ascii="Calibri" w:hAnsi="Calibri" w:cs="Calibri"/>
                <w:sz w:val="22"/>
                <w:szCs w:val="22"/>
              </w:rPr>
            </w:pPr>
            <w:r w:rsidRPr="00615CA9">
              <w:rPr>
                <w:rFonts w:ascii="Calibri" w:hAnsi="Calibri" w:cs="Calibri"/>
                <w:sz w:val="22"/>
                <w:szCs w:val="22"/>
              </w:rPr>
              <w:t>Rheumatology services also noted that young people referred late into adolescent services, particularly at age 16 or above, often appeared more anxious about attending and more fearful of moving toward adolescent or adult care. This was felt to be partly because they had developed a stronger emotional attachment to GOSH and familiar paediatric teams over many years. Late referral therefore not only reduces the time available for education and empowerment, but may also increase anxiety and make adjustment to</w:t>
            </w:r>
            <w:r w:rsidRPr="00615CA9">
              <w:rPr>
                <w:rFonts w:ascii="Calibri" w:hAnsi="Calibri" w:cs="Calibri"/>
                <w:sz w:val="22"/>
                <w:szCs w:val="22"/>
              </w:rPr>
              <w:t xml:space="preserve"> new services more difficult.</w:t>
            </w:r>
          </w:p>
          <w:p w:rsidR="008076C0" w:rsidRPr="00615CA9" w:rsidP="00FF1AC8">
            <w:pPr>
              <w:rPr>
                <w:rFonts w:ascii="Calibri" w:hAnsi="Calibri" w:cs="Calibri"/>
                <w:sz w:val="22"/>
                <w:szCs w:val="22"/>
              </w:rPr>
            </w:pPr>
          </w:p>
          <w:p w:rsidR="008076C0" w:rsidRPr="00615CA9" w:rsidP="00FF1AC8">
            <w:pPr>
              <w:rPr>
                <w:rFonts w:ascii="Calibri" w:hAnsi="Calibri" w:cs="Calibri"/>
                <w:sz w:val="22"/>
                <w:szCs w:val="22"/>
              </w:rPr>
            </w:pPr>
            <w:r w:rsidRPr="00615CA9">
              <w:rPr>
                <w:rFonts w:ascii="Calibri" w:hAnsi="Calibri" w:cs="Calibri"/>
                <w:sz w:val="22"/>
                <w:szCs w:val="22"/>
              </w:rPr>
              <w:t>Overall, the consequence is that young people may experience transition not as a planned, empowering process, but as an abrupt loss of support at a vulnerable stage of life. This undermines independence, safety, engagement and long-term health outcomes.</w:t>
            </w:r>
          </w:p>
          <w:p w:rsidR="008076C0" w:rsidRPr="00615CA9" w:rsidP="00DD64F8">
            <w:pPr>
              <w:rPr>
                <w:rFonts w:ascii="Calibri" w:hAnsi="Calibri" w:cs="Calibri"/>
                <w:sz w:val="22"/>
                <w:szCs w:val="22"/>
              </w:rPr>
            </w:pP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Appropriateness</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 xml:space="preserve">1. </w:t>
            </w:r>
            <w:r w:rsidRPr="00615CA9">
              <w:rPr>
                <w:rFonts w:ascii="Calibri" w:hAnsi="Calibri" w:cs="Calibri"/>
                <w:sz w:val="22"/>
                <w:szCs w:val="22"/>
              </w:rPr>
              <w:t>How far are current approaches to promoting independence tailored to developmental stage and individual circumstances, compared to standard age-based assumptions?</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CF734B">
            <w:pPr>
              <w:rPr>
                <w:rFonts w:ascii="Calibri" w:hAnsi="Calibri" w:cs="Calibri"/>
              </w:rPr>
            </w:pPr>
            <w:r w:rsidRPr="00615CA9">
              <w:rPr>
                <w:rFonts w:ascii="Calibri" w:hAnsi="Calibri" w:cs="Calibri"/>
              </w:rPr>
              <w:t>Current approaches vary considerably between services. While national guidance strongly supports developmentally appropriate</w:t>
            </w:r>
            <w:r w:rsidRPr="00615CA9">
              <w:rPr>
                <w:rFonts w:ascii="Calibri" w:hAnsi="Calibri" w:cs="Calibri"/>
              </w:rPr>
              <w:t>, individualised</w:t>
            </w:r>
            <w:r w:rsidRPr="00615CA9">
              <w:rPr>
                <w:rFonts w:ascii="Calibri" w:hAnsi="Calibri" w:cs="Calibri"/>
              </w:rPr>
              <w:t xml:space="preserve"> and person-centred transition, in practice some pathways still rely heavily on age-based assumptions, particularly around transfer timing and expectations of independence.</w:t>
            </w:r>
          </w:p>
          <w:p w:rsidR="008076C0" w:rsidRPr="00615CA9" w:rsidP="00CF734B">
            <w:pPr>
              <w:rPr>
                <w:rFonts w:ascii="Calibri" w:hAnsi="Calibri" w:cs="Calibri"/>
              </w:rPr>
            </w:pPr>
          </w:p>
          <w:p w:rsidR="008076C0" w:rsidRPr="00615CA9" w:rsidP="00CF734B">
            <w:pPr>
              <w:rPr>
                <w:rFonts w:ascii="Calibri" w:hAnsi="Calibri" w:cs="Calibri"/>
              </w:rPr>
            </w:pPr>
            <w:r w:rsidRPr="00615CA9">
              <w:rPr>
                <w:rFonts w:ascii="Calibri" w:hAnsi="Calibri" w:cs="Calibri"/>
              </w:rPr>
              <w:t>Feedback from specialist services suggested that young people’s readiness for increasing independence is influenced by many factors beyond chronological age, including neurodevelopment, mental health, communication needs, family circumstances, educational stage, disease complexity, previous healthcare experiences and confidence in self-management.</w:t>
            </w:r>
          </w:p>
          <w:p w:rsidR="008076C0" w:rsidRPr="00615CA9" w:rsidP="00CF734B">
            <w:pPr>
              <w:rPr>
                <w:rFonts w:ascii="Calibri" w:hAnsi="Calibri" w:cs="Calibri"/>
              </w:rPr>
            </w:pPr>
          </w:p>
          <w:p w:rsidR="008076C0" w:rsidRPr="00615CA9" w:rsidP="00CF734B">
            <w:pPr>
              <w:rPr>
                <w:rFonts w:ascii="Calibri" w:hAnsi="Calibri" w:cs="Calibri"/>
              </w:rPr>
            </w:pPr>
            <w:r w:rsidRPr="00615CA9">
              <w:rPr>
                <w:rFonts w:ascii="Calibri" w:hAnsi="Calibri" w:cs="Calibri"/>
              </w:rPr>
              <w:t>Several services described attempts to tailor support more appropriately through phased education, adolescent clinics, gradual private consultation time, youth-worker involvement, peer support, flexible appointment planning and personalised transition discussions. The GOSH Healthcare Transition Check-In Tools were also developed to help identify individual confidence, knowledge and readiness rather than assuming these develop automatically with age.</w:t>
            </w:r>
          </w:p>
          <w:p w:rsidR="008076C0" w:rsidRPr="00615CA9" w:rsidP="00CF734B">
            <w:pPr>
              <w:rPr>
                <w:rFonts w:ascii="Calibri" w:hAnsi="Calibri" w:cs="Calibri"/>
              </w:rPr>
            </w:pPr>
          </w:p>
          <w:p w:rsidR="008076C0" w:rsidRPr="00615CA9" w:rsidP="00CF734B">
            <w:pPr>
              <w:rPr>
                <w:rFonts w:ascii="Calibri" w:hAnsi="Calibri" w:cs="Calibri"/>
              </w:rPr>
            </w:pPr>
            <w:r w:rsidRPr="00615CA9">
              <w:rPr>
                <w:rFonts w:ascii="Calibri" w:hAnsi="Calibri" w:cs="Calibri"/>
              </w:rPr>
              <w:t>However, services also highlighted that operational pressures, adult service age thresholds and rigid organisational policies can sometimes conflict with developmentally appropriate</w:t>
            </w:r>
            <w:r w:rsidRPr="00615CA9">
              <w:rPr>
                <w:rFonts w:ascii="Calibri" w:hAnsi="Calibri" w:cs="Calibri"/>
                <w:sz w:val="22"/>
                <w:szCs w:val="22"/>
              </w:rPr>
              <w:t xml:space="preserve"> and individualised</w:t>
            </w:r>
            <w:r w:rsidRPr="00615CA9">
              <w:rPr>
                <w:rFonts w:ascii="Calibri" w:hAnsi="Calibri" w:cs="Calibri"/>
              </w:rPr>
              <w:t xml:space="preserve"> care. This is particularly evident in the “16–18 gap”, where service structures may be determined more by commissioning and access criteria than by the young person’s developmental readiness or individual circumstances.</w:t>
            </w:r>
          </w:p>
          <w:p w:rsidR="008076C0" w:rsidRPr="00615CA9" w:rsidP="00CF734B">
            <w:pPr>
              <w:rPr>
                <w:rFonts w:ascii="Calibri" w:hAnsi="Calibri" w:cs="Calibri"/>
              </w:rPr>
            </w:pPr>
          </w:p>
          <w:p w:rsidR="008076C0" w:rsidRPr="00615CA9" w:rsidP="00DD64F8">
            <w:pPr>
              <w:rPr>
                <w:rFonts w:ascii="Calibri" w:hAnsi="Calibri" w:cs="Calibri"/>
              </w:rPr>
            </w:pPr>
            <w:r w:rsidRPr="00615CA9">
              <w:rPr>
                <w:rFonts w:ascii="Calibri" w:hAnsi="Calibri" w:cs="Calibri"/>
              </w:rPr>
              <w:t>Overall, while many clinicians aim to tailor transition support to the individual, current systems still often rely on age-based structures that can limit genuinely personalised approaches to independence-building.</w:t>
            </w:r>
          </w:p>
          <w:p w:rsidR="008076C0" w:rsidRPr="00615CA9" w:rsidP="00DD64F8">
            <w:pPr>
              <w:rPr>
                <w:rFonts w:ascii="Calibri" w:hAnsi="Calibri" w:cs="Calibri"/>
              </w:rPr>
            </w:pPr>
          </w:p>
        </w:tc>
      </w:tr>
      <w:tr w:rsidTr="00DD64F8">
        <w:tblPrEx>
          <w:tblW w:w="10490" w:type="dxa"/>
          <w:tblInd w:w="-714" w:type="dxa"/>
          <w:tblLook w:val="04A0"/>
        </w:tblPrEx>
        <w:trPr>
          <w:trHeight w:val="300"/>
        </w:trPr>
        <w:tc>
          <w:tcPr>
            <w:tcW w:w="1985" w:type="dxa"/>
            <w:vMerge/>
          </w:tcPr>
          <w:p w:rsidR="008076C0" w:rsidRPr="00615CA9" w:rsidP="00DD64F8">
            <w:pPr>
              <w:rPr>
                <w:rFonts w:ascii="Calibri" w:hAnsi="Calibri" w:cs="Calibri"/>
                <w:b/>
                <w:bCs/>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2. How is the model of independence appropriately adapted for</w:t>
            </w:r>
            <w:r w:rsidRPr="00615CA9">
              <w:rPr>
                <w:rFonts w:ascii="Calibri" w:hAnsi="Calibri" w:cs="Calibri"/>
                <w:sz w:val="22"/>
                <w:szCs w:val="22"/>
              </w:rPr>
              <w:t xml:space="preserve"> young people who will continue to require substantial support in adult life?</w:t>
            </w:r>
          </w:p>
        </w:tc>
      </w:tr>
      <w:tr w:rsidTr="00DD64F8">
        <w:tblPrEx>
          <w:tblW w:w="10490" w:type="dxa"/>
          <w:tblInd w:w="-714" w:type="dxa"/>
          <w:tblLook w:val="04A0"/>
        </w:tblPrEx>
        <w:trPr>
          <w:trHeight w:val="300"/>
        </w:trPr>
        <w:tc>
          <w:tcPr>
            <w:tcW w:w="1985" w:type="dxa"/>
            <w:vMerge/>
          </w:tcPr>
          <w:p w:rsidR="008076C0" w:rsidRPr="00615CA9" w:rsidP="00DD64F8">
            <w:pPr>
              <w:rPr>
                <w:rFonts w:ascii="Calibri" w:hAnsi="Calibri" w:cs="Calibri"/>
                <w:b/>
                <w:bCs/>
                <w:sz w:val="20"/>
                <w:szCs w:val="20"/>
              </w:rPr>
            </w:pPr>
          </w:p>
        </w:tc>
        <w:tc>
          <w:tcPr>
            <w:tcW w:w="8505" w:type="dxa"/>
          </w:tcPr>
          <w:p w:rsidR="008076C0" w:rsidRPr="00615CA9" w:rsidP="009E6A23">
            <w:pPr>
              <w:rPr>
                <w:rFonts w:ascii="Calibri" w:hAnsi="Calibri" w:cs="Calibri"/>
                <w:sz w:val="22"/>
                <w:szCs w:val="22"/>
              </w:rPr>
            </w:pPr>
            <w:r w:rsidRPr="00615CA9">
              <w:rPr>
                <w:rFonts w:ascii="Calibri" w:hAnsi="Calibri" w:cs="Calibri"/>
                <w:sz w:val="22"/>
                <w:szCs w:val="22"/>
              </w:rPr>
              <w:t>Specialist teams highlighted that independence should not be viewed as an “all-or-nothing” outcome. For many young people with learning disabilities, autism, complex neurodevelopmental needs, severe mental health difficulties, or highly complex medical conditions, the goal of transition is not complete independence, but achieving the safest and most appropriate level of involvement in their own care possible.</w:t>
            </w:r>
          </w:p>
          <w:p w:rsidR="008076C0" w:rsidRPr="00615CA9" w:rsidP="009E6A23">
            <w:pPr>
              <w:rPr>
                <w:rFonts w:ascii="Calibri" w:hAnsi="Calibri" w:cs="Calibri"/>
                <w:sz w:val="22"/>
                <w:szCs w:val="22"/>
              </w:rPr>
            </w:pPr>
          </w:p>
          <w:p w:rsidR="008076C0" w:rsidRPr="00615CA9" w:rsidP="009E6A23">
            <w:pPr>
              <w:rPr>
                <w:rFonts w:ascii="Calibri" w:hAnsi="Calibri" w:cs="Calibri"/>
                <w:sz w:val="22"/>
                <w:szCs w:val="22"/>
              </w:rPr>
            </w:pPr>
            <w:r w:rsidRPr="00615CA9">
              <w:rPr>
                <w:rFonts w:ascii="Calibri" w:hAnsi="Calibri" w:cs="Calibri"/>
                <w:sz w:val="22"/>
                <w:szCs w:val="22"/>
              </w:rPr>
              <w:t>In practice, this may involve adapting communication, involving carers appropriately, identifying reasonable adjustments, supporting gradual participation in decision-making, developing health literacy where possible, and ensuring adult services understand the young person’s individual needs and support structures.</w:t>
            </w:r>
          </w:p>
          <w:p w:rsidR="008076C0" w:rsidRPr="00615CA9" w:rsidP="009E6A23">
            <w:pPr>
              <w:rPr>
                <w:rFonts w:ascii="Calibri" w:hAnsi="Calibri" w:cs="Calibri"/>
                <w:sz w:val="22"/>
                <w:szCs w:val="22"/>
              </w:rPr>
            </w:pPr>
          </w:p>
          <w:p w:rsidR="008076C0" w:rsidRPr="00615CA9" w:rsidP="009E6A23">
            <w:pPr>
              <w:rPr>
                <w:rFonts w:ascii="Calibri" w:hAnsi="Calibri" w:cs="Calibri"/>
                <w:sz w:val="22"/>
                <w:szCs w:val="22"/>
              </w:rPr>
            </w:pPr>
            <w:r w:rsidRPr="00615CA9">
              <w:rPr>
                <w:rFonts w:ascii="Calibri" w:hAnsi="Calibri" w:cs="Calibri"/>
                <w:sz w:val="22"/>
                <w:szCs w:val="22"/>
              </w:rPr>
              <w:t>Several teams emphasised that young people who will require substantial lifelong support often need transition planning to begin earlier and progress more gradually, rather than being delayed. Earlier planning allows more time to coordinate adult services, involve families and carers appropriately, establish trust, and reduce anxiety around future care.</w:t>
            </w:r>
          </w:p>
          <w:p w:rsidR="008076C0" w:rsidRPr="00615CA9" w:rsidP="009E6A23">
            <w:pPr>
              <w:rPr>
                <w:rFonts w:ascii="Calibri" w:hAnsi="Calibri" w:cs="Calibri"/>
                <w:sz w:val="22"/>
                <w:szCs w:val="22"/>
              </w:rPr>
            </w:pPr>
          </w:p>
          <w:p w:rsidR="008076C0" w:rsidRPr="00615CA9" w:rsidP="009E6A23">
            <w:pPr>
              <w:rPr>
                <w:rFonts w:ascii="Calibri" w:hAnsi="Calibri" w:cs="Calibri"/>
                <w:sz w:val="22"/>
                <w:szCs w:val="22"/>
              </w:rPr>
            </w:pPr>
            <w:r w:rsidRPr="00615CA9">
              <w:rPr>
                <w:rFonts w:ascii="Calibri" w:hAnsi="Calibri" w:cs="Calibri"/>
                <w:sz w:val="22"/>
                <w:szCs w:val="22"/>
              </w:rPr>
              <w:t>However, the extent to which models of independence are adapted consistently across services was difficult to assess from the evidence gathered for this submission. A fuller answer would require broader input from learning disability services, adult services, social care, community teams, carers and young people with lived experience.</w:t>
            </w:r>
          </w:p>
          <w:p w:rsidR="008076C0" w:rsidRPr="00615CA9" w:rsidP="00DD64F8">
            <w:pPr>
              <w:rPr>
                <w:rFonts w:ascii="Calibri" w:hAnsi="Calibri" w:cs="Calibri"/>
                <w:sz w:val="22"/>
                <w:szCs w:val="22"/>
              </w:rPr>
            </w:pP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Equality and diversity</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 xml:space="preserve">1. How far do services adapt support for independence to the differing needs and circumstances of distinct groups of young people? </w:t>
            </w:r>
          </w:p>
        </w:tc>
      </w:tr>
      <w:tr w:rsidTr="00DD64F8">
        <w:tblPrEx>
          <w:tblW w:w="10490" w:type="dxa"/>
          <w:tblInd w:w="-714" w:type="dxa"/>
          <w:tblLook w:val="04A0"/>
        </w:tblPrEx>
        <w:tc>
          <w:tcPr>
            <w:tcW w:w="1985" w:type="dxa"/>
            <w:vMerge/>
          </w:tcPr>
          <w:p w:rsidR="008076C0" w:rsidRPr="00615CA9" w:rsidP="00DD64F8">
            <w:pPr>
              <w:rPr>
                <w:rFonts w:ascii="Calibri" w:hAnsi="Calibri" w:cs="Calibri"/>
              </w:rPr>
            </w:pPr>
          </w:p>
        </w:tc>
        <w:tc>
          <w:tcPr>
            <w:tcW w:w="8505" w:type="dxa"/>
          </w:tcPr>
          <w:p w:rsidR="008076C0" w:rsidRPr="00615CA9" w:rsidP="00076565">
            <w:pPr>
              <w:rPr>
                <w:rFonts w:ascii="Calibri" w:hAnsi="Calibri" w:cs="Calibri"/>
              </w:rPr>
            </w:pPr>
            <w:r w:rsidRPr="00615CA9">
              <w:rPr>
                <w:rFonts w:ascii="Calibri" w:hAnsi="Calibri" w:cs="Calibri"/>
              </w:rPr>
              <w:t>Services attempt to adapt support for independence, but this remains variable across specialties and is often limited by workforce capacity, time, adult-service availability and access to specialist support.</w:t>
            </w:r>
          </w:p>
          <w:p w:rsidR="008076C0" w:rsidRPr="00615CA9" w:rsidP="00076565">
            <w:pPr>
              <w:rPr>
                <w:rFonts w:ascii="Calibri" w:hAnsi="Calibri" w:cs="Calibri"/>
              </w:rPr>
            </w:pPr>
          </w:p>
          <w:p w:rsidR="008076C0" w:rsidRPr="00615CA9" w:rsidP="00076565">
            <w:pPr>
              <w:rPr>
                <w:rFonts w:ascii="Calibri" w:hAnsi="Calibri" w:cs="Calibri"/>
              </w:rPr>
            </w:pPr>
            <w:r w:rsidRPr="00615CA9">
              <w:rPr>
                <w:rFonts w:ascii="Calibri" w:hAnsi="Calibri" w:cs="Calibri"/>
              </w:rPr>
              <w:t>Different groups of young people may need different approaches to independence-building. Young people with learning disabilities, autism, communication needs, mental health difficulties, safeguarding concerns, complex medical needs, digital exclusion, language barriers or limited family advocacy may require earlier, longer and more personalised transition support.</w:t>
            </w:r>
          </w:p>
          <w:p w:rsidR="008076C0" w:rsidRPr="00615CA9" w:rsidP="00076565">
            <w:pPr>
              <w:rPr>
                <w:rFonts w:ascii="Calibri" w:hAnsi="Calibri" w:cs="Calibri"/>
              </w:rPr>
            </w:pPr>
          </w:p>
          <w:p w:rsidR="008076C0" w:rsidRPr="00615CA9" w:rsidP="00076565">
            <w:pPr>
              <w:rPr>
                <w:rFonts w:ascii="Calibri" w:hAnsi="Calibri" w:cs="Calibri"/>
              </w:rPr>
            </w:pPr>
            <w:r w:rsidRPr="00615CA9">
              <w:rPr>
                <w:rFonts w:ascii="Calibri" w:hAnsi="Calibri" w:cs="Calibri"/>
              </w:rPr>
              <w:t>At GOSH, support is available through interpreter services, transport support where eligible, and the Learning Disability and Autism CNS team, who can assist staff to understand and respond to the needs of young people with learning disabilities, autism or communication needs. These resources can support reasonable adjustments, accessible communication and more personalised care planning.</w:t>
            </w:r>
          </w:p>
          <w:p w:rsidR="008076C0" w:rsidRPr="00615CA9" w:rsidP="00076565">
            <w:pPr>
              <w:rPr>
                <w:rFonts w:ascii="Calibri" w:hAnsi="Calibri" w:cs="Calibri"/>
              </w:rPr>
            </w:pPr>
          </w:p>
          <w:p w:rsidR="008076C0" w:rsidRPr="00615CA9" w:rsidP="00076565">
            <w:pPr>
              <w:rPr>
                <w:rFonts w:ascii="Calibri" w:hAnsi="Calibri" w:cs="Calibri"/>
              </w:rPr>
            </w:pPr>
            <w:r w:rsidRPr="00615CA9">
              <w:rPr>
                <w:rFonts w:ascii="Calibri" w:hAnsi="Calibri" w:cs="Calibri"/>
              </w:rPr>
              <w:t>Adaptations may include:</w:t>
            </w:r>
            <w:r w:rsidRPr="00615CA9">
              <w:rPr>
                <w:rFonts w:ascii="Calibri" w:hAnsi="Calibri" w:cs="Calibri"/>
              </w:rPr>
              <w:br/>
              <w:t>• longer appointments</w:t>
            </w:r>
            <w:r w:rsidRPr="00615CA9">
              <w:rPr>
                <w:rFonts w:ascii="Calibri" w:hAnsi="Calibri" w:cs="Calibri"/>
              </w:rPr>
              <w:br/>
              <w:t>• repeated education</w:t>
            </w:r>
            <w:r w:rsidRPr="00615CA9">
              <w:rPr>
                <w:rFonts w:ascii="Calibri" w:hAnsi="Calibri" w:cs="Calibri"/>
              </w:rPr>
              <w:br/>
              <w:t>• easy-read or visual information</w:t>
            </w:r>
            <w:r w:rsidRPr="00615CA9">
              <w:rPr>
                <w:rFonts w:ascii="Calibri" w:hAnsi="Calibri" w:cs="Calibri"/>
              </w:rPr>
              <w:br/>
              <w:t>• interpreter support</w:t>
            </w:r>
            <w:r w:rsidRPr="00615CA9">
              <w:rPr>
                <w:rFonts w:ascii="Calibri" w:hAnsi="Calibri" w:cs="Calibri"/>
              </w:rPr>
              <w:br/>
              <w:t>• reasonable adjustments</w:t>
            </w:r>
            <w:r w:rsidRPr="00615CA9">
              <w:rPr>
                <w:rFonts w:ascii="Calibri" w:hAnsi="Calibri" w:cs="Calibri"/>
              </w:rPr>
              <w:br/>
              <w:t>• carer involvement where appropriate</w:t>
            </w:r>
            <w:r w:rsidRPr="00615CA9">
              <w:rPr>
                <w:rFonts w:ascii="Calibri" w:hAnsi="Calibri" w:cs="Calibri"/>
              </w:rPr>
              <w:br/>
              <w:t>• gradual private consultation time</w:t>
            </w:r>
            <w:r w:rsidRPr="00615CA9">
              <w:rPr>
                <w:rFonts w:ascii="Calibri" w:hAnsi="Calibri" w:cs="Calibri"/>
              </w:rPr>
              <w:br/>
              <w:t>• familiarisation with adult services</w:t>
            </w:r>
            <w:r w:rsidRPr="00615CA9">
              <w:rPr>
                <w:rFonts w:ascii="Calibri" w:hAnsi="Calibri" w:cs="Calibri"/>
              </w:rPr>
              <w:br/>
              <w:t>• peer support</w:t>
            </w:r>
            <w:r w:rsidRPr="00615CA9">
              <w:rPr>
                <w:rFonts w:ascii="Calibri" w:hAnsi="Calibri" w:cs="Calibri"/>
              </w:rPr>
              <w:br/>
              <w:t>• and named key worker support.</w:t>
            </w:r>
          </w:p>
          <w:p w:rsidR="008076C0" w:rsidRPr="00615CA9" w:rsidP="00076565">
            <w:pPr>
              <w:rPr>
                <w:rFonts w:ascii="Calibri" w:hAnsi="Calibri" w:cs="Calibri"/>
              </w:rPr>
            </w:pPr>
          </w:p>
          <w:p w:rsidR="008076C0" w:rsidRPr="00615CA9" w:rsidP="00076565">
            <w:pPr>
              <w:rPr>
                <w:rFonts w:ascii="Calibri" w:hAnsi="Calibri" w:cs="Calibri"/>
              </w:rPr>
            </w:pPr>
            <w:r w:rsidRPr="00615CA9">
              <w:rPr>
                <w:rFonts w:ascii="Calibri" w:hAnsi="Calibri" w:cs="Calibri"/>
              </w:rPr>
              <w:t>However, these adaptations are not consistently available across all pathways or adult receiving services. Several teams noted that support is often dependent on individual clinicians recognising need and making adjustments, rather than being systematically embedded across all transition pathways.</w:t>
            </w:r>
          </w:p>
          <w:p w:rsidR="008076C0" w:rsidRPr="00615CA9" w:rsidP="00076565">
            <w:pPr>
              <w:rPr>
                <w:rFonts w:ascii="Calibri" w:hAnsi="Calibri" w:cs="Calibri"/>
              </w:rPr>
            </w:pPr>
          </w:p>
          <w:p w:rsidR="008076C0" w:rsidRPr="00615CA9" w:rsidP="00076565">
            <w:pPr>
              <w:rPr>
                <w:rFonts w:ascii="Calibri" w:hAnsi="Calibri" w:cs="Calibri"/>
              </w:rPr>
            </w:pPr>
            <w:r w:rsidRPr="00615CA9">
              <w:rPr>
                <w:rFonts w:ascii="Calibri" w:hAnsi="Calibri" w:cs="Calibri"/>
              </w:rPr>
              <w:t>Overall, services recognise that independence looks different for different young people, but consistent delivery requires protected time, accessible resources, specialist advice, better adult pathways, and stronger coordination across health, education and social care.</w:t>
            </w:r>
          </w:p>
          <w:p w:rsidR="008076C0" w:rsidRPr="00615CA9" w:rsidP="00DD64F8">
            <w:pPr>
              <w:rPr>
                <w:rFonts w:ascii="Calibri" w:hAnsi="Calibri" w:cs="Calibri"/>
              </w:rPr>
            </w:pPr>
          </w:p>
        </w:tc>
      </w:tr>
      <w:tr w:rsidTr="00DD64F8">
        <w:tblPrEx>
          <w:tblW w:w="10490" w:type="dxa"/>
          <w:tblInd w:w="-714" w:type="dxa"/>
          <w:tblLook w:val="04A0"/>
        </w:tblPrEx>
        <w:tc>
          <w:tcPr>
            <w:tcW w:w="1985" w:type="dxa"/>
            <w:vMerge/>
          </w:tcPr>
          <w:p w:rsidR="008076C0" w:rsidRPr="00615CA9" w:rsidP="00DD64F8">
            <w:pPr>
              <w:rPr>
                <w:rFonts w:ascii="Calibri" w:hAnsi="Calibri" w:cs="Calibri"/>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 xml:space="preserve">2. </w:t>
            </w:r>
            <w:r w:rsidRPr="00615CA9">
              <w:rPr>
                <w:rFonts w:ascii="Calibri" w:hAnsi="Calibri" w:cs="Calibri"/>
                <w:sz w:val="22"/>
                <w:szCs w:val="22"/>
              </w:rPr>
              <w:t>What evidence is there that some groups are less likely to receive appropriate or sufficiently ambitious support for independence, and why?</w:t>
            </w:r>
          </w:p>
        </w:tc>
      </w:tr>
      <w:tr w:rsidTr="00DD64F8">
        <w:tblPrEx>
          <w:tblW w:w="10490" w:type="dxa"/>
          <w:tblInd w:w="-714" w:type="dxa"/>
          <w:tblLook w:val="04A0"/>
        </w:tblPrEx>
        <w:tc>
          <w:tcPr>
            <w:tcW w:w="1985" w:type="dxa"/>
            <w:vMerge/>
          </w:tcPr>
          <w:p w:rsidR="008076C0" w:rsidRPr="00615CA9" w:rsidP="00DD64F8">
            <w:pPr>
              <w:rPr>
                <w:rFonts w:ascii="Calibri" w:hAnsi="Calibri" w:cs="Calibri"/>
              </w:rPr>
            </w:pPr>
          </w:p>
        </w:tc>
        <w:tc>
          <w:tcPr>
            <w:tcW w:w="8505" w:type="dxa"/>
          </w:tcPr>
          <w:p w:rsidR="008076C0" w:rsidRPr="00615CA9" w:rsidP="00841F3E">
            <w:pPr>
              <w:rPr>
                <w:rFonts w:ascii="Calibri" w:hAnsi="Calibri" w:cs="Calibri"/>
              </w:rPr>
            </w:pPr>
            <w:r w:rsidRPr="00615CA9">
              <w:rPr>
                <w:rFonts w:ascii="Calibri" w:hAnsi="Calibri" w:cs="Calibri"/>
              </w:rPr>
              <w:t>Some groups appear less likely to receive appropriate or sufficiently ambitious support for independence, although this requires more systematic monitoring.</w:t>
            </w:r>
          </w:p>
          <w:p w:rsidR="008076C0" w:rsidRPr="00615CA9" w:rsidP="00841F3E">
            <w:pPr>
              <w:rPr>
                <w:rFonts w:ascii="Calibri" w:hAnsi="Calibri" w:cs="Calibri"/>
              </w:rPr>
            </w:pPr>
          </w:p>
          <w:p w:rsidR="008076C0" w:rsidRPr="00615CA9" w:rsidP="00841F3E">
            <w:pPr>
              <w:rPr>
                <w:rFonts w:ascii="Calibri" w:hAnsi="Calibri" w:cs="Calibri"/>
              </w:rPr>
            </w:pPr>
            <w:r w:rsidRPr="00615CA9">
              <w:rPr>
                <w:rFonts w:ascii="Calibri" w:hAnsi="Calibri" w:cs="Calibri"/>
              </w:rPr>
              <w:t>Groups at particular risk include young people with:</w:t>
            </w:r>
            <w:r w:rsidRPr="00615CA9">
              <w:rPr>
                <w:rFonts w:ascii="Calibri" w:hAnsi="Calibri" w:cs="Calibri"/>
              </w:rPr>
              <w:br/>
              <w:t>• learning disabilities</w:t>
            </w:r>
            <w:r w:rsidRPr="00615CA9">
              <w:rPr>
                <w:rFonts w:ascii="Calibri" w:hAnsi="Calibri" w:cs="Calibri"/>
              </w:rPr>
              <w:br/>
              <w:t>• autism or communication needs</w:t>
            </w:r>
            <w:r w:rsidRPr="00615CA9">
              <w:rPr>
                <w:rFonts w:ascii="Calibri" w:hAnsi="Calibri" w:cs="Calibri"/>
              </w:rPr>
              <w:br/>
              <w:t>• significant mental health difficulties</w:t>
            </w:r>
            <w:r w:rsidRPr="00615CA9">
              <w:rPr>
                <w:rFonts w:ascii="Calibri" w:hAnsi="Calibri" w:cs="Calibri"/>
              </w:rPr>
              <w:br/>
              <w:t>• complex medical needs</w:t>
            </w:r>
            <w:r w:rsidRPr="00615CA9">
              <w:rPr>
                <w:rFonts w:ascii="Calibri" w:hAnsi="Calibri" w:cs="Calibri"/>
              </w:rPr>
              <w:br/>
              <w:t>• safeguarding or social care concerns</w:t>
            </w:r>
            <w:r w:rsidRPr="00615CA9">
              <w:rPr>
                <w:rFonts w:ascii="Calibri" w:hAnsi="Calibri" w:cs="Calibri"/>
              </w:rPr>
              <w:br/>
              <w:t>• digital exclusion</w:t>
            </w:r>
            <w:r w:rsidRPr="00615CA9">
              <w:rPr>
                <w:rFonts w:ascii="Calibri" w:hAnsi="Calibri" w:cs="Calibri"/>
              </w:rPr>
              <w:br/>
              <w:t>• language barriers</w:t>
            </w:r>
            <w:r w:rsidRPr="00615CA9">
              <w:rPr>
                <w:rFonts w:ascii="Calibri" w:hAnsi="Calibri" w:cs="Calibri"/>
              </w:rPr>
              <w:br/>
            </w:r>
            <w:r w:rsidRPr="00615CA9">
              <w:rPr>
                <w:rFonts w:ascii="Calibri" w:hAnsi="Calibri" w:cs="Calibri"/>
              </w:rPr>
              <w:t>• limited family advocacy</w:t>
            </w:r>
            <w:r w:rsidRPr="00615CA9">
              <w:rPr>
                <w:rFonts w:ascii="Calibri" w:hAnsi="Calibri" w:cs="Calibri"/>
              </w:rPr>
              <w:br/>
              <w:t>• rare conditions without clear adult pathways.</w:t>
            </w:r>
          </w:p>
          <w:p w:rsidR="008076C0" w:rsidRPr="00615CA9" w:rsidP="00841F3E">
            <w:pPr>
              <w:rPr>
                <w:rFonts w:ascii="Calibri" w:hAnsi="Calibri" w:cs="Calibri"/>
              </w:rPr>
            </w:pPr>
          </w:p>
          <w:p w:rsidR="008076C0" w:rsidRPr="00615CA9" w:rsidP="00841F3E">
            <w:pPr>
              <w:rPr>
                <w:rFonts w:ascii="Calibri" w:hAnsi="Calibri" w:cs="Calibri"/>
              </w:rPr>
            </w:pPr>
            <w:r w:rsidRPr="00615CA9">
              <w:rPr>
                <w:rFonts w:ascii="Calibri" w:hAnsi="Calibri" w:cs="Calibri"/>
              </w:rPr>
              <w:t>One recurring concern is that young people with learning disabilities, autism or complex needs may be assumed to need “later” transition, when they often require earlier and longer preparation. This can unintentionally reduce opportunities to build confidence, practise decision-making, develop communication skills, and establish reasonable adjustments before adult care begins.</w:t>
            </w:r>
          </w:p>
          <w:p w:rsidR="008076C0" w:rsidRPr="00615CA9" w:rsidP="00841F3E">
            <w:pPr>
              <w:rPr>
                <w:rFonts w:ascii="Calibri" w:hAnsi="Calibri" w:cs="Calibri"/>
              </w:rPr>
            </w:pPr>
          </w:p>
          <w:p w:rsidR="008076C0" w:rsidRPr="00615CA9" w:rsidP="00841F3E">
            <w:pPr>
              <w:rPr>
                <w:rFonts w:ascii="Calibri" w:hAnsi="Calibri" w:cs="Calibri"/>
              </w:rPr>
            </w:pPr>
            <w:r w:rsidRPr="00615CA9">
              <w:rPr>
                <w:rFonts w:ascii="Calibri" w:hAnsi="Calibri" w:cs="Calibri"/>
              </w:rPr>
              <w:t>There is also a risk that independence is interpreted too narrowly as complete self-management. For some young people, appropriate independence may mean being involved in decisions as far as possible, knowing who supports them, using communication aids, understanding key parts of their care, or directing support with carers’ help.</w:t>
            </w:r>
          </w:p>
          <w:p w:rsidR="008076C0" w:rsidRPr="00615CA9" w:rsidP="00841F3E">
            <w:pPr>
              <w:rPr>
                <w:rFonts w:ascii="Calibri" w:hAnsi="Calibri" w:cs="Calibri"/>
              </w:rPr>
            </w:pPr>
          </w:p>
          <w:p w:rsidR="008076C0" w:rsidRPr="00615CA9" w:rsidP="00841F3E">
            <w:pPr>
              <w:rPr>
                <w:rFonts w:ascii="Calibri" w:hAnsi="Calibri" w:cs="Calibri"/>
              </w:rPr>
            </w:pPr>
            <w:r w:rsidRPr="00615CA9">
              <w:rPr>
                <w:rFonts w:ascii="Calibri" w:hAnsi="Calibri" w:cs="Calibri"/>
              </w:rPr>
              <w:t>Young people without strong family advocacy may also be more vulnerable to gaps in care, particularly where transition processes rely on parents or carers chasing appointments, clarifying referrals, or coordinating between services.</w:t>
            </w:r>
          </w:p>
          <w:p w:rsidR="008076C0" w:rsidRPr="00615CA9" w:rsidP="00841F3E">
            <w:pPr>
              <w:rPr>
                <w:rFonts w:ascii="Calibri" w:hAnsi="Calibri" w:cs="Calibri"/>
              </w:rPr>
            </w:pPr>
          </w:p>
          <w:p w:rsidR="008076C0" w:rsidRPr="00615CA9" w:rsidP="00DD64F8">
            <w:pPr>
              <w:rPr>
                <w:rFonts w:ascii="Calibri" w:hAnsi="Calibri" w:cs="Calibri"/>
              </w:rPr>
            </w:pPr>
            <w:r w:rsidRPr="00615CA9">
              <w:rPr>
                <w:rFonts w:ascii="Calibri" w:hAnsi="Calibri" w:cs="Calibri"/>
              </w:rPr>
              <w:t>Overall, groups are less likely to receive ambitious support where services lack time, training, accessible resources, adult pathways, specialist LD/autism support, digital inclusion support, or robust systems for identifying vulnerability early.</w:t>
            </w:r>
          </w:p>
          <w:p w:rsidR="008076C0" w:rsidRPr="00615CA9" w:rsidP="00DD64F8">
            <w:pPr>
              <w:rPr>
                <w:rFonts w:ascii="Calibri" w:hAnsi="Calibri" w:cs="Calibri"/>
              </w:rPr>
            </w:pPr>
          </w:p>
        </w:tc>
      </w:tr>
    </w:tbl>
    <w:p w:rsidR="008076C0" w:rsidRPr="00615CA9">
      <w:pPr>
        <w:rPr>
          <w:rFonts w:ascii="Calibri" w:hAnsi="Calibri" w:cs="Calibri"/>
        </w:rPr>
      </w:pPr>
    </w:p>
    <w:p w:rsidR="008076C0" w:rsidRPr="00615CA9">
      <w:pPr>
        <w:rPr>
          <w:rFonts w:ascii="Calibri" w:hAnsi="Calibri" w:cs="Calibri"/>
        </w:rPr>
      </w:pPr>
    </w:p>
    <w:tbl>
      <w:tblPr>
        <w:tblStyle w:val="TableGrid"/>
        <w:tblW w:w="10490" w:type="dxa"/>
        <w:tblInd w:w="-714" w:type="dxa"/>
        <w:tblLook w:val="04A0"/>
      </w:tblPr>
      <w:tblGrid>
        <w:gridCol w:w="1985"/>
        <w:gridCol w:w="8505"/>
      </w:tblGrid>
      <w:tr w:rsidTr="00DD64F8">
        <w:tblPrEx>
          <w:tblW w:w="10490" w:type="dxa"/>
          <w:tblInd w:w="-714" w:type="dxa"/>
          <w:tblLook w:val="04A0"/>
        </w:tblPrEx>
        <w:tc>
          <w:tcPr>
            <w:tcW w:w="10490" w:type="dxa"/>
            <w:gridSpan w:val="2"/>
          </w:tcPr>
          <w:p w:rsidR="008076C0" w:rsidRPr="00615CA9">
            <w:pPr>
              <w:rPr>
                <w:rFonts w:ascii="Calibri" w:hAnsi="Calibri" w:cs="Calibri"/>
                <w:b/>
                <w:bCs/>
              </w:rPr>
            </w:pPr>
            <w:r w:rsidRPr="00615CA9">
              <w:rPr>
                <w:rFonts w:ascii="Calibri" w:hAnsi="Calibri" w:cs="Calibri"/>
                <w:b/>
                <w:bCs/>
              </w:rPr>
              <w:t xml:space="preserve">FOCUS AREA 6 </w:t>
            </w:r>
          </w:p>
          <w:p w:rsidR="008076C0" w:rsidRPr="00615CA9" w:rsidP="00DD64F8">
            <w:pPr>
              <w:rPr>
                <w:rFonts w:ascii="Calibri" w:hAnsi="Calibri" w:cs="Calibri"/>
                <w:b/>
                <w:bCs/>
              </w:rPr>
            </w:pPr>
            <w:r w:rsidRPr="00615CA9">
              <w:rPr>
                <w:rFonts w:ascii="Calibri" w:hAnsi="Calibri" w:cs="Calibri"/>
                <w:b/>
                <w:bCs/>
              </w:rPr>
              <w:t>PROMOTING EQUITY ACROSS THE TRANSITION</w:t>
            </w:r>
          </w:p>
        </w:tc>
      </w:tr>
      <w:tr w:rsidTr="00DD64F8">
        <w:tblPrEx>
          <w:tblW w:w="10490" w:type="dxa"/>
          <w:tblInd w:w="-714" w:type="dxa"/>
          <w:tblLook w:val="04A0"/>
        </w:tblPrEx>
        <w:tc>
          <w:tcPr>
            <w:tcW w:w="10490" w:type="dxa"/>
            <w:gridSpan w:val="2"/>
          </w:tcPr>
          <w:p w:rsidR="008076C0" w:rsidRPr="00615CA9" w:rsidP="00DD64F8">
            <w:pPr>
              <w:spacing w:after="120" w:line="259" w:lineRule="auto"/>
              <w:rPr>
                <w:rFonts w:ascii="Calibri" w:hAnsi="Calibri" w:cs="Calibri"/>
                <w:sz w:val="22"/>
                <w:szCs w:val="22"/>
              </w:rPr>
            </w:pPr>
            <w:r w:rsidRPr="00615CA9">
              <w:rPr>
                <w:rFonts w:ascii="Calibri" w:hAnsi="Calibri" w:cs="Calibri"/>
                <w:b/>
                <w:bCs/>
                <w:sz w:val="22"/>
                <w:szCs w:val="22"/>
              </w:rPr>
              <w:t>Statement of intent 1</w:t>
            </w:r>
            <w:r w:rsidRPr="00615CA9">
              <w:rPr>
                <w:rFonts w:ascii="Calibri" w:hAnsi="Calibri" w:cs="Calibri"/>
                <w:sz w:val="22"/>
                <w:szCs w:val="22"/>
              </w:rPr>
              <w:t xml:space="preserve">: </w:t>
            </w:r>
            <w:r w:rsidRPr="00615CA9">
              <w:rPr>
                <w:rFonts w:ascii="Calibri" w:hAnsi="Calibri" w:cs="Calibri"/>
                <w:sz w:val="22"/>
                <w:szCs w:val="22"/>
                <w:lang w:val="en-US"/>
              </w:rPr>
              <w:t xml:space="preserve">The service provides publicity material specifically on transition to adult services that is accessible for everyone such as in different languages or for young people with or without disabilities. This is youth-friendly, and uses age-appropriate language and images for the age and ability of the young person. </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615CA9">
              <w:rPr>
                <w:rStyle w:val="Hyperlink"/>
                <w:rFonts w:ascii="Calibri" w:hAnsi="Calibri" w:cs="Calibri"/>
                <w:color w:val="auto"/>
                <w:sz w:val="22"/>
                <w:szCs w:val="22"/>
                <w:lang w:val="en-US"/>
              </w:rPr>
              <w:t>OHID You’re Welcome (8, 2023)</w:t>
            </w:r>
            <w:r>
              <w:fldChar w:fldCharType="end"/>
            </w:r>
          </w:p>
          <w:p w:rsidR="008076C0" w:rsidRPr="00615CA9" w:rsidP="00DD64F8">
            <w:pPr>
              <w:rPr>
                <w:rFonts w:ascii="Calibri" w:hAnsi="Calibri" w:cs="Calibri"/>
                <w:sz w:val="22"/>
                <w:szCs w:val="22"/>
                <w:lang w:val="en-US"/>
              </w:rPr>
            </w:pPr>
            <w:r w:rsidRPr="00615CA9">
              <w:rPr>
                <w:rFonts w:ascii="Calibri" w:hAnsi="Calibri" w:cs="Calibri"/>
                <w:b/>
                <w:bCs/>
                <w:sz w:val="22"/>
                <w:szCs w:val="22"/>
              </w:rPr>
              <w:t>Statement of intent 2:</w:t>
            </w:r>
            <w:r w:rsidRPr="00615CA9">
              <w:rPr>
                <w:rFonts w:ascii="Calibri" w:hAnsi="Calibri" w:cs="Calibri"/>
                <w:sz w:val="22"/>
                <w:szCs w:val="22"/>
                <w:lang w:val="en-US"/>
              </w:rPr>
              <w:t xml:space="preserve"> Service managers should ensure a range of tools is available, and used, to help young people communicate effectively with practitioners. These may include, for example: ways to produce a written record of how a young person communicates, for example, communication passports or 1</w:t>
            </w:r>
            <w:r w:rsidRPr="00615CA9">
              <w:rPr>
                <w:rFonts w:ascii="Cambria Math" w:hAnsi="Cambria Math" w:cs="Cambria Math"/>
                <w:sz w:val="22"/>
                <w:szCs w:val="22"/>
                <w:lang w:val="en-US"/>
              </w:rPr>
              <w:t>‑</w:t>
            </w:r>
            <w:r w:rsidRPr="00615CA9">
              <w:rPr>
                <w:rFonts w:ascii="Calibri" w:hAnsi="Calibri" w:cs="Calibri"/>
                <w:sz w:val="22"/>
                <w:szCs w:val="22"/>
                <w:lang w:val="en-US"/>
              </w:rPr>
              <w:t xml:space="preserve">page profiles; ways to help the young person communicate, for example, communication boards and digital communication tools. </w:t>
            </w:r>
            <w:r>
              <w:fldChar w:fldCharType="begin"/>
            </w:r>
            <w:r>
              <w:instrText xml:space="preserve"> HYPERLINK "https://www.nice.org.uk/guidance/ng43/chapter/Recommendations" \l "support-before-transfer" </w:instrText>
            </w:r>
            <w:r>
              <w:fldChar w:fldCharType="separate"/>
            </w:r>
            <w:r w:rsidRPr="00615CA9">
              <w:rPr>
                <w:rStyle w:val="Hyperlink"/>
                <w:rFonts w:ascii="Calibri" w:hAnsi="Calibri" w:cs="Calibri"/>
                <w:color w:val="auto"/>
                <w:sz w:val="22"/>
                <w:szCs w:val="22"/>
                <w:lang w:val="en-US"/>
              </w:rPr>
              <w:t>NICE NG43 (1.2.12, 2016)</w:t>
            </w:r>
            <w:r>
              <w:fldChar w:fldCharType="end"/>
            </w:r>
            <w:r w:rsidRPr="00615CA9">
              <w:rPr>
                <w:rFonts w:ascii="Calibri" w:hAnsi="Calibri" w:cs="Calibri"/>
                <w:sz w:val="22"/>
                <w:szCs w:val="22"/>
                <w:lang w:val="en-US"/>
              </w:rPr>
              <w:t xml:space="preserve">  </w:t>
            </w: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Resourcing</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1. Do services have the capacity and funding to deliver on these statements of intent for young people with additional needs?</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B63E01">
            <w:pPr>
              <w:rPr>
                <w:rFonts w:ascii="Calibri" w:hAnsi="Calibri" w:cs="Calibri"/>
                <w:sz w:val="22"/>
                <w:szCs w:val="22"/>
              </w:rPr>
            </w:pPr>
            <w:r w:rsidRPr="00615CA9">
              <w:rPr>
                <w:rFonts w:ascii="Calibri" w:hAnsi="Calibri" w:cs="Calibri"/>
                <w:sz w:val="22"/>
                <w:szCs w:val="22"/>
              </w:rPr>
              <w:t>Services have some capacity and infrastructure to support young people with additional needs, but this is not yet consistently sufficient across all specialties or pathways.</w:t>
            </w:r>
          </w:p>
          <w:p w:rsidR="008076C0" w:rsidRPr="00615CA9" w:rsidP="00B63E01">
            <w:pPr>
              <w:rPr>
                <w:rFonts w:ascii="Calibri" w:hAnsi="Calibri" w:cs="Calibri"/>
                <w:sz w:val="22"/>
                <w:szCs w:val="22"/>
              </w:rPr>
            </w:pPr>
          </w:p>
          <w:p w:rsidR="008076C0" w:rsidRPr="00615CA9" w:rsidP="00B63E01">
            <w:pPr>
              <w:rPr>
                <w:rFonts w:ascii="Calibri" w:hAnsi="Calibri" w:cs="Calibri"/>
                <w:sz w:val="22"/>
                <w:szCs w:val="22"/>
              </w:rPr>
            </w:pPr>
            <w:r w:rsidRPr="00615CA9">
              <w:rPr>
                <w:rFonts w:ascii="Calibri" w:hAnsi="Calibri" w:cs="Calibri"/>
                <w:sz w:val="22"/>
                <w:szCs w:val="22"/>
              </w:rPr>
              <w:t xml:space="preserve">At GOSH, several resources support more equitable transition provision. These include interpreter services, transport support where eligible, the Learning Disability and Autism CNS team, safeguarding support, health inequalities workstreams, and developing patient-facing transition resources. These resources can help teams provide reasonable adjustments, accessible communication, and more personalised transition planning for young people with </w:t>
            </w:r>
            <w:r w:rsidRPr="00615CA9">
              <w:rPr>
                <w:rFonts w:ascii="Calibri" w:hAnsi="Calibri" w:cs="Calibri"/>
                <w:sz w:val="22"/>
                <w:szCs w:val="22"/>
              </w:rPr>
              <w:t>learning disabilities, autism, communication needs, language barriers, digital exclusion, or complex social circumstances.</w:t>
            </w:r>
          </w:p>
          <w:p w:rsidR="008076C0" w:rsidRPr="00615CA9" w:rsidP="00B63E01">
            <w:pPr>
              <w:rPr>
                <w:rFonts w:ascii="Calibri" w:hAnsi="Calibri" w:cs="Calibri"/>
                <w:sz w:val="22"/>
                <w:szCs w:val="22"/>
              </w:rPr>
            </w:pPr>
          </w:p>
          <w:p w:rsidR="008076C0" w:rsidRPr="00615CA9" w:rsidP="00B63E01">
            <w:pPr>
              <w:rPr>
                <w:rFonts w:ascii="Calibri" w:hAnsi="Calibri" w:cs="Calibri"/>
                <w:sz w:val="22"/>
                <w:szCs w:val="22"/>
              </w:rPr>
            </w:pPr>
            <w:r w:rsidRPr="00615CA9">
              <w:rPr>
                <w:rFonts w:ascii="Calibri" w:hAnsi="Calibri" w:cs="Calibri"/>
                <w:sz w:val="22"/>
                <w:szCs w:val="22"/>
              </w:rPr>
              <w:t>However, delivering accessible transition materials and communication support requires more than producing a single leaflet or webpage. Youth-friendly resources need to be age appropriate, understandable, visually engaging, available in accessible formats, and responsive to different levels of health literacy, digital literacy, language, disability and developmental stage. This requires staff time, design support, translation, accessibility review, clinical governance, and ongoing updating.</w:t>
            </w:r>
          </w:p>
          <w:p w:rsidR="008076C0" w:rsidRPr="00615CA9" w:rsidP="00B63E01">
            <w:pPr>
              <w:rPr>
                <w:rFonts w:ascii="Calibri" w:hAnsi="Calibri" w:cs="Calibri"/>
                <w:sz w:val="22"/>
                <w:szCs w:val="22"/>
              </w:rPr>
            </w:pPr>
          </w:p>
          <w:p w:rsidR="008076C0" w:rsidRPr="00615CA9" w:rsidP="00B63E01">
            <w:pPr>
              <w:rPr>
                <w:rFonts w:ascii="Calibri" w:hAnsi="Calibri" w:cs="Calibri"/>
                <w:sz w:val="22"/>
                <w:szCs w:val="22"/>
              </w:rPr>
            </w:pPr>
            <w:r w:rsidRPr="00615CA9">
              <w:rPr>
                <w:rFonts w:ascii="Calibri" w:hAnsi="Calibri" w:cs="Calibri"/>
                <w:sz w:val="22"/>
                <w:szCs w:val="22"/>
              </w:rPr>
              <w:t>At GOSH, work is underway to develop patient-facing transition resources, including digital resources that can support young people and families to understand transition, patient empowerment and preparation for adult services. Some services have also started translating patient information into commonly spoken languages, but this is not yet consistent across all specialties.</w:t>
            </w:r>
          </w:p>
          <w:p w:rsidR="008076C0" w:rsidRPr="00615CA9" w:rsidP="00B63E01">
            <w:pPr>
              <w:rPr>
                <w:rFonts w:ascii="Calibri" w:hAnsi="Calibri" w:cs="Calibri"/>
                <w:sz w:val="22"/>
                <w:szCs w:val="22"/>
              </w:rPr>
            </w:pPr>
          </w:p>
          <w:p w:rsidR="008076C0" w:rsidRPr="00615CA9" w:rsidP="00B63E01">
            <w:pPr>
              <w:rPr>
                <w:rFonts w:ascii="Calibri" w:hAnsi="Calibri" w:cs="Calibri"/>
                <w:sz w:val="22"/>
                <w:szCs w:val="22"/>
              </w:rPr>
            </w:pPr>
            <w:r w:rsidRPr="00615CA9">
              <w:rPr>
                <w:rFonts w:ascii="Calibri" w:hAnsi="Calibri" w:cs="Calibri"/>
                <w:sz w:val="22"/>
                <w:szCs w:val="22"/>
              </w:rPr>
              <w:t>Digital inequality is also an important resourcing issue. The Healthcare Transition and Adolescent Lead is Deputy Lead for Digital Health Inequalities, and GOSH Charity funding has supported work to provide smartphones with cameras, pre-loaded SIM cards and digital upskilling support for young people and families who may otherwise struggle to access MyGOSH, remote consultations or digital healthcare resources. This recognises that increasing use of digital healthcare can unintentionally widen inequalities i</w:t>
            </w:r>
            <w:r w:rsidRPr="00615CA9">
              <w:rPr>
                <w:rFonts w:ascii="Calibri" w:hAnsi="Calibri" w:cs="Calibri"/>
                <w:sz w:val="22"/>
                <w:szCs w:val="22"/>
              </w:rPr>
              <w:t>f young people lack devices, connectivity, confidence or digital literacy.</w:t>
            </w:r>
          </w:p>
          <w:p w:rsidR="008076C0" w:rsidRPr="00615CA9" w:rsidP="00B63E01">
            <w:pPr>
              <w:rPr>
                <w:rFonts w:ascii="Calibri" w:hAnsi="Calibri" w:cs="Calibri"/>
                <w:sz w:val="22"/>
                <w:szCs w:val="22"/>
              </w:rPr>
            </w:pPr>
          </w:p>
          <w:p w:rsidR="008076C0" w:rsidRPr="00615CA9" w:rsidP="00B63E01">
            <w:pPr>
              <w:rPr>
                <w:rFonts w:ascii="Calibri" w:hAnsi="Calibri" w:cs="Calibri"/>
                <w:sz w:val="22"/>
                <w:szCs w:val="22"/>
              </w:rPr>
            </w:pPr>
            <w:r w:rsidRPr="00615CA9">
              <w:rPr>
                <w:rFonts w:ascii="Calibri" w:hAnsi="Calibri" w:cs="Calibri"/>
                <w:sz w:val="22"/>
                <w:szCs w:val="22"/>
              </w:rPr>
              <w:t xml:space="preserve">Communication tools such as </w:t>
            </w:r>
            <w:r w:rsidRPr="00615CA9">
              <w:rPr>
                <w:rFonts w:ascii="Calibri" w:hAnsi="Calibri" w:cs="Calibri"/>
                <w:sz w:val="22"/>
                <w:szCs w:val="22"/>
              </w:rPr>
              <w:t>healthcare</w:t>
            </w:r>
            <w:r w:rsidRPr="00615CA9">
              <w:rPr>
                <w:rFonts w:ascii="Calibri" w:hAnsi="Calibri" w:cs="Calibri"/>
                <w:sz w:val="22"/>
                <w:szCs w:val="22"/>
              </w:rPr>
              <w:t xml:space="preserve"> passports, easy-read resources, visual supports and digital communication tools are highly valuable, but they require time and staff confidence to use meaningfully. They are most effective when embedded into clinical workflows rather than treated as optional additional documents.</w:t>
            </w:r>
          </w:p>
          <w:p w:rsidR="008076C0" w:rsidRPr="00615CA9" w:rsidP="00B63E01">
            <w:pPr>
              <w:rPr>
                <w:rFonts w:ascii="Calibri" w:hAnsi="Calibri" w:cs="Calibri"/>
                <w:sz w:val="22"/>
                <w:szCs w:val="22"/>
              </w:rPr>
            </w:pPr>
          </w:p>
          <w:p w:rsidR="008076C0" w:rsidRPr="00615CA9" w:rsidP="00B63E01">
            <w:pPr>
              <w:rPr>
                <w:rFonts w:ascii="Calibri" w:hAnsi="Calibri" w:cs="Calibri"/>
                <w:sz w:val="22"/>
                <w:szCs w:val="22"/>
              </w:rPr>
            </w:pPr>
            <w:r w:rsidRPr="00615CA9">
              <w:rPr>
                <w:rFonts w:ascii="Calibri" w:hAnsi="Calibri" w:cs="Calibri"/>
                <w:sz w:val="22"/>
                <w:szCs w:val="22"/>
              </w:rPr>
              <w:t>Overall, services have important resources available, but capacity and funding remain variable. Much of the work to improve accessibility, digital inclusion and transition equity is delivered by staff in addition to their substantive roles, which creates sustainability challenges. To deliver these statements of intent consistently, services require protected time, specialist accessibility support, translation capacity, digital inclusion funding, LD&amp;A expertise, communication tools, staff training, and syste</w:t>
            </w:r>
            <w:r w:rsidRPr="00615CA9">
              <w:rPr>
                <w:rFonts w:ascii="Calibri" w:hAnsi="Calibri" w:cs="Calibri"/>
                <w:sz w:val="22"/>
                <w:szCs w:val="22"/>
              </w:rPr>
              <w:t>ms to monitor whether young people with additional needs are actually receiving equitable transition support.</w:t>
            </w:r>
          </w:p>
          <w:p w:rsidR="008076C0" w:rsidRPr="00615CA9" w:rsidP="00DD64F8">
            <w:pPr>
              <w:rPr>
                <w:rFonts w:ascii="Calibri" w:hAnsi="Calibri" w:cs="Calibri"/>
                <w:sz w:val="22"/>
                <w:szCs w:val="22"/>
              </w:rPr>
            </w:pP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2. Do all staff involved in transition services receive training that is culturally competent based on local population needs?</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AB30B1">
            <w:pPr>
              <w:rPr>
                <w:rFonts w:ascii="Calibri" w:hAnsi="Calibri" w:cs="Calibri"/>
                <w:sz w:val="22"/>
                <w:szCs w:val="22"/>
              </w:rPr>
            </w:pPr>
            <w:r w:rsidRPr="00615CA9">
              <w:rPr>
                <w:rFonts w:ascii="Calibri" w:hAnsi="Calibri" w:cs="Calibri"/>
                <w:sz w:val="22"/>
                <w:szCs w:val="22"/>
              </w:rPr>
              <w:t>Yes. Staff receive culturally competent training through statutory and mandatory training requirements, including equality, diversity and inclusion, safeguarding, communication, and responding to the needs of different patient groups. This provides an important baseline for staff involved in transition services.</w:t>
            </w:r>
          </w:p>
          <w:p w:rsidR="008076C0" w:rsidRPr="00615CA9" w:rsidP="00AB30B1">
            <w:pPr>
              <w:rPr>
                <w:rFonts w:ascii="Calibri" w:hAnsi="Calibri" w:cs="Calibri"/>
                <w:sz w:val="22"/>
                <w:szCs w:val="22"/>
              </w:rPr>
            </w:pPr>
          </w:p>
          <w:p w:rsidR="008076C0" w:rsidRPr="00615CA9" w:rsidP="00AB30B1">
            <w:pPr>
              <w:rPr>
                <w:rFonts w:ascii="Calibri" w:hAnsi="Calibri" w:cs="Calibri"/>
                <w:sz w:val="22"/>
                <w:szCs w:val="22"/>
              </w:rPr>
            </w:pPr>
            <w:r w:rsidRPr="00615CA9">
              <w:rPr>
                <w:rFonts w:ascii="Calibri" w:hAnsi="Calibri" w:cs="Calibri"/>
                <w:sz w:val="22"/>
                <w:szCs w:val="22"/>
              </w:rPr>
              <w:t>At GOSH, additional support is available through interpreter services, safeguarding teams, the Learning Disability and Autism CNS team, and health inequalities workstreams. These help staff respond to the needs of young people and families from diverse backgrounds, including those with language barriers, learning disabilities, autism, communication needs, complex social circumstances or additional vulnerabilities.</w:t>
            </w:r>
          </w:p>
          <w:p w:rsidR="008076C0" w:rsidRPr="00615CA9" w:rsidP="00DD64F8">
            <w:pPr>
              <w:rPr>
                <w:rFonts w:ascii="Calibri" w:hAnsi="Calibri" w:cs="Calibri"/>
                <w:sz w:val="22"/>
                <w:szCs w:val="22"/>
              </w:rPr>
            </w:pP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Effectiveness and implementation</w:t>
            </w:r>
          </w:p>
        </w:tc>
        <w:tc>
          <w:tcPr>
            <w:tcW w:w="8505" w:type="dxa"/>
          </w:tcPr>
          <w:p w:rsidR="008076C0" w:rsidRPr="00615CA9" w:rsidP="00DD64F8">
            <w:pPr>
              <w:rPr>
                <w:rFonts w:ascii="Calibri" w:hAnsi="Calibri" w:cs="Calibri"/>
              </w:rPr>
            </w:pPr>
            <w:r w:rsidRPr="00615CA9">
              <w:rPr>
                <w:rFonts w:ascii="Calibri" w:hAnsi="Calibri" w:cs="Calibri"/>
                <w:sz w:val="22"/>
                <w:szCs w:val="22"/>
              </w:rPr>
              <w:t>1. How effective are services in addressing the specific needs of young people as individuals?</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73175A">
            <w:pPr>
              <w:rPr>
                <w:rFonts w:ascii="Calibri" w:hAnsi="Calibri" w:cs="Calibri"/>
              </w:rPr>
            </w:pPr>
            <w:r w:rsidRPr="00615CA9">
              <w:rPr>
                <w:rFonts w:ascii="Calibri" w:hAnsi="Calibri" w:cs="Calibri"/>
              </w:rPr>
              <w:t>Services aim to address the specific needs of young people as individuals through multidisciplinary working and person-centred clinical care. At GOSH, young people with complex health needs are often supported by robust MDTs, including medical, nursing, allied health professional, safeguarding, psychological, interpreter, transport, and Learning Disability and Autism CNS input where required.</w:t>
            </w:r>
          </w:p>
          <w:p w:rsidR="008076C0" w:rsidRPr="00615CA9" w:rsidP="0073175A">
            <w:pPr>
              <w:rPr>
                <w:rFonts w:ascii="Calibri" w:hAnsi="Calibri" w:cs="Calibri"/>
              </w:rPr>
            </w:pPr>
          </w:p>
          <w:p w:rsidR="008076C0" w:rsidRPr="00615CA9" w:rsidP="0073175A">
            <w:pPr>
              <w:rPr>
                <w:rFonts w:ascii="Calibri" w:hAnsi="Calibri" w:cs="Calibri"/>
              </w:rPr>
            </w:pPr>
            <w:r w:rsidRPr="00615CA9">
              <w:rPr>
                <w:rFonts w:ascii="Calibri" w:hAnsi="Calibri" w:cs="Calibri"/>
              </w:rPr>
              <w:t>Teams try to understand the young person’s individual clinical needs, communication preferences, family circumstances, developmental stage, additional vulnerabilities and support requirements. This is particularly important in transition, where young people may need different levels of preparation, education, reassurance and family involvement.</w:t>
            </w:r>
          </w:p>
          <w:p w:rsidR="008076C0" w:rsidRPr="00615CA9" w:rsidP="0073175A">
            <w:pPr>
              <w:rPr>
                <w:rFonts w:ascii="Calibri" w:hAnsi="Calibri" w:cs="Calibri"/>
              </w:rPr>
            </w:pPr>
          </w:p>
          <w:p w:rsidR="008076C0" w:rsidRPr="00615CA9" w:rsidP="0073175A">
            <w:pPr>
              <w:rPr>
                <w:rFonts w:ascii="Calibri" w:hAnsi="Calibri" w:cs="Calibri"/>
              </w:rPr>
            </w:pPr>
            <w:r w:rsidRPr="00615CA9">
              <w:rPr>
                <w:rFonts w:ascii="Calibri" w:hAnsi="Calibri" w:cs="Calibri"/>
              </w:rPr>
              <w:t>The Healthcare Transition Check-In Tools and the Healthcare Transition Tab within Epic are being developed to support more consistent identification of individual needs, confidence, knowledge gaps and transition planning requirements. This is supported by existing tools such as hospital passports and reasonable adjustment/FYI flags within Epic, which can help staff identify communication needs, additional vulnerabilities, and adjustments required to support safe, personalised care.</w:t>
            </w:r>
          </w:p>
          <w:p w:rsidR="008076C0" w:rsidRPr="00615CA9" w:rsidP="0073175A">
            <w:pPr>
              <w:rPr>
                <w:rFonts w:ascii="Calibri" w:hAnsi="Calibri" w:cs="Calibri"/>
              </w:rPr>
            </w:pPr>
          </w:p>
          <w:p w:rsidR="008076C0" w:rsidRPr="00615CA9" w:rsidP="00DD64F8">
            <w:pPr>
              <w:rPr>
                <w:rFonts w:ascii="Calibri" w:hAnsi="Calibri" w:cs="Calibri"/>
              </w:rPr>
            </w:pPr>
            <w:r w:rsidRPr="00615CA9">
              <w:rPr>
                <w:rFonts w:ascii="Calibri" w:hAnsi="Calibri" w:cs="Calibri"/>
              </w:rPr>
              <w:t>However, it is difficult to comment fully on effectiveness across all services without more detailed outcome data and direct feedback from young people and families. A fuller assessment would require systematic patient experience data, transition outcome monitoring, and review of whether individualised support is consistently leading to improved confidence, safety and continuity of care.</w:t>
            </w:r>
          </w:p>
          <w:p w:rsidR="008076C0" w:rsidRPr="00615CA9" w:rsidP="00DD64F8">
            <w:pPr>
              <w:rPr>
                <w:rFonts w:ascii="Calibri" w:hAnsi="Calibri" w:cs="Calibri"/>
              </w:rPr>
            </w:pP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rPr>
            </w:pPr>
            <w:r w:rsidRPr="00615CA9">
              <w:rPr>
                <w:rFonts w:ascii="Calibri" w:hAnsi="Calibri" w:cs="Calibri"/>
                <w:sz w:val="22"/>
                <w:szCs w:val="22"/>
              </w:rPr>
              <w:t>2. To what extent are services providing the right tools to ensure that all young people can communicate their needs?</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8A5D8A">
            <w:pPr>
              <w:rPr>
                <w:rFonts w:ascii="Calibri" w:hAnsi="Calibri" w:cs="Calibri"/>
                <w:sz w:val="22"/>
                <w:szCs w:val="22"/>
              </w:rPr>
            </w:pPr>
            <w:r w:rsidRPr="00615CA9">
              <w:rPr>
                <w:rFonts w:ascii="Calibri" w:hAnsi="Calibri" w:cs="Calibri"/>
                <w:sz w:val="22"/>
                <w:szCs w:val="22"/>
              </w:rPr>
              <w:t>A range of tools and support mechanisms are available to help young people communicate their needs. At GOSH, these include interpreter services, hospital passports, reasonable adjustment/FYI flags within Epic, support from the Learning Disability and Autism CNS team, safeguarding support, MyGOSH, and the Healthcare Transition Check-In Tools.</w:t>
            </w:r>
          </w:p>
          <w:p w:rsidR="008076C0" w:rsidRPr="00615CA9" w:rsidP="008A5D8A">
            <w:pPr>
              <w:rPr>
                <w:rFonts w:ascii="Calibri" w:hAnsi="Calibri" w:cs="Calibri"/>
                <w:sz w:val="22"/>
                <w:szCs w:val="22"/>
              </w:rPr>
            </w:pPr>
          </w:p>
          <w:p w:rsidR="008076C0" w:rsidRPr="00615CA9" w:rsidP="008A5D8A">
            <w:pPr>
              <w:rPr>
                <w:rFonts w:ascii="Calibri" w:hAnsi="Calibri" w:cs="Calibri"/>
                <w:sz w:val="22"/>
                <w:szCs w:val="22"/>
              </w:rPr>
            </w:pPr>
            <w:r w:rsidRPr="00615CA9">
              <w:rPr>
                <w:rFonts w:ascii="Calibri" w:hAnsi="Calibri" w:cs="Calibri"/>
                <w:sz w:val="22"/>
                <w:szCs w:val="22"/>
              </w:rPr>
              <w:t>Some specialties also use bespoke tools and resources tailored to their patient group, recognising that communication needs and transition priorities may differ depending on diagnosis, treatment pathway, developmental stage and family circumstances.</w:t>
            </w:r>
          </w:p>
          <w:p w:rsidR="008076C0" w:rsidRPr="00615CA9" w:rsidP="008A5D8A">
            <w:pPr>
              <w:rPr>
                <w:rFonts w:ascii="Calibri" w:hAnsi="Calibri" w:cs="Calibri"/>
                <w:sz w:val="22"/>
                <w:szCs w:val="22"/>
              </w:rPr>
            </w:pPr>
          </w:p>
          <w:p w:rsidR="008076C0" w:rsidRPr="00615CA9" w:rsidP="008A5D8A">
            <w:pPr>
              <w:rPr>
                <w:rFonts w:ascii="Calibri" w:hAnsi="Calibri" w:cs="Calibri"/>
                <w:sz w:val="22"/>
                <w:szCs w:val="22"/>
              </w:rPr>
            </w:pPr>
            <w:r w:rsidRPr="00615CA9">
              <w:rPr>
                <w:rFonts w:ascii="Calibri" w:hAnsi="Calibri" w:cs="Calibri"/>
                <w:sz w:val="22"/>
                <w:szCs w:val="22"/>
              </w:rPr>
              <w:t>These tools can support young people to share what matters to them, identify communication preferences, express worries, highlight reasonable adjustments, and participate in decisions about their care as far as possible.</w:t>
            </w:r>
          </w:p>
          <w:p w:rsidR="008076C0" w:rsidRPr="00615CA9" w:rsidP="008A5D8A">
            <w:pPr>
              <w:rPr>
                <w:rFonts w:ascii="Calibri" w:hAnsi="Calibri" w:cs="Calibri"/>
                <w:sz w:val="22"/>
                <w:szCs w:val="22"/>
              </w:rPr>
            </w:pPr>
          </w:p>
          <w:p w:rsidR="008076C0" w:rsidRPr="00615CA9" w:rsidP="008A5D8A">
            <w:pPr>
              <w:rPr>
                <w:rFonts w:ascii="Calibri" w:hAnsi="Calibri" w:cs="Calibri"/>
                <w:sz w:val="22"/>
                <w:szCs w:val="22"/>
              </w:rPr>
            </w:pPr>
            <w:r w:rsidRPr="00615CA9">
              <w:rPr>
                <w:rFonts w:ascii="Calibri" w:hAnsi="Calibri" w:cs="Calibri"/>
                <w:sz w:val="22"/>
                <w:szCs w:val="22"/>
              </w:rPr>
              <w:t>However, the extent to which these tools feel effective, accessible and meaningful should be assessed through direct feedback from young people and families. Their lived experience is essential in determining whether available tools genuinely support communication in practice.</w:t>
            </w:r>
          </w:p>
          <w:p w:rsidR="008076C0" w:rsidRPr="00615CA9" w:rsidP="00DD64F8">
            <w:pPr>
              <w:rPr>
                <w:rFonts w:ascii="Calibri" w:hAnsi="Calibri" w:cs="Calibri"/>
                <w:sz w:val="22"/>
                <w:szCs w:val="22"/>
              </w:rPr>
            </w:pPr>
          </w:p>
          <w:p w:rsidR="008076C0" w:rsidRPr="00615CA9" w:rsidP="00DD64F8">
            <w:pPr>
              <w:rPr>
                <w:rFonts w:ascii="Calibri" w:hAnsi="Calibri" w:cs="Calibri"/>
                <w:sz w:val="22"/>
                <w:szCs w:val="22"/>
              </w:rPr>
            </w:pP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3. To what extent is data recorded and monitored for effectiveness and quality of the transition for individuals from underserved patient groups, or with protected characteristics?</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9070B6">
            <w:pPr>
              <w:rPr>
                <w:rFonts w:ascii="Calibri" w:hAnsi="Calibri" w:cs="Calibri"/>
                <w:sz w:val="22"/>
                <w:szCs w:val="22"/>
              </w:rPr>
            </w:pPr>
            <w:r w:rsidRPr="00615CA9">
              <w:rPr>
                <w:rFonts w:ascii="Calibri" w:hAnsi="Calibri" w:cs="Calibri"/>
                <w:sz w:val="22"/>
                <w:szCs w:val="22"/>
              </w:rPr>
              <w:t>This is an improving area. Since updating the Healthcare Transition Tab within Epic and implementing staff training, GOSH has strengthened its ability to record and monitor transition activity more consistently.</w:t>
            </w:r>
          </w:p>
          <w:p w:rsidR="008076C0" w:rsidRPr="00615CA9" w:rsidP="009070B6">
            <w:pPr>
              <w:rPr>
                <w:rFonts w:ascii="Calibri" w:hAnsi="Calibri" w:cs="Calibri"/>
                <w:sz w:val="22"/>
                <w:szCs w:val="22"/>
              </w:rPr>
            </w:pPr>
          </w:p>
          <w:p w:rsidR="008076C0" w:rsidRPr="00615CA9" w:rsidP="009070B6">
            <w:pPr>
              <w:rPr>
                <w:rFonts w:ascii="Calibri" w:hAnsi="Calibri" w:cs="Calibri"/>
                <w:sz w:val="22"/>
                <w:szCs w:val="22"/>
              </w:rPr>
            </w:pPr>
            <w:r w:rsidRPr="00615CA9">
              <w:rPr>
                <w:rFonts w:ascii="Calibri" w:hAnsi="Calibri" w:cs="Calibri"/>
                <w:sz w:val="22"/>
                <w:szCs w:val="22"/>
              </w:rPr>
              <w:t>The Healthcare Transition Tab allows staff to document key aspects of transition planning, including transition discussions, key worker information, adult service destination, and preparation for future transfer. The associated transition dashboard provides a mechanism for monitoring transition activity across services and identifying variation in documentation and practice.</w:t>
            </w:r>
          </w:p>
          <w:p w:rsidR="008076C0" w:rsidRPr="00615CA9" w:rsidP="009070B6">
            <w:pPr>
              <w:rPr>
                <w:rFonts w:ascii="Calibri" w:hAnsi="Calibri" w:cs="Calibri"/>
                <w:sz w:val="22"/>
                <w:szCs w:val="22"/>
              </w:rPr>
            </w:pPr>
          </w:p>
          <w:p w:rsidR="008076C0" w:rsidRPr="00615CA9" w:rsidP="009070B6">
            <w:pPr>
              <w:rPr>
                <w:rFonts w:ascii="Calibri" w:hAnsi="Calibri" w:cs="Calibri"/>
                <w:sz w:val="22"/>
                <w:szCs w:val="22"/>
              </w:rPr>
            </w:pPr>
            <w:r w:rsidRPr="00615CA9">
              <w:rPr>
                <w:rFonts w:ascii="Calibri" w:hAnsi="Calibri" w:cs="Calibri"/>
                <w:sz w:val="22"/>
                <w:szCs w:val="22"/>
              </w:rPr>
              <w:t>For young people with additional needs, existing Epic functionality such as reasonable adjustment/FYI flags, hospital passport information, safeguarding information, and Learning Disability and Autism CNS involvement can support more personalised care planning. The Healthcare Transition Check-In Tools also provide a developing mechanism for capturing young people’s and parents’ confidence, knowledge gaps and support needs over time.</w:t>
            </w:r>
          </w:p>
          <w:p w:rsidR="008076C0" w:rsidRPr="00615CA9" w:rsidP="009070B6">
            <w:pPr>
              <w:rPr>
                <w:rFonts w:ascii="Calibri" w:hAnsi="Calibri" w:cs="Calibri"/>
                <w:sz w:val="22"/>
                <w:szCs w:val="22"/>
              </w:rPr>
            </w:pPr>
          </w:p>
          <w:p w:rsidR="008076C0" w:rsidRPr="00615CA9" w:rsidP="009070B6">
            <w:pPr>
              <w:rPr>
                <w:rFonts w:ascii="Calibri" w:hAnsi="Calibri" w:cs="Calibri"/>
                <w:sz w:val="22"/>
                <w:szCs w:val="22"/>
              </w:rPr>
            </w:pPr>
            <w:r w:rsidRPr="00615CA9">
              <w:rPr>
                <w:rFonts w:ascii="Calibri" w:hAnsi="Calibri" w:cs="Calibri"/>
                <w:sz w:val="22"/>
                <w:szCs w:val="22"/>
              </w:rPr>
              <w:t>However, monitoring effectiveness and quality specifically for underserved groups or by protected characteristics is still developing. Further work is needed to link transition data with health inequalities information, reasonable adjustment needs, language and communication needs, digital inclusion needs, and patient experience feedback. This would help services better understand whether transition support is equitable and effective for all young people.</w:t>
            </w:r>
          </w:p>
          <w:p w:rsidR="008076C0" w:rsidRPr="00615CA9" w:rsidP="00DD64F8">
            <w:pPr>
              <w:rPr>
                <w:rFonts w:ascii="Calibri" w:hAnsi="Calibri" w:cs="Calibri"/>
                <w:sz w:val="22"/>
                <w:szCs w:val="22"/>
              </w:rPr>
            </w:pPr>
          </w:p>
          <w:p w:rsidR="008076C0" w:rsidRPr="00615CA9" w:rsidP="00DD64F8">
            <w:pPr>
              <w:rPr>
                <w:rFonts w:ascii="Calibri" w:hAnsi="Calibri" w:cs="Calibri"/>
                <w:sz w:val="22"/>
                <w:szCs w:val="22"/>
              </w:rPr>
            </w:pP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Impact and outcomes</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1. What is the impact of the provision, or lack of provision, of person-centred care for individuals with additional needs?</w:t>
            </w:r>
          </w:p>
        </w:tc>
      </w:tr>
      <w:tr w:rsidTr="00DD64F8">
        <w:tblPrEx>
          <w:tblW w:w="10490" w:type="dxa"/>
          <w:tblInd w:w="-714" w:type="dxa"/>
          <w:tblLook w:val="04A0"/>
        </w:tblPrEx>
        <w:trPr>
          <w:trHeight w:val="201"/>
        </w:trPr>
        <w:tc>
          <w:tcPr>
            <w:tcW w:w="1985" w:type="dxa"/>
            <w:vMerge/>
          </w:tcPr>
          <w:p w:rsidR="008076C0" w:rsidRPr="00615CA9" w:rsidP="00DD64F8">
            <w:pPr>
              <w:rPr>
                <w:rFonts w:ascii="Calibri" w:hAnsi="Calibri" w:cs="Calibri"/>
                <w:b/>
                <w:sz w:val="20"/>
                <w:szCs w:val="20"/>
              </w:rPr>
            </w:pPr>
          </w:p>
        </w:tc>
        <w:tc>
          <w:tcPr>
            <w:tcW w:w="8505" w:type="dxa"/>
          </w:tcPr>
          <w:p w:rsidR="008076C0" w:rsidRPr="00615CA9" w:rsidP="00C67205">
            <w:pPr>
              <w:rPr>
                <w:rFonts w:ascii="Calibri" w:hAnsi="Calibri" w:cs="Calibri"/>
              </w:rPr>
            </w:pPr>
            <w:r w:rsidRPr="00615CA9">
              <w:rPr>
                <w:rFonts w:ascii="Calibri" w:hAnsi="Calibri" w:cs="Calibri"/>
              </w:rPr>
              <w:t>The impact of person-centred care for young people with additional needs should be assessed primarily through direct feedback from young people and families. Their experience is essential in understanding whether services feel accessible, respectful, empowering and responsive to individual needs.</w:t>
            </w:r>
          </w:p>
          <w:p w:rsidR="008076C0" w:rsidRPr="00615CA9" w:rsidP="00C67205">
            <w:pPr>
              <w:rPr>
                <w:rFonts w:ascii="Calibri" w:hAnsi="Calibri" w:cs="Calibri"/>
              </w:rPr>
            </w:pPr>
            <w:r w:rsidRPr="00615CA9">
              <w:rPr>
                <w:rFonts w:ascii="Calibri" w:hAnsi="Calibri" w:cs="Calibri"/>
              </w:rPr>
              <w:t>In principle, person-centred care can improve confidence, communication, engagement, safety, trust and continuity. For young people with learning disabilities, autism, communication needs, complex health needs, mental health difficulties or additional vulnerabilities, this may include reasonable adjustments, accessible information, appropriate carer involvement, interpreter support, hospital passports, and clear planning around future care.</w:t>
            </w:r>
          </w:p>
          <w:p w:rsidR="008076C0" w:rsidRPr="00615CA9" w:rsidP="00C67205">
            <w:pPr>
              <w:rPr>
                <w:rFonts w:ascii="Calibri" w:hAnsi="Calibri" w:cs="Calibri"/>
              </w:rPr>
            </w:pPr>
            <w:r w:rsidRPr="00615CA9">
              <w:rPr>
                <w:rFonts w:ascii="Calibri" w:hAnsi="Calibri" w:cs="Calibri"/>
              </w:rPr>
              <w:t>Where person-centred care is absent or inconsistent, young people may feel unheard, anxious, excluded from decisions, or unclear about who is responsible for their care. Families may also feel they have to coordinate care themselves or repeatedly explain the young person’s needs.</w:t>
            </w:r>
          </w:p>
          <w:p w:rsidR="008076C0" w:rsidRPr="00615CA9" w:rsidP="00C67205">
            <w:pPr>
              <w:rPr>
                <w:rFonts w:ascii="Calibri" w:hAnsi="Calibri" w:cs="Calibri"/>
              </w:rPr>
            </w:pPr>
            <w:r w:rsidRPr="00615CA9">
              <w:rPr>
                <w:rFonts w:ascii="Calibri" w:hAnsi="Calibri" w:cs="Calibri"/>
              </w:rPr>
              <w:t>However, the impact of this should be measured through patient and family experience, particularly from young people with additional needs and underserved groups.</w:t>
            </w:r>
          </w:p>
          <w:p w:rsidR="008076C0" w:rsidRPr="00615CA9" w:rsidP="00DD64F8">
            <w:pPr>
              <w:rPr>
                <w:rFonts w:ascii="Calibri" w:hAnsi="Calibri" w:cs="Calibri"/>
              </w:rPr>
            </w:pPr>
          </w:p>
          <w:p w:rsidR="008076C0" w:rsidRPr="00615CA9" w:rsidP="00DD64F8">
            <w:pPr>
              <w:rPr>
                <w:rFonts w:ascii="Calibri" w:hAnsi="Calibri" w:cs="Calibri"/>
              </w:rPr>
            </w:pP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rPr>
            </w:pPr>
            <w:r w:rsidRPr="00615CA9">
              <w:rPr>
                <w:rFonts w:ascii="Calibri" w:hAnsi="Calibri" w:cs="Calibri"/>
                <w:sz w:val="22"/>
                <w:szCs w:val="22"/>
              </w:rPr>
              <w:t xml:space="preserve">2. What is the impact of comprehensive data collection and usage for young people with additional needs and/or protected characteristics? </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A102F0">
            <w:pPr>
              <w:rPr>
                <w:rFonts w:ascii="Calibri" w:hAnsi="Calibri" w:cs="Calibri"/>
              </w:rPr>
            </w:pPr>
            <w:r w:rsidRPr="00615CA9">
              <w:rPr>
                <w:rFonts w:ascii="Calibri" w:hAnsi="Calibri" w:cs="Calibri"/>
              </w:rPr>
              <w:t>This is still developing and it is too early to fully assess the impact locally.</w:t>
            </w:r>
          </w:p>
          <w:p w:rsidR="008076C0" w:rsidRPr="00615CA9" w:rsidP="00A102F0">
            <w:pPr>
              <w:rPr>
                <w:rFonts w:ascii="Calibri" w:hAnsi="Calibri" w:cs="Calibri"/>
              </w:rPr>
            </w:pPr>
            <w:r w:rsidRPr="00615CA9">
              <w:rPr>
                <w:rFonts w:ascii="Calibri" w:hAnsi="Calibri" w:cs="Calibri"/>
              </w:rPr>
              <w:t>In principle, comprehensive data collection could help services identify whether young people with additional needs or protected characteristics are receiving equitable transition support. It could also help identify variation between services, gaps in documentation, differences in age at transition planning, reasonable adjustment needs, language or communication needs, and whether young people are successfully established in adult services.</w:t>
            </w:r>
          </w:p>
          <w:p w:rsidR="008076C0" w:rsidRPr="00615CA9" w:rsidP="00A102F0">
            <w:pPr>
              <w:rPr>
                <w:rFonts w:ascii="Calibri" w:hAnsi="Calibri" w:cs="Calibri"/>
              </w:rPr>
            </w:pPr>
          </w:p>
          <w:p w:rsidR="008076C0" w:rsidRPr="00615CA9" w:rsidP="00A102F0">
            <w:pPr>
              <w:rPr>
                <w:rFonts w:ascii="Calibri" w:hAnsi="Calibri" w:cs="Calibri"/>
              </w:rPr>
            </w:pPr>
            <w:r w:rsidRPr="00615CA9">
              <w:rPr>
                <w:rFonts w:ascii="Calibri" w:hAnsi="Calibri" w:cs="Calibri"/>
              </w:rPr>
              <w:t>At GOSH, the updated Healthcare Transition Tab, transition dashboard, Check-In Tool dashboards, reasonable adjustment/FYI flags, hospital passport information and health inequalities workstreams provide an improving foundation for this. Over time, these data could support targeted quality improvement, service planning, training, and better evaluation of whether transition support is effective for different groups.</w:t>
            </w:r>
          </w:p>
          <w:p w:rsidR="008076C0" w:rsidRPr="00615CA9" w:rsidP="00A102F0">
            <w:pPr>
              <w:rPr>
                <w:rFonts w:ascii="Calibri" w:hAnsi="Calibri" w:cs="Calibri"/>
              </w:rPr>
            </w:pPr>
          </w:p>
          <w:p w:rsidR="008076C0" w:rsidRPr="00615CA9" w:rsidP="00DD64F8">
            <w:pPr>
              <w:rPr>
                <w:rFonts w:ascii="Calibri" w:hAnsi="Calibri" w:cs="Calibri"/>
              </w:rPr>
            </w:pPr>
            <w:r w:rsidRPr="00615CA9">
              <w:rPr>
                <w:rFonts w:ascii="Calibri" w:hAnsi="Calibri" w:cs="Calibri"/>
              </w:rPr>
              <w:t>However, the impact of comprehensive data collection and usage has not yet been fully evaluated. Further work is needed to understand how these data can be used meaningfully alongside patient experience, family feedback and outcomes after transfer.</w:t>
            </w:r>
          </w:p>
          <w:p w:rsidR="008076C0" w:rsidRPr="00615CA9" w:rsidP="00DD64F8">
            <w:pPr>
              <w:rPr>
                <w:rFonts w:ascii="Calibri" w:hAnsi="Calibri" w:cs="Calibri"/>
              </w:rPr>
            </w:pP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Appropriateness</w:t>
            </w: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1. How appropriately are health and social care services providing tailored care to individuals with additional needs?</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1251B6">
            <w:pPr>
              <w:rPr>
                <w:rFonts w:ascii="Calibri" w:hAnsi="Calibri" w:cs="Calibri"/>
              </w:rPr>
            </w:pPr>
            <w:r w:rsidRPr="00615CA9">
              <w:rPr>
                <w:rFonts w:ascii="Calibri" w:hAnsi="Calibri" w:cs="Calibri"/>
              </w:rPr>
              <w:t>This should be assessed primarily through direct feedback from young people and families with lived experience. Their views are essential in determining whether care feels genuinely tailored, accessible, respectful and responsive to individual needs.</w:t>
            </w:r>
          </w:p>
          <w:p w:rsidR="008076C0" w:rsidRPr="00615CA9" w:rsidP="001251B6">
            <w:pPr>
              <w:rPr>
                <w:rFonts w:ascii="Calibri" w:hAnsi="Calibri" w:cs="Calibri"/>
              </w:rPr>
            </w:pPr>
          </w:p>
          <w:p w:rsidR="008076C0" w:rsidRPr="00615CA9" w:rsidP="001251B6">
            <w:pPr>
              <w:rPr>
                <w:rFonts w:ascii="Calibri" w:hAnsi="Calibri" w:cs="Calibri"/>
              </w:rPr>
            </w:pPr>
            <w:r w:rsidRPr="00615CA9">
              <w:rPr>
                <w:rFonts w:ascii="Calibri" w:hAnsi="Calibri" w:cs="Calibri"/>
              </w:rPr>
              <w:t>At GOSH, services have access to a range of supports that can help tailor care, including interpreter services, hospital passports, reasonable adjustment/FYI flags in Epic, safeguarding support, transport support where eligible, and the Learning Disability and Autism CNS team. However, the appropriateness and impact of this support should be evaluated through patient and family experience data.</w:t>
            </w:r>
          </w:p>
          <w:p w:rsidR="008076C0" w:rsidRPr="00615CA9" w:rsidP="00DD64F8">
            <w:pPr>
              <w:rPr>
                <w:rFonts w:ascii="Calibri" w:hAnsi="Calibri" w:cs="Calibri"/>
              </w:rPr>
            </w:pPr>
          </w:p>
          <w:p w:rsidR="008076C0" w:rsidRPr="00615CA9" w:rsidP="00DD64F8">
            <w:pPr>
              <w:rPr>
                <w:rFonts w:ascii="Calibri" w:hAnsi="Calibri" w:cs="Calibri"/>
              </w:rPr>
            </w:pP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2. To what extent are services able to accommodate different communication needs for individuals with communication difficulties?</w:t>
            </w:r>
          </w:p>
        </w:tc>
      </w:tr>
      <w:tr w:rsidTr="00DD64F8">
        <w:tblPrEx>
          <w:tblW w:w="10490" w:type="dxa"/>
          <w:tblInd w:w="-714" w:type="dxa"/>
          <w:tblLook w:val="04A0"/>
        </w:tblPrEx>
        <w:tc>
          <w:tcPr>
            <w:tcW w:w="1985" w:type="dxa"/>
            <w:vMerge/>
          </w:tcPr>
          <w:p w:rsidR="008076C0" w:rsidRPr="00615CA9" w:rsidP="00DD64F8">
            <w:pPr>
              <w:rPr>
                <w:rFonts w:ascii="Calibri" w:hAnsi="Calibri" w:cs="Calibri"/>
                <w:b/>
                <w:sz w:val="20"/>
                <w:szCs w:val="20"/>
              </w:rPr>
            </w:pPr>
          </w:p>
        </w:tc>
        <w:tc>
          <w:tcPr>
            <w:tcW w:w="8505" w:type="dxa"/>
          </w:tcPr>
          <w:p w:rsidR="008076C0" w:rsidRPr="00615CA9" w:rsidP="002B64B0">
            <w:pPr>
              <w:rPr>
                <w:rFonts w:ascii="Calibri" w:hAnsi="Calibri" w:cs="Calibri"/>
                <w:sz w:val="22"/>
                <w:szCs w:val="22"/>
              </w:rPr>
            </w:pPr>
            <w:r w:rsidRPr="00615CA9">
              <w:rPr>
                <w:rFonts w:ascii="Calibri" w:hAnsi="Calibri" w:cs="Calibri"/>
                <w:sz w:val="22"/>
                <w:szCs w:val="22"/>
              </w:rPr>
              <w:t>This should also be answered primarily by young people and families, particularly those with communication difficulties, learning disabilities, autism, sensory needs or additional vulnerabilities.</w:t>
            </w:r>
          </w:p>
          <w:p w:rsidR="008076C0" w:rsidRPr="00615CA9" w:rsidP="002B64B0">
            <w:pPr>
              <w:rPr>
                <w:rFonts w:ascii="Calibri" w:hAnsi="Calibri" w:cs="Calibri"/>
                <w:sz w:val="22"/>
                <w:szCs w:val="22"/>
              </w:rPr>
            </w:pPr>
          </w:p>
          <w:p w:rsidR="008076C0" w:rsidRPr="00615CA9" w:rsidP="002B64B0">
            <w:pPr>
              <w:rPr>
                <w:rFonts w:ascii="Calibri" w:hAnsi="Calibri" w:cs="Calibri"/>
                <w:sz w:val="22"/>
                <w:szCs w:val="22"/>
              </w:rPr>
            </w:pPr>
            <w:r w:rsidRPr="00615CA9">
              <w:rPr>
                <w:rFonts w:ascii="Calibri" w:hAnsi="Calibri" w:cs="Calibri"/>
                <w:sz w:val="22"/>
                <w:szCs w:val="22"/>
              </w:rPr>
              <w:t xml:space="preserve">Services have tools and support available, including interpreter services, hospital passports, reasonable adjustment/FYI flags, MyGOSH, the Healthcare Transition Check-In Tools, Learning Disability and Autism CNS input and AHPs including </w:t>
            </w:r>
            <w:r w:rsidRPr="00615CA9">
              <w:rPr>
                <w:rFonts w:ascii="Calibri" w:hAnsi="Calibri" w:cs="Calibri"/>
                <w:sz w:val="22"/>
                <w:szCs w:val="22"/>
              </w:rPr>
              <w:t>Speech and Language therapy and psychology</w:t>
            </w:r>
            <w:r w:rsidRPr="00615CA9">
              <w:rPr>
                <w:rFonts w:ascii="Calibri" w:hAnsi="Calibri" w:cs="Calibri"/>
                <w:sz w:val="22"/>
                <w:szCs w:val="22"/>
              </w:rPr>
              <w:t>. Some specialties also use bespoke resources to support communication within their patient group.</w:t>
            </w:r>
          </w:p>
          <w:p w:rsidR="008076C0" w:rsidRPr="00615CA9" w:rsidP="002B64B0">
            <w:pPr>
              <w:rPr>
                <w:rFonts w:ascii="Calibri" w:hAnsi="Calibri" w:cs="Calibri"/>
                <w:sz w:val="22"/>
                <w:szCs w:val="22"/>
              </w:rPr>
            </w:pPr>
          </w:p>
          <w:p w:rsidR="008076C0" w:rsidRPr="00615CA9" w:rsidP="002B64B0">
            <w:pPr>
              <w:rPr>
                <w:rFonts w:ascii="Calibri" w:hAnsi="Calibri" w:cs="Calibri"/>
                <w:sz w:val="22"/>
                <w:szCs w:val="22"/>
              </w:rPr>
            </w:pPr>
            <w:r w:rsidRPr="00615CA9">
              <w:rPr>
                <w:rFonts w:ascii="Calibri" w:hAnsi="Calibri" w:cs="Calibri"/>
                <w:sz w:val="22"/>
                <w:szCs w:val="22"/>
              </w:rPr>
              <w:t>However, whether these tools fully meet communication needs in practice requires direct feedback from young people, families and carers. This should form part of future evaluation of transition services.</w:t>
            </w:r>
          </w:p>
          <w:p w:rsidR="008076C0" w:rsidRPr="00615CA9" w:rsidP="00DD64F8">
            <w:pPr>
              <w:rPr>
                <w:rFonts w:ascii="Calibri" w:hAnsi="Calibri" w:cs="Calibri"/>
                <w:sz w:val="22"/>
                <w:szCs w:val="22"/>
              </w:rPr>
            </w:pPr>
          </w:p>
        </w:tc>
      </w:tr>
      <w:tr w:rsidTr="00DD64F8">
        <w:tblPrEx>
          <w:tblW w:w="10490" w:type="dxa"/>
          <w:tblInd w:w="-714" w:type="dxa"/>
          <w:tblLook w:val="04A0"/>
        </w:tblPrEx>
        <w:tc>
          <w:tcPr>
            <w:tcW w:w="1985" w:type="dxa"/>
            <w:vMerge w:val="restart"/>
          </w:tcPr>
          <w:p w:rsidR="008076C0" w:rsidRPr="00615CA9" w:rsidP="00DD64F8">
            <w:pPr>
              <w:rPr>
                <w:rFonts w:ascii="Calibri" w:hAnsi="Calibri" w:cs="Calibri"/>
                <w:b/>
                <w:sz w:val="20"/>
                <w:szCs w:val="20"/>
              </w:rPr>
            </w:pPr>
            <w:r w:rsidRPr="00615CA9">
              <w:rPr>
                <w:rFonts w:ascii="Calibri" w:hAnsi="Calibri" w:cs="Calibri"/>
                <w:b/>
                <w:sz w:val="20"/>
                <w:szCs w:val="20"/>
              </w:rPr>
              <w:t>Equality and diversity</w:t>
            </w:r>
          </w:p>
        </w:tc>
        <w:tc>
          <w:tcPr>
            <w:tcW w:w="8505" w:type="dxa"/>
          </w:tcPr>
          <w:p w:rsidR="008076C0" w:rsidRPr="00615CA9" w:rsidP="00DD64F8">
            <w:pPr>
              <w:rPr>
                <w:rFonts w:ascii="Calibri" w:hAnsi="Calibri" w:cs="Calibri"/>
              </w:rPr>
            </w:pPr>
            <w:r w:rsidRPr="00615CA9">
              <w:rPr>
                <w:rFonts w:ascii="Calibri" w:hAnsi="Calibri" w:eastAsiaTheme="minorEastAsia" w:cs="Calibri"/>
                <w:sz w:val="22"/>
              </w:rPr>
              <w:t xml:space="preserve">1. </w:t>
            </w:r>
            <w:r w:rsidRPr="00615CA9">
              <w:rPr>
                <w:rFonts w:ascii="Calibri" w:hAnsi="Calibri" w:eastAsiaTheme="minorEastAsia" w:cs="Calibri"/>
                <w:sz w:val="22"/>
              </w:rPr>
              <w:t>How are underserved or vulnerable patient groups considered in the planning, strategy and delivery of transition services?</w:t>
            </w:r>
          </w:p>
        </w:tc>
      </w:tr>
      <w:tr w:rsidTr="00DD64F8">
        <w:tblPrEx>
          <w:tblW w:w="10490" w:type="dxa"/>
          <w:tblInd w:w="-714" w:type="dxa"/>
          <w:tblLook w:val="04A0"/>
        </w:tblPrEx>
        <w:tc>
          <w:tcPr>
            <w:tcW w:w="1985" w:type="dxa"/>
            <w:vMerge/>
          </w:tcPr>
          <w:p w:rsidR="008076C0" w:rsidRPr="00615CA9" w:rsidP="00DD64F8">
            <w:pPr>
              <w:rPr>
                <w:rFonts w:ascii="Calibri" w:hAnsi="Calibri" w:cs="Calibri"/>
              </w:rPr>
            </w:pPr>
          </w:p>
        </w:tc>
        <w:tc>
          <w:tcPr>
            <w:tcW w:w="8505" w:type="dxa"/>
          </w:tcPr>
          <w:p w:rsidR="008076C0" w:rsidRPr="00615CA9" w:rsidP="00EB2604">
            <w:pPr>
              <w:rPr>
                <w:rFonts w:ascii="Calibri" w:hAnsi="Calibri" w:cs="Calibri"/>
              </w:rPr>
            </w:pPr>
            <w:r w:rsidRPr="00615CA9">
              <w:rPr>
                <w:rFonts w:ascii="Calibri" w:hAnsi="Calibri" w:cs="Calibri"/>
              </w:rPr>
              <w:t>This was not specifically asked of all clinical teams as part of the evidence gathered for this submission, so it is difficult to provide a full assessment across all services.</w:t>
            </w:r>
          </w:p>
          <w:p w:rsidR="008076C0" w:rsidRPr="00615CA9" w:rsidP="00EB2604">
            <w:pPr>
              <w:rPr>
                <w:rFonts w:ascii="Calibri" w:hAnsi="Calibri" w:cs="Calibri"/>
              </w:rPr>
            </w:pPr>
          </w:p>
          <w:p w:rsidR="008076C0" w:rsidRPr="00615CA9" w:rsidP="00EB2604">
            <w:pPr>
              <w:rPr>
                <w:rFonts w:ascii="Calibri" w:hAnsi="Calibri" w:cs="Calibri"/>
              </w:rPr>
            </w:pPr>
            <w:r w:rsidRPr="00615CA9">
              <w:rPr>
                <w:rFonts w:ascii="Calibri" w:hAnsi="Calibri" w:cs="Calibri"/>
              </w:rPr>
              <w:t>However, at GOSH many specialties care for young people with highly complex health needs, learning disabilities, autism, communication needs, safeguarding concerns, mental health needs, social complexity, rare conditions, digital exclusion, or other vulnerabilities. For several specialties, these young people make up a significant proportion of the service cohort rather than a small minority. As a result, consideration of additional needs and vulnerability is often central to clinical planning and MDT worki</w:t>
            </w:r>
            <w:r w:rsidRPr="00615CA9">
              <w:rPr>
                <w:rFonts w:ascii="Calibri" w:hAnsi="Calibri" w:cs="Calibri"/>
              </w:rPr>
              <w:t>ng.</w:t>
            </w:r>
          </w:p>
          <w:p w:rsidR="008076C0" w:rsidRPr="00615CA9" w:rsidP="00EB2604">
            <w:pPr>
              <w:rPr>
                <w:rFonts w:ascii="Calibri" w:hAnsi="Calibri" w:cs="Calibri"/>
              </w:rPr>
            </w:pPr>
          </w:p>
          <w:p w:rsidR="008076C0" w:rsidRPr="00615CA9" w:rsidP="00EB2604">
            <w:pPr>
              <w:rPr>
                <w:rFonts w:ascii="Calibri" w:hAnsi="Calibri" w:cs="Calibri"/>
              </w:rPr>
            </w:pPr>
            <w:r w:rsidRPr="00615CA9">
              <w:rPr>
                <w:rFonts w:ascii="Calibri" w:hAnsi="Calibri" w:cs="Calibri"/>
              </w:rPr>
              <w:t>This is also supported by the wider culture and infrastructure at GOSH, including safeguarding processes, interpreter services, hospital passports, reasonable adjustment/FYI flags in Epic, the Learning Disability and Autism CNS team, health inequalities workstreams, and the development of transition tools intended to support more personalised care.</w:t>
            </w:r>
          </w:p>
          <w:p w:rsidR="008076C0" w:rsidRPr="00615CA9" w:rsidP="00EB2604">
            <w:pPr>
              <w:rPr>
                <w:rFonts w:ascii="Calibri" w:hAnsi="Calibri" w:cs="Calibri"/>
              </w:rPr>
            </w:pPr>
          </w:p>
          <w:p w:rsidR="008076C0" w:rsidRPr="00615CA9" w:rsidP="00EB2604">
            <w:pPr>
              <w:rPr>
                <w:rFonts w:ascii="Calibri" w:hAnsi="Calibri" w:cs="Calibri"/>
              </w:rPr>
            </w:pPr>
            <w:r w:rsidRPr="00615CA9">
              <w:rPr>
                <w:rFonts w:ascii="Calibri" w:hAnsi="Calibri" w:cs="Calibri"/>
              </w:rPr>
              <w:t>However, the extent to which underserved or vulnerable groups are systematically considered within every transition pathway has not been fully evaluated as part of this submission. Further work with clinical teams, young people, families, the Learning Disability and Autism team, safeguarding, and health inequalities colleagues would be needed to answer this comprehensively.</w:t>
            </w:r>
          </w:p>
          <w:p w:rsidR="008076C0" w:rsidRPr="00615CA9" w:rsidP="00DD64F8">
            <w:pPr>
              <w:rPr>
                <w:rFonts w:ascii="Calibri" w:hAnsi="Calibri" w:cs="Calibri"/>
              </w:rPr>
            </w:pPr>
          </w:p>
        </w:tc>
      </w:tr>
      <w:tr w:rsidTr="00DD64F8">
        <w:tblPrEx>
          <w:tblW w:w="10490" w:type="dxa"/>
          <w:tblInd w:w="-714" w:type="dxa"/>
          <w:tblLook w:val="04A0"/>
        </w:tblPrEx>
        <w:tc>
          <w:tcPr>
            <w:tcW w:w="1985" w:type="dxa"/>
            <w:vMerge/>
          </w:tcPr>
          <w:p w:rsidR="008076C0" w:rsidRPr="00615CA9" w:rsidP="00DD64F8">
            <w:pPr>
              <w:rPr>
                <w:rFonts w:ascii="Calibri" w:hAnsi="Calibri" w:cs="Calibri"/>
              </w:rPr>
            </w:pPr>
          </w:p>
        </w:tc>
        <w:tc>
          <w:tcPr>
            <w:tcW w:w="8505" w:type="dxa"/>
          </w:tcPr>
          <w:p w:rsidR="008076C0" w:rsidRPr="00615CA9" w:rsidP="00DD64F8">
            <w:pPr>
              <w:rPr>
                <w:rFonts w:ascii="Calibri" w:hAnsi="Calibri" w:cs="Calibri"/>
                <w:sz w:val="22"/>
                <w:szCs w:val="22"/>
              </w:rPr>
            </w:pPr>
            <w:r w:rsidRPr="00615CA9">
              <w:rPr>
                <w:rFonts w:ascii="Calibri" w:hAnsi="Calibri" w:cs="Calibri"/>
                <w:sz w:val="22"/>
                <w:szCs w:val="22"/>
              </w:rPr>
              <w:t>2. What extra data is captured for young people with additional needs, specifically those at the intersection of different protected characteristics?</w:t>
            </w:r>
          </w:p>
        </w:tc>
      </w:tr>
      <w:tr w:rsidTr="00DD64F8">
        <w:tblPrEx>
          <w:tblW w:w="10490" w:type="dxa"/>
          <w:tblInd w:w="-714" w:type="dxa"/>
          <w:tblLook w:val="04A0"/>
        </w:tblPrEx>
        <w:tc>
          <w:tcPr>
            <w:tcW w:w="1985" w:type="dxa"/>
            <w:vMerge/>
          </w:tcPr>
          <w:p w:rsidR="008076C0" w:rsidRPr="00615CA9" w:rsidP="00DD64F8">
            <w:pPr>
              <w:rPr>
                <w:rFonts w:ascii="Calibri" w:hAnsi="Calibri" w:cs="Calibri"/>
              </w:rPr>
            </w:pPr>
          </w:p>
        </w:tc>
        <w:tc>
          <w:tcPr>
            <w:tcW w:w="8505" w:type="dxa"/>
          </w:tcPr>
          <w:p w:rsidR="008076C0" w:rsidRPr="00615CA9" w:rsidP="00DD64F8">
            <w:pPr>
              <w:rPr>
                <w:rFonts w:ascii="Calibri" w:hAnsi="Calibri" w:cs="Calibri"/>
              </w:rPr>
            </w:pPr>
            <w:r w:rsidRPr="00615CA9">
              <w:rPr>
                <w:rFonts w:ascii="Calibri" w:hAnsi="Calibri" w:cs="Calibri"/>
              </w:rPr>
              <w:t>Not answered. This falls outside the scope of the evidence gathered for this submission and would require input from the Learning Disability and Autism Matron/CNS team, health inequalities leads, safeguarding, Epic/data teams, and patient experience colleagues.</w:t>
            </w:r>
          </w:p>
          <w:p w:rsidR="008076C0" w:rsidRPr="00615CA9" w:rsidP="00DD64F8">
            <w:pPr>
              <w:rPr>
                <w:rFonts w:ascii="Calibri" w:hAnsi="Calibri" w:cs="Calibri"/>
              </w:rPr>
            </w:pPr>
          </w:p>
        </w:tc>
      </w:tr>
    </w:tbl>
    <w:p w:rsidR="008076C0">
      <w:pPr>
        <w:rPr>
          <w:rFonts w:ascii="Calibri" w:hAnsi="Calibri" w:cs="Calibri"/>
        </w:rPr>
      </w:pPr>
    </w:p>
    <w:p w:rsidR="00615CA9">
      <w:pPr>
        <w:rPr>
          <w:rFonts w:ascii="Calibri" w:hAnsi="Calibri" w:cs="Calibri"/>
        </w:rPr>
      </w:pPr>
    </w:p>
    <w:p w:rsidR="00615CA9" w:rsidRPr="00615CA9">
      <w:pPr>
        <w:rPr>
          <w:rFonts w:ascii="Calibri" w:hAnsi="Calibri" w:cs="Calibri"/>
          <w:i/>
          <w:iCs/>
        </w:rPr>
      </w:pPr>
      <w:r w:rsidRPr="00615CA9">
        <w:rPr>
          <w:rFonts w:ascii="Calibri" w:hAnsi="Calibri" w:cs="Calibri"/>
          <w:i/>
          <w:iCs/>
        </w:rPr>
        <w:t>May 2026</w:t>
      </w:r>
    </w:p>
    <w:sectPr w:rsidSect="00DD64F8">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3E0839"/>
    <w:multiLevelType w:val="hybrid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5820262"/>
    <w:multiLevelType w:val="hybridMultilevel"/>
    <w:tmpl w:val="FCA87CF6"/>
    <w:lvl w:ilvl="0">
      <w:start w:val="1"/>
      <w:numFmt w:val="decimal"/>
      <w:lvlText w:val="%1."/>
      <w:lvlJc w:val="left"/>
      <w:pPr>
        <w:ind w:left="-360" w:hanging="360"/>
      </w:pPr>
      <w:rPr>
        <w:rFonts w:ascii="Aptos" w:eastAsia="Aptos" w:hAnsi="Aptos" w:cstheme="minorBidi"/>
      </w:rPr>
    </w:lvl>
    <w:lvl w:ilvl="1">
      <w:start w:val="1"/>
      <w:numFmt w:val="bullet"/>
      <w:lvlText w:val="o"/>
      <w:lvlJc w:val="left"/>
      <w:pPr>
        <w:ind w:left="36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abstractNum w:abstractNumId="2">
    <w:nsid w:val="083C1A6C"/>
    <w:multiLevelType w:val="multilevel"/>
    <w:tmpl w:val="917E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8D0028"/>
    <w:multiLevelType w:val="multilevel"/>
    <w:tmpl w:val="5AB4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F6705BF"/>
    <w:multiLevelType w:val="hybridMultilevel"/>
    <w:tmpl w:val="0D9C6B08"/>
    <w:lvl w:ilvl="0">
      <w:start w:val="1"/>
      <w:numFmt w:val="bullet"/>
      <w:lvlText w:val="·"/>
      <w:lvlJc w:val="left"/>
      <w:pPr>
        <w:ind w:left="360" w:hanging="360"/>
      </w:pPr>
      <w:rPr>
        <w:rFonts w:ascii="Symbol" w:hAnsi="Symbol"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0FF27C5"/>
    <w:multiLevelType w:val="multilevel"/>
    <w:tmpl w:val="FAAA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3F9609D"/>
    <w:multiLevelType w:val="multilevel"/>
    <w:tmpl w:val="651C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CC0DD8"/>
    <w:multiLevelType w:val="multilevel"/>
    <w:tmpl w:val="ACCE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7322AB"/>
    <w:multiLevelType w:val="multilevel"/>
    <w:tmpl w:val="7F2A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C5B36"/>
    <w:multiLevelType w:val="hybridMultilevel"/>
    <w:tmpl w:val="BC384F5E"/>
    <w:lvl w:ilvl="0">
      <w:start w:val="1"/>
      <w:numFmt w:val="bullet"/>
      <w:lvlText w:val=""/>
      <w:lvlJc w:val="left"/>
      <w:pPr>
        <w:ind w:left="360" w:hanging="360"/>
      </w:pPr>
      <w:rPr>
        <w:rFonts w:ascii="Symbol" w:hAnsi="Symbol" w:hint="default"/>
        <w:b w:val="0"/>
        <w:bCs w:val="0"/>
        <w:color w:val="auto"/>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253576A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53A5D9E"/>
    <w:multiLevelType w:val="multilevel"/>
    <w:tmpl w:val="83E4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2058B8"/>
    <w:multiLevelType w:val="hybridMultilevel"/>
    <w:tmpl w:val="52C47B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E065863"/>
    <w:multiLevelType w:val="multilevel"/>
    <w:tmpl w:val="3BBA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2A06B0A"/>
    <w:multiLevelType w:val="multilevel"/>
    <w:tmpl w:val="629A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64E1A37"/>
    <w:multiLevelType w:val="multilevel"/>
    <w:tmpl w:val="B0AC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2051BC"/>
    <w:multiLevelType w:val="multilevel"/>
    <w:tmpl w:val="B8B6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8F59A5"/>
    <w:multiLevelType w:val="multilevel"/>
    <w:tmpl w:val="CFA4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5AB7979"/>
    <w:multiLevelType w:val="multilevel"/>
    <w:tmpl w:val="CBC4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C55A53"/>
    <w:multiLevelType w:val="multilevel"/>
    <w:tmpl w:val="BECA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EA96E7F"/>
    <w:multiLevelType w:val="hybridMultilevel"/>
    <w:tmpl w:val="A51E14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365203B"/>
    <w:multiLevelType w:val="hybridMultilevel"/>
    <w:tmpl w:val="BE6268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3CEC334"/>
    <w:multiLevelType w:val="hybridMultilevel"/>
    <w:tmpl w:val="9B1E47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5A1E0120"/>
    <w:multiLevelType w:val="multilevel"/>
    <w:tmpl w:val="C67E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DE616A9"/>
    <w:multiLevelType w:val="multilevel"/>
    <w:tmpl w:val="F7E8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9E107B"/>
    <w:multiLevelType w:val="multilevel"/>
    <w:tmpl w:val="DB14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8E1E88"/>
    <w:multiLevelType w:val="multilevel"/>
    <w:tmpl w:val="E35C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BB053B"/>
    <w:multiLevelType w:val="multilevel"/>
    <w:tmpl w:val="B4E4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B9168C9"/>
    <w:multiLevelType w:val="multilevel"/>
    <w:tmpl w:val="89EE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A36164"/>
    <w:multiLevelType w:val="multilevel"/>
    <w:tmpl w:val="1CC0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0A40A06"/>
    <w:multiLevelType w:val="multilevel"/>
    <w:tmpl w:val="98E0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D414DB"/>
    <w:multiLevelType w:val="multilevel"/>
    <w:tmpl w:val="A944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B00D98"/>
    <w:multiLevelType w:val="multilevel"/>
    <w:tmpl w:val="78B6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FC11D6"/>
    <w:multiLevelType w:val="multilevel"/>
    <w:tmpl w:val="C738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7F53B4C"/>
    <w:multiLevelType w:val="multilevel"/>
    <w:tmpl w:val="2092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1"/>
  </w:num>
  <w:num w:numId="3">
    <w:abstractNumId w:val="9"/>
  </w:num>
  <w:num w:numId="4">
    <w:abstractNumId w:val="22"/>
  </w:num>
  <w:num w:numId="5">
    <w:abstractNumId w:val="4"/>
  </w:num>
  <w:num w:numId="6">
    <w:abstractNumId w:val="17"/>
  </w:num>
  <w:num w:numId="7">
    <w:abstractNumId w:val="29"/>
  </w:num>
  <w:num w:numId="8">
    <w:abstractNumId w:val="27"/>
  </w:num>
  <w:num w:numId="9">
    <w:abstractNumId w:val="13"/>
  </w:num>
  <w:num w:numId="10">
    <w:abstractNumId w:val="5"/>
  </w:num>
  <w:num w:numId="11">
    <w:abstractNumId w:val="20"/>
  </w:num>
  <w:num w:numId="12">
    <w:abstractNumId w:val="12"/>
  </w:num>
  <w:num w:numId="13">
    <w:abstractNumId w:val="0"/>
  </w:num>
  <w:num w:numId="14">
    <w:abstractNumId w:val="10"/>
  </w:num>
  <w:num w:numId="15">
    <w:abstractNumId w:val="2"/>
  </w:num>
  <w:num w:numId="16">
    <w:abstractNumId w:val="14"/>
  </w:num>
  <w:num w:numId="17">
    <w:abstractNumId w:val="19"/>
  </w:num>
  <w:num w:numId="18">
    <w:abstractNumId w:val="3"/>
  </w:num>
  <w:num w:numId="19">
    <w:abstractNumId w:val="23"/>
  </w:num>
  <w:num w:numId="20">
    <w:abstractNumId w:val="33"/>
  </w:num>
  <w:num w:numId="21">
    <w:abstractNumId w:val="32"/>
  </w:num>
  <w:num w:numId="22">
    <w:abstractNumId w:val="6"/>
  </w:num>
  <w:num w:numId="23">
    <w:abstractNumId w:val="18"/>
  </w:num>
  <w:num w:numId="24">
    <w:abstractNumId w:val="24"/>
  </w:num>
  <w:num w:numId="25">
    <w:abstractNumId w:val="34"/>
  </w:num>
  <w:num w:numId="26">
    <w:abstractNumId w:val="11"/>
  </w:num>
  <w:num w:numId="27">
    <w:abstractNumId w:val="7"/>
  </w:num>
  <w:num w:numId="28">
    <w:abstractNumId w:val="30"/>
  </w:num>
  <w:num w:numId="29">
    <w:abstractNumId w:val="15"/>
  </w:num>
  <w:num w:numId="30">
    <w:abstractNumId w:val="8"/>
  </w:num>
  <w:num w:numId="31">
    <w:abstractNumId w:val="16"/>
  </w:num>
  <w:num w:numId="32">
    <w:abstractNumId w:val="25"/>
  </w:num>
  <w:num w:numId="33">
    <w:abstractNumId w:val="31"/>
  </w:num>
  <w:num w:numId="34">
    <w:abstractNumId w:val="2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51E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E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E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E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E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E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E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E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E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E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E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E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E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E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E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E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E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E90"/>
    <w:rPr>
      <w:rFonts w:eastAsiaTheme="majorEastAsia" w:cstheme="majorBidi"/>
      <w:color w:val="272727" w:themeColor="text1" w:themeTint="D8"/>
    </w:rPr>
  </w:style>
  <w:style w:type="paragraph" w:styleId="Title">
    <w:name w:val="Title"/>
    <w:basedOn w:val="Normal"/>
    <w:next w:val="Normal"/>
    <w:link w:val="TitleChar"/>
    <w:uiPriority w:val="10"/>
    <w:qFormat/>
    <w:rsid w:val="00D51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E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E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E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E90"/>
    <w:pPr>
      <w:spacing w:before="160"/>
      <w:jc w:val="center"/>
    </w:pPr>
    <w:rPr>
      <w:i/>
      <w:iCs/>
      <w:color w:val="404040" w:themeColor="text1" w:themeTint="BF"/>
    </w:rPr>
  </w:style>
  <w:style w:type="character" w:customStyle="1" w:styleId="QuoteChar">
    <w:name w:val="Quote Char"/>
    <w:basedOn w:val="DefaultParagraphFont"/>
    <w:link w:val="Quote"/>
    <w:uiPriority w:val="29"/>
    <w:rsid w:val="00D51E90"/>
    <w:rPr>
      <w:i/>
      <w:iCs/>
      <w:color w:val="404040" w:themeColor="text1" w:themeTint="BF"/>
    </w:rPr>
  </w:style>
  <w:style w:type="paragraph" w:styleId="ListParagraph">
    <w:name w:val="List Paragraph"/>
    <w:basedOn w:val="Normal"/>
    <w:uiPriority w:val="34"/>
    <w:qFormat/>
    <w:rsid w:val="00D51E90"/>
    <w:pPr>
      <w:ind w:left="720"/>
      <w:contextualSpacing/>
    </w:pPr>
  </w:style>
  <w:style w:type="character" w:styleId="IntenseEmphasis">
    <w:name w:val="Intense Emphasis"/>
    <w:basedOn w:val="DefaultParagraphFont"/>
    <w:uiPriority w:val="21"/>
    <w:qFormat/>
    <w:rsid w:val="00D51E90"/>
    <w:rPr>
      <w:i/>
      <w:iCs/>
      <w:color w:val="0F4761" w:themeColor="accent1" w:themeShade="BF"/>
    </w:rPr>
  </w:style>
  <w:style w:type="paragraph" w:styleId="IntenseQuote">
    <w:name w:val="Intense Quote"/>
    <w:basedOn w:val="Normal"/>
    <w:next w:val="Normal"/>
    <w:link w:val="IntenseQuoteChar"/>
    <w:uiPriority w:val="30"/>
    <w:qFormat/>
    <w:rsid w:val="00D51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E90"/>
    <w:rPr>
      <w:i/>
      <w:iCs/>
      <w:color w:val="0F4761" w:themeColor="accent1" w:themeShade="BF"/>
    </w:rPr>
  </w:style>
  <w:style w:type="character" w:styleId="IntenseReference">
    <w:name w:val="Intense Reference"/>
    <w:basedOn w:val="DefaultParagraphFont"/>
    <w:uiPriority w:val="32"/>
    <w:qFormat/>
    <w:rsid w:val="00D51E90"/>
    <w:rPr>
      <w:b/>
      <w:bCs/>
      <w:smallCaps/>
      <w:color w:val="0F4761" w:themeColor="accent1" w:themeShade="BF"/>
      <w:spacing w:val="5"/>
    </w:rPr>
  </w:style>
  <w:style w:type="table" w:styleId="TableGrid">
    <w:name w:val="Table Grid"/>
    <w:basedOn w:val="TableNormal"/>
    <w:uiPriority w:val="39"/>
    <w:rsid w:val="00D51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48D114B8"/>
    <w:rPr>
      <w:color w:val="467886"/>
      <w:u w:val="single"/>
    </w:rPr>
  </w:style>
  <w:style w:type="character" w:styleId="CommentReference">
    <w:name w:val="annotation reference"/>
    <w:basedOn w:val="DefaultParagraphFont"/>
    <w:uiPriority w:val="99"/>
    <w:semiHidden/>
    <w:unhideWhenUsed/>
    <w:rsid w:val="00A632C1"/>
    <w:rPr>
      <w:sz w:val="16"/>
      <w:szCs w:val="16"/>
    </w:rPr>
  </w:style>
  <w:style w:type="paragraph" w:styleId="CommentText">
    <w:name w:val="annotation text"/>
    <w:basedOn w:val="Normal"/>
    <w:link w:val="CommentTextChar"/>
    <w:uiPriority w:val="99"/>
    <w:unhideWhenUsed/>
    <w:rsid w:val="00A632C1"/>
    <w:pPr>
      <w:spacing w:line="240" w:lineRule="auto"/>
    </w:pPr>
    <w:rPr>
      <w:sz w:val="20"/>
      <w:szCs w:val="20"/>
    </w:rPr>
  </w:style>
  <w:style w:type="character" w:customStyle="1" w:styleId="CommentTextChar">
    <w:name w:val="Comment Text Char"/>
    <w:basedOn w:val="DefaultParagraphFont"/>
    <w:link w:val="CommentText"/>
    <w:uiPriority w:val="99"/>
    <w:rsid w:val="00A632C1"/>
    <w:rPr>
      <w:sz w:val="20"/>
      <w:szCs w:val="20"/>
    </w:rPr>
  </w:style>
  <w:style w:type="paragraph" w:styleId="CommentSubject">
    <w:name w:val="annotation subject"/>
    <w:basedOn w:val="CommentText"/>
    <w:next w:val="CommentText"/>
    <w:link w:val="CommentSubjectChar"/>
    <w:uiPriority w:val="99"/>
    <w:semiHidden/>
    <w:unhideWhenUsed/>
    <w:rsid w:val="00A632C1"/>
    <w:rPr>
      <w:b/>
      <w:bCs/>
    </w:rPr>
  </w:style>
  <w:style w:type="character" w:customStyle="1" w:styleId="CommentSubjectChar">
    <w:name w:val="Comment Subject Char"/>
    <w:basedOn w:val="CommentTextChar"/>
    <w:link w:val="CommentSubject"/>
    <w:uiPriority w:val="99"/>
    <w:semiHidden/>
    <w:rsid w:val="00A632C1"/>
    <w:rPr>
      <w:b/>
      <w:bCs/>
      <w:sz w:val="20"/>
      <w:szCs w:val="20"/>
    </w:rPr>
  </w:style>
  <w:style w:type="character" w:customStyle="1" w:styleId="UnresolvedMention1">
    <w:name w:val="Unresolved Mention1"/>
    <w:basedOn w:val="DefaultParagraphFont"/>
    <w:uiPriority w:val="99"/>
    <w:semiHidden/>
    <w:unhideWhenUsed/>
    <w:rsid w:val="00880424"/>
    <w:rPr>
      <w:color w:val="605E5C"/>
      <w:shd w:val="clear" w:color="auto" w:fill="E1DFDD"/>
    </w:rPr>
  </w:style>
  <w:style w:type="paragraph" w:styleId="Revision">
    <w:name w:val="Revision"/>
    <w:hidden/>
    <w:uiPriority w:val="99"/>
    <w:semiHidden/>
    <w:rsid w:val="00461691"/>
    <w:pPr>
      <w:spacing w:after="0" w:line="240" w:lineRule="auto"/>
    </w:pPr>
  </w:style>
  <w:style w:type="paragraph" w:styleId="Header">
    <w:name w:val="header"/>
    <w:basedOn w:val="Normal"/>
    <w:link w:val="HeaderChar"/>
    <w:uiPriority w:val="99"/>
    <w:unhideWhenUsed/>
    <w:rsid w:val="00B62A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AD5"/>
  </w:style>
  <w:style w:type="paragraph" w:styleId="Footer">
    <w:name w:val="footer"/>
    <w:basedOn w:val="Normal"/>
    <w:link w:val="FooterChar"/>
    <w:uiPriority w:val="99"/>
    <w:unhideWhenUsed/>
    <w:rsid w:val="00B62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AD5"/>
  </w:style>
  <w:style w:type="paragraph" w:customStyle="1" w:styleId="Para">
    <w:name w:val="Para"/>
    <w:basedOn w:val="Normal"/>
    <w:uiPriority w:val="19"/>
    <w:qFormat/>
    <w:rsid w:val="00D07D51"/>
    <w:pPr>
      <w:spacing w:before="160" w:line="259" w:lineRule="auto"/>
    </w:pPr>
    <w:rPr>
      <w:rFonts w:ascii="Arial" w:hAnsi="Arial"/>
      <w:kern w:val="24"/>
      <w:sz w:val="28"/>
      <w:szCs w:val="22"/>
    </w:rPr>
  </w:style>
  <w:style w:type="character" w:customStyle="1" w:styleId="Mention1">
    <w:name w:val="Mention1"/>
    <w:basedOn w:val="DefaultParagraphFont"/>
    <w:uiPriority w:val="99"/>
    <w:unhideWhenUsed/>
    <w:rsid w:val="00B56F70"/>
    <w:rPr>
      <w:color w:val="2B579A"/>
      <w:shd w:val="clear" w:color="auto" w:fill="E1DFDD"/>
    </w:rPr>
  </w:style>
  <w:style w:type="character" w:styleId="FollowedHyperlink">
    <w:name w:val="FollowedHyperlink"/>
    <w:basedOn w:val="DefaultParagraphFont"/>
    <w:uiPriority w:val="99"/>
    <w:semiHidden/>
    <w:unhideWhenUsed/>
    <w:rsid w:val="003B5342"/>
    <w:rPr>
      <w:color w:val="96607D" w:themeColor="followedHyperlink"/>
      <w:u w:val="single"/>
    </w:rPr>
  </w:style>
  <w:style w:type="paragraph" w:styleId="NormalWeb">
    <w:name w:val="Normal (Web)"/>
    <w:basedOn w:val="Normal"/>
    <w:uiPriority w:val="99"/>
    <w:semiHidden/>
    <w:unhideWhenUsed/>
    <w:rsid w:val="00D27A83"/>
    <w:rPr>
      <w:rFonts w:ascii="Times New Roman" w:hAnsi="Times New Roman" w:cs="Times New Roman"/>
    </w:rPr>
  </w:style>
  <w:style w:type="character" w:styleId="Emphasis">
    <w:name w:val="Emphasis"/>
    <w:basedOn w:val="DefaultParagraphFont"/>
    <w:uiPriority w:val="20"/>
    <w:qFormat/>
    <w:rsid w:val="00FF1A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TRN0058</dc:title>
  <cp:revision>0</cp:revision>
</cp:coreProperties>
</file>