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603A8" w:rsidRPr="005603A8" w:rsidP="005603A8">
      <w:pPr>
        <w:spacing w:after="100" w:line="480" w:lineRule="auto"/>
        <w:rPr>
          <w:rFonts w:ascii="Verdana" w:hAnsi="Verdana" w:cs="Calibri"/>
          <w:b/>
          <w:bCs/>
          <w:color w:val="auto"/>
          <w:sz w:val="28"/>
          <w:szCs w:val="28"/>
        </w:rPr>
      </w:pPr>
      <w:r w:rsidRPr="005603A8">
        <w:rPr>
          <w:rFonts w:ascii="Verdana" w:hAnsi="Verdana" w:cs="Calibri"/>
          <w:b/>
          <w:bCs/>
          <w:color w:val="auto"/>
          <w:sz w:val="28"/>
          <w:szCs w:val="28"/>
        </w:rPr>
        <w:t>Dr Kevin Muldoon Smith, Associate Professor, Northumbria University – Written evidence FDE0005</w:t>
      </w:r>
    </w:p>
    <w:p w:rsidR="005603A8" w:rsidP="005603A8">
      <w:pPr>
        <w:spacing w:after="100" w:line="480" w:lineRule="auto"/>
        <w:rPr>
          <w:rFonts w:ascii="Verdana" w:hAnsi="Verdana" w:cs="Calibri"/>
          <w:b/>
          <w:bCs/>
          <w:color w:val="auto"/>
          <w:sz w:val="24"/>
          <w:szCs w:val="24"/>
        </w:rPr>
      </w:pPr>
    </w:p>
    <w:p w:rsidR="00DA6EB4" w:rsidRPr="005603A8" w:rsidP="005603A8">
      <w:pPr>
        <w:spacing w:after="100" w:line="480" w:lineRule="auto"/>
        <w:rPr>
          <w:rFonts w:ascii="Verdana" w:hAnsi="Verdana" w:cs="Calibri"/>
          <w:color w:val="auto"/>
          <w:sz w:val="24"/>
          <w:szCs w:val="24"/>
        </w:rPr>
      </w:pPr>
      <w:r>
        <w:rPr>
          <w:rFonts w:ascii="Verdana" w:hAnsi="Verdana" w:cs="Calibri"/>
          <w:b/>
          <w:bCs/>
          <w:color w:val="auto"/>
          <w:sz w:val="24"/>
          <w:szCs w:val="24"/>
        </w:rPr>
        <w:t>L</w:t>
      </w:r>
      <w:r w:rsidRPr="005603A8">
        <w:rPr>
          <w:rFonts w:ascii="Verdana" w:hAnsi="Verdana" w:cs="Calibri"/>
          <w:b/>
          <w:bCs/>
          <w:color w:val="auto"/>
          <w:sz w:val="24"/>
          <w:szCs w:val="24"/>
        </w:rPr>
        <w:t>earning from Local Government Finance Across the World:</w:t>
      </w:r>
    </w:p>
    <w:p w:rsidR="00DA6EB4" w:rsidRPr="005603A8" w:rsidP="005603A8">
      <w:pPr>
        <w:spacing w:line="480" w:lineRule="auto"/>
        <w:rPr>
          <w:rFonts w:ascii="Verdana" w:hAnsi="Verdana" w:cs="Calibri"/>
          <w:b/>
          <w:bCs/>
          <w:color w:val="auto"/>
          <w:sz w:val="24"/>
          <w:szCs w:val="24"/>
        </w:rPr>
      </w:pPr>
      <w:r w:rsidRPr="005603A8">
        <w:rPr>
          <w:rFonts w:ascii="Verdana" w:hAnsi="Verdana" w:cs="Calibri"/>
          <w:color w:val="auto"/>
          <w:sz w:val="24"/>
          <w:szCs w:val="24"/>
        </w:rPr>
        <w:t xml:space="preserve">This evidence submission is based on international </w:t>
      </w:r>
      <w:r w:rsidRPr="005603A8">
        <w:rPr>
          <w:rFonts w:ascii="Verdana" w:hAnsi="Verdana" w:cs="Calibri"/>
          <w:color w:val="auto"/>
          <w:sz w:val="24"/>
          <w:szCs w:val="24"/>
        </w:rPr>
        <w:t xml:space="preserve">sub-national government finance </w:t>
      </w:r>
      <w:r w:rsidRPr="005603A8">
        <w:rPr>
          <w:rFonts w:ascii="Verdana" w:hAnsi="Verdana" w:cs="Calibri"/>
          <w:color w:val="auto"/>
          <w:sz w:val="24"/>
          <w:szCs w:val="24"/>
        </w:rPr>
        <w:t xml:space="preserve">research conducted in partnership between Northumbria University and </w:t>
      </w:r>
      <w:r w:rsidRPr="005603A8">
        <w:rPr>
          <w:rFonts w:ascii="Verdana" w:hAnsi="Verdana" w:cs="Calibri"/>
          <w:color w:val="auto"/>
          <w:sz w:val="24"/>
          <w:szCs w:val="24"/>
        </w:rPr>
        <w:t xml:space="preserve">the Local Government Information Unit, primarily an updated </w:t>
      </w:r>
      <w:r w:rsidRPr="005603A8">
        <w:rPr>
          <w:rFonts w:ascii="Verdana" w:hAnsi="Verdana" w:cs="Calibri"/>
          <w:color w:val="auto"/>
          <w:sz w:val="24"/>
          <w:szCs w:val="24"/>
        </w:rPr>
        <w:t xml:space="preserve">report into the functioning of sub-national finance in England - </w:t>
      </w:r>
      <w:r w:rsidRPr="005603A8">
        <w:rPr>
          <w:rFonts w:ascii="Verdana" w:hAnsi="Verdana" w:cs="Calibri"/>
          <w:b/>
          <w:bCs/>
          <w:color w:val="auto"/>
          <w:sz w:val="24"/>
          <w:szCs w:val="24"/>
        </w:rPr>
        <w:t>Learning from Local Government Finance Across the World</w:t>
      </w:r>
      <w:r w:rsidRPr="005603A8">
        <w:rPr>
          <w:rFonts w:ascii="Verdana" w:hAnsi="Verdana" w:cs="Calibri"/>
          <w:b/>
          <w:bCs/>
          <w:color w:val="auto"/>
          <w:sz w:val="24"/>
          <w:szCs w:val="24"/>
        </w:rPr>
        <w:t xml:space="preserve"> 2026</w:t>
      </w:r>
      <w:r w:rsidRPr="005603A8">
        <w:rPr>
          <w:rFonts w:ascii="Verdana" w:hAnsi="Verdana" w:cs="Calibri"/>
          <w:b/>
          <w:bCs/>
          <w:color w:val="auto"/>
          <w:sz w:val="24"/>
          <w:szCs w:val="24"/>
        </w:rPr>
        <w:t>: Progress and the Case for a Systemic Approach</w:t>
      </w:r>
    </w:p>
    <w:p w:rsidR="00DA6EB4" w:rsidRPr="005603A8" w:rsidP="005603A8">
      <w:pPr>
        <w:spacing w:after="60" w:line="480" w:lineRule="auto"/>
        <w:rPr>
          <w:rFonts w:ascii="Verdana" w:hAnsi="Verdana" w:cs="Calibri"/>
          <w:b/>
          <w:bCs/>
          <w:color w:val="auto"/>
          <w:sz w:val="24"/>
          <w:szCs w:val="24"/>
        </w:rPr>
      </w:pPr>
    </w:p>
    <w:p w:rsidR="00DA6EB4" w:rsidRPr="005603A8" w:rsidP="005603A8">
      <w:pPr>
        <w:spacing w:after="60" w:line="480" w:lineRule="auto"/>
        <w:rPr>
          <w:rFonts w:ascii="Verdana" w:hAnsi="Verdana" w:cs="Calibri"/>
          <w:color w:val="auto"/>
          <w:sz w:val="24"/>
          <w:szCs w:val="24"/>
        </w:rPr>
      </w:pPr>
      <w:r w:rsidRPr="005603A8">
        <w:rPr>
          <w:rFonts w:ascii="Verdana" w:hAnsi="Verdana" w:cs="Calibri"/>
          <w:b/>
          <w:bCs/>
          <w:color w:val="auto"/>
          <w:sz w:val="24"/>
          <w:szCs w:val="24"/>
        </w:rPr>
        <w:t>Context: Reform in an Underfunded System</w:t>
      </w:r>
    </w:p>
    <w:p w:rsidR="00DA6EB4" w:rsidRPr="005603A8" w:rsidP="005603A8">
      <w:pPr>
        <w:pStyle w:val="ListParagraph"/>
        <w:numPr>
          <w:ilvl w:val="0"/>
          <w:numId w:val="2"/>
        </w:numPr>
        <w:spacing w:before="60" w:after="160" w:line="480" w:lineRule="auto"/>
        <w:rPr>
          <w:rFonts w:ascii="Verdana" w:hAnsi="Verdana" w:cs="Calibri"/>
          <w:color w:val="auto"/>
          <w:sz w:val="24"/>
          <w:szCs w:val="24"/>
        </w:rPr>
      </w:pPr>
      <w:r w:rsidRPr="005603A8">
        <w:rPr>
          <w:rFonts w:ascii="Verdana" w:hAnsi="Verdana" w:cs="Calibri"/>
          <w:color w:val="auto"/>
          <w:sz w:val="24"/>
          <w:szCs w:val="24"/>
        </w:rPr>
        <w:t>England's local government finance system has seen real movement since 2024. The Labour Government has introduced the first multi-year Local Government Finance Settlement in more than a decade. Fair Funding Review 2.0 has updated the needs assessment formulae for the first time since 2013-14. Multiple funding streams have been consolidated. These are meaningful steps.</w:t>
      </w:r>
    </w:p>
    <w:p w:rsidR="00DA6EB4" w:rsidRPr="005603A8" w:rsidP="005603A8">
      <w:pPr>
        <w:pStyle w:val="ListParagraph"/>
        <w:numPr>
          <w:ilvl w:val="0"/>
          <w:numId w:val="2"/>
        </w:numPr>
        <w:spacing w:before="60" w:after="160" w:line="480" w:lineRule="auto"/>
        <w:rPr>
          <w:rFonts w:ascii="Verdana" w:hAnsi="Verdana" w:cs="Calibri"/>
          <w:color w:val="auto"/>
          <w:sz w:val="24"/>
          <w:szCs w:val="24"/>
        </w:rPr>
      </w:pPr>
      <w:r w:rsidRPr="005603A8">
        <w:rPr>
          <w:rFonts w:ascii="Verdana" w:hAnsi="Verdana" w:cs="Calibri"/>
          <w:color w:val="auto"/>
          <w:sz w:val="24"/>
          <w:szCs w:val="24"/>
        </w:rPr>
        <w:t xml:space="preserve">And yet core spending power remains significantly lower in real terms than it was in 2010-11. The Local Government Association estimates a substantial funding gap simply to sustain services at their current — already diminished — levels. Cost and demand pressures in adult social care, children's social care, special educational needs, homelessness </w:t>
      </w:r>
      <w:r w:rsidRPr="005603A8">
        <w:rPr>
          <w:rFonts w:ascii="Verdana" w:hAnsi="Verdana" w:cs="Calibri"/>
          <w:color w:val="auto"/>
          <w:sz w:val="24"/>
          <w:szCs w:val="24"/>
        </w:rPr>
        <w:t>and home-to-school transport are rising faster than any plausible funding trajectory. What the government has largely achieved is better navigation of an underfunded system. What it has not achieved is a system that is adequately resourced, purposively designed, or capable of delivering genuine fiscal resilience for all localities.</w:t>
      </w:r>
    </w:p>
    <w:p w:rsidR="00DA6EB4" w:rsidRPr="005603A8" w:rsidP="005603A8">
      <w:pPr>
        <w:pStyle w:val="ListParagraph"/>
        <w:numPr>
          <w:ilvl w:val="0"/>
          <w:numId w:val="2"/>
        </w:numPr>
        <w:spacing w:before="60" w:after="160" w:line="480" w:lineRule="auto"/>
        <w:rPr>
          <w:rFonts w:ascii="Verdana" w:hAnsi="Verdana" w:cs="Calibri"/>
          <w:color w:val="auto"/>
          <w:sz w:val="24"/>
          <w:szCs w:val="24"/>
        </w:rPr>
      </w:pPr>
      <w:r w:rsidRPr="005603A8">
        <w:rPr>
          <w:rFonts w:ascii="Verdana" w:hAnsi="Verdana" w:cs="Calibri"/>
          <w:color w:val="auto"/>
          <w:sz w:val="24"/>
          <w:szCs w:val="24"/>
        </w:rPr>
        <w:t>The Chancellor's Mais Lecture of March 2026 represents a significant conceptual shift and a genuine opportunity. This submission responds to the APPG inquiry questions in that context — welcoming the direction of travel while identifying the systemic conditions without which fiscal devolution risks deepening rather than reducing the inequalities it seeks to address.</w:t>
      </w:r>
    </w:p>
    <w:p w:rsidR="00DA6EB4" w:rsidRPr="005603A8" w:rsidP="005603A8">
      <w:pPr>
        <w:spacing w:before="60" w:after="160" w:line="480" w:lineRule="auto"/>
        <w:rPr>
          <w:rFonts w:ascii="Verdana" w:hAnsi="Verdana" w:cs="Calibri"/>
          <w:color w:val="auto"/>
          <w:sz w:val="24"/>
          <w:szCs w:val="24"/>
        </w:rPr>
      </w:pPr>
      <w:r w:rsidRPr="005603A8">
        <w:rPr>
          <w:rFonts w:ascii="Verdana" w:hAnsi="Verdana" w:cs="Calibri"/>
          <w:b/>
          <w:bCs/>
          <w:color w:val="auto"/>
          <w:sz w:val="24"/>
          <w:szCs w:val="24"/>
        </w:rPr>
        <w:t>1. The Purpose of Fiscal Devolution in England</w:t>
      </w:r>
    </w:p>
    <w:p w:rsidR="00DA6EB4" w:rsidRPr="005603A8" w:rsidP="005603A8">
      <w:pPr>
        <w:spacing w:line="480" w:lineRule="auto"/>
        <w:rPr>
          <w:rFonts w:ascii="Verdana" w:hAnsi="Verdana" w:cs="Calibri"/>
          <w:b/>
          <w:bCs/>
          <w:color w:val="auto"/>
          <w:sz w:val="24"/>
          <w:szCs w:val="24"/>
        </w:rPr>
      </w:pPr>
      <w:r w:rsidRPr="005603A8">
        <w:rPr>
          <w:rFonts w:ascii="Verdana" w:hAnsi="Verdana" w:cs="Calibri"/>
          <w:b/>
          <w:bCs/>
          <w:color w:val="auto"/>
          <w:sz w:val="24"/>
          <w:szCs w:val="24"/>
        </w:rPr>
        <w:t>What do you think is the main purpose for fiscal devolution in England, and why?</w:t>
      </w:r>
    </w:p>
    <w:p w:rsidR="00DA6EB4" w:rsidRPr="005603A8" w:rsidP="005603A8">
      <w:pPr>
        <w:pStyle w:val="ListParagraph"/>
        <w:numPr>
          <w:ilvl w:val="0"/>
          <w:numId w:val="2"/>
        </w:numPr>
        <w:spacing w:before="60" w:after="160" w:line="480" w:lineRule="auto"/>
        <w:rPr>
          <w:rFonts w:ascii="Verdana" w:hAnsi="Verdana" w:cs="Calibri"/>
          <w:color w:val="auto"/>
          <w:sz w:val="24"/>
          <w:szCs w:val="24"/>
        </w:rPr>
      </w:pPr>
      <w:r w:rsidRPr="005603A8">
        <w:rPr>
          <w:rFonts w:ascii="Verdana" w:hAnsi="Verdana" w:cs="Calibri"/>
          <w:color w:val="auto"/>
          <w:sz w:val="24"/>
          <w:szCs w:val="24"/>
        </w:rPr>
        <w:t xml:space="preserve">Fiscal devolution in England serves — and should be designed to serve — multiple simultaneous purposes, and the failure to be explicit about their relative priority has been a persistent source of policy incoherence. </w:t>
      </w:r>
      <w:r w:rsidRPr="005603A8">
        <w:rPr>
          <w:rFonts w:ascii="Verdana" w:hAnsi="Verdana" w:cs="Calibri"/>
          <w:color w:val="auto"/>
          <w:sz w:val="24"/>
          <w:szCs w:val="24"/>
        </w:rPr>
        <w:t>This submission identifies</w:t>
      </w:r>
      <w:r w:rsidRPr="005603A8">
        <w:rPr>
          <w:rFonts w:ascii="Verdana" w:hAnsi="Verdana" w:cs="Calibri"/>
          <w:color w:val="auto"/>
          <w:sz w:val="24"/>
          <w:szCs w:val="24"/>
        </w:rPr>
        <w:t xml:space="preserve"> four distinct purposes in the current debate, each legitimate, each requiring different design responses.</w:t>
      </w:r>
    </w:p>
    <w:p w:rsidR="00DA6EB4" w:rsidRPr="005603A8" w:rsidP="005603A8">
      <w:pPr>
        <w:pStyle w:val="ListParagraph"/>
        <w:numPr>
          <w:ilvl w:val="0"/>
          <w:numId w:val="2"/>
        </w:numPr>
        <w:spacing w:before="60" w:after="160" w:line="480" w:lineRule="auto"/>
        <w:rPr>
          <w:rFonts w:ascii="Verdana" w:hAnsi="Verdana" w:cs="Calibri"/>
          <w:color w:val="auto"/>
          <w:sz w:val="24"/>
          <w:szCs w:val="24"/>
        </w:rPr>
      </w:pPr>
      <w:r w:rsidRPr="005603A8">
        <w:rPr>
          <w:rFonts w:ascii="Verdana" w:hAnsi="Verdana" w:cs="Calibri"/>
          <w:color w:val="auto"/>
          <w:sz w:val="24"/>
          <w:szCs w:val="24"/>
        </w:rPr>
        <w:t xml:space="preserve">The first and currently dominant purpose is economic growth and productivity. The Mais Lecture frames fiscal devolution primarily as a mechanism for incentivising regional investment, ensuring that the </w:t>
      </w:r>
      <w:r w:rsidRPr="005603A8">
        <w:rPr>
          <w:rFonts w:ascii="Verdana" w:hAnsi="Verdana" w:cs="Calibri"/>
          <w:color w:val="auto"/>
          <w:sz w:val="24"/>
          <w:szCs w:val="24"/>
        </w:rPr>
        <w:t xml:space="preserve">proceeds of growth benefit the places that generated them, and reducing England's long-standing regional economic disparities. The international evidence that fiscal centralisation hampers regional economic dynamism is substantial. OECD analysis consistently identifies sub-national fiscal autonomy as a driver of productivity and investment, and the concentration of economic activity in London and the </w:t>
      </w:r>
      <w:r w:rsidRPr="005603A8">
        <w:rPr>
          <w:rFonts w:ascii="Verdana" w:hAnsi="Verdana" w:cs="Calibri"/>
          <w:color w:val="auto"/>
          <w:sz w:val="24"/>
          <w:szCs w:val="24"/>
        </w:rPr>
        <w:t>South East</w:t>
      </w:r>
      <w:r w:rsidRPr="005603A8">
        <w:rPr>
          <w:rFonts w:ascii="Verdana" w:hAnsi="Verdana" w:cs="Calibri"/>
          <w:color w:val="auto"/>
          <w:sz w:val="24"/>
          <w:szCs w:val="24"/>
        </w:rPr>
        <w:t xml:space="preserve"> — more pronounced than in comparable European economies — is partly a product of the absence of m</w:t>
      </w:r>
      <w:r w:rsidRPr="005603A8">
        <w:rPr>
          <w:rFonts w:ascii="Verdana" w:hAnsi="Verdana" w:cs="Calibri"/>
          <w:color w:val="auto"/>
          <w:sz w:val="24"/>
          <w:szCs w:val="24"/>
        </w:rPr>
        <w:t>eaningful fiscal tools at the regional level.</w:t>
      </w:r>
    </w:p>
    <w:p w:rsidR="00DA6EB4" w:rsidRPr="005603A8" w:rsidP="005603A8">
      <w:pPr>
        <w:pStyle w:val="ListParagraph"/>
        <w:numPr>
          <w:ilvl w:val="0"/>
          <w:numId w:val="2"/>
        </w:numPr>
        <w:spacing w:before="60" w:after="160" w:line="480" w:lineRule="auto"/>
        <w:rPr>
          <w:rFonts w:ascii="Verdana" w:hAnsi="Verdana" w:cs="Calibri"/>
          <w:color w:val="auto"/>
          <w:sz w:val="24"/>
          <w:szCs w:val="24"/>
        </w:rPr>
      </w:pPr>
      <w:r w:rsidRPr="005603A8">
        <w:rPr>
          <w:rFonts w:ascii="Verdana" w:hAnsi="Verdana" w:cs="Calibri"/>
          <w:color w:val="auto"/>
          <w:sz w:val="24"/>
          <w:szCs w:val="24"/>
        </w:rPr>
        <w:t>The second purpose is service resilience and financial sustainability for local government. England's local authorities are responsible for a wide range of statutory services — adult and children's social care, public health, housing, planning, transport and environmental services — and the funding system has failed to keep pace with demand. A decade of austerity followed by inflation and demographic pressure has left the system structurally fragile. Fiscal devolution, if designed to provide a broader and m</w:t>
      </w:r>
      <w:r w:rsidRPr="005603A8">
        <w:rPr>
          <w:rFonts w:ascii="Verdana" w:hAnsi="Verdana" w:cs="Calibri"/>
          <w:color w:val="auto"/>
          <w:sz w:val="24"/>
          <w:szCs w:val="24"/>
        </w:rPr>
        <w:t>ore stable revenue base for local government as a whole, would address this directly.</w:t>
      </w:r>
    </w:p>
    <w:p w:rsidR="00DA6EB4" w:rsidRPr="005603A8" w:rsidP="005603A8">
      <w:pPr>
        <w:pStyle w:val="ListParagraph"/>
        <w:numPr>
          <w:ilvl w:val="0"/>
          <w:numId w:val="2"/>
        </w:numPr>
        <w:spacing w:before="60" w:after="160" w:line="480" w:lineRule="auto"/>
        <w:rPr>
          <w:rFonts w:ascii="Verdana" w:hAnsi="Verdana" w:cs="Calibri"/>
          <w:color w:val="auto"/>
          <w:sz w:val="24"/>
          <w:szCs w:val="24"/>
        </w:rPr>
      </w:pPr>
      <w:r w:rsidRPr="005603A8">
        <w:rPr>
          <w:rFonts w:ascii="Verdana" w:hAnsi="Verdana" w:cs="Calibri"/>
          <w:color w:val="auto"/>
          <w:sz w:val="24"/>
          <w:szCs w:val="24"/>
        </w:rPr>
        <w:t xml:space="preserve">The third purpose is democratic accountability and civic agency. Local government in most comparable democracies raises a meaningful proportion of its revenue locally, creating a direct relationship between taxation, expenditure decisions and democratic accountability. In England, the near-total dependence of local authorities on centrally </w:t>
      </w:r>
      <w:r w:rsidRPr="005603A8">
        <w:rPr>
          <w:rFonts w:ascii="Verdana" w:hAnsi="Verdana" w:cs="Calibri"/>
          <w:color w:val="auto"/>
          <w:sz w:val="24"/>
          <w:szCs w:val="24"/>
        </w:rPr>
        <w:t>determined grants has attenuated that relationship. Fiscal devolution, in principle, restores it — giving elected local and regional leaders genuine financial agency and making them accountable to their electorates for fiscal choices.</w:t>
      </w:r>
    </w:p>
    <w:p w:rsidR="00DA6EB4" w:rsidRPr="005603A8" w:rsidP="005603A8">
      <w:pPr>
        <w:pStyle w:val="ListParagraph"/>
        <w:numPr>
          <w:ilvl w:val="0"/>
          <w:numId w:val="2"/>
        </w:numPr>
        <w:spacing w:before="60" w:after="160" w:line="480" w:lineRule="auto"/>
        <w:rPr>
          <w:rFonts w:ascii="Verdana" w:hAnsi="Verdana" w:cs="Calibri"/>
          <w:color w:val="auto"/>
          <w:sz w:val="24"/>
          <w:szCs w:val="24"/>
        </w:rPr>
      </w:pPr>
      <w:r w:rsidRPr="005603A8">
        <w:rPr>
          <w:rFonts w:ascii="Verdana" w:hAnsi="Verdana" w:cs="Calibri"/>
          <w:color w:val="auto"/>
          <w:sz w:val="24"/>
          <w:szCs w:val="24"/>
        </w:rPr>
        <w:t xml:space="preserve">The fourth purpose is territorial equity — ensuring that all places, regardless of their economic geography, have access to broadly comparable public services. This purpose is in tension with the growth incentive logic of the Mais Lecture proposals, which explicitly prioritises places with the greatest capacity and potential. Managing that tension is, in </w:t>
      </w:r>
      <w:r w:rsidRPr="005603A8">
        <w:rPr>
          <w:rFonts w:ascii="Verdana" w:hAnsi="Verdana" w:cs="Calibri"/>
          <w:color w:val="auto"/>
          <w:sz w:val="24"/>
          <w:szCs w:val="24"/>
        </w:rPr>
        <w:t>many ways</w:t>
      </w:r>
      <w:r w:rsidRPr="005603A8">
        <w:rPr>
          <w:rFonts w:ascii="Verdana" w:hAnsi="Verdana" w:cs="Calibri"/>
          <w:color w:val="auto"/>
          <w:sz w:val="24"/>
          <w:szCs w:val="24"/>
        </w:rPr>
        <w:t xml:space="preserve">, </w:t>
      </w:r>
      <w:r w:rsidRPr="005603A8">
        <w:rPr>
          <w:rFonts w:ascii="Verdana" w:hAnsi="Verdana" w:cs="Calibri"/>
          <w:color w:val="auto"/>
          <w:sz w:val="24"/>
          <w:szCs w:val="24"/>
        </w:rPr>
        <w:t xml:space="preserve">is </w:t>
      </w:r>
      <w:r w:rsidRPr="005603A8">
        <w:rPr>
          <w:rFonts w:ascii="Verdana" w:hAnsi="Verdana" w:cs="Calibri"/>
          <w:color w:val="auto"/>
          <w:sz w:val="24"/>
          <w:szCs w:val="24"/>
        </w:rPr>
        <w:t>the central design challenge of English fiscal devolution.</w:t>
      </w:r>
    </w:p>
    <w:p w:rsidR="00DA6EB4" w:rsidRPr="005603A8" w:rsidP="005603A8">
      <w:pPr>
        <w:pStyle w:val="ListParagraph"/>
        <w:numPr>
          <w:ilvl w:val="0"/>
          <w:numId w:val="2"/>
        </w:numPr>
        <w:spacing w:before="60" w:after="160" w:line="480" w:lineRule="auto"/>
        <w:rPr>
          <w:rFonts w:ascii="Verdana" w:hAnsi="Verdana" w:cs="Calibri"/>
          <w:color w:val="auto"/>
          <w:sz w:val="24"/>
          <w:szCs w:val="24"/>
        </w:rPr>
      </w:pPr>
      <w:r w:rsidRPr="005603A8">
        <w:rPr>
          <w:rFonts w:ascii="Verdana" w:hAnsi="Verdana" w:cs="Calibri"/>
          <w:color w:val="auto"/>
          <w:sz w:val="24"/>
          <w:szCs w:val="24"/>
        </w:rPr>
        <w:t xml:space="preserve">These four purposes are not mutually exclusive, but the policy instruments appropriate to each are different, and designing primarily for growth can produce a system that actively undermines service resilience and territorial equity. The international evidence — </w:t>
      </w:r>
      <w:r w:rsidRPr="005603A8">
        <w:rPr>
          <w:rFonts w:ascii="Verdana" w:hAnsi="Verdana" w:cs="Calibri"/>
          <w:color w:val="auto"/>
          <w:sz w:val="24"/>
          <w:szCs w:val="24"/>
        </w:rPr>
        <w:t>for example</w:t>
      </w:r>
      <w:r w:rsidRPr="005603A8">
        <w:rPr>
          <w:rFonts w:ascii="Verdana" w:hAnsi="Verdana" w:cs="Calibri"/>
          <w:color w:val="auto"/>
          <w:sz w:val="24"/>
          <w:szCs w:val="24"/>
        </w:rPr>
        <w:t xml:space="preserve"> from Germany, Denmark and Australia — demonstrates that it is possible to design systems that pursue all four simultaneously, but only through deliberate architectural choices that embed equalisation alongside autonomy from the outset.</w:t>
      </w:r>
    </w:p>
    <w:p w:rsidR="00DA6EB4" w:rsidRPr="005603A8" w:rsidP="005603A8">
      <w:pPr>
        <w:spacing w:line="480" w:lineRule="auto"/>
        <w:rPr>
          <w:rFonts w:ascii="Verdana" w:hAnsi="Verdana" w:cs="Calibri"/>
          <w:b/>
          <w:bCs/>
          <w:color w:val="auto"/>
          <w:sz w:val="24"/>
          <w:szCs w:val="24"/>
        </w:rPr>
      </w:pPr>
      <w:r w:rsidRPr="005603A8">
        <w:rPr>
          <w:rFonts w:ascii="Verdana" w:hAnsi="Verdana" w:cs="Calibri"/>
          <w:b/>
          <w:bCs/>
          <w:color w:val="auto"/>
          <w:sz w:val="24"/>
          <w:szCs w:val="24"/>
        </w:rPr>
        <w:t>What are the drawbacks or challenges associated with fiscal devolution?</w:t>
      </w:r>
    </w:p>
    <w:p w:rsidR="00DA6EB4" w:rsidRPr="005603A8" w:rsidP="005603A8">
      <w:pPr>
        <w:pStyle w:val="ListParagraph"/>
        <w:numPr>
          <w:ilvl w:val="0"/>
          <w:numId w:val="2"/>
        </w:numPr>
        <w:spacing w:before="60" w:after="160" w:line="480" w:lineRule="auto"/>
        <w:rPr>
          <w:rFonts w:ascii="Verdana" w:hAnsi="Verdana" w:cs="Calibri"/>
          <w:color w:val="auto"/>
          <w:sz w:val="24"/>
          <w:szCs w:val="24"/>
        </w:rPr>
      </w:pPr>
      <w:r w:rsidRPr="005603A8">
        <w:rPr>
          <w:rFonts w:ascii="Verdana" w:hAnsi="Verdana" w:cs="Calibri"/>
          <w:color w:val="auto"/>
          <w:sz w:val="24"/>
          <w:szCs w:val="24"/>
        </w:rPr>
        <w:t xml:space="preserve">The central challenge is that fiscal devolution generates asymmetric gains. It disproportionately benefits localities with buoyant, growing </w:t>
      </w:r>
      <w:r w:rsidRPr="005603A8">
        <w:rPr>
          <w:rFonts w:ascii="Verdana" w:hAnsi="Verdana" w:cs="Calibri"/>
          <w:color w:val="auto"/>
          <w:sz w:val="24"/>
          <w:szCs w:val="24"/>
        </w:rPr>
        <w:t>economies and relatively low service demand. For structurally disadvantaged areas — post-industrial towns, coastal communities, areas with high deprivation and low tax bases — autonomy over income tax or business rates retention can deepen inequality rather than reduce it.</w:t>
      </w:r>
    </w:p>
    <w:p w:rsidR="00DA6EB4" w:rsidRPr="005603A8" w:rsidP="005603A8">
      <w:pPr>
        <w:pStyle w:val="ListParagraph"/>
        <w:numPr>
          <w:ilvl w:val="0"/>
          <w:numId w:val="2"/>
        </w:numPr>
        <w:spacing w:before="60" w:after="160" w:line="480" w:lineRule="auto"/>
        <w:rPr>
          <w:rFonts w:ascii="Verdana" w:hAnsi="Verdana" w:cs="Calibri"/>
          <w:color w:val="auto"/>
          <w:sz w:val="24"/>
          <w:szCs w:val="24"/>
        </w:rPr>
      </w:pPr>
      <w:r w:rsidRPr="005603A8">
        <w:rPr>
          <w:rFonts w:ascii="Verdana" w:hAnsi="Verdana" w:cs="Calibri"/>
          <w:color w:val="auto"/>
          <w:sz w:val="24"/>
          <w:szCs w:val="24"/>
        </w:rPr>
        <w:t>Business rates retention in England provides a domestic illustration of the same problem. The scheme has rewarded buoyant southern and urban economies while leaving struggling northern and rural authorities dependent on redistribution that has not kept pace with their diverging fiscal positions. An income tax sharing model that creates analogous incentive structures without robust equalisation risks reproducing this dynamic at greater scale.</w:t>
      </w:r>
    </w:p>
    <w:p w:rsidR="00DA6EB4" w:rsidRPr="005603A8" w:rsidP="005603A8">
      <w:pPr>
        <w:pStyle w:val="ListParagraph"/>
        <w:numPr>
          <w:ilvl w:val="0"/>
          <w:numId w:val="2"/>
        </w:numPr>
        <w:spacing w:before="60" w:after="160" w:line="480" w:lineRule="auto"/>
        <w:rPr>
          <w:rFonts w:ascii="Verdana" w:hAnsi="Verdana" w:cs="Calibri"/>
          <w:color w:val="auto"/>
          <w:sz w:val="24"/>
          <w:szCs w:val="24"/>
        </w:rPr>
      </w:pPr>
      <w:r w:rsidRPr="005603A8">
        <w:rPr>
          <w:rFonts w:ascii="Verdana" w:hAnsi="Verdana" w:cs="Calibri"/>
          <w:color w:val="auto"/>
          <w:sz w:val="24"/>
          <w:szCs w:val="24"/>
        </w:rPr>
        <w:t>There is also a widely held assumption in English devolution discourse, often treated as axiomatic, that greater fiscal autonomy leads straightforwardly to better outcomes — financially, democratically and economically. The comparative evidence is more qualified. Autonomy is a necessary but not sufficient condition for fiscal resilience. Without adequate resourcing, a system can devolve fiscal decisions while devolving insufficiency. Without equalisation, it can extend autonomy while entrenching inequality.</w:t>
      </w:r>
      <w:r w:rsidRPr="005603A8">
        <w:rPr>
          <w:rFonts w:ascii="Verdana" w:hAnsi="Verdana" w:cs="Calibri"/>
          <w:color w:val="auto"/>
          <w:sz w:val="24"/>
          <w:szCs w:val="24"/>
        </w:rPr>
        <w:t xml:space="preserve"> The design of the system matters as much as the fact of devolution.</w:t>
      </w:r>
    </w:p>
    <w:p w:rsidR="00DA6EB4" w:rsidRPr="005603A8" w:rsidP="005603A8">
      <w:pPr>
        <w:spacing w:before="60" w:after="160" w:line="480" w:lineRule="auto"/>
        <w:rPr>
          <w:rFonts w:ascii="Verdana" w:hAnsi="Verdana" w:cs="Calibri"/>
          <w:color w:val="auto"/>
          <w:sz w:val="24"/>
          <w:szCs w:val="24"/>
        </w:rPr>
      </w:pPr>
      <w:r w:rsidRPr="005603A8">
        <w:rPr>
          <w:rFonts w:ascii="Verdana" w:hAnsi="Verdana" w:cs="Calibri"/>
          <w:b/>
          <w:bCs/>
          <w:color w:val="auto"/>
          <w:sz w:val="24"/>
          <w:szCs w:val="24"/>
        </w:rPr>
        <w:t>2. Fiscal Powers</w:t>
      </w:r>
    </w:p>
    <w:p w:rsidR="00DA6EB4" w:rsidRPr="005603A8" w:rsidP="005603A8">
      <w:pPr>
        <w:spacing w:line="480" w:lineRule="auto"/>
        <w:rPr>
          <w:rFonts w:ascii="Verdana" w:hAnsi="Verdana" w:cs="Calibri"/>
          <w:b/>
          <w:bCs/>
          <w:color w:val="auto"/>
          <w:sz w:val="24"/>
          <w:szCs w:val="24"/>
        </w:rPr>
      </w:pPr>
      <w:r w:rsidRPr="005603A8">
        <w:rPr>
          <w:rFonts w:ascii="Verdana" w:hAnsi="Verdana" w:cs="Calibri"/>
          <w:b/>
          <w:bCs/>
          <w:color w:val="auto"/>
          <w:sz w:val="24"/>
          <w:szCs w:val="24"/>
        </w:rPr>
        <w:t>Do you think the focus of HM Treasury's fiscal devolution roadmap is the right one?</w:t>
      </w:r>
    </w:p>
    <w:p w:rsidR="00DA6EB4" w:rsidRPr="005603A8" w:rsidP="005603A8">
      <w:pPr>
        <w:pStyle w:val="ListParagraph"/>
        <w:numPr>
          <w:ilvl w:val="0"/>
          <w:numId w:val="2"/>
        </w:numPr>
        <w:spacing w:before="60" w:after="160" w:line="480" w:lineRule="auto"/>
        <w:rPr>
          <w:rFonts w:ascii="Verdana" w:hAnsi="Verdana" w:cs="Calibri"/>
          <w:color w:val="auto"/>
          <w:sz w:val="24"/>
          <w:szCs w:val="24"/>
        </w:rPr>
      </w:pPr>
      <w:r w:rsidRPr="005603A8">
        <w:rPr>
          <w:rFonts w:ascii="Verdana" w:hAnsi="Verdana" w:cs="Calibri"/>
          <w:color w:val="auto"/>
          <w:sz w:val="24"/>
          <w:szCs w:val="24"/>
        </w:rPr>
        <w:t xml:space="preserve">The Mais Lecture roadmap is </w:t>
      </w:r>
      <w:r w:rsidRPr="005603A8">
        <w:rPr>
          <w:rFonts w:ascii="Verdana" w:hAnsi="Verdana" w:cs="Calibri"/>
          <w:color w:val="auto"/>
          <w:sz w:val="24"/>
          <w:szCs w:val="24"/>
        </w:rPr>
        <w:t xml:space="preserve">arguably </w:t>
      </w:r>
      <w:r w:rsidRPr="005603A8">
        <w:rPr>
          <w:rFonts w:ascii="Verdana" w:hAnsi="Verdana" w:cs="Calibri"/>
          <w:color w:val="auto"/>
          <w:sz w:val="24"/>
          <w:szCs w:val="24"/>
        </w:rPr>
        <w:t xml:space="preserve">directionally correct but architecturally incomplete. The proposal to give regional leaders control of a share of national taxes — with income tax as the primary focus — </w:t>
      </w:r>
      <w:r w:rsidRPr="005603A8">
        <w:rPr>
          <w:rFonts w:ascii="Verdana" w:hAnsi="Verdana" w:cs="Calibri"/>
          <w:color w:val="auto"/>
          <w:sz w:val="24"/>
          <w:szCs w:val="24"/>
        </w:rPr>
        <w:t xml:space="preserve">arguably </w:t>
      </w:r>
      <w:r w:rsidRPr="005603A8">
        <w:rPr>
          <w:rFonts w:ascii="Verdana" w:hAnsi="Verdana" w:cs="Calibri"/>
          <w:color w:val="auto"/>
          <w:sz w:val="24"/>
          <w:szCs w:val="24"/>
        </w:rPr>
        <w:t>represents the most significant conceptual shift in English sub-national finance since business rate retention in 2013, and we welcome it. However, the framing contains three features that require scrutiny.</w:t>
      </w:r>
    </w:p>
    <w:p w:rsidR="00DA6EB4" w:rsidRPr="005603A8" w:rsidP="005603A8">
      <w:pPr>
        <w:pStyle w:val="ListParagraph"/>
        <w:numPr>
          <w:ilvl w:val="0"/>
          <w:numId w:val="2"/>
        </w:numPr>
        <w:spacing w:before="60" w:after="160" w:line="480" w:lineRule="auto"/>
        <w:rPr>
          <w:rFonts w:ascii="Verdana" w:hAnsi="Verdana" w:cs="Calibri"/>
          <w:color w:val="auto"/>
          <w:sz w:val="24"/>
          <w:szCs w:val="24"/>
        </w:rPr>
      </w:pPr>
      <w:r w:rsidRPr="005603A8">
        <w:rPr>
          <w:rFonts w:ascii="Verdana" w:hAnsi="Verdana" w:cs="Calibri"/>
          <w:color w:val="auto"/>
          <w:sz w:val="24"/>
          <w:szCs w:val="24"/>
        </w:rPr>
        <w:t xml:space="preserve">The first is the explicit targeting of reforms at places with the greatest capacity to deliver them and the greatest potential to benefit. This is pragmatically sensible as an implementation sequencing decision, but it means that the first beneficiaries of fiscal devolution </w:t>
      </w:r>
      <w:r w:rsidRPr="005603A8">
        <w:rPr>
          <w:rFonts w:ascii="Verdana" w:hAnsi="Verdana" w:cs="Calibri"/>
          <w:color w:val="auto"/>
          <w:sz w:val="24"/>
          <w:szCs w:val="24"/>
        </w:rPr>
        <w:t>may</w:t>
      </w:r>
      <w:r w:rsidRPr="005603A8">
        <w:rPr>
          <w:rFonts w:ascii="Verdana" w:hAnsi="Verdana" w:cs="Calibri"/>
          <w:color w:val="auto"/>
          <w:sz w:val="24"/>
          <w:szCs w:val="24"/>
        </w:rPr>
        <w:t xml:space="preserve"> </w:t>
      </w:r>
      <w:r w:rsidRPr="005603A8">
        <w:rPr>
          <w:rFonts w:ascii="Verdana" w:hAnsi="Verdana" w:cs="Calibri"/>
          <w:color w:val="auto"/>
          <w:sz w:val="24"/>
          <w:szCs w:val="24"/>
        </w:rPr>
        <w:t xml:space="preserve">be some of those locations that </w:t>
      </w:r>
      <w:r w:rsidRPr="005603A8">
        <w:rPr>
          <w:rFonts w:ascii="Verdana" w:hAnsi="Verdana" w:cs="Calibri"/>
          <w:color w:val="auto"/>
          <w:sz w:val="24"/>
          <w:szCs w:val="24"/>
        </w:rPr>
        <w:t>need it least</w:t>
      </w:r>
      <w:r w:rsidRPr="005603A8">
        <w:rPr>
          <w:rFonts w:ascii="Verdana" w:hAnsi="Verdana" w:cs="Calibri"/>
          <w:color w:val="auto"/>
          <w:sz w:val="24"/>
          <w:szCs w:val="24"/>
        </w:rPr>
        <w:t>, at least in part,</w:t>
      </w:r>
      <w:r w:rsidRPr="005603A8">
        <w:rPr>
          <w:rFonts w:ascii="Verdana" w:hAnsi="Verdana" w:cs="Calibri"/>
          <w:color w:val="auto"/>
          <w:sz w:val="24"/>
          <w:szCs w:val="24"/>
        </w:rPr>
        <w:t xml:space="preserve"> in terms of financial resilience. If the system is not subsequently extended — or if extension is not built into the design from the outset — it risks entrenching a two-speed sub-national finance system in which well-resourced MSAs gain both fiscal autonomy and growth dividends while structurally under-resourced local authorities remain dependent on an inadequate grant system.</w:t>
      </w:r>
    </w:p>
    <w:p w:rsidR="00DA6EB4" w:rsidRPr="005603A8" w:rsidP="005603A8">
      <w:pPr>
        <w:pStyle w:val="ListParagraph"/>
        <w:numPr>
          <w:ilvl w:val="0"/>
          <w:numId w:val="2"/>
        </w:numPr>
        <w:spacing w:before="60" w:after="160" w:line="480" w:lineRule="auto"/>
        <w:rPr>
          <w:rFonts w:ascii="Verdana" w:hAnsi="Verdana" w:cs="Calibri"/>
          <w:color w:val="auto"/>
          <w:sz w:val="24"/>
          <w:szCs w:val="24"/>
        </w:rPr>
      </w:pPr>
      <w:r w:rsidRPr="005603A8">
        <w:rPr>
          <w:rFonts w:ascii="Verdana" w:hAnsi="Verdana" w:cs="Calibri"/>
          <w:color w:val="auto"/>
          <w:sz w:val="24"/>
          <w:szCs w:val="24"/>
        </w:rPr>
        <w:t xml:space="preserve">The second is the fiscal neutrality constraint. The Chancellor's formulation that reforms are not about new taxes or higher tax </w:t>
      </w:r>
      <w:r w:rsidRPr="005603A8">
        <w:rPr>
          <w:rFonts w:ascii="Verdana" w:hAnsi="Verdana" w:cs="Calibri"/>
          <w:color w:val="auto"/>
          <w:sz w:val="24"/>
          <w:szCs w:val="24"/>
        </w:rPr>
        <w:t>rates, and</w:t>
      </w:r>
      <w:r w:rsidRPr="005603A8">
        <w:rPr>
          <w:rFonts w:ascii="Verdana" w:hAnsi="Verdana" w:cs="Calibri"/>
          <w:color w:val="auto"/>
          <w:sz w:val="24"/>
          <w:szCs w:val="24"/>
        </w:rPr>
        <w:t xml:space="preserve"> are focused on sharing and retaining a portion of existing </w:t>
      </w:r>
      <w:r w:rsidRPr="005603A8">
        <w:rPr>
          <w:rFonts w:ascii="Verdana" w:hAnsi="Verdana" w:cs="Calibri"/>
          <w:color w:val="auto"/>
          <w:sz w:val="24"/>
          <w:szCs w:val="24"/>
        </w:rPr>
        <w:t>revenues, is a necessary political framing in the current fiscal environment. But it also means that fiscal devolution as currently conceived does not add resources to the system — it redistributes existing flows. For local authorities</w:t>
      </w:r>
      <w:r w:rsidRPr="005603A8">
        <w:rPr>
          <w:rFonts w:ascii="Verdana" w:hAnsi="Verdana" w:cs="Calibri"/>
          <w:color w:val="auto"/>
          <w:sz w:val="24"/>
          <w:szCs w:val="24"/>
        </w:rPr>
        <w:t xml:space="preserve">, and associated </w:t>
      </w:r>
      <w:r w:rsidRPr="005603A8">
        <w:rPr>
          <w:rFonts w:ascii="Verdana" w:hAnsi="Verdana" w:cs="Calibri"/>
          <w:color w:val="auto"/>
          <w:sz w:val="24"/>
          <w:szCs w:val="24"/>
        </w:rPr>
        <w:t>strategic areas,</w:t>
      </w:r>
      <w:r w:rsidRPr="005603A8">
        <w:rPr>
          <w:rFonts w:ascii="Verdana" w:hAnsi="Verdana" w:cs="Calibri"/>
          <w:color w:val="auto"/>
          <w:sz w:val="24"/>
          <w:szCs w:val="24"/>
        </w:rPr>
        <w:t xml:space="preserve"> facing a structural funding gap, this distinction matters enormously. Fiscal devolution is not a substitute for adequacy.</w:t>
      </w:r>
    </w:p>
    <w:p w:rsidR="00DA6EB4" w:rsidRPr="005603A8" w:rsidP="005603A8">
      <w:pPr>
        <w:pStyle w:val="ListParagraph"/>
        <w:numPr>
          <w:ilvl w:val="0"/>
          <w:numId w:val="2"/>
        </w:numPr>
        <w:spacing w:before="60" w:after="160" w:line="480" w:lineRule="auto"/>
        <w:rPr>
          <w:rFonts w:ascii="Verdana" w:hAnsi="Verdana" w:cs="Calibri"/>
          <w:color w:val="auto"/>
          <w:sz w:val="24"/>
          <w:szCs w:val="24"/>
        </w:rPr>
      </w:pPr>
      <w:r w:rsidRPr="005603A8">
        <w:rPr>
          <w:rFonts w:ascii="Verdana" w:hAnsi="Verdana" w:cs="Calibri"/>
          <w:color w:val="auto"/>
          <w:sz w:val="24"/>
          <w:szCs w:val="24"/>
        </w:rPr>
        <w:t xml:space="preserve">The third is the separation of the MSA fiscal devolution agenda from the local government finance reform agenda. The Mais Lecture </w:t>
      </w:r>
      <w:r w:rsidRPr="005603A8">
        <w:rPr>
          <w:rFonts w:ascii="Verdana" w:hAnsi="Verdana" w:cs="Calibri"/>
          <w:color w:val="auto"/>
          <w:sz w:val="24"/>
          <w:szCs w:val="24"/>
        </w:rPr>
        <w:t xml:space="preserve">arguably </w:t>
      </w:r>
      <w:r w:rsidRPr="005603A8">
        <w:rPr>
          <w:rFonts w:ascii="Verdana" w:hAnsi="Verdana" w:cs="Calibri"/>
          <w:color w:val="auto"/>
          <w:sz w:val="24"/>
          <w:szCs w:val="24"/>
        </w:rPr>
        <w:t>addresses the former</w:t>
      </w:r>
      <w:r w:rsidRPr="005603A8">
        <w:rPr>
          <w:rFonts w:ascii="Verdana" w:hAnsi="Verdana" w:cs="Calibri"/>
          <w:color w:val="auto"/>
          <w:sz w:val="24"/>
          <w:szCs w:val="24"/>
        </w:rPr>
        <w:t xml:space="preserve"> while </w:t>
      </w:r>
      <w:r w:rsidRPr="005603A8">
        <w:rPr>
          <w:rFonts w:ascii="Verdana" w:hAnsi="Verdana" w:cs="Calibri"/>
          <w:color w:val="auto"/>
          <w:sz w:val="24"/>
          <w:szCs w:val="24"/>
        </w:rPr>
        <w:t xml:space="preserve">Fair Funding Review 2.0 and the multi-year settlement </w:t>
      </w:r>
      <w:r w:rsidRPr="005603A8">
        <w:rPr>
          <w:rFonts w:ascii="Verdana" w:hAnsi="Verdana" w:cs="Calibri"/>
          <w:color w:val="auto"/>
          <w:sz w:val="24"/>
          <w:szCs w:val="24"/>
        </w:rPr>
        <w:t xml:space="preserve">arguably </w:t>
      </w:r>
      <w:r w:rsidRPr="005603A8">
        <w:rPr>
          <w:rFonts w:ascii="Verdana" w:hAnsi="Verdana" w:cs="Calibri"/>
          <w:color w:val="auto"/>
          <w:sz w:val="24"/>
          <w:szCs w:val="24"/>
        </w:rPr>
        <w:t>address the latter. But</w:t>
      </w:r>
      <w:r w:rsidRPr="005603A8">
        <w:rPr>
          <w:rFonts w:ascii="Verdana" w:hAnsi="Verdana" w:cs="Calibri"/>
          <w:color w:val="auto"/>
          <w:sz w:val="24"/>
          <w:szCs w:val="24"/>
        </w:rPr>
        <w:t>, to some extent,</w:t>
      </w:r>
      <w:r w:rsidRPr="005603A8">
        <w:rPr>
          <w:rFonts w:ascii="Verdana" w:hAnsi="Verdana" w:cs="Calibri"/>
          <w:color w:val="auto"/>
          <w:sz w:val="24"/>
          <w:szCs w:val="24"/>
        </w:rPr>
        <w:t xml:space="preserve"> they are being designed in parallel rather than as a unified system. The risk is that growth finance for MSAs and service finance for local authorities diverge further in their design logic, making subsequent integration harder.</w:t>
      </w:r>
    </w:p>
    <w:p w:rsidR="00DA6EB4" w:rsidRPr="005603A8" w:rsidP="005603A8">
      <w:pPr>
        <w:spacing w:line="480" w:lineRule="auto"/>
        <w:rPr>
          <w:rFonts w:ascii="Verdana" w:hAnsi="Verdana" w:cs="Calibri"/>
          <w:b/>
          <w:bCs/>
          <w:color w:val="auto"/>
          <w:sz w:val="24"/>
          <w:szCs w:val="24"/>
        </w:rPr>
      </w:pPr>
      <w:r w:rsidRPr="005603A8">
        <w:rPr>
          <w:rFonts w:ascii="Verdana" w:hAnsi="Verdana" w:cs="Calibri"/>
          <w:b/>
          <w:bCs/>
          <w:color w:val="auto"/>
          <w:sz w:val="24"/>
          <w:szCs w:val="24"/>
        </w:rPr>
        <w:t>Which fiscal powers do you think should be devolved, and to which tier?</w:t>
      </w:r>
    </w:p>
    <w:p w:rsidR="00DA6EB4" w:rsidRPr="005603A8" w:rsidP="005603A8">
      <w:pPr>
        <w:spacing w:line="480" w:lineRule="auto"/>
        <w:rPr>
          <w:rFonts w:ascii="Verdana" w:hAnsi="Verdana" w:cs="Calibri"/>
          <w:b/>
          <w:bCs/>
          <w:color w:val="auto"/>
          <w:sz w:val="24"/>
          <w:szCs w:val="24"/>
        </w:rPr>
      </w:pPr>
    </w:p>
    <w:p w:rsidR="00DA6EB4" w:rsidRPr="005603A8" w:rsidP="005603A8">
      <w:pPr>
        <w:spacing w:line="480" w:lineRule="auto"/>
        <w:rPr>
          <w:rFonts w:ascii="Verdana" w:hAnsi="Verdana" w:cs="Calibri"/>
          <w:b/>
          <w:bCs/>
          <w:color w:val="auto"/>
          <w:sz w:val="24"/>
          <w:szCs w:val="24"/>
        </w:rPr>
      </w:pPr>
      <w:r w:rsidRPr="005603A8">
        <w:rPr>
          <w:rFonts w:ascii="Verdana" w:hAnsi="Verdana" w:cs="Calibri"/>
          <w:b/>
          <w:bCs/>
          <w:color w:val="auto"/>
          <w:sz w:val="24"/>
          <w:szCs w:val="24"/>
        </w:rPr>
        <w:t>Income Tax Sharing</w:t>
      </w:r>
    </w:p>
    <w:p w:rsidR="00DA6EB4" w:rsidRPr="005603A8" w:rsidP="005603A8">
      <w:pPr>
        <w:pStyle w:val="ListParagraph"/>
        <w:numPr>
          <w:ilvl w:val="0"/>
          <w:numId w:val="2"/>
        </w:numPr>
        <w:spacing w:before="60" w:after="160" w:line="480" w:lineRule="auto"/>
        <w:rPr>
          <w:rFonts w:ascii="Verdana" w:hAnsi="Verdana" w:cs="Calibri"/>
          <w:color w:val="auto"/>
          <w:sz w:val="24"/>
          <w:szCs w:val="24"/>
        </w:rPr>
      </w:pPr>
      <w:r w:rsidRPr="005603A8">
        <w:rPr>
          <w:rFonts w:ascii="Verdana" w:hAnsi="Verdana" w:cs="Calibri"/>
          <w:color w:val="auto"/>
          <w:sz w:val="24"/>
          <w:szCs w:val="24"/>
        </w:rPr>
        <w:t xml:space="preserve">Income tax sharing is the most consequential option and the one explicitly flagged by the Chancellor. For MSAs, a retention share of income tax growth above a baseline — analogous to the business rates retention model — would provide genuine growth incentives without exposing local finances to the full volatility of the income tax base. This </w:t>
      </w:r>
      <w:r w:rsidRPr="005603A8">
        <w:rPr>
          <w:rFonts w:ascii="Verdana" w:hAnsi="Verdana" w:cs="Calibri"/>
          <w:color w:val="auto"/>
          <w:sz w:val="24"/>
          <w:szCs w:val="24"/>
        </w:rPr>
        <w:t>is broadly consistent with the approach taken in non-federal countries that have introduced subnational income tax sharing. Japan's Trinity Reform of the early 2000s offers a useful template: the programme systematically reworked central-local financial relations over a parliamentary term, shifting from conditional grants to unconditional transfers and shared tax revenues, accompanied by a fundamental renegotiation of expenditure mandates between central and local government.</w:t>
      </w:r>
    </w:p>
    <w:p w:rsidR="00DA6EB4" w:rsidRPr="005603A8" w:rsidP="005603A8">
      <w:pPr>
        <w:pStyle w:val="ListParagraph"/>
        <w:numPr>
          <w:ilvl w:val="0"/>
          <w:numId w:val="2"/>
        </w:numPr>
        <w:spacing w:before="60" w:after="160" w:line="480" w:lineRule="auto"/>
        <w:rPr>
          <w:rFonts w:ascii="Verdana" w:hAnsi="Verdana" w:cs="Calibri"/>
          <w:color w:val="auto"/>
          <w:sz w:val="24"/>
          <w:szCs w:val="24"/>
        </w:rPr>
      </w:pPr>
      <w:r w:rsidRPr="005603A8">
        <w:rPr>
          <w:rFonts w:ascii="Verdana" w:hAnsi="Verdana" w:cs="Calibri"/>
          <w:color w:val="auto"/>
          <w:sz w:val="24"/>
          <w:szCs w:val="24"/>
        </w:rPr>
        <w:t>However, any income tax sharing model</w:t>
      </w:r>
      <w:r w:rsidRPr="005603A8">
        <w:rPr>
          <w:rFonts w:ascii="Verdana" w:hAnsi="Verdana" w:cs="Calibri"/>
          <w:color w:val="auto"/>
          <w:sz w:val="24"/>
          <w:szCs w:val="24"/>
        </w:rPr>
        <w:t xml:space="preserve"> (particularly one that captures local growth)</w:t>
      </w:r>
      <w:r w:rsidRPr="005603A8">
        <w:rPr>
          <w:rFonts w:ascii="Verdana" w:hAnsi="Verdana" w:cs="Calibri"/>
          <w:color w:val="auto"/>
          <w:sz w:val="24"/>
          <w:szCs w:val="24"/>
        </w:rPr>
        <w:t xml:space="preserve"> should be nested within an equalisation framework from the outset. German municipalities receive a share of income tax revenues, but these sit within the Länderfinanzausgleich </w:t>
      </w:r>
      <w:r w:rsidRPr="005603A8">
        <w:rPr>
          <w:rFonts w:ascii="Verdana" w:hAnsi="Verdana" w:cs="Calibri"/>
          <w:color w:val="auto"/>
          <w:sz w:val="24"/>
          <w:szCs w:val="24"/>
        </w:rPr>
        <w:t xml:space="preserve">(between each Land) </w:t>
      </w:r>
      <w:r w:rsidRPr="005603A8">
        <w:rPr>
          <w:rFonts w:ascii="Verdana" w:hAnsi="Verdana" w:cs="Calibri"/>
          <w:color w:val="auto"/>
          <w:sz w:val="24"/>
          <w:szCs w:val="24"/>
        </w:rPr>
        <w:t xml:space="preserve">and Kommunaler Finanzausgleich </w:t>
      </w:r>
      <w:r w:rsidRPr="005603A8">
        <w:rPr>
          <w:rFonts w:ascii="Verdana" w:hAnsi="Verdana" w:cs="Calibri"/>
          <w:color w:val="auto"/>
          <w:sz w:val="24"/>
          <w:szCs w:val="24"/>
        </w:rPr>
        <w:t>(</w:t>
      </w:r>
      <w:r w:rsidRPr="005603A8">
        <w:rPr>
          <w:rFonts w:ascii="Verdana" w:hAnsi="Verdana" w:cs="Calibri"/>
          <w:color w:val="auto"/>
          <w:sz w:val="24"/>
          <w:szCs w:val="24"/>
        </w:rPr>
        <w:t>within each Land</w:t>
      </w:r>
      <w:r w:rsidRPr="005603A8">
        <w:rPr>
          <w:rFonts w:ascii="Verdana" w:hAnsi="Verdana" w:cs="Calibri"/>
          <w:color w:val="auto"/>
          <w:sz w:val="24"/>
          <w:szCs w:val="24"/>
        </w:rPr>
        <w:t xml:space="preserve">) </w:t>
      </w:r>
      <w:r w:rsidRPr="005603A8">
        <w:rPr>
          <w:rFonts w:ascii="Verdana" w:hAnsi="Verdana" w:cs="Calibri"/>
          <w:color w:val="auto"/>
          <w:sz w:val="24"/>
          <w:szCs w:val="24"/>
        </w:rPr>
        <w:t>— the comprehensive system of vertical and horizontal equalisation that ensures all localities have access to broadly comparable per-capita resources. The two are designed together, not sequentially. England should follow this principle rather than extending autonomy first and addressing equalisation later</w:t>
      </w:r>
      <w:r w:rsidRPr="005603A8">
        <w:rPr>
          <w:rFonts w:ascii="Verdana" w:hAnsi="Verdana" w:cs="Calibri"/>
          <w:color w:val="auto"/>
          <w:sz w:val="24"/>
          <w:szCs w:val="24"/>
        </w:rPr>
        <w:t xml:space="preserve">, or as a secondary matter. </w:t>
      </w:r>
    </w:p>
    <w:p w:rsidR="00DA6EB4" w:rsidRPr="005603A8" w:rsidP="005603A8">
      <w:pPr>
        <w:spacing w:before="60" w:after="160" w:line="480" w:lineRule="auto"/>
        <w:rPr>
          <w:rFonts w:ascii="Verdana" w:hAnsi="Verdana" w:cs="Calibri"/>
          <w:b/>
          <w:bCs/>
          <w:color w:val="auto"/>
          <w:sz w:val="24"/>
          <w:szCs w:val="24"/>
        </w:rPr>
      </w:pPr>
      <w:r w:rsidRPr="005603A8">
        <w:rPr>
          <w:rFonts w:ascii="Verdana" w:hAnsi="Verdana" w:cs="Calibri"/>
          <w:b/>
          <w:bCs/>
          <w:color w:val="auto"/>
          <w:sz w:val="24"/>
          <w:szCs w:val="24"/>
        </w:rPr>
        <w:t>Property Taxation</w:t>
      </w:r>
    </w:p>
    <w:p w:rsidR="00DA6EB4" w:rsidRPr="005603A8" w:rsidP="005603A8">
      <w:pPr>
        <w:pStyle w:val="ListParagraph"/>
        <w:numPr>
          <w:ilvl w:val="0"/>
          <w:numId w:val="2"/>
        </w:numPr>
        <w:spacing w:before="60" w:after="160" w:line="480" w:lineRule="auto"/>
        <w:rPr>
          <w:rFonts w:ascii="Verdana" w:hAnsi="Verdana" w:cs="Calibri"/>
          <w:color w:val="auto"/>
          <w:sz w:val="24"/>
          <w:szCs w:val="24"/>
        </w:rPr>
      </w:pPr>
      <w:r w:rsidRPr="005603A8">
        <w:rPr>
          <w:rFonts w:ascii="Verdana" w:hAnsi="Verdana" w:cs="Calibri"/>
          <w:color w:val="auto"/>
          <w:sz w:val="24"/>
          <w:szCs w:val="24"/>
        </w:rPr>
        <w:t xml:space="preserve">Property taxation represents the most compelling and immediately tractable case for local fiscal reform, and one that applies to local authorities rather than just MSAs. Council tax is widely acknowledged </w:t>
      </w:r>
      <w:r w:rsidRPr="005603A8">
        <w:rPr>
          <w:rFonts w:ascii="Verdana" w:hAnsi="Verdana" w:cs="Calibri"/>
          <w:color w:val="auto"/>
          <w:sz w:val="24"/>
          <w:szCs w:val="24"/>
        </w:rPr>
        <w:t>as regressive, based on valuations dating to 1991, and politically constrained by referendum requirements that prevent local authorities from responding to changing circumstances. The combination of frozen valuations and referendum caps has progressively detached council tax from any meaningful relationship to property values or local need.</w:t>
      </w:r>
    </w:p>
    <w:p w:rsidR="00DA6EB4" w:rsidRPr="005603A8" w:rsidP="005603A8">
      <w:pPr>
        <w:pStyle w:val="ListParagraph"/>
        <w:numPr>
          <w:ilvl w:val="0"/>
          <w:numId w:val="2"/>
        </w:numPr>
        <w:spacing w:before="60" w:after="160" w:line="480" w:lineRule="auto"/>
        <w:rPr>
          <w:rFonts w:ascii="Verdana" w:hAnsi="Verdana" w:cs="Calibri"/>
          <w:color w:val="auto"/>
          <w:sz w:val="24"/>
          <w:szCs w:val="24"/>
        </w:rPr>
      </w:pPr>
      <w:r w:rsidRPr="005603A8">
        <w:rPr>
          <w:rFonts w:ascii="Verdana" w:hAnsi="Verdana" w:cs="Calibri"/>
          <w:color w:val="auto"/>
          <w:sz w:val="24"/>
          <w:szCs w:val="24"/>
        </w:rPr>
        <w:t>The international evidence is consistent. In Germany, Switzerland, Denmark and Sweden, property or land-value taxes form a substantial component of local revenue and are periodically revalued. Germany's Grundsteuer reform, which came into effect in 2025 following a Federal Constitutional Court ruling that the previous valuation basis was unconstitutional, demonstrates that fundamental property tax reform is achievable even in politically contested environments. A reformed English property tax — periodically</w:t>
      </w:r>
      <w:r w:rsidRPr="005603A8">
        <w:rPr>
          <w:rFonts w:ascii="Verdana" w:hAnsi="Verdana" w:cs="Calibri"/>
          <w:color w:val="auto"/>
          <w:sz w:val="24"/>
          <w:szCs w:val="24"/>
        </w:rPr>
        <w:t xml:space="preserve"> revalued, graduated by value, with appropriate protections for asset-rich but income-poor households, and freed from referendum constraints — would increase local revenue authority at the local authority tier without requiring the complexity of income tax sharing.</w:t>
      </w:r>
    </w:p>
    <w:p w:rsidR="00DA6EB4" w:rsidRPr="005603A8" w:rsidP="005603A8">
      <w:pPr>
        <w:spacing w:before="60" w:after="160" w:line="480" w:lineRule="auto"/>
        <w:rPr>
          <w:rFonts w:ascii="Verdana" w:hAnsi="Verdana" w:cs="Calibri"/>
          <w:b/>
          <w:bCs/>
          <w:color w:val="auto"/>
          <w:sz w:val="24"/>
          <w:szCs w:val="24"/>
        </w:rPr>
      </w:pPr>
      <w:r w:rsidRPr="005603A8">
        <w:rPr>
          <w:rFonts w:ascii="Verdana" w:hAnsi="Verdana" w:cs="Calibri"/>
          <w:b/>
          <w:bCs/>
          <w:color w:val="auto"/>
          <w:sz w:val="24"/>
          <w:szCs w:val="24"/>
        </w:rPr>
        <w:t>Tourism and Visitor Levies</w:t>
      </w:r>
    </w:p>
    <w:p w:rsidR="00DA6EB4" w:rsidRPr="005603A8" w:rsidP="005603A8">
      <w:pPr>
        <w:pStyle w:val="ListParagraph"/>
        <w:numPr>
          <w:ilvl w:val="0"/>
          <w:numId w:val="2"/>
        </w:numPr>
        <w:spacing w:before="60" w:after="160" w:line="480" w:lineRule="auto"/>
        <w:rPr>
          <w:rFonts w:ascii="Verdana" w:hAnsi="Verdana" w:cs="Calibri"/>
          <w:color w:val="auto"/>
          <w:sz w:val="24"/>
          <w:szCs w:val="24"/>
        </w:rPr>
      </w:pPr>
      <w:r w:rsidRPr="005603A8">
        <w:rPr>
          <w:rFonts w:ascii="Verdana" w:hAnsi="Verdana" w:cs="Calibri"/>
          <w:color w:val="auto"/>
          <w:sz w:val="24"/>
          <w:szCs w:val="24"/>
        </w:rPr>
        <w:t xml:space="preserve">Visitor levies are well established across European city-regions — Barcelona, Amsterdam, Paris, Rome and Berlin all operate them — and represent modest but symbolically important additional revenue streams. They are most appropriately levied at the local authority or MSA level depending on the scale of visitor economy, and the power </w:t>
      </w:r>
      <w:r w:rsidRPr="005603A8">
        <w:rPr>
          <w:rFonts w:ascii="Verdana" w:hAnsi="Verdana" w:cs="Calibri"/>
          <w:color w:val="auto"/>
          <w:sz w:val="24"/>
          <w:szCs w:val="24"/>
        </w:rPr>
        <w:t>should be universally available rather than subject to central approval or restricted to specific places.</w:t>
      </w:r>
    </w:p>
    <w:p w:rsidR="00DA6EB4" w:rsidRPr="005603A8" w:rsidP="005603A8">
      <w:pPr>
        <w:spacing w:before="60" w:after="160" w:line="480" w:lineRule="auto"/>
        <w:rPr>
          <w:rFonts w:ascii="Verdana" w:hAnsi="Verdana" w:cs="Calibri"/>
          <w:color w:val="auto"/>
          <w:sz w:val="24"/>
          <w:szCs w:val="24"/>
        </w:rPr>
      </w:pPr>
      <w:r w:rsidRPr="005603A8">
        <w:rPr>
          <w:rFonts w:ascii="Verdana" w:hAnsi="Verdana" w:cs="Calibri"/>
          <w:b/>
          <w:bCs/>
          <w:color w:val="auto"/>
          <w:sz w:val="24"/>
          <w:szCs w:val="24"/>
        </w:rPr>
        <w:t>What Should Not Be Devolved Without Equalisation</w:t>
      </w:r>
    </w:p>
    <w:p w:rsidR="00DA6EB4" w:rsidRPr="005603A8" w:rsidP="005603A8">
      <w:pPr>
        <w:pStyle w:val="ListParagraph"/>
        <w:numPr>
          <w:ilvl w:val="0"/>
          <w:numId w:val="2"/>
        </w:numPr>
        <w:spacing w:before="60" w:after="160" w:line="480" w:lineRule="auto"/>
        <w:rPr>
          <w:rFonts w:ascii="Verdana" w:hAnsi="Verdana" w:cs="Calibri"/>
          <w:b/>
          <w:bCs/>
          <w:color w:val="auto"/>
          <w:sz w:val="24"/>
          <w:szCs w:val="24"/>
        </w:rPr>
      </w:pPr>
      <w:r w:rsidRPr="005603A8">
        <w:rPr>
          <w:rFonts w:ascii="Verdana" w:hAnsi="Verdana" w:cs="Calibri"/>
          <w:color w:val="auto"/>
          <w:sz w:val="24"/>
          <w:szCs w:val="24"/>
        </w:rPr>
        <w:t>Taxes whose revenue is significantly correlated with economic geography should only be devolved within robust equalisation frameworks. Business rates retention has demonstrated this problem domestically: the scheme has created winners and losers in ways that systematically favour already prosperous economies. Any income tax sharing model that creates analogous incentive structures without built-in redistribution risks entrenching the same dynamic at greater scale and higher stakes.</w:t>
      </w:r>
    </w:p>
    <w:p w:rsidR="00DA6EB4" w:rsidRPr="005603A8" w:rsidP="005603A8">
      <w:pPr>
        <w:spacing w:before="60" w:after="160" w:line="480" w:lineRule="auto"/>
        <w:rPr>
          <w:rFonts w:ascii="Verdana" w:hAnsi="Verdana" w:cs="Calibri"/>
          <w:color w:val="auto"/>
          <w:sz w:val="24"/>
          <w:szCs w:val="24"/>
        </w:rPr>
      </w:pPr>
      <w:r w:rsidRPr="005603A8">
        <w:rPr>
          <w:rFonts w:ascii="Verdana" w:hAnsi="Verdana" w:cs="Calibri"/>
          <w:b/>
          <w:bCs/>
          <w:color w:val="auto"/>
          <w:sz w:val="24"/>
          <w:szCs w:val="24"/>
        </w:rPr>
        <w:t>3. The Governance of Fiscal Devolution</w:t>
      </w:r>
    </w:p>
    <w:p w:rsidR="00DA6EB4" w:rsidRPr="005603A8" w:rsidP="005603A8">
      <w:pPr>
        <w:spacing w:line="480" w:lineRule="auto"/>
        <w:rPr>
          <w:rFonts w:ascii="Verdana" w:hAnsi="Verdana" w:cs="Calibri"/>
          <w:b/>
          <w:bCs/>
          <w:color w:val="auto"/>
          <w:sz w:val="24"/>
          <w:szCs w:val="24"/>
        </w:rPr>
      </w:pPr>
      <w:r w:rsidRPr="005603A8">
        <w:rPr>
          <w:rFonts w:ascii="Verdana" w:hAnsi="Verdana" w:cs="Calibri"/>
          <w:b/>
          <w:bCs/>
          <w:color w:val="auto"/>
          <w:sz w:val="24"/>
          <w:szCs w:val="24"/>
        </w:rPr>
        <w:t>What principles should be embedded in the design of fiscal devolution?</w:t>
      </w:r>
    </w:p>
    <w:p w:rsidR="00DA6EB4" w:rsidRPr="005603A8" w:rsidP="005603A8">
      <w:pPr>
        <w:pStyle w:val="ListParagraph"/>
        <w:numPr>
          <w:ilvl w:val="0"/>
          <w:numId w:val="2"/>
        </w:numPr>
        <w:spacing w:before="60" w:after="160" w:line="480" w:lineRule="auto"/>
        <w:rPr>
          <w:rFonts w:ascii="Verdana" w:hAnsi="Verdana" w:cs="Calibri"/>
          <w:color w:val="auto"/>
          <w:sz w:val="24"/>
          <w:szCs w:val="24"/>
        </w:rPr>
      </w:pPr>
      <w:r w:rsidRPr="005603A8">
        <w:rPr>
          <w:rFonts w:ascii="Verdana" w:hAnsi="Verdana" w:cs="Calibri"/>
          <w:color w:val="auto"/>
          <w:sz w:val="24"/>
          <w:szCs w:val="24"/>
        </w:rPr>
        <w:t xml:space="preserve">Drawing on the international evidence, </w:t>
      </w:r>
      <w:r w:rsidRPr="005603A8">
        <w:rPr>
          <w:rFonts w:ascii="Verdana" w:hAnsi="Verdana" w:cs="Calibri"/>
          <w:color w:val="auto"/>
          <w:sz w:val="24"/>
          <w:szCs w:val="24"/>
        </w:rPr>
        <w:t>this submission</w:t>
      </w:r>
      <w:r w:rsidRPr="005603A8">
        <w:rPr>
          <w:rFonts w:ascii="Verdana" w:hAnsi="Verdana" w:cs="Calibri"/>
          <w:color w:val="auto"/>
          <w:sz w:val="24"/>
          <w:szCs w:val="24"/>
        </w:rPr>
        <w:t xml:space="preserve"> identif</w:t>
      </w:r>
      <w:r w:rsidRPr="005603A8">
        <w:rPr>
          <w:rFonts w:ascii="Verdana" w:hAnsi="Verdana" w:cs="Calibri"/>
          <w:color w:val="auto"/>
          <w:sz w:val="24"/>
          <w:szCs w:val="24"/>
        </w:rPr>
        <w:t>ies</w:t>
      </w:r>
      <w:r w:rsidRPr="005603A8">
        <w:rPr>
          <w:rFonts w:ascii="Verdana" w:hAnsi="Verdana" w:cs="Calibri"/>
          <w:color w:val="auto"/>
          <w:sz w:val="24"/>
          <w:szCs w:val="24"/>
        </w:rPr>
        <w:t xml:space="preserve"> five principles as foundational to a well-designed fiscal devolution system.</w:t>
      </w:r>
    </w:p>
    <w:p w:rsidR="00DA6EB4" w:rsidRPr="005603A8" w:rsidP="005603A8">
      <w:pPr>
        <w:pStyle w:val="ListParagraph"/>
        <w:numPr>
          <w:ilvl w:val="0"/>
          <w:numId w:val="2"/>
        </w:numPr>
        <w:spacing w:before="60" w:after="160" w:line="480" w:lineRule="auto"/>
        <w:rPr>
          <w:rFonts w:ascii="Verdana" w:hAnsi="Verdana" w:cs="Calibri"/>
          <w:color w:val="auto"/>
          <w:sz w:val="24"/>
          <w:szCs w:val="24"/>
        </w:rPr>
      </w:pPr>
      <w:r w:rsidRPr="005603A8">
        <w:rPr>
          <w:rFonts w:ascii="Verdana" w:hAnsi="Verdana" w:cs="Calibri"/>
          <w:b/>
          <w:bCs/>
          <w:color w:val="auto"/>
          <w:sz w:val="24"/>
          <w:szCs w:val="24"/>
        </w:rPr>
        <w:t>System coherence</w:t>
      </w:r>
      <w:r w:rsidRPr="005603A8">
        <w:rPr>
          <w:rFonts w:ascii="Verdana" w:hAnsi="Verdana" w:cs="Calibri"/>
          <w:color w:val="auto"/>
          <w:sz w:val="24"/>
          <w:szCs w:val="24"/>
        </w:rPr>
        <w:t xml:space="preserve"> is the most important and the most consistently absent from English policy design. Fiscal redistribution, fiscal stability and fiscal autonomy must be designed as jointly constituted components of a single system, not assembled piecemeal in response to successive failures. The international models that work </w:t>
      </w:r>
      <w:r w:rsidRPr="005603A8">
        <w:rPr>
          <w:rFonts w:ascii="Verdana" w:hAnsi="Verdana" w:cs="Calibri"/>
          <w:color w:val="auto"/>
          <w:sz w:val="24"/>
          <w:szCs w:val="24"/>
        </w:rPr>
        <w:t xml:space="preserve">— Germany's Finanzausgleich, Australia's Commonwealth Grants Commission, Denmark's municipal equalisation framework — share this feature: they treat the system as a whole rather than as a collection of </w:t>
      </w:r>
      <w:r w:rsidRPr="005603A8">
        <w:rPr>
          <w:rFonts w:ascii="Verdana" w:hAnsi="Verdana" w:cs="Calibri"/>
          <w:color w:val="auto"/>
          <w:sz w:val="24"/>
          <w:szCs w:val="24"/>
        </w:rPr>
        <w:t>instruments. England's current landscape — needs assessment, business rates retention, Recovery Grant, ringfenced grants, Exceptional Financial Support — is a palimpsest of interventions each designed to address the most proximate failure. It is not a system.</w:t>
      </w:r>
    </w:p>
    <w:p w:rsidR="00DA6EB4" w:rsidRPr="005603A8" w:rsidP="005603A8">
      <w:pPr>
        <w:pStyle w:val="ListParagraph"/>
        <w:numPr>
          <w:ilvl w:val="0"/>
          <w:numId w:val="2"/>
        </w:numPr>
        <w:spacing w:before="60" w:after="160" w:line="480" w:lineRule="auto"/>
        <w:rPr>
          <w:rFonts w:ascii="Verdana" w:hAnsi="Verdana" w:cs="Calibri"/>
          <w:color w:val="auto"/>
          <w:sz w:val="24"/>
          <w:szCs w:val="24"/>
        </w:rPr>
      </w:pPr>
      <w:r w:rsidRPr="005603A8">
        <w:rPr>
          <w:rFonts w:ascii="Verdana" w:hAnsi="Verdana" w:cs="Calibri"/>
          <w:b/>
          <w:bCs/>
          <w:color w:val="auto"/>
          <w:sz w:val="24"/>
          <w:szCs w:val="24"/>
        </w:rPr>
        <w:t>Adequacy</w:t>
      </w:r>
      <w:r w:rsidRPr="005603A8">
        <w:rPr>
          <w:rFonts w:ascii="Verdana" w:hAnsi="Verdana" w:cs="Calibri"/>
          <w:color w:val="auto"/>
          <w:sz w:val="24"/>
          <w:szCs w:val="24"/>
        </w:rPr>
        <w:t xml:space="preserve"> must be treated as a precondition rather than an aspiration. Fiscal devolution that distributes insufficient resources more efficiently, or that extends autonomy over a depleted revenue base, does not produce fiscal resilience. It produces devolved insufficiency. The funding gap facing English local government is a structural problem that fiscal devolution alone cannot resolve.</w:t>
      </w:r>
    </w:p>
    <w:p w:rsidR="00DA6EB4" w:rsidRPr="005603A8" w:rsidP="005603A8">
      <w:pPr>
        <w:pStyle w:val="ListParagraph"/>
        <w:numPr>
          <w:ilvl w:val="0"/>
          <w:numId w:val="2"/>
        </w:numPr>
        <w:spacing w:before="60" w:after="160" w:line="480" w:lineRule="auto"/>
        <w:rPr>
          <w:rFonts w:ascii="Verdana" w:hAnsi="Verdana" w:cs="Calibri"/>
          <w:color w:val="auto"/>
          <w:sz w:val="24"/>
          <w:szCs w:val="24"/>
        </w:rPr>
      </w:pPr>
      <w:r w:rsidRPr="005603A8">
        <w:rPr>
          <w:rFonts w:ascii="Verdana" w:hAnsi="Verdana" w:cs="Calibri"/>
          <w:b/>
          <w:bCs/>
          <w:color w:val="auto"/>
          <w:sz w:val="24"/>
          <w:szCs w:val="24"/>
        </w:rPr>
        <w:t>Equalisation</w:t>
      </w:r>
      <w:r w:rsidRPr="005603A8">
        <w:rPr>
          <w:rFonts w:ascii="Verdana" w:hAnsi="Verdana" w:cs="Calibri"/>
          <w:color w:val="auto"/>
          <w:sz w:val="24"/>
          <w:szCs w:val="24"/>
        </w:rPr>
        <w:t xml:space="preserve"> must be built into the architecture from the outset, not added as a corrective measure after the primary fiscal flows have been established. The design principle — that fiscal autonomy and redistribution are jointly designed rather than sequentially introduced — is</w:t>
      </w:r>
      <w:r w:rsidRPr="005603A8">
        <w:rPr>
          <w:rFonts w:ascii="Verdana" w:hAnsi="Verdana" w:cs="Calibri"/>
          <w:color w:val="auto"/>
          <w:sz w:val="24"/>
          <w:szCs w:val="24"/>
        </w:rPr>
        <w:t xml:space="preserve">, arguably, </w:t>
      </w:r>
      <w:r w:rsidRPr="005603A8">
        <w:rPr>
          <w:rFonts w:ascii="Verdana" w:hAnsi="Verdana" w:cs="Calibri"/>
          <w:color w:val="auto"/>
          <w:sz w:val="24"/>
          <w:szCs w:val="24"/>
        </w:rPr>
        <w:t>the single most important lesson from international comparators.</w:t>
      </w:r>
    </w:p>
    <w:p w:rsidR="00DA6EB4" w:rsidRPr="005603A8" w:rsidP="005603A8">
      <w:pPr>
        <w:pStyle w:val="ListParagraph"/>
        <w:numPr>
          <w:ilvl w:val="0"/>
          <w:numId w:val="2"/>
        </w:numPr>
        <w:spacing w:before="60" w:after="160" w:line="480" w:lineRule="auto"/>
        <w:rPr>
          <w:rFonts w:ascii="Verdana" w:hAnsi="Verdana" w:cs="Calibri"/>
          <w:color w:val="auto"/>
          <w:sz w:val="24"/>
          <w:szCs w:val="24"/>
        </w:rPr>
      </w:pPr>
      <w:r w:rsidRPr="005603A8">
        <w:rPr>
          <w:rFonts w:ascii="Verdana" w:hAnsi="Verdana" w:cs="Calibri"/>
          <w:b/>
          <w:bCs/>
          <w:color w:val="auto"/>
          <w:sz w:val="24"/>
          <w:szCs w:val="24"/>
        </w:rPr>
        <w:t>Transparency and democratic accountability</w:t>
      </w:r>
      <w:r w:rsidRPr="005603A8">
        <w:rPr>
          <w:rFonts w:ascii="Verdana" w:hAnsi="Verdana" w:cs="Calibri"/>
          <w:color w:val="auto"/>
          <w:sz w:val="24"/>
          <w:szCs w:val="24"/>
        </w:rPr>
        <w:t xml:space="preserve"> are prerequisites for public legitimacy. </w:t>
      </w:r>
      <w:r w:rsidRPr="005603A8">
        <w:rPr>
          <w:rFonts w:ascii="Verdana" w:hAnsi="Verdana" w:cs="Calibri"/>
          <w:color w:val="auto"/>
          <w:sz w:val="24"/>
          <w:szCs w:val="24"/>
        </w:rPr>
        <w:t xml:space="preserve">Sweden offers a useful reference point for what citizen-facing local fiscal accountability can look like in practice. </w:t>
      </w:r>
      <w:r w:rsidRPr="005603A8">
        <w:rPr>
          <w:rFonts w:ascii="Verdana" w:hAnsi="Verdana" w:cs="Calibri"/>
          <w:color w:val="auto"/>
          <w:sz w:val="24"/>
          <w:szCs w:val="24"/>
        </w:rPr>
        <w:t>Swedish municipalities set their own income tax rates on a common nationally defined tax base, and rates vary meaningfully across the country — by several percentage points in practice — reflecting genuine local fiscal choices that feature in municipal election debates and connect taxation decisions directly to service priorities. That variation oper</w:t>
      </w:r>
      <w:r w:rsidRPr="005603A8">
        <w:rPr>
          <w:rFonts w:ascii="Verdana" w:hAnsi="Verdana" w:cs="Calibri"/>
          <w:color w:val="auto"/>
          <w:sz w:val="24"/>
          <w:szCs w:val="24"/>
        </w:rPr>
        <w:t>ates within a robust national equalisation system that ensures municipalities with lower tax bases are not simply left with less revenue, so local rate-setting does not produce the kind of stark fiscal inequality that unequalised autonomy would generate.</w:t>
      </w:r>
    </w:p>
    <w:p w:rsidR="00DA6EB4" w:rsidRPr="005603A8" w:rsidP="005603A8">
      <w:pPr>
        <w:pStyle w:val="ListParagraph"/>
        <w:numPr>
          <w:ilvl w:val="0"/>
          <w:numId w:val="2"/>
        </w:numPr>
        <w:spacing w:before="60" w:after="160" w:line="480" w:lineRule="auto"/>
        <w:rPr>
          <w:rFonts w:ascii="Verdana" w:hAnsi="Verdana" w:cs="Calibri"/>
          <w:color w:val="auto"/>
          <w:sz w:val="24"/>
          <w:szCs w:val="24"/>
        </w:rPr>
      </w:pPr>
      <w:r w:rsidRPr="005603A8">
        <w:rPr>
          <w:rFonts w:ascii="Verdana" w:hAnsi="Verdana" w:cs="Calibri"/>
          <w:b/>
          <w:bCs/>
          <w:color w:val="auto"/>
          <w:sz w:val="24"/>
          <w:szCs w:val="24"/>
        </w:rPr>
        <w:t>Intergovernmental reciprocity</w:t>
      </w:r>
      <w:r w:rsidRPr="005603A8">
        <w:rPr>
          <w:rFonts w:ascii="Verdana" w:hAnsi="Verdana" w:cs="Calibri"/>
          <w:color w:val="auto"/>
          <w:sz w:val="24"/>
          <w:szCs w:val="24"/>
        </w:rPr>
        <w:t xml:space="preserve"> — the principle that fiscal arrangements are negotiated rather than imposed — underpins the durability of fiscal settlements in comparable democracies. The Verity House Agreement</w:t>
      </w:r>
      <w:r w:rsidRPr="005603A8">
        <w:rPr>
          <w:rFonts w:ascii="Verdana" w:hAnsi="Verdana" w:cs="Calibri"/>
          <w:color w:val="auto"/>
          <w:sz w:val="24"/>
          <w:szCs w:val="24"/>
        </w:rPr>
        <w:t xml:space="preserve"> in Scotland</w:t>
      </w:r>
      <w:r w:rsidRPr="005603A8">
        <w:rPr>
          <w:rFonts w:ascii="Verdana" w:hAnsi="Verdana" w:cs="Calibri"/>
          <w:color w:val="auto"/>
          <w:sz w:val="24"/>
          <w:szCs w:val="24"/>
        </w:rPr>
        <w:t>, although only a memorandum of understanding,</w:t>
      </w:r>
      <w:r w:rsidRPr="005603A8">
        <w:rPr>
          <w:rFonts w:ascii="Verdana" w:hAnsi="Verdana" w:cs="Calibri"/>
          <w:color w:val="auto"/>
          <w:sz w:val="24"/>
          <w:szCs w:val="24"/>
        </w:rPr>
        <w:t xml:space="preserve"> provides a recent domestic example. Germany's Bundesrat gives Länder formal legislative standing in fiscal matters. In each case, the legitimacy of fiscal arrangements derives partly from the process through which they were reached.</w:t>
      </w:r>
    </w:p>
    <w:p w:rsidR="00DA6EB4" w:rsidRPr="005603A8" w:rsidP="005603A8">
      <w:pPr>
        <w:spacing w:line="480" w:lineRule="auto"/>
        <w:rPr>
          <w:rFonts w:ascii="Verdana" w:hAnsi="Verdana" w:cs="Calibri"/>
          <w:b/>
          <w:bCs/>
          <w:color w:val="auto"/>
          <w:sz w:val="24"/>
          <w:szCs w:val="24"/>
        </w:rPr>
      </w:pPr>
      <w:r w:rsidRPr="005603A8">
        <w:rPr>
          <w:rFonts w:ascii="Verdana" w:hAnsi="Verdana" w:cs="Calibri"/>
          <w:b/>
          <w:bCs/>
          <w:color w:val="auto"/>
          <w:sz w:val="24"/>
          <w:szCs w:val="24"/>
        </w:rPr>
        <w:t>Should the UK Government redistribute some or all of the additional revenue places raise as a result of fiscal devolution, and if so, which redistribution mechanisms or safeguards are needed?</w:t>
      </w:r>
    </w:p>
    <w:p w:rsidR="00DA6EB4" w:rsidRPr="005603A8" w:rsidP="005603A8">
      <w:pPr>
        <w:pStyle w:val="ListParagraph"/>
        <w:numPr>
          <w:ilvl w:val="0"/>
          <w:numId w:val="2"/>
        </w:numPr>
        <w:spacing w:before="60" w:after="160" w:line="480" w:lineRule="auto"/>
        <w:rPr>
          <w:rFonts w:ascii="Verdana" w:hAnsi="Verdana" w:cs="Calibri"/>
          <w:color w:val="auto"/>
          <w:sz w:val="24"/>
          <w:szCs w:val="24"/>
        </w:rPr>
      </w:pPr>
      <w:r w:rsidRPr="005603A8">
        <w:rPr>
          <w:rFonts w:ascii="Verdana" w:hAnsi="Verdana" w:cs="Calibri"/>
          <w:color w:val="auto"/>
          <w:sz w:val="24"/>
          <w:szCs w:val="24"/>
        </w:rPr>
        <w:t xml:space="preserve">Yes — and the design of redistribution mechanisms is as important as the design of the devolution itself. The international evidence is clear on this point: no well-functioning fiscal devolution system </w:t>
      </w:r>
      <w:r w:rsidRPr="005603A8">
        <w:rPr>
          <w:rFonts w:ascii="Verdana" w:hAnsi="Verdana" w:cs="Calibri"/>
          <w:color w:val="auto"/>
          <w:sz w:val="24"/>
          <w:szCs w:val="24"/>
        </w:rPr>
        <w:t>operates without a parallel equalisation mechanism. The question is not whether to redistribute but how.</w:t>
      </w:r>
      <w:r w:rsidRPr="005603A8">
        <w:rPr>
          <w:rFonts w:ascii="Verdana" w:hAnsi="Verdana" w:cs="Calibri"/>
          <w:color w:val="auto"/>
          <w:sz w:val="24"/>
          <w:szCs w:val="24"/>
        </w:rPr>
        <w:t xml:space="preserve"> This is the central tension in devolution, between </w:t>
      </w:r>
      <w:r w:rsidRPr="005603A8">
        <w:rPr>
          <w:rFonts w:ascii="Verdana" w:hAnsi="Verdana" w:cs="Calibri"/>
          <w:color w:val="auto"/>
          <w:sz w:val="24"/>
          <w:szCs w:val="24"/>
        </w:rPr>
        <w:t xml:space="preserve">local growth and redistribution. </w:t>
      </w:r>
    </w:p>
    <w:p w:rsidR="00DA6EB4" w:rsidRPr="005603A8" w:rsidP="005603A8">
      <w:pPr>
        <w:pStyle w:val="ListParagraph"/>
        <w:numPr>
          <w:ilvl w:val="0"/>
          <w:numId w:val="2"/>
        </w:numPr>
        <w:spacing w:before="60" w:after="160" w:line="480" w:lineRule="auto"/>
        <w:rPr>
          <w:rFonts w:ascii="Verdana" w:hAnsi="Verdana" w:cs="Calibri"/>
          <w:color w:val="auto"/>
          <w:sz w:val="24"/>
          <w:szCs w:val="24"/>
        </w:rPr>
      </w:pPr>
      <w:r w:rsidRPr="005603A8">
        <w:rPr>
          <w:rFonts w:ascii="Verdana" w:hAnsi="Verdana" w:cs="Calibri"/>
          <w:color w:val="auto"/>
          <w:sz w:val="24"/>
          <w:szCs w:val="24"/>
        </w:rPr>
        <w:t xml:space="preserve">The Australian Commonwealth Grants Commission provides </w:t>
      </w:r>
      <w:r w:rsidRPr="005603A8">
        <w:rPr>
          <w:rFonts w:ascii="Verdana" w:hAnsi="Verdana" w:cs="Calibri"/>
          <w:color w:val="auto"/>
          <w:sz w:val="24"/>
          <w:szCs w:val="24"/>
        </w:rPr>
        <w:t xml:space="preserve">a </w:t>
      </w:r>
      <w:r w:rsidRPr="005603A8">
        <w:rPr>
          <w:rFonts w:ascii="Verdana" w:hAnsi="Verdana" w:cs="Calibri"/>
          <w:color w:val="auto"/>
          <w:sz w:val="24"/>
          <w:szCs w:val="24"/>
        </w:rPr>
        <w:t>developed model of independent, transparent redistribution. The CGC calculates each state's fiscal capacity relative to a national average and recommends a distribution of GST revenues that ensures all states can deliver comparable service standards at comparable tax effort. The mechanism is</w:t>
      </w:r>
      <w:r w:rsidRPr="005603A8">
        <w:rPr>
          <w:rFonts w:ascii="Verdana" w:hAnsi="Verdana" w:cs="Calibri"/>
          <w:color w:val="auto"/>
          <w:sz w:val="24"/>
          <w:szCs w:val="24"/>
        </w:rPr>
        <w:t>, at least in part,</w:t>
      </w:r>
      <w:r w:rsidRPr="005603A8">
        <w:rPr>
          <w:rFonts w:ascii="Verdana" w:hAnsi="Verdana" w:cs="Calibri"/>
          <w:color w:val="auto"/>
          <w:sz w:val="24"/>
          <w:szCs w:val="24"/>
        </w:rPr>
        <w:t xml:space="preserve"> independently administered, published in detail, updated regularly, and not subject to direct ministerial override. It does not prevent states from exercising fiscal autonomy — it ensures that auton</w:t>
      </w:r>
      <w:r w:rsidRPr="005603A8">
        <w:rPr>
          <w:rFonts w:ascii="Verdana" w:hAnsi="Verdana" w:cs="Calibri"/>
          <w:color w:val="auto"/>
          <w:sz w:val="24"/>
          <w:szCs w:val="24"/>
        </w:rPr>
        <w:t>omy is not the sole determinant of adequacy.</w:t>
      </w:r>
      <w:r w:rsidRPr="005603A8">
        <w:rPr>
          <w:rFonts w:ascii="Verdana" w:hAnsi="Verdana" w:cs="Calibri"/>
          <w:color w:val="auto"/>
          <w:sz w:val="24"/>
          <w:szCs w:val="24"/>
        </w:rPr>
        <w:t xml:space="preserve"> Even in this </w:t>
      </w:r>
      <w:r w:rsidRPr="005603A8">
        <w:rPr>
          <w:rFonts w:ascii="Verdana" w:hAnsi="Verdana" w:cs="Calibri"/>
          <w:color w:val="auto"/>
          <w:sz w:val="24"/>
          <w:szCs w:val="24"/>
        </w:rPr>
        <w:t xml:space="preserve">system, while the system of equalisation is relatively mature the quantity of finance in the system is increasingly questioned. </w:t>
      </w:r>
    </w:p>
    <w:p w:rsidR="00DA6EB4" w:rsidRPr="005603A8" w:rsidP="005603A8">
      <w:pPr>
        <w:pStyle w:val="ListParagraph"/>
        <w:numPr>
          <w:ilvl w:val="0"/>
          <w:numId w:val="2"/>
        </w:numPr>
        <w:spacing w:before="60" w:after="160" w:line="480" w:lineRule="auto"/>
        <w:rPr>
          <w:rFonts w:ascii="Verdana" w:hAnsi="Verdana" w:cs="Calibri"/>
          <w:color w:val="auto"/>
          <w:sz w:val="24"/>
          <w:szCs w:val="24"/>
        </w:rPr>
      </w:pPr>
      <w:r w:rsidRPr="005603A8">
        <w:rPr>
          <w:rFonts w:ascii="Verdana" w:hAnsi="Verdana" w:cs="Calibri"/>
          <w:color w:val="auto"/>
          <w:sz w:val="24"/>
          <w:szCs w:val="24"/>
        </w:rPr>
        <w:t>Germany's Länderfinanzausgleich provides a comparable model for a non-federal context — though it should be noted that the system has been subject to significant constitutional litigation and periodic reform, and its design reflects decades of negotiation between levels of government. The principle — that a share of nationally collected revenues is redistributed to ensure broadly comparable per-capita resources across all localities — is directly applicable to England.</w:t>
      </w:r>
    </w:p>
    <w:p w:rsidR="00DA6EB4" w:rsidRPr="005603A8" w:rsidP="005603A8">
      <w:pPr>
        <w:pStyle w:val="ListParagraph"/>
        <w:numPr>
          <w:ilvl w:val="0"/>
          <w:numId w:val="2"/>
        </w:numPr>
        <w:spacing w:before="60" w:after="160" w:line="480" w:lineRule="auto"/>
        <w:rPr>
          <w:rFonts w:ascii="Verdana" w:hAnsi="Verdana" w:cs="Calibri"/>
          <w:color w:val="auto"/>
          <w:sz w:val="24"/>
          <w:szCs w:val="24"/>
        </w:rPr>
      </w:pPr>
      <w:r w:rsidRPr="005603A8">
        <w:rPr>
          <w:rFonts w:ascii="Verdana" w:hAnsi="Verdana" w:cs="Calibri"/>
          <w:color w:val="auto"/>
          <w:sz w:val="24"/>
          <w:szCs w:val="24"/>
        </w:rPr>
        <w:t>Denmark and Sweden both operate formula-driven equalisation systems embedded in statute and negotiated through strong local government associations (KL in Denmark, SKR in Sweden) rather than unilaterally imposed by central government. The statutory basis provides stability; the negotiated process provides legitimacy. Both elements are necessary.</w:t>
      </w:r>
    </w:p>
    <w:p w:rsidR="00DA6EB4" w:rsidRPr="005603A8" w:rsidP="005603A8">
      <w:pPr>
        <w:pStyle w:val="ListParagraph"/>
        <w:numPr>
          <w:ilvl w:val="0"/>
          <w:numId w:val="2"/>
        </w:numPr>
        <w:spacing w:before="60" w:after="160" w:line="480" w:lineRule="auto"/>
        <w:rPr>
          <w:rFonts w:ascii="Verdana" w:hAnsi="Verdana" w:cs="Calibri"/>
          <w:color w:val="auto"/>
          <w:sz w:val="24"/>
          <w:szCs w:val="24"/>
        </w:rPr>
      </w:pPr>
      <w:r w:rsidRPr="005603A8">
        <w:rPr>
          <w:rFonts w:ascii="Verdana" w:hAnsi="Verdana" w:cs="Calibri"/>
          <w:color w:val="auto"/>
          <w:sz w:val="24"/>
          <w:szCs w:val="24"/>
        </w:rPr>
        <w:t xml:space="preserve">For England, the redistribution mechanism </w:t>
      </w:r>
      <w:r w:rsidRPr="005603A8">
        <w:rPr>
          <w:rFonts w:ascii="Verdana" w:hAnsi="Verdana" w:cs="Calibri"/>
          <w:color w:val="auto"/>
          <w:sz w:val="24"/>
          <w:szCs w:val="24"/>
        </w:rPr>
        <w:t xml:space="preserve">in ideal circumstances </w:t>
      </w:r>
      <w:r w:rsidRPr="005603A8">
        <w:rPr>
          <w:rFonts w:ascii="Verdana" w:hAnsi="Verdana" w:cs="Calibri"/>
          <w:color w:val="auto"/>
          <w:sz w:val="24"/>
          <w:szCs w:val="24"/>
        </w:rPr>
        <w:t xml:space="preserve">should </w:t>
      </w:r>
      <w:r w:rsidRPr="005603A8">
        <w:rPr>
          <w:rFonts w:ascii="Verdana" w:hAnsi="Verdana" w:cs="Calibri"/>
          <w:color w:val="auto"/>
          <w:sz w:val="24"/>
          <w:szCs w:val="24"/>
        </w:rPr>
        <w:t>be:</w:t>
      </w:r>
      <w:r w:rsidRPr="005603A8">
        <w:rPr>
          <w:rFonts w:ascii="Verdana" w:hAnsi="Verdana" w:cs="Calibri"/>
          <w:color w:val="auto"/>
          <w:sz w:val="24"/>
          <w:szCs w:val="24"/>
        </w:rPr>
        <w:t xml:space="preserve"> formula-driven rather than discretionary; independently calculated rather than ministerially controlled; updated regularly to reflect changes in fiscal capacity and need; and applicable to all tiers of sub-national government, not only MSAs. </w:t>
      </w:r>
      <w:r w:rsidRPr="005603A8">
        <w:rPr>
          <w:rFonts w:ascii="Verdana" w:hAnsi="Verdana" w:cs="Calibri"/>
          <w:color w:val="auto"/>
          <w:sz w:val="24"/>
          <w:szCs w:val="24"/>
        </w:rPr>
        <w:t>A</w:t>
      </w:r>
      <w:r w:rsidRPr="005603A8">
        <w:rPr>
          <w:rFonts w:ascii="Verdana" w:hAnsi="Verdana" w:cs="Calibri"/>
          <w:color w:val="auto"/>
          <w:sz w:val="24"/>
          <w:szCs w:val="24"/>
        </w:rPr>
        <w:t xml:space="preserve"> standing </w:t>
      </w:r>
      <w:r w:rsidRPr="005603A8">
        <w:rPr>
          <w:rFonts w:ascii="Verdana" w:hAnsi="Verdana" w:cs="Calibri"/>
          <w:color w:val="auto"/>
          <w:sz w:val="24"/>
          <w:szCs w:val="24"/>
        </w:rPr>
        <w:t>commission</w:t>
      </w:r>
      <w:r w:rsidRPr="005603A8">
        <w:rPr>
          <w:rFonts w:ascii="Verdana" w:hAnsi="Verdana" w:cs="Calibri"/>
          <w:color w:val="auto"/>
          <w:sz w:val="24"/>
          <w:szCs w:val="24"/>
        </w:rPr>
        <w:t xml:space="preserve"> — encompassing all tiers, independently chaired, with a formal role in needs assessment, equalisation design, and fiscal dispute resolution — remains the </w:t>
      </w:r>
      <w:r w:rsidRPr="005603A8">
        <w:rPr>
          <w:rFonts w:ascii="Verdana" w:hAnsi="Verdana" w:cs="Calibri"/>
          <w:color w:val="auto"/>
          <w:sz w:val="24"/>
          <w:szCs w:val="24"/>
        </w:rPr>
        <w:t>most developed</w:t>
      </w:r>
      <w:r w:rsidRPr="005603A8">
        <w:rPr>
          <w:rFonts w:ascii="Verdana" w:hAnsi="Verdana" w:cs="Calibri"/>
          <w:color w:val="auto"/>
          <w:sz w:val="24"/>
          <w:szCs w:val="24"/>
        </w:rPr>
        <w:t xml:space="preserve"> institutional vehicle for this function.</w:t>
      </w:r>
    </w:p>
    <w:p w:rsidR="00DA6EB4" w:rsidRPr="005603A8" w:rsidP="005603A8">
      <w:pPr>
        <w:spacing w:line="480" w:lineRule="auto"/>
        <w:rPr>
          <w:rFonts w:ascii="Verdana" w:hAnsi="Verdana" w:cs="Calibri"/>
          <w:b/>
          <w:bCs/>
          <w:color w:val="auto"/>
          <w:sz w:val="24"/>
          <w:szCs w:val="24"/>
        </w:rPr>
      </w:pPr>
      <w:r w:rsidRPr="005603A8">
        <w:rPr>
          <w:rFonts w:ascii="Verdana" w:hAnsi="Verdana" w:cs="Calibri"/>
          <w:b/>
          <w:bCs/>
          <w:color w:val="auto"/>
          <w:sz w:val="24"/>
          <w:szCs w:val="24"/>
        </w:rPr>
        <w:t>What should the respective roles of central government, combined authorities, local authorities and communities be in governing fiscal devolution?</w:t>
      </w:r>
    </w:p>
    <w:p w:rsidR="00DA6EB4" w:rsidRPr="005603A8" w:rsidP="005603A8">
      <w:pPr>
        <w:pStyle w:val="ListParagraph"/>
        <w:numPr>
          <w:ilvl w:val="0"/>
          <w:numId w:val="2"/>
        </w:numPr>
        <w:spacing w:before="60" w:after="160" w:line="480" w:lineRule="auto"/>
        <w:rPr>
          <w:rFonts w:ascii="Verdana" w:hAnsi="Verdana" w:cs="Calibri"/>
          <w:color w:val="auto"/>
          <w:sz w:val="24"/>
          <w:szCs w:val="24"/>
        </w:rPr>
      </w:pPr>
      <w:r w:rsidRPr="005603A8">
        <w:rPr>
          <w:rFonts w:ascii="Verdana" w:hAnsi="Verdana" w:cs="Calibri"/>
          <w:color w:val="auto"/>
          <w:sz w:val="24"/>
          <w:szCs w:val="24"/>
        </w:rPr>
        <w:t>The international evidence provides reasonably clear guidance for each tier, and the distinction between them is both more important and less observed in England than it should be.</w:t>
      </w:r>
    </w:p>
    <w:p w:rsidR="00DA6EB4" w:rsidRPr="005603A8" w:rsidP="005603A8">
      <w:pPr>
        <w:pStyle w:val="ListParagraph"/>
        <w:numPr>
          <w:ilvl w:val="0"/>
          <w:numId w:val="2"/>
        </w:numPr>
        <w:spacing w:before="60" w:after="160" w:line="480" w:lineRule="auto"/>
        <w:rPr>
          <w:rFonts w:ascii="Verdana" w:hAnsi="Verdana" w:cs="Calibri"/>
          <w:color w:val="auto"/>
          <w:sz w:val="24"/>
          <w:szCs w:val="24"/>
        </w:rPr>
      </w:pPr>
      <w:r w:rsidRPr="005603A8">
        <w:rPr>
          <w:rFonts w:ascii="Verdana" w:hAnsi="Verdana" w:cs="Calibri"/>
          <w:b/>
          <w:bCs/>
          <w:color w:val="auto"/>
          <w:sz w:val="24"/>
          <w:szCs w:val="24"/>
        </w:rPr>
        <w:t>Central government's</w:t>
      </w:r>
      <w:r w:rsidRPr="005603A8">
        <w:rPr>
          <w:rFonts w:ascii="Verdana" w:hAnsi="Verdana" w:cs="Calibri"/>
          <w:color w:val="auto"/>
          <w:sz w:val="24"/>
          <w:szCs w:val="24"/>
        </w:rPr>
        <w:t xml:space="preserve"> role is as guarantor of the system — setting the fiscal constitution</w:t>
      </w:r>
      <w:r w:rsidRPr="005603A8">
        <w:rPr>
          <w:rFonts w:ascii="Verdana" w:hAnsi="Verdana" w:cs="Calibri"/>
          <w:color w:val="auto"/>
          <w:sz w:val="24"/>
          <w:szCs w:val="24"/>
        </w:rPr>
        <w:t xml:space="preserve"> (or equivalent)</w:t>
      </w:r>
      <w:r w:rsidRPr="005603A8">
        <w:rPr>
          <w:rFonts w:ascii="Verdana" w:hAnsi="Verdana" w:cs="Calibri"/>
          <w:color w:val="auto"/>
          <w:sz w:val="24"/>
          <w:szCs w:val="24"/>
        </w:rPr>
        <w:t xml:space="preserve">, administering national equalisation, establishing the </w:t>
      </w:r>
      <w:r w:rsidRPr="005603A8">
        <w:rPr>
          <w:rFonts w:ascii="Verdana" w:hAnsi="Verdana" w:cs="Calibri"/>
          <w:color w:val="auto"/>
          <w:sz w:val="24"/>
          <w:szCs w:val="24"/>
        </w:rPr>
        <w:t xml:space="preserve">relative </w:t>
      </w:r>
      <w:r w:rsidRPr="005603A8">
        <w:rPr>
          <w:rFonts w:ascii="Verdana" w:hAnsi="Verdana" w:cs="Calibri"/>
          <w:color w:val="auto"/>
          <w:sz w:val="24"/>
          <w:szCs w:val="24"/>
        </w:rPr>
        <w:t xml:space="preserve">needs assessment framework, </w:t>
      </w:r>
      <w:r w:rsidRPr="005603A8">
        <w:rPr>
          <w:rFonts w:ascii="Verdana" w:hAnsi="Verdana" w:cs="Calibri"/>
          <w:color w:val="auto"/>
          <w:sz w:val="24"/>
          <w:szCs w:val="24"/>
        </w:rPr>
        <w:t xml:space="preserve">and providing independent arbitration when disputes arise between tiers. This is the model in Germany, where the Federal Government and Bundesrat share responsibility for the Finanzausgleich, and in Australia, where the Commonwealth Government administers GST distribution on the independent advice of the CGC. In both cases, central </w:t>
      </w:r>
      <w:r w:rsidRPr="005603A8">
        <w:rPr>
          <w:rFonts w:ascii="Verdana" w:hAnsi="Verdana" w:cs="Calibri"/>
          <w:color w:val="auto"/>
          <w:sz w:val="24"/>
          <w:szCs w:val="24"/>
        </w:rPr>
        <w:t xml:space="preserve">government sets the rules </w:t>
      </w:r>
      <w:r w:rsidRPr="005603A8">
        <w:rPr>
          <w:rFonts w:ascii="Verdana" w:hAnsi="Verdana" w:cs="Calibri"/>
          <w:color w:val="auto"/>
          <w:sz w:val="24"/>
          <w:szCs w:val="24"/>
        </w:rPr>
        <w:t xml:space="preserve">and parameters </w:t>
      </w:r>
      <w:r w:rsidRPr="005603A8">
        <w:rPr>
          <w:rFonts w:ascii="Verdana" w:hAnsi="Verdana" w:cs="Calibri"/>
          <w:color w:val="auto"/>
          <w:sz w:val="24"/>
          <w:szCs w:val="24"/>
        </w:rPr>
        <w:t xml:space="preserve">but does not operationally control local fiscal decisions. In England, by contrast, </w:t>
      </w:r>
      <w:r w:rsidRPr="005603A8">
        <w:rPr>
          <w:rFonts w:ascii="Verdana" w:hAnsi="Verdana" w:cs="Calibri"/>
          <w:color w:val="auto"/>
          <w:sz w:val="24"/>
          <w:szCs w:val="24"/>
        </w:rPr>
        <w:t xml:space="preserve">central government </w:t>
      </w:r>
      <w:r w:rsidRPr="005603A8">
        <w:rPr>
          <w:rFonts w:ascii="Verdana" w:hAnsi="Verdana" w:cs="Calibri"/>
          <w:color w:val="auto"/>
          <w:sz w:val="24"/>
          <w:szCs w:val="24"/>
        </w:rPr>
        <w:t xml:space="preserve">retain close operational control over local authority spending through grant conditions, referendum principles and borrowing limits — an enduring culture of financial tutelage rather than a mature intergovernmental settlement. </w:t>
      </w:r>
      <w:r w:rsidRPr="005603A8">
        <w:rPr>
          <w:rFonts w:ascii="Verdana" w:hAnsi="Verdana" w:cs="Calibri"/>
          <w:color w:val="auto"/>
          <w:sz w:val="24"/>
          <w:szCs w:val="24"/>
        </w:rPr>
        <w:t>A suggested</w:t>
      </w:r>
      <w:r w:rsidRPr="005603A8">
        <w:rPr>
          <w:rFonts w:ascii="Verdana" w:hAnsi="Verdana" w:cs="Calibri"/>
          <w:color w:val="auto"/>
          <w:sz w:val="24"/>
          <w:szCs w:val="24"/>
        </w:rPr>
        <w:t xml:space="preserve"> direction of travel is toward a central government role that is lighter in operational prescription but more robust in constituti</w:t>
      </w:r>
      <w:r w:rsidRPr="005603A8">
        <w:rPr>
          <w:rFonts w:ascii="Verdana" w:hAnsi="Verdana" w:cs="Calibri"/>
          <w:color w:val="auto"/>
          <w:sz w:val="24"/>
          <w:szCs w:val="24"/>
        </w:rPr>
        <w:t>onal guarantee.</w:t>
      </w:r>
    </w:p>
    <w:p w:rsidR="00DA6EB4" w:rsidRPr="005603A8" w:rsidP="005603A8">
      <w:pPr>
        <w:pStyle w:val="ListParagraph"/>
        <w:numPr>
          <w:ilvl w:val="0"/>
          <w:numId w:val="2"/>
        </w:numPr>
        <w:spacing w:before="60" w:after="160" w:line="480" w:lineRule="auto"/>
        <w:rPr>
          <w:rFonts w:ascii="Verdana" w:hAnsi="Verdana" w:cs="Calibri"/>
          <w:color w:val="auto"/>
          <w:sz w:val="24"/>
          <w:szCs w:val="24"/>
        </w:rPr>
      </w:pPr>
      <w:r w:rsidRPr="005603A8">
        <w:rPr>
          <w:rFonts w:ascii="Verdana" w:hAnsi="Verdana" w:cs="Calibri"/>
          <w:b/>
          <w:bCs/>
          <w:color w:val="auto"/>
          <w:sz w:val="24"/>
          <w:szCs w:val="24"/>
        </w:rPr>
        <w:t>MSAs</w:t>
      </w:r>
      <w:r w:rsidRPr="005603A8">
        <w:rPr>
          <w:rFonts w:ascii="Verdana" w:hAnsi="Verdana" w:cs="Calibri"/>
          <w:color w:val="auto"/>
          <w:sz w:val="24"/>
          <w:szCs w:val="24"/>
        </w:rPr>
        <w:t xml:space="preserve"> occupy the intermediate tier, and their role in fiscal devolution should be purposively defined as strategic economic governance — spatial planning, transport, housing, skills and inward investment — rather than service delivery. MSAs are appropriately financed through growth-related revenues, </w:t>
      </w:r>
      <w:r w:rsidRPr="005603A8">
        <w:rPr>
          <w:rFonts w:ascii="Verdana" w:hAnsi="Verdana" w:cs="Calibri"/>
          <w:color w:val="auto"/>
          <w:sz w:val="24"/>
          <w:szCs w:val="24"/>
        </w:rPr>
        <w:t xml:space="preserve">potential </w:t>
      </w:r>
      <w:r w:rsidRPr="005603A8">
        <w:rPr>
          <w:rFonts w:ascii="Verdana" w:hAnsi="Verdana" w:cs="Calibri"/>
          <w:color w:val="auto"/>
          <w:sz w:val="24"/>
          <w:szCs w:val="24"/>
        </w:rPr>
        <w:t>retained business rates uplift, and — if the Mais Lecture proposals proceed — income tax sharing arrangements. What MSAs should not be required to do is substitute for the adequacy of local authority fundin</w:t>
      </w:r>
      <w:r w:rsidRPr="005603A8">
        <w:rPr>
          <w:rFonts w:ascii="Verdana" w:hAnsi="Verdana" w:cs="Calibri"/>
          <w:color w:val="auto"/>
          <w:sz w:val="24"/>
          <w:szCs w:val="24"/>
        </w:rPr>
        <w:t xml:space="preserve">g. The confusion of growth finance and service finance is one of the most persistent sources of incoherence in English devolution policy. </w:t>
      </w:r>
    </w:p>
    <w:p w:rsidR="00DA6EB4" w:rsidRPr="005603A8" w:rsidP="005603A8">
      <w:pPr>
        <w:pStyle w:val="ListParagraph"/>
        <w:numPr>
          <w:ilvl w:val="0"/>
          <w:numId w:val="2"/>
        </w:numPr>
        <w:spacing w:before="60" w:after="160" w:line="480" w:lineRule="auto"/>
        <w:rPr>
          <w:rFonts w:ascii="Verdana" w:hAnsi="Verdana" w:cs="Calibri"/>
          <w:color w:val="auto"/>
          <w:sz w:val="24"/>
          <w:szCs w:val="24"/>
        </w:rPr>
      </w:pPr>
      <w:r w:rsidRPr="005603A8">
        <w:rPr>
          <w:rFonts w:ascii="Verdana" w:hAnsi="Verdana" w:cs="Calibri"/>
          <w:b/>
          <w:bCs/>
          <w:color w:val="auto"/>
          <w:sz w:val="24"/>
          <w:szCs w:val="24"/>
        </w:rPr>
        <w:t>Local authorities</w:t>
      </w:r>
      <w:r w:rsidRPr="005603A8">
        <w:rPr>
          <w:rFonts w:ascii="Verdana" w:hAnsi="Verdana" w:cs="Calibri"/>
          <w:color w:val="auto"/>
          <w:sz w:val="24"/>
          <w:szCs w:val="24"/>
        </w:rPr>
        <w:t xml:space="preserve"> are the primary tier for statutory service delivery</w:t>
      </w:r>
      <w:r w:rsidRPr="005603A8">
        <w:rPr>
          <w:rFonts w:ascii="Verdana" w:hAnsi="Verdana" w:cs="Calibri"/>
          <w:color w:val="auto"/>
          <w:sz w:val="24"/>
          <w:szCs w:val="24"/>
        </w:rPr>
        <w:t>, place making</w:t>
      </w:r>
      <w:r w:rsidRPr="005603A8">
        <w:rPr>
          <w:rFonts w:ascii="Verdana" w:hAnsi="Verdana" w:cs="Calibri"/>
          <w:color w:val="auto"/>
          <w:sz w:val="24"/>
          <w:szCs w:val="24"/>
        </w:rPr>
        <w:t xml:space="preserve"> and the primary democratic relationship between the state and the citizen. Their fiscal role should reflect this: a broad, unconditional revenue base adequate to their statutory responsibilities, with genuine local discretion over deployment and local accountability for outcomes. Japan's post-Trinity Reform local authorities retain a stable, formula-driven share of national tax revenues not conditional on central approval of spending decisio</w:t>
      </w:r>
      <w:r w:rsidRPr="005603A8">
        <w:rPr>
          <w:rFonts w:ascii="Verdana" w:hAnsi="Verdana" w:cs="Calibri"/>
          <w:color w:val="auto"/>
          <w:sz w:val="24"/>
          <w:szCs w:val="24"/>
        </w:rPr>
        <w:t>ns; German municipalities exercise the right to set their own multipliers on shared taxes — the Hebesatzrecht — giving them genuine revenue authority within a nationally equalised system. Both models offer England a more coherent template than the current hybrid of grant dependence and nominally devolved retention schemes.</w:t>
      </w:r>
    </w:p>
    <w:p w:rsidR="00DA6EB4" w:rsidRPr="005603A8" w:rsidP="005603A8">
      <w:pPr>
        <w:pStyle w:val="ListParagraph"/>
        <w:numPr>
          <w:ilvl w:val="0"/>
          <w:numId w:val="2"/>
        </w:numPr>
        <w:spacing w:before="60" w:after="160" w:line="480" w:lineRule="auto"/>
        <w:rPr>
          <w:rFonts w:ascii="Verdana" w:hAnsi="Verdana" w:cs="Calibri"/>
          <w:color w:val="auto"/>
          <w:sz w:val="24"/>
          <w:szCs w:val="24"/>
        </w:rPr>
      </w:pPr>
      <w:r w:rsidRPr="005603A8">
        <w:rPr>
          <w:rFonts w:ascii="Verdana" w:hAnsi="Verdana" w:cs="Calibri"/>
          <w:b/>
          <w:bCs/>
          <w:color w:val="auto"/>
          <w:sz w:val="24"/>
          <w:szCs w:val="24"/>
        </w:rPr>
        <w:t>Communities</w:t>
      </w:r>
      <w:r w:rsidRPr="005603A8">
        <w:rPr>
          <w:rFonts w:ascii="Verdana" w:hAnsi="Verdana" w:cs="Calibri"/>
          <w:color w:val="auto"/>
          <w:sz w:val="24"/>
          <w:szCs w:val="24"/>
        </w:rPr>
        <w:t xml:space="preserve"> occupy the fourth </w:t>
      </w:r>
      <w:r w:rsidRPr="005603A8">
        <w:rPr>
          <w:rFonts w:ascii="Verdana" w:hAnsi="Verdana" w:cs="Calibri"/>
          <w:color w:val="auto"/>
          <w:sz w:val="24"/>
          <w:szCs w:val="24"/>
        </w:rPr>
        <w:t>tier,</w:t>
      </w:r>
      <w:r w:rsidRPr="005603A8">
        <w:rPr>
          <w:rFonts w:ascii="Verdana" w:hAnsi="Verdana" w:cs="Calibri"/>
          <w:color w:val="auto"/>
          <w:sz w:val="24"/>
          <w:szCs w:val="24"/>
        </w:rPr>
        <w:t xml:space="preserve"> and their role is too often treated as an afterthought in fiscal devolution discourse. Fiscal devolution creates real winners and losers at the local level; its legitimacy depends on citizens understanding what is being devolved, to whom, and on what basis. Investment in financial transparency, accessible public reporting, and participatory approaches to local budget decisions would build the civic infrastructure on which durable fiscal devolution depends.</w:t>
      </w:r>
    </w:p>
    <w:p w:rsidR="00DA6EB4" w:rsidRPr="005603A8" w:rsidP="005603A8">
      <w:pPr>
        <w:pStyle w:val="ListParagraph"/>
        <w:numPr>
          <w:ilvl w:val="0"/>
          <w:numId w:val="2"/>
        </w:numPr>
        <w:spacing w:before="60" w:after="160" w:line="480" w:lineRule="auto"/>
        <w:rPr>
          <w:rFonts w:ascii="Verdana" w:hAnsi="Verdana" w:cs="Calibri"/>
          <w:color w:val="auto"/>
          <w:sz w:val="24"/>
          <w:szCs w:val="24"/>
        </w:rPr>
      </w:pPr>
      <w:r w:rsidRPr="005603A8">
        <w:rPr>
          <w:rFonts w:ascii="Verdana" w:hAnsi="Verdana" w:cs="Calibri"/>
          <w:color w:val="auto"/>
          <w:sz w:val="24"/>
          <w:szCs w:val="24"/>
        </w:rPr>
        <w:t xml:space="preserve">The announcement of a </w:t>
      </w:r>
      <w:r w:rsidRPr="005603A8">
        <w:rPr>
          <w:rFonts w:ascii="Verdana" w:hAnsi="Verdana" w:cs="Calibri"/>
          <w:b/>
          <w:bCs/>
          <w:color w:val="auto"/>
          <w:sz w:val="24"/>
          <w:szCs w:val="24"/>
        </w:rPr>
        <w:t>Mayors Council</w:t>
      </w:r>
      <w:r w:rsidRPr="005603A8">
        <w:rPr>
          <w:rFonts w:ascii="Verdana" w:hAnsi="Verdana" w:cs="Calibri"/>
          <w:color w:val="auto"/>
          <w:sz w:val="24"/>
          <w:szCs w:val="24"/>
        </w:rPr>
        <w:t xml:space="preserve"> is a welcome step toward a more deliberative intergovernmental relationship. However</w:t>
      </w:r>
      <w:r w:rsidRPr="005603A8">
        <w:rPr>
          <w:rFonts w:ascii="Verdana" w:hAnsi="Verdana" w:cs="Calibri"/>
          <w:color w:val="auto"/>
          <w:sz w:val="24"/>
          <w:szCs w:val="24"/>
        </w:rPr>
        <w:t>,</w:t>
      </w:r>
      <w:r w:rsidRPr="005603A8">
        <w:rPr>
          <w:rFonts w:ascii="Verdana" w:hAnsi="Verdana" w:cs="Calibri"/>
          <w:color w:val="auto"/>
          <w:sz w:val="24"/>
          <w:szCs w:val="24"/>
        </w:rPr>
        <w:t xml:space="preserve"> it </w:t>
      </w:r>
      <w:r w:rsidRPr="005603A8">
        <w:rPr>
          <w:rFonts w:ascii="Verdana" w:hAnsi="Verdana" w:cs="Calibri"/>
          <w:color w:val="auto"/>
          <w:sz w:val="24"/>
          <w:szCs w:val="24"/>
        </w:rPr>
        <w:t xml:space="preserve">represents only the MSA tier. The majority of local authorities have no equivalent forum. The Mayors Council and a broader standing commission could form complementary pillars of a more developed settlement, with the Mayors Council addressing MSA-level fiscal devolution and </w:t>
      </w:r>
      <w:r w:rsidRPr="005603A8">
        <w:rPr>
          <w:rFonts w:ascii="Verdana" w:hAnsi="Verdana" w:cs="Calibri"/>
          <w:color w:val="auto"/>
          <w:sz w:val="24"/>
          <w:szCs w:val="24"/>
        </w:rPr>
        <w:t>a</w:t>
      </w:r>
      <w:r w:rsidRPr="005603A8">
        <w:rPr>
          <w:rFonts w:ascii="Verdana" w:hAnsi="Verdana" w:cs="Calibri"/>
          <w:color w:val="auto"/>
          <w:sz w:val="24"/>
          <w:szCs w:val="24"/>
        </w:rPr>
        <w:t xml:space="preserve"> broader commission addressing systemic adequacy and equity for all localities</w:t>
      </w:r>
      <w:r w:rsidRPr="005603A8">
        <w:rPr>
          <w:rFonts w:ascii="Verdana" w:hAnsi="Verdana" w:cs="Calibri"/>
          <w:color w:val="auto"/>
          <w:sz w:val="24"/>
          <w:szCs w:val="24"/>
        </w:rPr>
        <w:t xml:space="preserve"> – a similar structure is seen in the conference system in Italy</w:t>
      </w:r>
      <w:r w:rsidRPr="005603A8">
        <w:rPr>
          <w:rFonts w:ascii="Verdana" w:hAnsi="Verdana" w:cs="Calibri"/>
          <w:color w:val="auto"/>
          <w:sz w:val="24"/>
          <w:szCs w:val="24"/>
        </w:rPr>
        <w:t>.</w:t>
      </w:r>
    </w:p>
    <w:p w:rsidR="00DA6EB4" w:rsidRPr="005603A8" w:rsidP="005603A8">
      <w:pPr>
        <w:spacing w:before="60" w:after="160" w:line="480" w:lineRule="auto"/>
        <w:rPr>
          <w:rFonts w:ascii="Verdana" w:hAnsi="Verdana" w:cs="Calibri"/>
          <w:color w:val="auto"/>
          <w:sz w:val="24"/>
          <w:szCs w:val="24"/>
        </w:rPr>
      </w:pPr>
      <w:r w:rsidRPr="005603A8">
        <w:rPr>
          <w:rFonts w:ascii="Verdana" w:hAnsi="Verdana" w:cs="Calibri"/>
          <w:b/>
          <w:bCs/>
          <w:color w:val="auto"/>
          <w:sz w:val="24"/>
          <w:szCs w:val="24"/>
        </w:rPr>
        <w:t>4. Delivering Change</w:t>
      </w:r>
    </w:p>
    <w:p w:rsidR="00DA6EB4" w:rsidRPr="005603A8" w:rsidP="005603A8">
      <w:pPr>
        <w:spacing w:line="480" w:lineRule="auto"/>
        <w:rPr>
          <w:rFonts w:ascii="Verdana" w:hAnsi="Verdana" w:cs="Calibri"/>
          <w:b/>
          <w:bCs/>
          <w:color w:val="auto"/>
          <w:sz w:val="24"/>
          <w:szCs w:val="24"/>
        </w:rPr>
      </w:pPr>
      <w:r w:rsidRPr="005603A8">
        <w:rPr>
          <w:rFonts w:ascii="Verdana" w:hAnsi="Verdana" w:cs="Calibri"/>
          <w:b/>
          <w:bCs/>
          <w:color w:val="auto"/>
          <w:sz w:val="24"/>
          <w:szCs w:val="24"/>
        </w:rPr>
        <w:t>What practical challenges must be navigated to implement fiscal devolution?</w:t>
      </w:r>
    </w:p>
    <w:p w:rsidR="00DA6EB4" w:rsidRPr="005603A8" w:rsidP="005603A8">
      <w:pPr>
        <w:pStyle w:val="ListParagraph"/>
        <w:numPr>
          <w:ilvl w:val="0"/>
          <w:numId w:val="2"/>
        </w:numPr>
        <w:spacing w:before="60" w:after="160" w:line="480" w:lineRule="auto"/>
        <w:rPr>
          <w:rFonts w:ascii="Verdana" w:hAnsi="Verdana" w:cs="Calibri"/>
          <w:color w:val="auto"/>
          <w:sz w:val="24"/>
          <w:szCs w:val="24"/>
        </w:rPr>
      </w:pPr>
      <w:r w:rsidRPr="005603A8">
        <w:rPr>
          <w:rFonts w:ascii="Verdana" w:hAnsi="Verdana" w:cs="Calibri"/>
          <w:color w:val="auto"/>
          <w:sz w:val="24"/>
          <w:szCs w:val="24"/>
        </w:rPr>
        <w:t>The capacity challenge operates at three distinct levels, each of which requires deliberate investment that is not currently planned for.</w:t>
      </w:r>
    </w:p>
    <w:p w:rsidR="00DA6EB4" w:rsidRPr="005603A8" w:rsidP="005603A8">
      <w:pPr>
        <w:pStyle w:val="ListParagraph"/>
        <w:numPr>
          <w:ilvl w:val="0"/>
          <w:numId w:val="2"/>
        </w:numPr>
        <w:spacing w:before="60" w:after="160" w:line="480" w:lineRule="auto"/>
        <w:rPr>
          <w:rFonts w:ascii="Verdana" w:hAnsi="Verdana" w:cs="Calibri"/>
          <w:color w:val="auto"/>
          <w:sz w:val="24"/>
          <w:szCs w:val="24"/>
        </w:rPr>
      </w:pPr>
      <w:r w:rsidRPr="005603A8">
        <w:rPr>
          <w:rFonts w:ascii="Verdana" w:hAnsi="Verdana" w:cs="Calibri"/>
          <w:b/>
          <w:bCs/>
          <w:color w:val="auto"/>
          <w:sz w:val="24"/>
          <w:szCs w:val="24"/>
        </w:rPr>
        <w:t>At the centre</w:t>
      </w:r>
      <w:r w:rsidRPr="005603A8">
        <w:rPr>
          <w:rFonts w:ascii="Verdana" w:hAnsi="Verdana" w:cs="Calibri"/>
          <w:color w:val="auto"/>
          <w:sz w:val="24"/>
          <w:szCs w:val="24"/>
        </w:rPr>
        <w:t xml:space="preserve">, HM Treasury and HMRC face methodological questions that are not yet </w:t>
      </w:r>
      <w:r w:rsidRPr="005603A8">
        <w:rPr>
          <w:rFonts w:ascii="Verdana" w:hAnsi="Verdana" w:cs="Calibri"/>
          <w:color w:val="auto"/>
          <w:sz w:val="24"/>
          <w:szCs w:val="24"/>
        </w:rPr>
        <w:t xml:space="preserve">fully </w:t>
      </w:r>
      <w:r w:rsidRPr="005603A8">
        <w:rPr>
          <w:rFonts w:ascii="Verdana" w:hAnsi="Verdana" w:cs="Calibri"/>
          <w:color w:val="auto"/>
          <w:sz w:val="24"/>
          <w:szCs w:val="24"/>
        </w:rPr>
        <w:t xml:space="preserve">resolved. Building the data infrastructure to support credible attribution will itself take time, and any system implemented before these questions are settled risks producing allocations that are contested, volatile, or inequitable. The Office for Budget Responsibility would also need to develop new methodologies for forecasting subnational tax receipts. </w:t>
      </w:r>
    </w:p>
    <w:p w:rsidR="00DA6EB4" w:rsidRPr="005603A8" w:rsidP="005603A8">
      <w:pPr>
        <w:pStyle w:val="ListParagraph"/>
        <w:numPr>
          <w:ilvl w:val="0"/>
          <w:numId w:val="2"/>
        </w:numPr>
        <w:spacing w:before="60" w:after="160" w:line="480" w:lineRule="auto"/>
        <w:rPr>
          <w:rFonts w:ascii="Verdana" w:hAnsi="Verdana" w:cs="Calibri"/>
          <w:color w:val="auto"/>
          <w:sz w:val="24"/>
          <w:szCs w:val="24"/>
        </w:rPr>
      </w:pPr>
      <w:r w:rsidRPr="005603A8">
        <w:rPr>
          <w:rFonts w:ascii="Verdana" w:hAnsi="Verdana" w:cs="Calibri"/>
          <w:b/>
          <w:bCs/>
          <w:color w:val="auto"/>
          <w:sz w:val="24"/>
          <w:szCs w:val="24"/>
        </w:rPr>
        <w:t>At the MSA level</w:t>
      </w:r>
      <w:r w:rsidRPr="005603A8">
        <w:rPr>
          <w:rFonts w:ascii="Verdana" w:hAnsi="Verdana" w:cs="Calibri"/>
          <w:color w:val="auto"/>
          <w:sz w:val="24"/>
          <w:szCs w:val="24"/>
        </w:rPr>
        <w:t xml:space="preserve">, capacity constraints are significant and unevenly distributed. Greater Manchester and West Midlands have developed relatively sophisticated finance and analytics functions, but many MSAs — particularly those more recently established or covering less </w:t>
      </w:r>
      <w:r w:rsidRPr="005603A8">
        <w:rPr>
          <w:rFonts w:ascii="Verdana" w:hAnsi="Verdana" w:cs="Calibri"/>
          <w:color w:val="auto"/>
          <w:sz w:val="24"/>
          <w:szCs w:val="24"/>
        </w:rPr>
        <w:t>economically complex areas — have thin teams and limited in-house fiscal expertise. Managing a devolved income tax share would require capabilities in revenue forecasting, baseline negotiation, fiscal risk management and public financial reporting that go bey</w:t>
      </w:r>
      <w:r w:rsidRPr="005603A8">
        <w:rPr>
          <w:rFonts w:ascii="Verdana" w:hAnsi="Verdana" w:cs="Calibri"/>
          <w:color w:val="auto"/>
          <w:sz w:val="24"/>
          <w:szCs w:val="24"/>
        </w:rPr>
        <w:t>ond what some MSAs currently possess. The Canadian provincial experience is instructive: even well-resourced provinces with long-established tax administrations have found the management of income tax sharing agreements with the federal government to be administratively demanding, requiring specialist capacity that took years to build. England's MSAs would be starting from a considerably lower baseline.</w:t>
      </w:r>
    </w:p>
    <w:p w:rsidR="00DA6EB4" w:rsidRPr="005603A8" w:rsidP="005603A8">
      <w:pPr>
        <w:pStyle w:val="ListParagraph"/>
        <w:numPr>
          <w:ilvl w:val="0"/>
          <w:numId w:val="2"/>
        </w:numPr>
        <w:spacing w:before="60" w:after="160" w:line="480" w:lineRule="auto"/>
        <w:rPr>
          <w:rFonts w:ascii="Verdana" w:hAnsi="Verdana" w:cs="Calibri"/>
          <w:color w:val="auto"/>
          <w:sz w:val="24"/>
          <w:szCs w:val="24"/>
        </w:rPr>
      </w:pPr>
      <w:r w:rsidRPr="005603A8">
        <w:rPr>
          <w:rFonts w:ascii="Verdana" w:hAnsi="Verdana" w:cs="Calibri"/>
          <w:b/>
          <w:bCs/>
          <w:color w:val="auto"/>
          <w:sz w:val="24"/>
          <w:szCs w:val="24"/>
        </w:rPr>
        <w:t>At the local authority level</w:t>
      </w:r>
      <w:r w:rsidRPr="005603A8">
        <w:rPr>
          <w:rFonts w:ascii="Verdana" w:hAnsi="Verdana" w:cs="Calibri"/>
          <w:color w:val="auto"/>
          <w:sz w:val="24"/>
          <w:szCs w:val="24"/>
        </w:rPr>
        <w:t>, the capacity problem takes a different form. Years of austerity have hollowed out the finance functions of many councils: experienced Section 151 officers have retired or moved to the private sector, analytical capability has been cut alongside other corporate services, and the audit market has contracted severely. The National Audit Office has repeatedly flagged the local audit crisis as a systemic risk. Until it is resolved, there is a real question about whether the financial reporting and governance s</w:t>
      </w:r>
      <w:r w:rsidRPr="005603A8">
        <w:rPr>
          <w:rFonts w:ascii="Verdana" w:hAnsi="Verdana" w:cs="Calibri"/>
          <w:color w:val="auto"/>
          <w:sz w:val="24"/>
          <w:szCs w:val="24"/>
        </w:rPr>
        <w:t>tandards necessary for more complex fiscal arrangements are achievable across the full range of English local authorities. Germany's Bundesrechnungshof and Landesrechnungshöfe — constitutionally independent Courts of Accounts operating at federal and Land levels — demonstrate that an independent, well-resourced audit architecture is both achievable and valuable in a multilevel governance system.</w:t>
      </w:r>
    </w:p>
    <w:p w:rsidR="00DA6EB4" w:rsidRPr="005603A8" w:rsidP="005603A8">
      <w:pPr>
        <w:spacing w:line="480" w:lineRule="auto"/>
        <w:rPr>
          <w:rFonts w:ascii="Verdana" w:hAnsi="Verdana" w:cs="Calibri"/>
          <w:b/>
          <w:bCs/>
          <w:color w:val="auto"/>
          <w:sz w:val="24"/>
          <w:szCs w:val="24"/>
        </w:rPr>
      </w:pPr>
      <w:r w:rsidRPr="005603A8">
        <w:rPr>
          <w:rFonts w:ascii="Verdana" w:hAnsi="Verdana" w:cs="Calibri"/>
          <w:b/>
          <w:bCs/>
          <w:color w:val="auto"/>
          <w:sz w:val="24"/>
          <w:szCs w:val="24"/>
        </w:rPr>
        <w:t>Will primary or secondary legislation be required?</w:t>
      </w:r>
    </w:p>
    <w:p w:rsidR="00DA6EB4" w:rsidRPr="005603A8" w:rsidP="005603A8">
      <w:pPr>
        <w:pStyle w:val="ListParagraph"/>
        <w:numPr>
          <w:ilvl w:val="0"/>
          <w:numId w:val="2"/>
        </w:numPr>
        <w:spacing w:before="60" w:after="160" w:line="480" w:lineRule="auto"/>
        <w:rPr>
          <w:rFonts w:ascii="Verdana" w:hAnsi="Verdana" w:cs="Calibri"/>
          <w:color w:val="auto"/>
          <w:sz w:val="24"/>
          <w:szCs w:val="24"/>
        </w:rPr>
      </w:pPr>
      <w:r w:rsidRPr="005603A8">
        <w:rPr>
          <w:rFonts w:ascii="Verdana" w:hAnsi="Verdana" w:cs="Calibri"/>
          <w:color w:val="auto"/>
          <w:sz w:val="24"/>
          <w:szCs w:val="24"/>
        </w:rPr>
        <w:t xml:space="preserve">Primary legislation will </w:t>
      </w:r>
      <w:r w:rsidRPr="005603A8">
        <w:rPr>
          <w:rFonts w:ascii="Verdana" w:hAnsi="Verdana" w:cs="Calibri"/>
          <w:color w:val="auto"/>
          <w:sz w:val="24"/>
          <w:szCs w:val="24"/>
        </w:rPr>
        <w:t xml:space="preserve">potentially </w:t>
      </w:r>
      <w:r w:rsidRPr="005603A8">
        <w:rPr>
          <w:rFonts w:ascii="Verdana" w:hAnsi="Verdana" w:cs="Calibri"/>
          <w:color w:val="auto"/>
          <w:sz w:val="24"/>
          <w:szCs w:val="24"/>
        </w:rPr>
        <w:t>be required for any material fiscal devolution. The Scotland Act precedents, the Cities and Local Government Devolution Act 2016, and the current legislative architecture for MSAs all indicate that substantive fiscal powers — as opposed to grant arrangements — require a statutory foundation. Secondary legislation may handle specific rate-sharing mechanisms or the technical parameters of baseline agreements, but the principal framework w</w:t>
      </w:r>
      <w:r w:rsidRPr="005603A8">
        <w:rPr>
          <w:rFonts w:ascii="Verdana" w:hAnsi="Verdana" w:cs="Calibri"/>
          <w:color w:val="auto"/>
          <w:sz w:val="24"/>
          <w:szCs w:val="24"/>
        </w:rPr>
        <w:t>ill likely</w:t>
      </w:r>
      <w:r w:rsidRPr="005603A8">
        <w:rPr>
          <w:rFonts w:ascii="Verdana" w:hAnsi="Verdana" w:cs="Calibri"/>
          <w:color w:val="auto"/>
          <w:sz w:val="24"/>
          <w:szCs w:val="24"/>
        </w:rPr>
        <w:t xml:space="preserve"> require primary legislation.</w:t>
      </w:r>
    </w:p>
    <w:p w:rsidR="00DA6EB4" w:rsidRPr="005603A8" w:rsidP="005603A8">
      <w:pPr>
        <w:pStyle w:val="ListParagraph"/>
        <w:numPr>
          <w:ilvl w:val="0"/>
          <w:numId w:val="2"/>
        </w:numPr>
        <w:spacing w:before="60" w:after="160" w:line="480" w:lineRule="auto"/>
        <w:rPr>
          <w:rFonts w:ascii="Verdana" w:hAnsi="Verdana" w:cs="Calibri"/>
          <w:color w:val="auto"/>
          <w:sz w:val="24"/>
          <w:szCs w:val="24"/>
        </w:rPr>
      </w:pPr>
      <w:r w:rsidRPr="005603A8">
        <w:rPr>
          <w:rFonts w:ascii="Verdana" w:hAnsi="Verdana" w:cs="Calibri"/>
          <w:color w:val="auto"/>
          <w:sz w:val="24"/>
          <w:szCs w:val="24"/>
        </w:rPr>
        <w:t>In a five-year parliament, with a legislative programme already heavily committed, this constrains the window for design, consultation and enactment considerably. The experience of Welsh income tax devolution — enabled by the Wales Act 2014, amended by the Wales Act 2017, with the power to vary rates existing in statute since 2019 but not used to create any divergence from English rates — illustrates how long the legislative and intergovernmental journey can be even when political will is broadly present, a</w:t>
      </w:r>
      <w:r w:rsidRPr="005603A8">
        <w:rPr>
          <w:rFonts w:ascii="Verdana" w:hAnsi="Verdana" w:cs="Calibri"/>
          <w:color w:val="auto"/>
          <w:sz w:val="24"/>
          <w:szCs w:val="24"/>
        </w:rPr>
        <w:t>nd how a formally devolved power can remain practically inert if the underlying fiscal conditions do not support its use.</w:t>
      </w:r>
    </w:p>
    <w:p w:rsidR="00DA6EB4" w:rsidRPr="005603A8" w:rsidP="005603A8">
      <w:pPr>
        <w:pStyle w:val="ListParagraph"/>
        <w:numPr>
          <w:ilvl w:val="0"/>
          <w:numId w:val="2"/>
        </w:numPr>
        <w:spacing w:before="60" w:after="160" w:line="480" w:lineRule="auto"/>
        <w:rPr>
          <w:rFonts w:ascii="Verdana" w:hAnsi="Verdana" w:cs="Calibri"/>
          <w:color w:val="auto"/>
          <w:sz w:val="24"/>
          <w:szCs w:val="24"/>
        </w:rPr>
      </w:pPr>
      <w:r w:rsidRPr="005603A8">
        <w:rPr>
          <w:rFonts w:ascii="Verdana" w:hAnsi="Verdana" w:cs="Calibri"/>
          <w:color w:val="auto"/>
          <w:sz w:val="24"/>
          <w:szCs w:val="24"/>
        </w:rPr>
        <w:t xml:space="preserve">A realistic timetable, openly communicated, is itself a form of capacity management. It allows institutions at all levels to plan workforce development, systems investment and governance reform in </w:t>
      </w:r>
      <w:r w:rsidRPr="005603A8">
        <w:rPr>
          <w:rFonts w:ascii="Verdana" w:hAnsi="Verdana" w:cs="Calibri"/>
          <w:color w:val="auto"/>
          <w:sz w:val="24"/>
          <w:szCs w:val="24"/>
        </w:rPr>
        <w:t>parallel with the legislative process rather than scrambling to catch up after it.</w:t>
      </w:r>
    </w:p>
    <w:p w:rsidR="00DA6EB4" w:rsidRPr="005603A8" w:rsidP="005603A8">
      <w:pPr>
        <w:spacing w:line="480" w:lineRule="auto"/>
        <w:rPr>
          <w:rFonts w:ascii="Verdana" w:hAnsi="Verdana" w:cs="Calibri"/>
          <w:b/>
          <w:bCs/>
          <w:color w:val="auto"/>
          <w:sz w:val="24"/>
          <w:szCs w:val="24"/>
        </w:rPr>
      </w:pPr>
      <w:r w:rsidRPr="005603A8">
        <w:rPr>
          <w:rFonts w:ascii="Verdana" w:hAnsi="Verdana" w:cs="Calibri"/>
          <w:b/>
          <w:bCs/>
          <w:color w:val="auto"/>
          <w:sz w:val="24"/>
          <w:szCs w:val="24"/>
        </w:rPr>
        <w:t>How long does it take to introduce fiscal devolution, from inception to implementation?</w:t>
      </w:r>
    </w:p>
    <w:p w:rsidR="00DA6EB4" w:rsidRPr="005603A8" w:rsidP="005603A8">
      <w:pPr>
        <w:pStyle w:val="ListParagraph"/>
        <w:numPr>
          <w:ilvl w:val="0"/>
          <w:numId w:val="2"/>
        </w:numPr>
        <w:spacing w:before="60" w:after="160" w:line="480" w:lineRule="auto"/>
        <w:rPr>
          <w:rFonts w:ascii="Verdana" w:hAnsi="Verdana" w:cs="Calibri"/>
          <w:color w:val="auto"/>
          <w:sz w:val="24"/>
          <w:szCs w:val="24"/>
        </w:rPr>
      </w:pPr>
      <w:r w:rsidRPr="005603A8">
        <w:rPr>
          <w:rFonts w:ascii="Verdana" w:hAnsi="Verdana" w:cs="Calibri"/>
          <w:color w:val="auto"/>
          <w:sz w:val="24"/>
          <w:szCs w:val="24"/>
        </w:rPr>
        <w:t>The international evidence is consistent: meaningful fiscal devolution takes longer than political cycles typically allow for, and the gap between announcement and implementation is routinely underestimated.</w:t>
      </w:r>
    </w:p>
    <w:p w:rsidR="00DA6EB4" w:rsidRPr="005603A8" w:rsidP="005603A8">
      <w:pPr>
        <w:pStyle w:val="ListParagraph"/>
        <w:numPr>
          <w:ilvl w:val="0"/>
          <w:numId w:val="2"/>
        </w:numPr>
        <w:spacing w:before="60" w:after="160" w:line="480" w:lineRule="auto"/>
        <w:rPr>
          <w:rFonts w:ascii="Verdana" w:hAnsi="Verdana" w:cs="Calibri"/>
          <w:color w:val="auto"/>
          <w:sz w:val="24"/>
          <w:szCs w:val="24"/>
        </w:rPr>
      </w:pPr>
      <w:r w:rsidRPr="005603A8">
        <w:rPr>
          <w:rFonts w:ascii="Verdana" w:hAnsi="Verdana" w:cs="Calibri"/>
          <w:color w:val="auto"/>
          <w:sz w:val="24"/>
          <w:szCs w:val="24"/>
        </w:rPr>
        <w:t xml:space="preserve">Scotland’s partial income tax devolution took </w:t>
      </w:r>
      <w:r w:rsidRPr="005603A8">
        <w:rPr>
          <w:rFonts w:ascii="Verdana" w:hAnsi="Verdana" w:cs="Calibri"/>
          <w:color w:val="auto"/>
          <w:sz w:val="24"/>
          <w:szCs w:val="24"/>
        </w:rPr>
        <w:t>several</w:t>
      </w:r>
      <w:r w:rsidRPr="005603A8">
        <w:rPr>
          <w:rFonts w:ascii="Verdana" w:hAnsi="Verdana" w:cs="Calibri"/>
          <w:color w:val="auto"/>
          <w:sz w:val="24"/>
          <w:szCs w:val="24"/>
        </w:rPr>
        <w:t xml:space="preserve"> years from initial design to </w:t>
      </w:r>
      <w:r w:rsidRPr="005603A8">
        <w:rPr>
          <w:rFonts w:ascii="Verdana" w:hAnsi="Verdana" w:cs="Calibri"/>
          <w:color w:val="auto"/>
          <w:sz w:val="24"/>
          <w:szCs w:val="24"/>
        </w:rPr>
        <w:t>implementation, and</w:t>
      </w:r>
      <w:r w:rsidRPr="005603A8">
        <w:rPr>
          <w:rFonts w:ascii="Verdana" w:hAnsi="Verdana" w:cs="Calibri"/>
          <w:color w:val="auto"/>
          <w:sz w:val="24"/>
          <w:szCs w:val="24"/>
        </w:rPr>
        <w:t xml:space="preserve"> has required continuous recalibration since.</w:t>
      </w:r>
      <w:r w:rsidRPr="005603A8">
        <w:rPr>
          <w:rFonts w:ascii="Verdana" w:hAnsi="Verdana" w:cs="Calibri"/>
          <w:color w:val="auto"/>
          <w:sz w:val="24"/>
          <w:szCs w:val="24"/>
        </w:rPr>
        <w:t xml:space="preserve"> That being said, it provides a knowledge baseline for England</w:t>
      </w:r>
      <w:r w:rsidRPr="005603A8">
        <w:rPr>
          <w:rFonts w:ascii="Verdana" w:hAnsi="Verdana" w:cs="Calibri"/>
          <w:color w:val="auto"/>
          <w:sz w:val="24"/>
          <w:szCs w:val="24"/>
        </w:rPr>
        <w:t xml:space="preserve"> that was not present previously. </w:t>
      </w:r>
    </w:p>
    <w:p w:rsidR="00DA6EB4" w:rsidRPr="005603A8" w:rsidP="005603A8">
      <w:pPr>
        <w:pStyle w:val="ListParagraph"/>
        <w:numPr>
          <w:ilvl w:val="0"/>
          <w:numId w:val="2"/>
        </w:numPr>
        <w:spacing w:before="60" w:after="160" w:line="480" w:lineRule="auto"/>
        <w:rPr>
          <w:rFonts w:ascii="Verdana" w:hAnsi="Verdana" w:cs="Calibri"/>
          <w:color w:val="auto"/>
          <w:sz w:val="24"/>
          <w:szCs w:val="24"/>
        </w:rPr>
      </w:pPr>
      <w:r w:rsidRPr="005603A8">
        <w:rPr>
          <w:rFonts w:ascii="Verdana" w:hAnsi="Verdana" w:cs="Calibri"/>
          <w:color w:val="auto"/>
          <w:sz w:val="24"/>
          <w:szCs w:val="24"/>
        </w:rPr>
        <w:t>Germany's post-unification reform of intergovernmental equalisation consumed a full parliamentary term and required Federal Constitutional Court intervention — the 1999 ruling led directly to the Maßstäbegesetz of 2001 and subsequent Finanzausgleichsgesetz reform. Japan's Trinity Reform required cross-party consensus sustained over several years and was accompanied by a fundamental renegotiation of expenditure mandates between central and local government — the reform is best understood as a multi-year prog</w:t>
      </w:r>
      <w:r w:rsidRPr="005603A8">
        <w:rPr>
          <w:rFonts w:ascii="Verdana" w:hAnsi="Verdana" w:cs="Calibri"/>
          <w:color w:val="auto"/>
          <w:sz w:val="24"/>
          <w:szCs w:val="24"/>
        </w:rPr>
        <w:t>ramme rather than a single legislative event.</w:t>
      </w:r>
    </w:p>
    <w:p w:rsidR="00DA6EB4" w:rsidRPr="005603A8" w:rsidP="005603A8">
      <w:pPr>
        <w:pStyle w:val="ListParagraph"/>
        <w:numPr>
          <w:ilvl w:val="0"/>
          <w:numId w:val="2"/>
        </w:numPr>
        <w:spacing w:before="60" w:after="160" w:line="480" w:lineRule="auto"/>
        <w:rPr>
          <w:rFonts w:ascii="Verdana" w:hAnsi="Verdana" w:cs="Calibri"/>
          <w:color w:val="auto"/>
          <w:sz w:val="24"/>
          <w:szCs w:val="24"/>
        </w:rPr>
      </w:pPr>
      <w:r w:rsidRPr="005603A8">
        <w:rPr>
          <w:rFonts w:ascii="Verdana" w:hAnsi="Verdana" w:cs="Calibri"/>
          <w:color w:val="auto"/>
          <w:sz w:val="24"/>
          <w:szCs w:val="24"/>
        </w:rPr>
        <w:t xml:space="preserve">For England, a realistic assessment suggests that a roadmap announced at an autumn Budget could produce primary legislation </w:t>
      </w:r>
      <w:r w:rsidRPr="005603A8">
        <w:rPr>
          <w:rFonts w:ascii="Verdana" w:hAnsi="Verdana" w:cs="Calibri"/>
          <w:color w:val="auto"/>
          <w:sz w:val="24"/>
          <w:szCs w:val="24"/>
        </w:rPr>
        <w:t>within two to three years, with operational implementation of income tax sharing two to three years after that — placing meaningful fiscal devolution no earlier than the second half of this decade. This is not an argument against beginning; it is an argument for beginning with urgency, realism, and the institutional investment that the timetable requires.</w:t>
      </w:r>
      <w:r w:rsidRPr="005603A8">
        <w:rPr>
          <w:rFonts w:ascii="Verdana" w:hAnsi="Verdana" w:cs="Calibri"/>
          <w:color w:val="auto"/>
          <w:sz w:val="24"/>
          <w:szCs w:val="24"/>
        </w:rPr>
        <w:t xml:space="preserve"> That being said the trajectory from </w:t>
      </w:r>
      <w:r w:rsidRPr="005603A8">
        <w:rPr>
          <w:rFonts w:ascii="Verdana" w:hAnsi="Verdana" w:cs="Calibri"/>
          <w:color w:val="auto"/>
          <w:sz w:val="24"/>
          <w:szCs w:val="24"/>
        </w:rPr>
        <w:t xml:space="preserve">the Scotland Act 2016 receiving Royal Assent in March 2016 and operational implementation in April 2017 was just over </w:t>
      </w:r>
      <w:r w:rsidRPr="005603A8">
        <w:rPr>
          <w:rFonts w:ascii="Verdana" w:hAnsi="Verdana" w:cs="Calibri"/>
          <w:color w:val="auto"/>
          <w:sz w:val="24"/>
          <w:szCs w:val="24"/>
        </w:rPr>
        <w:t>a year, but Scotland had the advantage of a single devolved government rather than multiple MSAs</w:t>
      </w:r>
      <w:r w:rsidRPr="005603A8">
        <w:rPr>
          <w:rFonts w:ascii="Verdana" w:hAnsi="Verdana" w:cs="Calibri"/>
          <w:color w:val="auto"/>
          <w:sz w:val="24"/>
          <w:szCs w:val="24"/>
        </w:rPr>
        <w:t xml:space="preserve">. </w:t>
      </w:r>
    </w:p>
    <w:p w:rsidR="00DA6EB4" w:rsidRPr="005603A8" w:rsidP="005603A8">
      <w:pPr>
        <w:spacing w:before="60" w:after="160" w:line="480" w:lineRule="auto"/>
        <w:rPr>
          <w:rFonts w:ascii="Verdana" w:hAnsi="Verdana" w:cs="Calibri"/>
          <w:color w:val="auto"/>
          <w:sz w:val="24"/>
          <w:szCs w:val="24"/>
        </w:rPr>
      </w:pPr>
      <w:r w:rsidRPr="005603A8">
        <w:rPr>
          <w:rFonts w:ascii="Verdana" w:hAnsi="Verdana" w:cs="Calibri"/>
          <w:b/>
          <w:bCs/>
          <w:color w:val="auto"/>
          <w:sz w:val="24"/>
          <w:szCs w:val="24"/>
        </w:rPr>
        <w:t>Conclusion: The Case for a Systemic Approach</w:t>
      </w:r>
    </w:p>
    <w:p w:rsidR="00DA6EB4" w:rsidRPr="005603A8" w:rsidP="005603A8">
      <w:pPr>
        <w:pStyle w:val="ListParagraph"/>
        <w:numPr>
          <w:ilvl w:val="0"/>
          <w:numId w:val="2"/>
        </w:numPr>
        <w:spacing w:before="60" w:after="160" w:line="480" w:lineRule="auto"/>
        <w:rPr>
          <w:rFonts w:ascii="Verdana" w:hAnsi="Verdana" w:cs="Calibri"/>
          <w:color w:val="auto"/>
          <w:sz w:val="24"/>
          <w:szCs w:val="24"/>
        </w:rPr>
      </w:pPr>
      <w:r w:rsidRPr="005603A8">
        <w:rPr>
          <w:rFonts w:ascii="Verdana" w:hAnsi="Verdana" w:cs="Calibri"/>
          <w:color w:val="auto"/>
          <w:sz w:val="24"/>
          <w:szCs w:val="24"/>
        </w:rPr>
        <w:t xml:space="preserve">The Mais Lecture represents a genuine opportunity to address one of the most persistent structural </w:t>
      </w:r>
      <w:r w:rsidRPr="005603A8">
        <w:rPr>
          <w:rFonts w:ascii="Verdana" w:hAnsi="Verdana" w:cs="Calibri"/>
          <w:color w:val="auto"/>
          <w:sz w:val="24"/>
          <w:szCs w:val="24"/>
        </w:rPr>
        <w:t>challenges</w:t>
      </w:r>
      <w:r w:rsidRPr="005603A8">
        <w:rPr>
          <w:rFonts w:ascii="Verdana" w:hAnsi="Verdana" w:cs="Calibri"/>
          <w:color w:val="auto"/>
          <w:sz w:val="24"/>
          <w:szCs w:val="24"/>
        </w:rPr>
        <w:t xml:space="preserve"> in English governance — the near-total fiscal dependence of sub-national government on central grant</w:t>
      </w:r>
      <w:r w:rsidRPr="005603A8">
        <w:rPr>
          <w:rFonts w:ascii="Verdana" w:hAnsi="Verdana" w:cs="Calibri"/>
          <w:color w:val="auto"/>
          <w:sz w:val="24"/>
          <w:szCs w:val="24"/>
        </w:rPr>
        <w:t xml:space="preserve"> – this is welcomed. </w:t>
      </w:r>
    </w:p>
    <w:p w:rsidR="00DA6EB4" w:rsidRPr="005603A8" w:rsidP="005603A8">
      <w:pPr>
        <w:pStyle w:val="ListParagraph"/>
        <w:numPr>
          <w:ilvl w:val="0"/>
          <w:numId w:val="2"/>
        </w:numPr>
        <w:spacing w:before="60" w:after="160" w:line="480" w:lineRule="auto"/>
        <w:rPr>
          <w:rFonts w:ascii="Verdana" w:hAnsi="Verdana" w:cs="Calibri"/>
          <w:color w:val="auto"/>
          <w:sz w:val="24"/>
          <w:szCs w:val="24"/>
        </w:rPr>
      </w:pPr>
      <w:r w:rsidRPr="005603A8">
        <w:rPr>
          <w:rFonts w:ascii="Verdana" w:hAnsi="Verdana" w:cs="Calibri"/>
          <w:color w:val="auto"/>
          <w:sz w:val="24"/>
          <w:szCs w:val="24"/>
        </w:rPr>
        <w:t>The</w:t>
      </w:r>
      <w:r w:rsidRPr="005603A8">
        <w:rPr>
          <w:rFonts w:ascii="Verdana" w:hAnsi="Verdana" w:cs="Calibri"/>
          <w:color w:val="auto"/>
          <w:sz w:val="24"/>
          <w:szCs w:val="24"/>
        </w:rPr>
        <w:t xml:space="preserve"> central recommendation</w:t>
      </w:r>
      <w:r w:rsidRPr="005603A8">
        <w:rPr>
          <w:rFonts w:ascii="Verdana" w:hAnsi="Verdana" w:cs="Calibri"/>
          <w:color w:val="auto"/>
          <w:sz w:val="24"/>
          <w:szCs w:val="24"/>
        </w:rPr>
        <w:t xml:space="preserve"> here</w:t>
      </w:r>
      <w:r w:rsidRPr="005603A8">
        <w:rPr>
          <w:rFonts w:ascii="Verdana" w:hAnsi="Verdana" w:cs="Calibri"/>
          <w:color w:val="auto"/>
          <w:sz w:val="24"/>
          <w:szCs w:val="24"/>
        </w:rPr>
        <w:t>, grounded in comparative international evidence, is that fiscal devolution must be designed as a system rather than assembled as a sequence of instruments. The international models that work — in Germany, Australia, Denmark, Japan and Canada — share a common architectural feature: they treat fiscal autonomy and fiscal redistribution as jointly designed, simultaneously delivered components of a single settlement. They do not extend autonomy first and address equalisation later. T</w:t>
      </w:r>
      <w:r w:rsidRPr="005603A8">
        <w:rPr>
          <w:rFonts w:ascii="Verdana" w:hAnsi="Verdana" w:cs="Calibri"/>
          <w:color w:val="auto"/>
          <w:sz w:val="24"/>
          <w:szCs w:val="24"/>
        </w:rPr>
        <w:t xml:space="preserve">hey do not design for the most capable places and expect the least capable to </w:t>
      </w:r>
      <w:r w:rsidRPr="005603A8">
        <w:rPr>
          <w:rFonts w:ascii="Verdana" w:hAnsi="Verdana" w:cs="Calibri"/>
          <w:color w:val="auto"/>
          <w:sz w:val="24"/>
          <w:szCs w:val="24"/>
        </w:rPr>
        <w:t>follow. They embed constitutional protections,</w:t>
      </w:r>
      <w:r w:rsidRPr="005603A8">
        <w:rPr>
          <w:rFonts w:ascii="Verdana" w:hAnsi="Verdana" w:cs="Calibri"/>
          <w:color w:val="auto"/>
          <w:sz w:val="24"/>
          <w:szCs w:val="24"/>
        </w:rPr>
        <w:t xml:space="preserve"> clear</w:t>
      </w:r>
      <w:r w:rsidRPr="005603A8">
        <w:rPr>
          <w:rFonts w:ascii="Verdana" w:hAnsi="Verdana" w:cs="Calibri"/>
          <w:color w:val="auto"/>
          <w:sz w:val="24"/>
          <w:szCs w:val="24"/>
        </w:rPr>
        <w:t xml:space="preserve"> arbitration, and transparent formula-driven redistribution into the architecture from the outset.</w:t>
      </w:r>
    </w:p>
    <w:p w:rsidR="00DA6EB4" w:rsidRPr="005603A8" w:rsidP="005603A8">
      <w:pPr>
        <w:pStyle w:val="ListParagraph"/>
        <w:numPr>
          <w:ilvl w:val="0"/>
          <w:numId w:val="2"/>
        </w:numPr>
        <w:spacing w:before="60" w:after="160" w:line="480" w:lineRule="auto"/>
        <w:rPr>
          <w:rFonts w:ascii="Verdana" w:hAnsi="Verdana" w:cs="Calibri"/>
          <w:color w:val="auto"/>
          <w:sz w:val="24"/>
          <w:szCs w:val="24"/>
        </w:rPr>
      </w:pPr>
      <w:r w:rsidRPr="005603A8">
        <w:rPr>
          <w:rFonts w:ascii="Verdana" w:hAnsi="Verdana" w:cs="Calibri"/>
          <w:color w:val="auto"/>
          <w:sz w:val="24"/>
          <w:szCs w:val="24"/>
        </w:rPr>
        <w:t xml:space="preserve">England has an opportunity to learn from this evidence. It also has an obligation to its whole territory — not only the most dynamic city-regions, but the post-industrial towns, coastal communities, rural areas and structurally disadvantaged localities that have the greatest need for a fiscal system that delivers genuine resilience. Fiscal autonomy without equalisation rewards economic geography, not democratic service provision. The destination must be a genuinely integrated system — purposively designed, </w:t>
      </w:r>
      <w:r w:rsidRPr="005603A8">
        <w:rPr>
          <w:rFonts w:ascii="Verdana" w:hAnsi="Verdana" w:cs="Calibri"/>
          <w:color w:val="auto"/>
          <w:sz w:val="24"/>
          <w:szCs w:val="24"/>
        </w:rPr>
        <w:t>structurally coherent, independently governed, and adequately resourced.</w:t>
      </w:r>
    </w:p>
    <w:p w:rsidR="00DA6EB4" w:rsidP="005603A8">
      <w:pPr>
        <w:pStyle w:val="ListParagraph"/>
        <w:numPr>
          <w:ilvl w:val="0"/>
          <w:numId w:val="2"/>
        </w:numPr>
        <w:spacing w:before="60" w:after="160" w:line="480" w:lineRule="auto"/>
        <w:rPr>
          <w:rFonts w:ascii="Verdana" w:hAnsi="Verdana" w:cs="Calibri"/>
          <w:color w:val="auto"/>
          <w:sz w:val="24"/>
          <w:szCs w:val="24"/>
        </w:rPr>
      </w:pPr>
      <w:r w:rsidRPr="005603A8">
        <w:rPr>
          <w:rFonts w:ascii="Verdana" w:hAnsi="Verdana" w:cs="Calibri"/>
          <w:color w:val="auto"/>
          <w:sz w:val="24"/>
          <w:szCs w:val="24"/>
        </w:rPr>
        <w:t>The ship has been steadied. It is time to consider whether it is seaworthy for the journey ahead.</w:t>
      </w:r>
    </w:p>
    <w:p w:rsidR="005603A8" w:rsidRPr="005603A8" w:rsidP="005603A8">
      <w:pPr>
        <w:spacing w:before="60" w:after="160" w:line="480" w:lineRule="auto"/>
        <w:rPr>
          <w:rFonts w:ascii="Verdana" w:hAnsi="Verdana" w:cs="Calibri"/>
          <w:i/>
          <w:iCs/>
          <w:color w:val="auto"/>
          <w:sz w:val="24"/>
          <w:szCs w:val="24"/>
        </w:rPr>
      </w:pPr>
      <w:r w:rsidRPr="005603A8">
        <w:rPr>
          <w:rFonts w:ascii="Verdana" w:hAnsi="Verdana" w:cs="Calibri"/>
          <w:i/>
          <w:iCs/>
          <w:color w:val="auto"/>
          <w:sz w:val="24"/>
          <w:szCs w:val="24"/>
        </w:rPr>
        <w:t>22 May 2026</w:t>
      </w:r>
    </w:p>
    <w:p w:rsidR="00DA6EB4" w:rsidRPr="005603A8">
      <w:pPr>
        <w:spacing w:before="60" w:after="80"/>
        <w:rPr>
          <w:rFonts w:ascii="Verdana" w:hAnsi="Verdana" w:cs="Calibri"/>
          <w:color w:val="auto"/>
        </w:rPr>
      </w:pPr>
    </w:p>
    <w:sectPr>
      <w:footerReference w:type="default" r:id="rId4"/>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6EB4">
    <w:pPr>
      <w:jc w:val="cen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448F70D0"/>
    <w:multiLevelType w:val="hybridMultilevel"/>
    <w:tmpl w:val="871262A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5E21688C"/>
    <w:multiLevelType w:val="hybridMultilevel"/>
    <w:tmpl w:val="39888322"/>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num w:numId="1">
    <w:abstractNumId w:val="1"/>
    <w:lvlOverride w:ilvl="0">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1A1A1A"/>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uiPriority w:val="9"/>
    <w:qFormat/>
    <w:pPr>
      <w:spacing w:before="400" w:after="120"/>
      <w:outlineLvl w:val="0"/>
    </w:pPr>
    <w:rPr>
      <w:b/>
      <w:bCs/>
      <w:color w:val="5B2C8D"/>
      <w:sz w:val="30"/>
      <w:szCs w:val="30"/>
    </w:rPr>
  </w:style>
  <w:style w:type="paragraph" w:styleId="Heading2">
    <w:name w:val="heading 2"/>
    <w:uiPriority w:val="9"/>
    <w:unhideWhenUsed/>
    <w:qFormat/>
    <w:pPr>
      <w:spacing w:before="280" w:after="80"/>
      <w:outlineLvl w:val="1"/>
    </w:pPr>
    <w:rPr>
      <w:b/>
      <w:bCs/>
      <w:color w:val="5B2C8D"/>
      <w:sz w:val="24"/>
      <w:szCs w:val="24"/>
    </w:rPr>
  </w:style>
  <w:style w:type="paragraph" w:styleId="Heading3">
    <w:name w:val="heading 3"/>
    <w:uiPriority w:val="9"/>
    <w:unhideWhenUsed/>
    <w:qFormat/>
    <w:pPr>
      <w:spacing w:before="200" w:after="60"/>
      <w:outlineLvl w:val="2"/>
    </w:pPr>
    <w:rPr>
      <w:b/>
      <w:bCs/>
      <w:i/>
      <w:iCs/>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1859F7"/>
    <w:pPr>
      <w:tabs>
        <w:tab w:val="center" w:pos="4513"/>
        <w:tab w:val="right" w:pos="9026"/>
      </w:tabs>
    </w:pPr>
  </w:style>
  <w:style w:type="character" w:customStyle="1" w:styleId="HeaderChar">
    <w:name w:val="Header Char"/>
    <w:basedOn w:val="DefaultParagraphFont"/>
    <w:link w:val="Header"/>
    <w:uiPriority w:val="99"/>
    <w:rsid w:val="001859F7"/>
  </w:style>
  <w:style w:type="paragraph" w:styleId="Footer">
    <w:name w:val="footer"/>
    <w:basedOn w:val="Normal"/>
    <w:link w:val="FooterChar"/>
    <w:uiPriority w:val="99"/>
    <w:unhideWhenUsed/>
    <w:rsid w:val="001859F7"/>
    <w:pPr>
      <w:tabs>
        <w:tab w:val="center" w:pos="4513"/>
        <w:tab w:val="right" w:pos="9026"/>
      </w:tabs>
    </w:pPr>
  </w:style>
  <w:style w:type="character" w:customStyle="1" w:styleId="FooterChar">
    <w:name w:val="Footer Char"/>
    <w:basedOn w:val="DefaultParagraphFont"/>
    <w:link w:val="Footer"/>
    <w:uiPriority w:val="99"/>
    <w:rsid w:val="001859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FDE0005</dc:title>
  <cp:revision>0</cp:revision>
</cp:coreProperties>
</file>