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3E71" w:rsidP="003E0302">
      <w:pPr>
        <w:spacing w:after="0"/>
        <w:jc w:val="center"/>
        <w:rPr>
          <w:b/>
          <w:bCs/>
          <w:sz w:val="28"/>
          <w:szCs w:val="28"/>
        </w:rPr>
      </w:pPr>
      <w:r>
        <w:rPr>
          <w:b/>
          <w:bCs/>
          <w:sz w:val="28"/>
          <w:szCs w:val="28"/>
        </w:rPr>
        <w:t>WRITTEN EVIDENCE SUBMITTED BY LIBERTY</w:t>
      </w:r>
    </w:p>
    <w:p w:rsidR="003E0302" w:rsidP="003E0302">
      <w:pPr>
        <w:spacing w:after="0"/>
        <w:jc w:val="center"/>
        <w:rPr>
          <w:b/>
          <w:bCs/>
          <w:sz w:val="28"/>
          <w:szCs w:val="28"/>
        </w:rPr>
      </w:pPr>
    </w:p>
    <w:p w:rsidR="003E0302" w:rsidP="003E0302">
      <w:pPr>
        <w:spacing w:after="0"/>
        <w:jc w:val="center"/>
        <w:rPr>
          <w:b/>
          <w:bCs/>
          <w:sz w:val="28"/>
          <w:szCs w:val="28"/>
        </w:rPr>
      </w:pPr>
      <w:r>
        <w:rPr>
          <w:b/>
          <w:bCs/>
          <w:sz w:val="28"/>
          <w:szCs w:val="28"/>
        </w:rPr>
        <w:t>(SSP0052)</w:t>
      </w:r>
    </w:p>
    <w:p w:rsidR="003E0302" w:rsidP="00700083">
      <w:pPr>
        <w:spacing w:after="0"/>
        <w:rPr>
          <w:b/>
          <w:bCs/>
          <w:sz w:val="28"/>
          <w:szCs w:val="28"/>
        </w:rPr>
      </w:pPr>
    </w:p>
    <w:p w:rsidR="003E0302" w:rsidRPr="00F25D89" w:rsidP="00700083">
      <w:pPr>
        <w:spacing w:after="0"/>
        <w:rPr>
          <w:b/>
          <w:bCs/>
          <w:sz w:val="28"/>
          <w:szCs w:val="28"/>
        </w:rPr>
      </w:pPr>
    </w:p>
    <w:p w:rsidR="00DB3E71" w:rsidRPr="009015A1">
      <w:pPr>
        <w:rPr>
          <w:b/>
          <w:bCs/>
          <w:u w:val="single"/>
        </w:rPr>
      </w:pPr>
      <w:r w:rsidRPr="009015A1">
        <w:rPr>
          <w:b/>
          <w:bCs/>
          <w:u w:val="single"/>
        </w:rPr>
        <w:t xml:space="preserve">Overview </w:t>
      </w:r>
    </w:p>
    <w:p w:rsidR="00DB3E71">
      <w:r>
        <w:t>Protest stands at the heart of our democracy. From the suffragettes to the miners’ strikes, from the campaign to abolish apartheid to the active anti</w:t>
      </w:r>
      <w:r>
        <w:t xml:space="preserve">-war movement today, protest has always been a </w:t>
      </w:r>
      <w:r>
        <w:t xml:space="preserve">fundamental </w:t>
      </w:r>
      <w:r>
        <w:t xml:space="preserve">part of our civic life. </w:t>
      </w:r>
    </w:p>
    <w:p w:rsidR="00DB3E71">
      <w:r>
        <w:t xml:space="preserve">The right to protest is underpinned by Articles 10 and 11 of the European Convention on Human Rights (ECHR) – </w:t>
      </w:r>
      <w:r>
        <w:t xml:space="preserve">incorporated into UK law through the Human Rights Act (HRA). </w:t>
      </w:r>
      <w:r>
        <w:t xml:space="preserve">These are not just rights for us as individuals but also rights that the state has a legal duty to protect. </w:t>
      </w:r>
    </w:p>
    <w:p w:rsidR="00DB3E71">
      <w:r>
        <w:t>T</w:t>
      </w:r>
      <w:r>
        <w:t xml:space="preserve">he right to protest is not an unfettered right – it will always be bounded by certain restrictions. </w:t>
      </w:r>
      <w:r>
        <w:t>However, a</w:t>
      </w:r>
      <w:r>
        <w:t xml:space="preserve">ny restrictions must be lawful, proportionate, and pursue a legitimate aim. </w:t>
      </w:r>
    </w:p>
    <w:p w:rsidR="00DB3E71">
      <w:r>
        <w:t xml:space="preserve">In the last five years we have seen swathes of new legislation which has increased state powers, introduced new </w:t>
      </w:r>
      <w:r>
        <w:t xml:space="preserve">criminal offences and sanctions, and lowered the threshold for police intervention in protest. </w:t>
      </w:r>
      <w:r>
        <w:t>The changes have been piecemeal</w:t>
      </w:r>
      <w:r>
        <w:t xml:space="preserve"> and ad hoc, rather than as part of a single, coherent review of what is necessary in a democratic society to manage public order while respecting rights.</w:t>
      </w:r>
      <w:r>
        <w:t xml:space="preserve"> They have also been conceptually and legally unclear. </w:t>
      </w:r>
    </w:p>
    <w:p w:rsidR="00DB3E71">
      <w:r>
        <w:t xml:space="preserve">This includes not only legislation from the previous </w:t>
      </w:r>
      <w:r>
        <w:t>G</w:t>
      </w:r>
      <w:r>
        <w:t xml:space="preserve">overnment, but new legislation from the current </w:t>
      </w:r>
      <w:r>
        <w:t>G</w:t>
      </w:r>
      <w:r>
        <w:t>overnment</w:t>
      </w:r>
      <w:r>
        <w:t xml:space="preserve"> in the form of the Crime and Policing Act</w:t>
      </w:r>
      <w:r>
        <w:t xml:space="preserve"> (CPA) 2026</w:t>
      </w:r>
      <w:r>
        <w:t xml:space="preserve">, even while there has been an ongoing review of public order legislation governing protest in the Macdonald Review which has yet to report. </w:t>
      </w:r>
    </w:p>
    <w:p w:rsidR="00DB3E71" w:rsidP="00716867">
      <w:r>
        <w:t>As a result of the reactive, piecemeal approach</w:t>
      </w:r>
      <w:r>
        <w:t>, t</w:t>
      </w:r>
      <w:r>
        <w:t>he current legislation governing protest is unwieldy and unenforceable.</w:t>
      </w:r>
      <w:r>
        <w:t xml:space="preserve"> What was once a relatively self-contained set of provisions in the P</w:t>
      </w:r>
      <w:r>
        <w:t xml:space="preserve">ublic </w:t>
      </w:r>
      <w:r>
        <w:t>O</w:t>
      </w:r>
      <w:r>
        <w:t xml:space="preserve">rder </w:t>
      </w:r>
      <w:r>
        <w:t>A</w:t>
      </w:r>
      <w:r>
        <w:t>ct (POA)</w:t>
      </w:r>
      <w:r>
        <w:t xml:space="preserve"> 1986 is now overlaid with successive waves of new legislation, including the </w:t>
      </w:r>
      <w:r>
        <w:t>Police, Crime</w:t>
      </w:r>
      <w:r>
        <w:t>, Sentencing and Courts Act (</w:t>
      </w:r>
      <w:r>
        <w:t>PCSCA</w:t>
      </w:r>
      <w:r>
        <w:t>)</w:t>
      </w:r>
      <w:r>
        <w:t xml:space="preserve"> 2022, the </w:t>
      </w:r>
      <w:r>
        <w:t>Public Order Act (</w:t>
      </w:r>
      <w:r>
        <w:t>POA</w:t>
      </w:r>
      <w:r>
        <w:t>)</w:t>
      </w:r>
      <w:r>
        <w:t xml:space="preserve"> 2023, and now the CPA 2026. Each of these has introduced new powers, offences, and thresholds or has amended existing concepts. </w:t>
      </w:r>
      <w:r>
        <w:t xml:space="preserve">This has made it more difficult to police </w:t>
      </w:r>
      <w:r>
        <w:t>protest consistent</w:t>
      </w:r>
      <w:r>
        <w:t xml:space="preserve">ly </w:t>
      </w:r>
      <w:r>
        <w:t xml:space="preserve">as well as causing confusion for protestors who are now unsure how to protest safely and lawfully. </w:t>
      </w:r>
    </w:p>
    <w:p w:rsidR="00DB3E71" w:rsidP="00716867">
      <w:r>
        <w:t xml:space="preserve">The Government has asked Lord Macdonald of River Glaven to undertake an independent review of public order and hate crime legislation, which is expected to be published shortly. </w:t>
      </w:r>
      <w:r>
        <w:t xml:space="preserve">Liberty is calling for </w:t>
      </w:r>
      <w:r>
        <w:t xml:space="preserve">the repeal </w:t>
      </w:r>
      <w:r>
        <w:t xml:space="preserve">of the most restrictive measures in the </w:t>
      </w:r>
      <w:r>
        <w:t>PCSCA 2022, POA 2023 and CPA 2026 and a wholesale simplification of public order law</w:t>
      </w:r>
      <w:r>
        <w:t xml:space="preserve">, including by: </w:t>
      </w:r>
    </w:p>
    <w:p w:rsidR="00DB3E71" w:rsidP="000F7ADA">
      <w:pPr>
        <w:pStyle w:val="ListParagraph"/>
        <w:numPr>
          <w:ilvl w:val="0"/>
          <w:numId w:val="2"/>
        </w:numPr>
      </w:pPr>
      <w:r>
        <w:t>Repeal</w:t>
      </w:r>
      <w:r>
        <w:t>ing</w:t>
      </w:r>
      <w:r>
        <w:t xml:space="preserve"> key post</w:t>
      </w:r>
      <w:r>
        <w:t>-</w:t>
      </w:r>
      <w:r>
        <w:t xml:space="preserve">2022 legislative expansions including the statutory public nuisance offence, </w:t>
      </w:r>
      <w:r>
        <w:t>noise ground for imposing conditions, all protest-specific offences in Part I POA 2023</w:t>
      </w:r>
      <w:r>
        <w:t xml:space="preserve"> including “locking on” offences, and protest-linked stop and search powers. </w:t>
      </w:r>
    </w:p>
    <w:p w:rsidR="00DB3E71" w:rsidP="000F7ADA">
      <w:pPr>
        <w:pStyle w:val="ListParagraph"/>
        <w:numPr>
          <w:ilvl w:val="0"/>
          <w:numId w:val="2"/>
        </w:numPr>
      </w:pPr>
      <w:r>
        <w:t>Repeal</w:t>
      </w:r>
      <w:r>
        <w:t>ing</w:t>
      </w:r>
      <w:r>
        <w:t xml:space="preserve"> Part</w:t>
      </w:r>
      <w:r>
        <w:t xml:space="preserve"> 2 POA 2023 and treat</w:t>
      </w:r>
      <w:r>
        <w:t>ing</w:t>
      </w:r>
      <w:r>
        <w:t xml:space="preserve"> Serious Disruption Prevention Orders (SDPOs) as incompatible with a human rights framework. </w:t>
      </w:r>
    </w:p>
    <w:p w:rsidR="00DB3E71" w:rsidP="00700083">
      <w:pPr>
        <w:pStyle w:val="ListParagraph"/>
        <w:numPr>
          <w:ilvl w:val="0"/>
          <w:numId w:val="2"/>
        </w:numPr>
      </w:pPr>
      <w:r>
        <w:t>Reaffirming a high “serious disruption” threshold under the POA 1986 and remove the ministerial discretion to redefine it introduced in the PCSCA 2022.</w:t>
      </w:r>
    </w:p>
    <w:p w:rsidR="00DB3E71">
      <w:r>
        <w:t>In the interest of brevity, t</w:t>
      </w:r>
      <w:r>
        <w:t xml:space="preserve">he remainder of the response will </w:t>
      </w:r>
      <w:r>
        <w:t>look in more detail at questions 1,</w:t>
      </w:r>
      <w:r>
        <w:t xml:space="preserve"> </w:t>
      </w:r>
      <w:r>
        <w:t>3,</w:t>
      </w:r>
      <w:r>
        <w:t xml:space="preserve"> </w:t>
      </w:r>
      <w:r>
        <w:t>4,</w:t>
      </w:r>
      <w:r>
        <w:t xml:space="preserve"> </w:t>
      </w:r>
      <w:r>
        <w:t>8, 12, and 13.</w:t>
      </w:r>
      <w:r>
        <w:t xml:space="preserve"> </w:t>
      </w:r>
    </w:p>
    <w:p w:rsidR="00DB3E71" w:rsidP="00F25D89">
      <w:pPr>
        <w:rPr>
          <w:b/>
          <w:bCs/>
        </w:rPr>
      </w:pPr>
    </w:p>
    <w:p w:rsidR="00DB3E71" w:rsidRPr="009015A1" w:rsidP="00F25D89">
      <w:pPr>
        <w:rPr>
          <w:b/>
          <w:bCs/>
          <w:u w:val="single"/>
        </w:rPr>
      </w:pPr>
      <w:r w:rsidRPr="009015A1">
        <w:rPr>
          <w:b/>
          <w:bCs/>
          <w:u w:val="single"/>
        </w:rPr>
        <w:t>About Liberty</w:t>
      </w:r>
    </w:p>
    <w:p w:rsidR="00DB3E71" w:rsidP="00F25D89">
      <w:r w:rsidRPr="000A117B">
        <w:t>Liberty is an independent membership organisation founded in 1934. Since then, it has worked to defend civil liberties and human rights in the United Kingdom, with a long track record of upholding the rights to protest and free expression. We challenge injustice, defend freedom</w:t>
      </w:r>
      <w:r>
        <w:t>,</w:t>
      </w:r>
      <w:r w:rsidRPr="000A117B">
        <w:t xml:space="preserve"> and campaign to make sure everyone in the UK is treated fairly. We are campaigners, lawyers</w:t>
      </w:r>
      <w:r>
        <w:t>,</w:t>
      </w:r>
      <w:r w:rsidRPr="000A117B">
        <w:t xml:space="preserve"> and policy experts who work together to protect rights and hold the powerful to account.</w:t>
      </w:r>
    </w:p>
    <w:p w:rsidR="00DB3E71" w:rsidP="00F25D89">
      <w:r>
        <w:t xml:space="preserve">This written evidence should be read alongside the oral evidence that Liberty’s Director, Akiko Hart, gave to the Committee on 15 April 2026. </w:t>
      </w:r>
    </w:p>
    <w:p w:rsidR="00DB3E71"/>
    <w:p w:rsidR="00DB3E71" w:rsidRPr="003A7DF8" w:rsidP="003A7DF8">
      <w:pPr>
        <w:rPr>
          <w:b/>
          <w:bCs/>
          <w:u w:val="single"/>
        </w:rPr>
      </w:pPr>
      <w:r w:rsidRPr="003A7DF8">
        <w:rPr>
          <w:b/>
          <w:bCs/>
          <w:u w:val="single"/>
        </w:rPr>
        <w:t>Legal framework and existing legislation </w:t>
      </w:r>
    </w:p>
    <w:p w:rsidR="00DB3E71" w:rsidP="003A7DF8">
      <w:pPr>
        <w:rPr>
          <w:b/>
          <w:bCs/>
        </w:rPr>
      </w:pPr>
      <w:r w:rsidRPr="00C534BD">
        <w:rPr>
          <w:b/>
          <w:bCs/>
        </w:rPr>
        <w:t>1) Recent legislation such as the Police, Crime, Sentencing and Courts Act 2022 and the Public Order Act 2023 have strengthened police powers to restrict protests and expanded the criminalisation of protest related activities. What has been the impact of recent legislation on the right to protest? </w:t>
      </w:r>
    </w:p>
    <w:p w:rsidR="00DB3E71" w:rsidP="003A7DF8">
      <w:r>
        <w:t>Over the past four years, particularly since the PCSCA 2022 and the POA 2023, the use of public order powers in England and Wales has shifted from a relatively limited set of tools focused on violence and serious disorder to a much denser regime that relies o</w:t>
      </w:r>
      <w:r>
        <w:t>n</w:t>
      </w:r>
      <w:r>
        <w:t xml:space="preserve"> broad conditions, protest-specific offences, and preventive orders. In practice this is a move away from a presumption in favour of facilitating protest towards a model in which disruptive or persistent protest is treated as a problem to be pre-empted and deterred. </w:t>
      </w:r>
    </w:p>
    <w:p w:rsidR="00DB3E71" w:rsidP="003A7DF8">
      <w:r>
        <w:t xml:space="preserve">One indicator of this trend is the frequent imposition of conditions on protests. Conditions are now routinely imposed on major marches and static protests, rather than being used as exceptional tools for managing genuine risk of serious disorder. </w:t>
      </w:r>
      <w:r>
        <w:t xml:space="preserve">Home Office data shows that between June 2022, when police forces were given additional powers to restrict protest in the </w:t>
      </w:r>
      <w:r>
        <w:t>PCSCA</w:t>
      </w:r>
      <w:r>
        <w:t xml:space="preserve"> 2022, and March 2025, </w:t>
      </w:r>
      <w:r>
        <w:t>sections 12 and 14 of the P</w:t>
      </w:r>
      <w:r>
        <w:t>OA</w:t>
      </w:r>
      <w:r>
        <w:t xml:space="preserve"> 1986 (as amended by the PCSC</w:t>
      </w:r>
      <w:r>
        <w:t>A</w:t>
      </w:r>
      <w:r>
        <w:t>) were used to apply conditions to 640 protests. Of the 17 police forces in England and Wales that used the new powers, the Metropolitan Police used them most often, applying conditions to 570 protests between April 2023 and March 2025.</w:t>
      </w:r>
      <w:r>
        <w:rPr>
          <w:rStyle w:val="FootnoteReference"/>
        </w:rPr>
        <w:footnoteReference w:id="2"/>
      </w:r>
      <w:r>
        <w:t xml:space="preserve"> </w:t>
      </w:r>
      <w:r>
        <w:t>In total, 519 people were arrested for breaching conditions at protests</w:t>
      </w:r>
      <w:r>
        <w:t xml:space="preserve"> between June 2022 and March 2025</w:t>
      </w:r>
      <w:r>
        <w:t xml:space="preserve">. </w:t>
      </w:r>
    </w:p>
    <w:p w:rsidR="00DB3E71" w:rsidP="003A7DF8">
      <w:r>
        <w:t>The PCSCA 2022 lowered thresholds and expanded the grounds for imposing conditions, including by introducing noise</w:t>
      </w:r>
      <w:r>
        <w:t>-</w:t>
      </w:r>
      <w:r>
        <w:t xml:space="preserve">based conditions and widening the concept of “serious disruption to the life of the community”. </w:t>
      </w:r>
      <w:r>
        <w:t xml:space="preserve">As the figures show, this shifted the balance away from facilitating protest towards applying conditions routinely. </w:t>
      </w:r>
      <w:r>
        <w:t>Conditions are sometimes framed</w:t>
      </w:r>
      <w:r>
        <w:t xml:space="preserve"> in very broad terms that cover wide geographical areas, long time periods, or broad categories of conduct. In practice, </w:t>
      </w:r>
      <w:r>
        <w:t xml:space="preserve">organisers </w:t>
      </w:r>
      <w:r>
        <w:t>are</w:t>
      </w:r>
      <w:r>
        <w:t xml:space="preserve"> often</w:t>
      </w:r>
      <w:r>
        <w:t xml:space="preserve"> told that the route, location, or timing of a protest has been fixed in advance by the police, with limited scope for negotiat</w:t>
      </w:r>
      <w:r>
        <w:t xml:space="preserve">ion. Deviation from these conditions may attract criminal liability even where no violence or serious disorder is anticipated. </w:t>
      </w:r>
    </w:p>
    <w:p w:rsidR="00DB3E71" w:rsidP="003A7DF8">
      <w:r>
        <w:t>Protest organisers are spending increasing amounts of time trying to understand and communicate these conditions to participants. One example was the Berkshire Farmers planned protest for Budget Day in November 2025, for which Liberty provided informal advice. Following cooperation with the Metropolitan Police over the location and timing of an assembly, a Section 14 condition was imposed less than 24 hours before the protest was meant to take place.</w:t>
      </w:r>
      <w:r>
        <w:rPr>
          <w:rStyle w:val="FootnoteReference"/>
        </w:rPr>
        <w:footnoteReference w:id="3"/>
      </w:r>
      <w:r>
        <w:t xml:space="preserve"> This not only banned the use of vehicles at the protest but also significantly reduced the space in which the protest was allowed to take place. The late imposition of the protest left organisers with real challenges to </w:t>
      </w:r>
      <w:r>
        <w:t>communicate the new restrictions to</w:t>
      </w:r>
      <w:r>
        <w:t xml:space="preserve"> participants, many of whom were already travelling to the protest. </w:t>
      </w:r>
    </w:p>
    <w:p w:rsidR="00DB3E71" w:rsidP="00663906">
      <w:r>
        <w:t>From the perspective of those trying to use or apply it, the current protest and public order framework is no longer clear or accessible. Each piece of legislation has introduced new offences, new conditions, and new threshold tests, often reusing similar language in slightly different ways. Protesters and organisers consistently tell us that they cannot reliably predict when conduct will be treated as crossing into “serious disruption” or “intimidation”, or when conditions will be imposed, because the test</w:t>
      </w:r>
      <w:r>
        <w:t xml:space="preserve">s are </w:t>
      </w:r>
      <w:r>
        <w:t xml:space="preserve">fragmented across multiple statutes and guidance documents and have been changed several times in quick succession. </w:t>
      </w:r>
    </w:p>
    <w:p w:rsidR="00DB3E71" w:rsidP="00C013F3">
      <w:r>
        <w:t>One example is t</w:t>
      </w:r>
      <w:r>
        <w:t>he creation of a statutory offence of public nuisance</w:t>
      </w:r>
      <w:r>
        <w:t>,</w:t>
      </w:r>
      <w:r>
        <w:t xml:space="preserve"> </w:t>
      </w:r>
      <w:r>
        <w:t xml:space="preserve">which has </w:t>
      </w:r>
      <w:r>
        <w:t>introduced further uncertainty about the line between legitimate protest disruption and criminal “serious harm”, particularly given the breadth of concepts such as “serious distress”, “serious annoyance”, “serious inconvenience” or “serious loss of amenity”.</w:t>
      </w:r>
      <w:r>
        <w:t xml:space="preserve"> </w:t>
      </w:r>
      <w:r>
        <w:t>This has created confusion for protesters but also difficult</w:t>
      </w:r>
      <w:r>
        <w:t>y</w:t>
      </w:r>
      <w:r>
        <w:t xml:space="preserve"> for the police in enforcing the law effectively and consistently. Research by Greenpeace found that over six years between 201</w:t>
      </w:r>
      <w:r>
        <w:t>9 and 2025 the Met Police had arrested over 600 people in London for conspiracy to cause public nuisance but only 18 – less than 3% - resulted in charges.</w:t>
      </w:r>
      <w:r>
        <w:rPr>
          <w:rStyle w:val="FootnoteReference"/>
        </w:rPr>
        <w:footnoteReference w:id="4"/>
      </w:r>
      <w:r>
        <w:t xml:space="preserve"> </w:t>
      </w:r>
    </w:p>
    <w:p w:rsidR="00DB3E71" w:rsidP="003A7DF8">
      <w:r>
        <w:t>This</w:t>
      </w:r>
      <w:r>
        <w:t xml:space="preserve"> uncertainty</w:t>
      </w:r>
      <w:r>
        <w:t xml:space="preserve"> is exacerbated </w:t>
      </w:r>
      <w:r>
        <w:t xml:space="preserve">by </w:t>
      </w:r>
      <w:r>
        <w:t>s</w:t>
      </w:r>
      <w:r>
        <w:t>ome</w:t>
      </w:r>
      <w:r>
        <w:t xml:space="preserve"> of the new offences </w:t>
      </w:r>
      <w:r>
        <w:t>being</w:t>
      </w:r>
      <w:r>
        <w:t xml:space="preserve"> drafted broadly – in the context of “locking on”, for example, the offence can capture any activity involving people “attaching themselves to others, objects, or land, even though “attach” is not defined in statute. </w:t>
      </w:r>
      <w:r>
        <w:t xml:space="preserve">The breadth of the offence risks criminalising very ordinary protest behaviour such as linking arms, using props, or even carrying everyday objects that could be used “in connection with” protest. </w:t>
      </w:r>
    </w:p>
    <w:p w:rsidR="00DB3E71" w:rsidP="003A7DF8">
      <w:r>
        <w:t xml:space="preserve">This was illustrated by Greenpeace’s plastic pollution protest outside Unilever’s London headquarters in September 2024, when </w:t>
      </w:r>
      <w:r>
        <w:t xml:space="preserve">26 </w:t>
      </w:r>
      <w:r>
        <w:t>activists faced charges under the new “locking on” offence for attaching themselves to large symbolic props. The Crown Prosecution Service (CPS) later dropped the case citing insufficient evidence.</w:t>
      </w:r>
      <w:r>
        <w:rPr>
          <w:rStyle w:val="FootnoteReference"/>
        </w:rPr>
        <w:footnoteReference w:id="5"/>
      </w:r>
      <w:r>
        <w:t xml:space="preserve"> </w:t>
      </w:r>
      <w:r>
        <w:t>During the Coronation in May 2023, protesters from Republic were arrested while unloading placards, and police treated ordinary straps used to secure signs as potential “lock-on” equipment. The Metropolitan Police later expressed “regret” that they had been arrested after they were</w:t>
      </w:r>
      <w:r>
        <w:t xml:space="preserve"> </w:t>
      </w:r>
      <w:r>
        <w:t>released without charge</w:t>
      </w:r>
      <w:r>
        <w:t>,</w:t>
      </w:r>
      <w:r>
        <w:t xml:space="preserve"> and the force admitted it could find no evidence to prove that the items seized by officers would be used to disrupt the event.</w:t>
      </w:r>
      <w:r>
        <w:rPr>
          <w:rStyle w:val="FootnoteReference"/>
        </w:rPr>
        <w:footnoteReference w:id="6"/>
      </w:r>
      <w:r>
        <w:t xml:space="preserve"> </w:t>
      </w:r>
    </w:p>
    <w:p w:rsidR="00DB3E71" w:rsidP="00554BEF">
      <w:r w:rsidRPr="00F249E6">
        <w:t>Alongside offences such as ‘locking on’, being ‘equipped for locking on’, and various</w:t>
      </w:r>
      <w:r>
        <w:t xml:space="preserve"> </w:t>
      </w:r>
      <w:r w:rsidRPr="00F249E6">
        <w:t>tunnelling offences, S</w:t>
      </w:r>
      <w:r>
        <w:t xml:space="preserve">erious </w:t>
      </w:r>
      <w:r w:rsidRPr="00F249E6">
        <w:t>D</w:t>
      </w:r>
      <w:r>
        <w:t xml:space="preserve">isruption </w:t>
      </w:r>
      <w:r w:rsidRPr="00F249E6">
        <w:t>P</w:t>
      </w:r>
      <w:r>
        <w:t xml:space="preserve">revention </w:t>
      </w:r>
      <w:r w:rsidRPr="00F249E6">
        <w:t>O</w:t>
      </w:r>
      <w:r>
        <w:t>rder</w:t>
      </w:r>
      <w:r w:rsidRPr="00F249E6">
        <w:t>s</w:t>
      </w:r>
      <w:r>
        <w:t xml:space="preserve"> (SDPOs)</w:t>
      </w:r>
      <w:r w:rsidRPr="00F249E6">
        <w:t xml:space="preserve"> also</w:t>
      </w:r>
      <w:r>
        <w:t xml:space="preserve"> </w:t>
      </w:r>
      <w:r w:rsidRPr="00F249E6">
        <w:t>introduce a preventive architecture that can restrict future protest participation</w:t>
      </w:r>
      <w:r>
        <w:t xml:space="preserve"> </w:t>
      </w:r>
      <w:r w:rsidRPr="00F249E6">
        <w:t>and association on a low threshold, backed by criminal penalties for breach. Even</w:t>
      </w:r>
      <w:r>
        <w:t xml:space="preserve"> </w:t>
      </w:r>
      <w:r w:rsidRPr="00F249E6">
        <w:t>where these orders are not yet frequently imposed, their availability, and the</w:t>
      </w:r>
      <w:r>
        <w:t xml:space="preserve"> </w:t>
      </w:r>
      <w:r w:rsidRPr="00F249E6">
        <w:t xml:space="preserve">public signalling around their </w:t>
      </w:r>
      <w:r w:rsidRPr="00F249E6">
        <w:t xml:space="preserve">potential use, contribute to </w:t>
      </w:r>
      <w:r>
        <w:t xml:space="preserve">uncertainty and </w:t>
      </w:r>
      <w:r w:rsidRPr="00F249E6">
        <w:t>an increasingly risk -based</w:t>
      </w:r>
      <w:r>
        <w:t xml:space="preserve"> </w:t>
      </w:r>
      <w:r w:rsidRPr="00F249E6">
        <w:t xml:space="preserve">climate for known organisers and repeat participants. </w:t>
      </w:r>
    </w:p>
    <w:p w:rsidR="00DB3E71" w:rsidP="00554BEF">
      <w:r>
        <w:t xml:space="preserve">SDPOs allow courts to impose wide-ranging, protest-specific restrictions on individuals for up to two years, with the possibility of renewal, backed by criminal penalties for breach. Parliamentary scrutiny during the passage of the </w:t>
      </w:r>
      <w:r>
        <w:t>POA 2023</w:t>
      </w:r>
      <w:r>
        <w:t>, including by the JCHR, repeatedly warned that SDPOs risk functioning as “protest banning orders” in practice, because they target known organisers and prominent participants and regulate large parts of their political and personal lives without the safeguards that normally apply to criminal penalties.</w:t>
      </w:r>
      <w:r>
        <w:rPr>
          <w:rStyle w:val="FootnoteReference"/>
        </w:rPr>
        <w:footnoteReference w:id="7"/>
      </w:r>
      <w:r>
        <w:t xml:space="preserve"> </w:t>
      </w:r>
    </w:p>
    <w:p w:rsidR="00DB3E71" w:rsidP="003A7DF8">
      <w:pPr>
        <w:rPr>
          <w:b/>
          <w:bCs/>
        </w:rPr>
      </w:pPr>
      <w:r w:rsidRPr="00C534BD">
        <w:rPr>
          <w:b/>
          <w:bCs/>
        </w:rPr>
        <w:t>3) To what extent are restrictions on individuals taking part in protest, for example Serious Disruption Prevention Orders, compatible with Articles 10 and 11 in design and in practice? </w:t>
      </w:r>
    </w:p>
    <w:p w:rsidR="00DB3E71" w:rsidP="00554BEF">
      <w:r>
        <w:t xml:space="preserve">The starting point </w:t>
      </w:r>
      <w:r>
        <w:t xml:space="preserve">under Convention rights is </w:t>
      </w:r>
      <w:r>
        <w:t xml:space="preserve">that peaceful protests are allowed to proceed. </w:t>
      </w:r>
      <w:r>
        <w:t xml:space="preserve">Any restriction on protest or expression must be provided by law, pursue a legitimate aim, and be necessary in a democratic society. </w:t>
      </w:r>
      <w:r>
        <w:t xml:space="preserve">Within the Article 10 and 11 balancing exercise, particularly restrictive measures should be exceptional rather than routine. </w:t>
      </w:r>
      <w:r>
        <w:t>ECtHR case law has recognised that public assemblies may cause disruption or annoyance to others, but that this does not, by itself, remove them from the protection of Article 11</w:t>
      </w:r>
      <w:r>
        <w:t>;</w:t>
      </w:r>
      <w:r>
        <w:t xml:space="preserve"> a certain level of disruption must be tolerated if the right is to remain meaningful.</w:t>
      </w:r>
      <w:r>
        <w:rPr>
          <w:rStyle w:val="FootnoteReference"/>
        </w:rPr>
        <w:footnoteReference w:id="8"/>
      </w:r>
      <w:r>
        <w:t xml:space="preserve"> </w:t>
      </w:r>
    </w:p>
    <w:p w:rsidR="00DB3E71" w:rsidP="00554BEF">
      <w:r>
        <w:t>Any powers that permit advance restrictions on protests or that create protest specific offences must be framed in clear, narrow terms. The “prescribed by law” requirement under Articles 10(2) and 11(2) means that restrictions be formulated with sufficient precision to allow individuals to foresee the consequences of their actions.</w:t>
      </w:r>
      <w:r>
        <w:rPr>
          <w:rStyle w:val="FootnoteReference"/>
        </w:rPr>
        <w:footnoteReference w:id="9"/>
      </w:r>
      <w:r>
        <w:t xml:space="preserve"> Vague concepts that can be stretched to capture ordinary protest, </w:t>
      </w:r>
      <w:r>
        <w:t xml:space="preserve">including low disruption thresholds, </w:t>
      </w:r>
      <w:r>
        <w:t xml:space="preserve">sit uneasily with this requirement. </w:t>
      </w:r>
    </w:p>
    <w:p w:rsidR="00DB3E71" w:rsidP="00554BEF">
      <w:r>
        <w:t xml:space="preserve">The </w:t>
      </w:r>
      <w:r>
        <w:t>shift from facilitating protest to treating persistent or disruptive protest as a problem</w:t>
      </w:r>
      <w:r>
        <w:t xml:space="preserve"> is clearly in tension with Article 10 and 11 requirements and with treating protest as a fundamental right that the state has a duty to protect. </w:t>
      </w:r>
      <w:r>
        <w:t>A</w:t>
      </w:r>
      <w:r>
        <w:t xml:space="preserve"> number of restrictions introduced or expanded by the PCSCA 2022 and POA 2023 risk contravening Articles 10 and 11 in </w:t>
      </w:r>
      <w:r>
        <w:t>design</w:t>
      </w:r>
      <w:r>
        <w:t xml:space="preserve">. This includes measures like SDPOs and suspicionless stop and search.  </w:t>
      </w:r>
    </w:p>
    <w:p w:rsidR="00DB3E71" w:rsidP="00554BEF">
      <w:r w:rsidRPr="00F249E6">
        <w:t>Liberty opposed the</w:t>
      </w:r>
      <w:r>
        <w:t xml:space="preserve"> </w:t>
      </w:r>
      <w:r w:rsidRPr="00F249E6">
        <w:t>introduction of SDPOs and protest linked suspicionless stop and search, and</w:t>
      </w:r>
      <w:r>
        <w:t xml:space="preserve"> </w:t>
      </w:r>
      <w:r w:rsidRPr="00F249E6">
        <w:t>considers that powers of this kind should not form part of a rights compliant</w:t>
      </w:r>
      <w:r>
        <w:t xml:space="preserve"> </w:t>
      </w:r>
      <w:r w:rsidRPr="00F249E6">
        <w:t xml:space="preserve">protest framework. This view </w:t>
      </w:r>
      <w:r>
        <w:t>was</w:t>
      </w:r>
      <w:r w:rsidRPr="00F249E6">
        <w:t xml:space="preserve"> echoed by the </w:t>
      </w:r>
      <w:r>
        <w:t>JCHR during legislative scrutiny of the POA 2023</w:t>
      </w:r>
      <w:r w:rsidRPr="00F249E6">
        <w:t>, conclud</w:t>
      </w:r>
      <w:r>
        <w:t>ing</w:t>
      </w:r>
      <w:r w:rsidRPr="00F249E6">
        <w:t xml:space="preserve"> that </w:t>
      </w:r>
      <w:r>
        <w:t xml:space="preserve">suspicionless stop and search powers and </w:t>
      </w:r>
      <w:r w:rsidRPr="00F249E6">
        <w:t xml:space="preserve">SDPOs </w:t>
      </w:r>
      <w:r>
        <w:t>would be disproportionate responses to disruption caused by protest</w:t>
      </w:r>
      <w:r w:rsidRPr="00F249E6">
        <w:t xml:space="preserve"> and</w:t>
      </w:r>
      <w:r>
        <w:t xml:space="preserve"> </w:t>
      </w:r>
      <w:r w:rsidRPr="00F249E6">
        <w:t>recommend</w:t>
      </w:r>
      <w:r>
        <w:t>ing</w:t>
      </w:r>
      <w:r w:rsidRPr="00F249E6">
        <w:t xml:space="preserve"> their removal from the POA 2023</w:t>
      </w:r>
      <w:r>
        <w:t>.</w:t>
      </w:r>
      <w:r>
        <w:rPr>
          <w:rStyle w:val="FootnoteReference"/>
        </w:rPr>
        <w:footnoteReference w:id="10"/>
      </w:r>
    </w:p>
    <w:p w:rsidR="00DB3E71" w:rsidP="00F249E6">
      <w:r>
        <w:t>Preventive and pre-emptive measures, such as SDPOs and suspicionless stop and search, and imposition of broad conditions require especially strong justification and safeguards. International standards on protest emphasise that measures which restrict future participation, or expose individuals to serious criminal penalties for breach of wide conditions, are at the limits of what can be compatible with Article 10 of the ECHR and must therefore be tightly constrained and demonstrably necessary.</w:t>
      </w:r>
      <w:r>
        <w:rPr>
          <w:rStyle w:val="FootnoteReference"/>
        </w:rPr>
        <w:footnoteReference w:id="11"/>
      </w:r>
    </w:p>
    <w:p w:rsidR="00DB3E71" w:rsidP="00F249E6">
      <w:r>
        <w:t xml:space="preserve">More broadly, </w:t>
      </w:r>
      <w:r>
        <w:t xml:space="preserve">in practice </w:t>
      </w:r>
      <w:r>
        <w:t>the increased risk for protest organisers and participants, with lower statutory thresholds, wider police discretion, and increased criminal penalties mea</w:t>
      </w:r>
      <w:r>
        <w:t>n</w:t>
      </w:r>
      <w:r>
        <w:t>s</w:t>
      </w:r>
      <w:r>
        <w:t xml:space="preserve"> that people now assess protest participation through the lens of potential arrest, intrusive policing, or downstream restriction such as bail conditions and preventative orders. This matters because international standards are clear that </w:t>
      </w:r>
      <w:r>
        <w:t>the cumulative impact of the framework must be assessed. F</w:t>
      </w:r>
      <w:r>
        <w:t xml:space="preserve">ormal or informal state measures which deter participation </w:t>
      </w:r>
      <w:r>
        <w:t>in protest can amount to a disproportionate interference with rights to freedom of expression and assembly. The ECtHR has recognised that overly restrictive or punitive approaches to protests can unlawfully deter participation and undermine the essence of Articles 10 and 11.</w:t>
      </w:r>
      <w:r>
        <w:rPr>
          <w:rStyle w:val="FootnoteReference"/>
        </w:rPr>
        <w:footnoteReference w:id="12"/>
      </w:r>
      <w:r>
        <w:t xml:space="preserve"> </w:t>
      </w:r>
    </w:p>
    <w:p w:rsidR="00DB3E71" w:rsidRPr="00C534BD" w:rsidP="003A7DF8">
      <w:pPr>
        <w:rPr>
          <w:b/>
          <w:bCs/>
        </w:rPr>
      </w:pPr>
      <w:r w:rsidRPr="00C534BD">
        <w:rPr>
          <w:b/>
          <w:bCs/>
        </w:rPr>
        <w:t>4) Does the current legal framework adequately balance protest rights against the rights of others? Do further changes to the law proposed in the Crime and Policing Bill affect that balance? </w:t>
      </w:r>
    </w:p>
    <w:p w:rsidR="00DB3E71" w:rsidP="003A7DF8">
      <w:r>
        <w:t>S</w:t>
      </w:r>
      <w:r>
        <w:t>ince 2022, changes to the legal framework around protest have shifted away from a presumption in favour of facilitating protest towards t</w:t>
      </w:r>
      <w:r>
        <w:t>reating protest as a problem to be managed, pre-empted, and deterred</w:t>
      </w:r>
      <w:r>
        <w:t xml:space="preserve">. </w:t>
      </w:r>
      <w:r>
        <w:t xml:space="preserve">Lowered thresholds for imposing conditions under sections 12 and 14 of the POA 1986, </w:t>
      </w:r>
      <w:r>
        <w:t>the introduction of disruption and noise-based criteria, the creation of protest linked stop and search powers, new offences such as “locking on”, and the availability of preventive orders like SDPOs all tend in the same</w:t>
      </w:r>
      <w:r>
        <w:t xml:space="preserve"> direction.</w:t>
      </w:r>
      <w:r>
        <w:t xml:space="preserve"> They make it easier to restrict or penalise protests that are disruptive but lawful and to intervene at an earlier planning stage based on anticipated effects rather than actual harm. </w:t>
      </w:r>
      <w:r>
        <w:t>The overall b</w:t>
      </w:r>
      <w:r>
        <w:t xml:space="preserve">alance </w:t>
      </w:r>
      <w:r>
        <w:t xml:space="preserve">has tilted </w:t>
      </w:r>
      <w:r>
        <w:t xml:space="preserve">too far towards control and risk </w:t>
      </w:r>
      <w:r>
        <w:t xml:space="preserve">aversion. </w:t>
      </w:r>
      <w:r>
        <w:t>Protest is frequently approached as a public order risk to be minimised rather than as a fundamental right</w:t>
      </w:r>
      <w:r>
        <w:t xml:space="preserve"> to be protected. </w:t>
      </w:r>
    </w:p>
    <w:p w:rsidR="00DB3E71" w:rsidP="0028152C">
      <w:r>
        <w:t xml:space="preserve">Measures introduced in the </w:t>
      </w:r>
      <w:r>
        <w:t xml:space="preserve">CPA </w:t>
      </w:r>
      <w:r>
        <w:t>2026</w:t>
      </w:r>
      <w:r>
        <w:t xml:space="preserve"> </w:t>
      </w:r>
      <w:r>
        <w:t xml:space="preserve">only </w:t>
      </w:r>
      <w:r>
        <w:t>exacerbate this.</w:t>
      </w:r>
      <w:r w:rsidRPr="0028152C">
        <w:t xml:space="preserve"> </w:t>
      </w:r>
      <w:r>
        <w:t xml:space="preserve">The UN Special Rapporteur on the rights to freedom of peaceful assembly and of association published a statement on 13 May 2026, raising concerns about new protest restrictions introduced by the CPA 2026. Her statement noted that the Act “introduces provisions fundamentally incompatible with international human rights obligation”, drawing particular attention to “the vague concept of ‘cumulative disruption’”, criminalisation of face coverings, and restrictions on protest near </w:t>
      </w:r>
      <w:r>
        <w:t>places of worship.</w:t>
      </w:r>
      <w:r>
        <w:rPr>
          <w:rStyle w:val="FootnoteReference"/>
        </w:rPr>
        <w:footnoteReference w:id="13"/>
      </w:r>
      <w:r>
        <w:t xml:space="preserve"> </w:t>
      </w:r>
    </w:p>
    <w:p w:rsidR="00DB3E71" w:rsidP="004C08A3">
      <w:r>
        <w:t xml:space="preserve">It is disappointing that the </w:t>
      </w:r>
      <w:r>
        <w:t>G</w:t>
      </w:r>
      <w:r>
        <w:t>overnment chose to</w:t>
      </w:r>
      <w:r>
        <w:t xml:space="preserve"> continue the previous Government’s piecemeal approach</w:t>
      </w:r>
      <w:r>
        <w:t xml:space="preserve"> to legislating in this area</w:t>
      </w:r>
      <w:r>
        <w:t xml:space="preserve"> and</w:t>
      </w:r>
      <w:r>
        <w:t xml:space="preserve"> introduce these new measures to restrict protest</w:t>
      </w:r>
      <w:r>
        <w:t xml:space="preserve"> in the CPA 2026</w:t>
      </w:r>
      <w:r>
        <w:t xml:space="preserve"> </w:t>
      </w:r>
      <w:r>
        <w:t>rather than wait for the</w:t>
      </w:r>
      <w:r>
        <w:t xml:space="preserve"> independent review of laws on public order and hate crime led by Lord Macdonald </w:t>
      </w:r>
      <w:r>
        <w:t>to conclude</w:t>
      </w:r>
      <w:r>
        <w:t xml:space="preserve">. </w:t>
      </w:r>
      <w:r>
        <w:t>W</w:t>
      </w:r>
      <w:r>
        <w:t xml:space="preserve">hen the review is complete, we hope the Government will take the opportunity to </w:t>
      </w:r>
      <w:r>
        <w:t xml:space="preserve">consider the public order legal framework in its entirety </w:t>
      </w:r>
      <w:r>
        <w:t>and to streamline legislation in this area.</w:t>
      </w:r>
    </w:p>
    <w:p w:rsidR="00DB3E71" w:rsidP="00D24931">
      <w:r>
        <w:t>P</w:t>
      </w:r>
      <w:r>
        <w:t>rotest must be recognised as a fundamental right to be facilitate rather than as a threat to be mitigated and controlled. Restrictions should be the exception</w:t>
      </w:r>
      <w:r>
        <w:t xml:space="preserve"> not the norm</w:t>
      </w:r>
      <w:r>
        <w:t>, based on clear and high thresholds that focus on genuine violence, serious property damage</w:t>
      </w:r>
      <w:r>
        <w:t>,</w:t>
      </w:r>
      <w:r>
        <w:t xml:space="preserve"> and truly “serious disruption” to essential services. Ordinary democratic inconvenience, including noise, congestion, and public visibility, should not by itself justify the use of the </w:t>
      </w:r>
      <w:r>
        <w:t>strongest</w:t>
      </w:r>
      <w:r>
        <w:t xml:space="preserve"> public order tools. </w:t>
      </w:r>
    </w:p>
    <w:p w:rsidR="00DB3E71" w:rsidRPr="00562E93" w:rsidP="00D24931">
      <w:r>
        <w:t xml:space="preserve">To achieve this, protest law must be reviewed and simplified, removing </w:t>
      </w:r>
      <w:r>
        <w:t xml:space="preserve">offences that could capture ordinary protest actions, confusing layers of different thresholds, </w:t>
      </w:r>
      <w:r>
        <w:t xml:space="preserve">and draconian preventive powers like suspicionless stop and search and SDPOs. </w:t>
      </w:r>
    </w:p>
    <w:p w:rsidR="00DB3E71" w:rsidP="003A7DF8">
      <w:pPr>
        <w:rPr>
          <w:b/>
          <w:bCs/>
        </w:rPr>
      </w:pPr>
      <w:r w:rsidRPr="00AC78A9">
        <w:rPr>
          <w:b/>
          <w:bCs/>
        </w:rPr>
        <w:t>8) Are the thresholds and processes for proscription of groups concerned in terrorism sufficiently clear? To what extent do offences that concern encouraging support or creating a reasonable suspicion of support for proscribed groups interact with free expression and peaceful assembly?</w:t>
      </w:r>
    </w:p>
    <w:p w:rsidR="00DB3E71" w:rsidRPr="00700083" w:rsidP="00700083">
      <w:r w:rsidRPr="00700083">
        <w:t xml:space="preserve">The threshold for proscription has two tests, both of which are unclear, (1) the terrorism definition itself and (2) a proportionality assessment. The definition is so broad that to operate at all it requires a significant degree of Ministerial and prosecutorial discretion. This discretion necessitates the second test, which is also unclear: in the Palestine Action case the High Court ruled that if 99% of an entity's actions do not meet the </w:t>
      </w:r>
      <w:r w:rsidRPr="00700083">
        <w:t>definition it is disproportionate to proscribe them but did not clarify a more appropriate threshold.</w:t>
      </w:r>
    </w:p>
    <w:p w:rsidR="00DB3E71" w:rsidRPr="00700083" w:rsidP="00700083">
      <w:r w:rsidRPr="00700083">
        <w:t xml:space="preserve">In light of this, Liberty argues the </w:t>
      </w:r>
      <w:r>
        <w:fldChar w:fldCharType="begin"/>
      </w:r>
      <w:r>
        <w:instrText xml:space="preserve"> HYPERLINK "https://www.libertyhumanrights.org.uk/issue/what-the-high-courts-palestine-action-ruling-reveals-about-the-uks-terrorism-laws/" </w:instrText>
      </w:r>
      <w:r>
        <w:fldChar w:fldCharType="separate"/>
      </w:r>
      <w:r w:rsidRPr="00700083">
        <w:rPr>
          <w:rStyle w:val="Hyperlink"/>
        </w:rPr>
        <w:t>definition of terrorism should be amended</w:t>
      </w:r>
      <w:r>
        <w:fldChar w:fldCharType="end"/>
      </w:r>
      <w:r w:rsidRPr="00700083">
        <w:t xml:space="preserve"> such that powers like proscription narrowly target the intended mischief and do not disproportionately and unnecessarily interfere with Articles 10 and 11. Finally, the process for proscription does not allow for effective legislative scrutiny. Each proscription order laid before Parliament should contain only one entity, to allow for parliamentarians to consider, debate, and vote on each individually.</w:t>
      </w:r>
    </w:p>
    <w:p w:rsidR="00DB3E71" w:rsidRPr="0044578C" w:rsidP="003A7DF8">
      <w:pPr>
        <w:rPr>
          <w:b/>
          <w:bCs/>
          <w:u w:val="single"/>
        </w:rPr>
      </w:pPr>
      <w:r w:rsidRPr="0044578C">
        <w:rPr>
          <w:b/>
          <w:bCs/>
          <w:u w:val="single"/>
        </w:rPr>
        <w:t>Public Scrutiny </w:t>
      </w:r>
    </w:p>
    <w:p w:rsidR="00DB3E71" w:rsidRPr="00B84C25" w:rsidP="003A7DF8">
      <w:pPr>
        <w:rPr>
          <w:b/>
          <w:bCs/>
        </w:rPr>
      </w:pPr>
      <w:r w:rsidRPr="00B84C25">
        <w:rPr>
          <w:b/>
          <w:bCs/>
        </w:rPr>
        <w:t xml:space="preserve">12) The Home Office recently published statistics on the use of police powers to impose conditions on protests under sections 12, 14 and 14ZA of the Public Order Act 1986. How useful is the available data on police powers and protest collected and published by the </w:t>
      </w:r>
      <w:r>
        <w:rPr>
          <w:b/>
          <w:bCs/>
        </w:rPr>
        <w:t>G</w:t>
      </w:r>
      <w:r w:rsidRPr="00B84C25">
        <w:rPr>
          <w:b/>
          <w:bCs/>
        </w:rPr>
        <w:t>overnment? </w:t>
      </w:r>
    </w:p>
    <w:p w:rsidR="00DB3E71" w:rsidRPr="00B84C25" w:rsidP="003A7DF8">
      <w:pPr>
        <w:rPr>
          <w:b/>
          <w:bCs/>
        </w:rPr>
      </w:pPr>
      <w:r w:rsidRPr="00B84C25">
        <w:rPr>
          <w:b/>
          <w:bCs/>
        </w:rPr>
        <w:t>13) What data on the policing of protest should be collected and made public (for example use of specific powers, arrests, use of individual data, equality impacts) to enable effective scrutiny? </w:t>
      </w:r>
    </w:p>
    <w:p w:rsidR="00DB3E71" w:rsidP="00617277">
      <w:r w:rsidRPr="00853C20">
        <w:t xml:space="preserve">The statistics published by the Home Office </w:t>
      </w:r>
      <w:r w:rsidRPr="00853C20">
        <w:t>are not comprehensive, as they only cover the use of police powers</w:t>
      </w:r>
      <w:r>
        <w:t xml:space="preserve"> under PCSCA 2022</w:t>
      </w:r>
      <w:r w:rsidRPr="00853C20">
        <w:t xml:space="preserve"> to impose conditions on protests. </w:t>
      </w:r>
      <w:r w:rsidRPr="00853C20">
        <w:t>There is no publicly available data on the use of other powers and new offences introduced by the PCSCA 2022 and the POA 2023</w:t>
      </w:r>
      <w:r>
        <w:t xml:space="preserve"> that allows civil society or affected communities to understand how frequently protest conditions, protest stop and search powers, SDPOs</w:t>
      </w:r>
      <w:r>
        <w:t xml:space="preserve"> are used, against whom, and with what outcomes</w:t>
      </w:r>
      <w:r w:rsidRPr="00853C20">
        <w:t>. Liberty would like to see comprehensive, disaggregated, and publicly accessible dat</w:t>
      </w:r>
      <w:r w:rsidRPr="00853C20">
        <w:t>a on</w:t>
      </w:r>
      <w:r>
        <w:t xml:space="preserve"> </w:t>
      </w:r>
      <w:r w:rsidRPr="00853C20">
        <w:t>the use of protest powers</w:t>
      </w:r>
      <w:r>
        <w:t xml:space="preserve"> published as part of the Annual Data Requirement</w:t>
      </w:r>
      <w:r w:rsidRPr="00853C20">
        <w:t>, including</w:t>
      </w:r>
      <w:r>
        <w:t xml:space="preserve"> on</w:t>
      </w:r>
      <w:r>
        <w:t>:</w:t>
      </w:r>
    </w:p>
    <w:p w:rsidR="00DB3E71" w:rsidP="00755425">
      <w:pPr>
        <w:pStyle w:val="ListParagraph"/>
        <w:numPr>
          <w:ilvl w:val="0"/>
          <w:numId w:val="3"/>
        </w:numPr>
      </w:pPr>
      <w:r>
        <w:t xml:space="preserve">Imposition of </w:t>
      </w:r>
      <w:r w:rsidRPr="00853C20">
        <w:t xml:space="preserve">conditions under sections 12, 14 and 14ZA POA 1986, </w:t>
      </w:r>
    </w:p>
    <w:p w:rsidR="00DB3E71" w:rsidP="00755425">
      <w:pPr>
        <w:pStyle w:val="ListParagraph"/>
        <w:numPr>
          <w:ilvl w:val="0"/>
          <w:numId w:val="3"/>
        </w:numPr>
      </w:pPr>
      <w:r>
        <w:t>A</w:t>
      </w:r>
      <w:r w:rsidRPr="00853C20">
        <w:t>rrests for protest-related offences including section 78 PCSCA 2022 and Part 1 POA 2023</w:t>
      </w:r>
    </w:p>
    <w:p w:rsidR="00DB3E71" w:rsidP="00755425">
      <w:pPr>
        <w:pStyle w:val="ListParagraph"/>
        <w:numPr>
          <w:ilvl w:val="0"/>
          <w:numId w:val="3"/>
        </w:numPr>
      </w:pPr>
      <w:r w:rsidRPr="00853C20">
        <w:t>SDPO applications and orders under Part 2 POA 2023</w:t>
      </w:r>
    </w:p>
    <w:p w:rsidR="00DB3E71" w:rsidP="00755425">
      <w:pPr>
        <w:pStyle w:val="ListParagraph"/>
        <w:numPr>
          <w:ilvl w:val="0"/>
          <w:numId w:val="3"/>
        </w:numPr>
      </w:pPr>
      <w:r>
        <w:t>P</w:t>
      </w:r>
      <w:r w:rsidRPr="00853C20">
        <w:t xml:space="preserve">rotest-linked stop and search under sections 10 and 11 POA 2023 </w:t>
      </w:r>
    </w:p>
    <w:p w:rsidR="00DB3E71" w:rsidP="00617277">
      <w:r>
        <w:t xml:space="preserve">Additionally, following </w:t>
      </w:r>
      <w:r>
        <w:t xml:space="preserve">the passing into law of the CPA 2026, </w:t>
      </w:r>
      <w:r>
        <w:t>statistics should be published on the new protest-related offences</w:t>
      </w:r>
      <w:r>
        <w:t xml:space="preserve"> contained in the new law</w:t>
      </w:r>
      <w:r>
        <w:t xml:space="preserve">. </w:t>
      </w:r>
    </w:p>
    <w:p w:rsidR="00DB3E71" w:rsidP="00B165EC">
      <w:r>
        <w:t xml:space="preserve">All relevant data on the use of protest powers by the police must be broken down by </w:t>
      </w:r>
      <w:r>
        <w:t xml:space="preserve">protected characteristics, offence type, and outcome, so that necessity and proportionality can be meaningfully assessed. </w:t>
      </w:r>
    </w:p>
    <w:p w:rsidR="003E0302" w:rsidRPr="003E0302" w:rsidP="00B165EC">
      <w:pPr>
        <w:rPr>
          <w:rFonts w:ascii="Calibri" w:hAnsi="Calibri" w:cs="Calibri"/>
        </w:rPr>
      </w:pPr>
    </w:p>
    <w:p w:rsidR="003E0302" w:rsidRPr="003E0302" w:rsidP="00B165EC">
      <w:pPr>
        <w:rPr>
          <w:rFonts w:ascii="Calibri" w:hAnsi="Calibri" w:cs="Calibri"/>
          <w:b/>
          <w:bCs/>
          <w:i/>
          <w:iCs/>
        </w:rPr>
      </w:pPr>
      <w:r w:rsidRPr="003E0302">
        <w:rPr>
          <w:rFonts w:ascii="Calibri" w:hAnsi="Calibri" w:cs="Calibri"/>
          <w:b/>
          <w:bCs/>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3E71" w:rsidP="00341D48">
      <w:pPr>
        <w:spacing w:after="0" w:line="240" w:lineRule="auto"/>
      </w:pPr>
      <w:r>
        <w:separator/>
      </w:r>
    </w:p>
  </w:footnote>
  <w:footnote w:type="continuationSeparator" w:id="1">
    <w:p w:rsidR="00DB3E71" w:rsidP="00341D48">
      <w:pPr>
        <w:spacing w:after="0" w:line="240" w:lineRule="auto"/>
      </w:pPr>
      <w:r>
        <w:continuationSeparator/>
      </w:r>
    </w:p>
  </w:footnote>
  <w:footnote w:id="2">
    <w:p w:rsidR="00DB3E71">
      <w:pPr>
        <w:pStyle w:val="FootnoteText"/>
      </w:pPr>
      <w:r>
        <w:rPr>
          <w:rStyle w:val="FootnoteReference"/>
        </w:rPr>
        <w:footnoteRef/>
      </w:r>
      <w:r>
        <w:t xml:space="preserve"> Home Office, </w:t>
      </w:r>
      <w:r>
        <w:rPr>
          <w:i/>
          <w:iCs/>
        </w:rPr>
        <w:t xml:space="preserve">Police protest powers, June 2022 to March 2025, </w:t>
      </w:r>
      <w:r>
        <w:t xml:space="preserve">February 2026, available at: </w:t>
      </w:r>
      <w:r>
        <w:fldChar w:fldCharType="begin"/>
      </w:r>
      <w:r>
        <w:instrText xml:space="preserve"> HYPERLINK "https://www.gov.uk/government/statistics/police-protest-powers-june-2022-to-march-2025/police-protest-powers-june-2022-to-march-2025" </w:instrText>
      </w:r>
      <w:r>
        <w:fldChar w:fldCharType="separate"/>
      </w:r>
      <w:r w:rsidRPr="00C51854">
        <w:rPr>
          <w:rStyle w:val="Hyperlink"/>
        </w:rPr>
        <w:t>Police protest powers, June 2022 to March 2025 - GOV.UK</w:t>
      </w:r>
      <w:r>
        <w:fldChar w:fldCharType="end"/>
      </w:r>
    </w:p>
  </w:footnote>
  <w:footnote w:id="3">
    <w:p w:rsidR="00DB3E71">
      <w:pPr>
        <w:pStyle w:val="FootnoteText"/>
      </w:pPr>
      <w:r>
        <w:rPr>
          <w:rStyle w:val="FootnoteReference"/>
        </w:rPr>
        <w:footnoteRef/>
      </w:r>
      <w:r>
        <w:t xml:space="preserve"> Farmers</w:t>
      </w:r>
      <w:r>
        <w:t>’</w:t>
      </w:r>
      <w:r>
        <w:t xml:space="preserve"> Weekly,</w:t>
      </w:r>
      <w:r>
        <w:t xml:space="preserve"> </w:t>
      </w:r>
      <w:r>
        <w:rPr>
          <w:i/>
          <w:iCs/>
        </w:rPr>
        <w:t xml:space="preserve">Met Police block farmers’ budget day IHT protest in London, </w:t>
      </w:r>
      <w:r>
        <w:t>November 2025, available at:</w:t>
      </w:r>
      <w:r>
        <w:t xml:space="preserve"> </w:t>
      </w:r>
      <w:r>
        <w:fldChar w:fldCharType="begin"/>
      </w:r>
      <w:r>
        <w:instrText xml:space="preserve"> HYPERLINK "https://www.fwi.co.uk/news/farm-policy/met-police-block-farmers-budget-day-iht-protest-in-london" </w:instrText>
      </w:r>
      <w:r>
        <w:fldChar w:fldCharType="separate"/>
      </w:r>
      <w:r w:rsidRPr="000E5413">
        <w:rPr>
          <w:rStyle w:val="Hyperlink"/>
        </w:rPr>
        <w:t>https://www.fwi.co.uk/news/farm-policy/met-police-block-farmers-budget-day-iht-protest-in-london</w:t>
      </w:r>
      <w:r>
        <w:fldChar w:fldCharType="end"/>
      </w:r>
      <w:r>
        <w:t xml:space="preserve"> </w:t>
      </w:r>
    </w:p>
  </w:footnote>
  <w:footnote w:id="4">
    <w:p w:rsidR="00DB3E71" w:rsidRPr="005A1156">
      <w:pPr>
        <w:pStyle w:val="FootnoteText"/>
        <w:rPr>
          <w:lang w:val="en-US"/>
        </w:rPr>
      </w:pPr>
      <w:r>
        <w:rPr>
          <w:rStyle w:val="FootnoteReference"/>
        </w:rPr>
        <w:footnoteRef/>
      </w:r>
      <w:r>
        <w:t xml:space="preserve"> Greenpeace, </w:t>
      </w:r>
      <w:r>
        <w:rPr>
          <w:i/>
          <w:iCs/>
        </w:rPr>
        <w:t>Less</w:t>
      </w:r>
      <w:r>
        <w:rPr>
          <w:i/>
          <w:iCs/>
        </w:rPr>
        <w:t xml:space="preserve"> than 3% of protest arrests result in charges as “right to protest campaign” launches, </w:t>
      </w:r>
      <w:r>
        <w:t xml:space="preserve">July 2025, available at: </w:t>
      </w:r>
      <w:r>
        <w:fldChar w:fldCharType="begin"/>
      </w:r>
      <w:r>
        <w:instrText xml:space="preserve"> HYPERLINK "https://www.greenpeace.org.uk/news/less-than-3-of-protest-arrests-result-in-charges-as-right-to-protest-campaign-launches/" </w:instrText>
      </w:r>
      <w:r>
        <w:fldChar w:fldCharType="separate"/>
      </w:r>
      <w:r w:rsidRPr="00036DDC">
        <w:rPr>
          <w:rStyle w:val="Hyperlink"/>
        </w:rPr>
        <w:t>https://www.greenpeace.org.uk/news/less-than-3-of-protest-arrests-result-in-charges-as-right-to-protest-campaign-launches/</w:t>
      </w:r>
      <w:r>
        <w:fldChar w:fldCharType="end"/>
      </w:r>
      <w:r>
        <w:t xml:space="preserve"> </w:t>
      </w:r>
    </w:p>
  </w:footnote>
  <w:footnote w:id="5">
    <w:p w:rsidR="00DB3E71" w:rsidRPr="005E3D8C">
      <w:pPr>
        <w:pStyle w:val="FootnoteText"/>
      </w:pPr>
      <w:r>
        <w:rPr>
          <w:rStyle w:val="FootnoteReference"/>
        </w:rPr>
        <w:footnoteRef/>
      </w:r>
      <w:r>
        <w:t xml:space="preserve"> The Guardian, </w:t>
      </w:r>
      <w:r>
        <w:rPr>
          <w:i/>
          <w:iCs/>
        </w:rPr>
        <w:t xml:space="preserve">Charges against 34 people dropped over plastic pollution protest at Unilever HQ, </w:t>
      </w:r>
      <w:r>
        <w:t xml:space="preserve">January 2025, available at: </w:t>
      </w:r>
      <w:r>
        <w:fldChar w:fldCharType="begin"/>
      </w:r>
      <w:r>
        <w:instrText xml:space="preserve"> HYPERLINK "https://www.theguardian.com/environment/2025/jan/08/charges-dropped-plastic-pollution-protest-greenpeace-unilever-london" </w:instrText>
      </w:r>
      <w:r>
        <w:fldChar w:fldCharType="separate"/>
      </w:r>
      <w:r w:rsidRPr="0013178D">
        <w:rPr>
          <w:rStyle w:val="Hyperlink"/>
        </w:rPr>
        <w:t>https://www.theguardian.com/environment/2025/jan/08/charges-dropped-plastic-pollution-protest-greenpeace-unilever-london</w:t>
      </w:r>
      <w:r>
        <w:fldChar w:fldCharType="end"/>
      </w:r>
      <w:r>
        <w:t xml:space="preserve"> </w:t>
      </w:r>
    </w:p>
  </w:footnote>
  <w:footnote w:id="6">
    <w:p w:rsidR="00DB3E71">
      <w:pPr>
        <w:pStyle w:val="FootnoteText"/>
      </w:pPr>
      <w:r>
        <w:rPr>
          <w:rStyle w:val="FootnoteReference"/>
        </w:rPr>
        <w:footnoteRef/>
      </w:r>
      <w:r>
        <w:t xml:space="preserve"> ITV News, </w:t>
      </w:r>
      <w:r>
        <w:rPr>
          <w:i/>
          <w:iCs/>
        </w:rPr>
        <w:t xml:space="preserve">Met Police ‘regret’ arresting anti-monarchy protesters who were never charged, </w:t>
      </w:r>
      <w:r>
        <w:t xml:space="preserve">May 2023, available at: </w:t>
      </w:r>
      <w:r>
        <w:fldChar w:fldCharType="begin"/>
      </w:r>
      <w:r>
        <w:instrText xml:space="preserve"> HYPERLINK "https://www.itv.com/news/2023-05-08/met-police-regret-arresting-anti-monarchy-protesters-who-were-never-charged?utm_source=chatgpt.com" </w:instrText>
      </w:r>
      <w:r>
        <w:fldChar w:fldCharType="separate"/>
      </w:r>
      <w:r w:rsidRPr="007D1E1D">
        <w:rPr>
          <w:rStyle w:val="Hyperlink"/>
        </w:rPr>
        <w:t>https://www.itv.com/news/2023-05-08/met-police-regret-arresting-anti-monarchy-protesters-who-were-never-charged?utm_source=chatgpt.com</w:t>
      </w:r>
      <w:r>
        <w:fldChar w:fldCharType="end"/>
      </w:r>
      <w:r>
        <w:t xml:space="preserve"> </w:t>
      </w:r>
    </w:p>
  </w:footnote>
  <w:footnote w:id="7">
    <w:p w:rsidR="00DB3E71" w:rsidP="00554BEF">
      <w:pPr>
        <w:pStyle w:val="FootnoteText"/>
      </w:pPr>
      <w:r>
        <w:rPr>
          <w:rStyle w:val="FootnoteReference"/>
        </w:rPr>
        <w:footnoteRef/>
      </w:r>
      <w:r>
        <w:t xml:space="preserve"> Joint Committee on Human Rights, </w:t>
      </w:r>
      <w:r>
        <w:rPr>
          <w:i/>
          <w:iCs/>
        </w:rPr>
        <w:t xml:space="preserve">Legislative Scrutiny: Public Order Bill, </w:t>
      </w:r>
      <w:r>
        <w:t xml:space="preserve">June 2022, available at: </w:t>
      </w:r>
      <w:r>
        <w:fldChar w:fldCharType="begin"/>
      </w:r>
      <w:r>
        <w:instrText xml:space="preserve"> HYPERLINK "https://committees.parliament.uk/publications/22681/documents/166680/default/" </w:instrText>
      </w:r>
      <w:r>
        <w:fldChar w:fldCharType="separate"/>
      </w:r>
      <w:r w:rsidRPr="00F8496A">
        <w:rPr>
          <w:rStyle w:val="Hyperlink"/>
        </w:rPr>
        <w:t>https://committees.parliament.uk/publications/22681/documents/166680/default/</w:t>
      </w:r>
      <w:r>
        <w:fldChar w:fldCharType="end"/>
      </w:r>
    </w:p>
  </w:footnote>
  <w:footnote w:id="8">
    <w:p w:rsidR="00DB3E71">
      <w:pPr>
        <w:pStyle w:val="FootnoteText"/>
      </w:pPr>
      <w:r>
        <w:rPr>
          <w:rStyle w:val="FootnoteReference"/>
        </w:rPr>
        <w:footnoteRef/>
      </w:r>
      <w:r>
        <w:t xml:space="preserve"> European Court of Human Rights, </w:t>
      </w:r>
      <w:r w:rsidRPr="009F498D">
        <w:rPr>
          <w:i/>
          <w:iCs/>
        </w:rPr>
        <w:t>Kudrevičius and Others v. Lithuania, Application No. 37553/05</w:t>
      </w:r>
      <w:r>
        <w:t xml:space="preserve">, September 2015, available at: </w:t>
      </w:r>
      <w:r>
        <w:fldChar w:fldCharType="begin"/>
      </w:r>
      <w:r>
        <w:instrText xml:space="preserve"> HYPERLINK "https://hudoc.echr.coe.int/eng" \l "{%22itemid%22:[%22001-158200%22]}" </w:instrText>
      </w:r>
      <w:r>
        <w:fldChar w:fldCharType="separate"/>
      </w:r>
      <w:r w:rsidRPr="00F8496A">
        <w:rPr>
          <w:rStyle w:val="Hyperlink"/>
        </w:rPr>
        <w:t>https://hudoc.echr.coe.int/eng#{%22itemid%22:[%22001-158200%22]}</w:t>
      </w:r>
      <w:r>
        <w:fldChar w:fldCharType="end"/>
      </w:r>
      <w:r>
        <w:t xml:space="preserve"> </w:t>
      </w:r>
    </w:p>
  </w:footnote>
  <w:footnote w:id="9">
    <w:p w:rsidR="00DB3E71" w:rsidP="00B3435E">
      <w:pPr>
        <w:spacing w:after="0" w:line="240" w:lineRule="auto"/>
      </w:pPr>
      <w:r>
        <w:rPr>
          <w:rStyle w:val="FootnoteReference"/>
        </w:rPr>
        <w:footnoteRef/>
      </w:r>
      <w:r>
        <w:t xml:space="preserve"> </w:t>
      </w:r>
      <w:r w:rsidRPr="0086313C">
        <w:rPr>
          <w:sz w:val="20"/>
          <w:szCs w:val="20"/>
        </w:rPr>
        <w:t>European Court of Human Rights</w:t>
      </w:r>
      <w:r>
        <w:rPr>
          <w:sz w:val="20"/>
          <w:szCs w:val="20"/>
        </w:rPr>
        <w:t xml:space="preserve">, </w:t>
      </w:r>
      <w:r w:rsidRPr="0086313C">
        <w:rPr>
          <w:i/>
          <w:iCs/>
          <w:sz w:val="20"/>
          <w:szCs w:val="20"/>
        </w:rPr>
        <w:t xml:space="preserve">Guide on Article 11 of the European Convention on Human Rights: Freedom of assembly and association </w:t>
      </w:r>
      <w:r w:rsidRPr="0086313C">
        <w:rPr>
          <w:sz w:val="20"/>
          <w:szCs w:val="20"/>
        </w:rPr>
        <w:t>(updated)</w:t>
      </w:r>
      <w:r>
        <w:rPr>
          <w:sz w:val="20"/>
          <w:szCs w:val="20"/>
        </w:rPr>
        <w:t>, February 2026, a</w:t>
      </w:r>
      <w:r w:rsidRPr="0086313C">
        <w:rPr>
          <w:sz w:val="20"/>
          <w:szCs w:val="20"/>
        </w:rPr>
        <w:t>vailable at:</w:t>
      </w:r>
      <w:r>
        <w:rPr>
          <w:sz w:val="20"/>
          <w:szCs w:val="20"/>
        </w:rPr>
        <w:t xml:space="preserve"> </w:t>
      </w:r>
      <w:r>
        <w:fldChar w:fldCharType="begin"/>
      </w:r>
      <w:r>
        <w:instrText xml:space="preserve"> HYPERLINK "https://ks.echr.coe.int/documents/d/echr-ks/guide_art_11_eng" </w:instrText>
      </w:r>
      <w:r>
        <w:fldChar w:fldCharType="separate"/>
      </w:r>
      <w:r w:rsidRPr="008D5D38">
        <w:rPr>
          <w:rStyle w:val="Hyperlink"/>
          <w:sz w:val="20"/>
          <w:szCs w:val="20"/>
        </w:rPr>
        <w:t>https://ks.echr.coe.int/documents/d/echr-ks/guide_art_11_eng</w:t>
      </w:r>
      <w:r>
        <w:fldChar w:fldCharType="end"/>
      </w:r>
      <w:r>
        <w:rPr>
          <w:sz w:val="20"/>
          <w:szCs w:val="20"/>
        </w:rPr>
        <w:t xml:space="preserve"> </w:t>
      </w:r>
      <w:r>
        <w:t xml:space="preserve"> </w:t>
      </w:r>
    </w:p>
  </w:footnote>
  <w:footnote w:id="10">
    <w:p w:rsidR="00DB3E71" w:rsidP="00554BEF">
      <w:pPr>
        <w:pStyle w:val="FootnoteText"/>
      </w:pPr>
      <w:r>
        <w:rPr>
          <w:rStyle w:val="FootnoteReference"/>
        </w:rPr>
        <w:footnoteRef/>
      </w:r>
      <w:r>
        <w:t xml:space="preserve"> Joint Committee on Human Rights, </w:t>
      </w:r>
      <w:r>
        <w:rPr>
          <w:i/>
          <w:iCs/>
        </w:rPr>
        <w:t xml:space="preserve">Legislative Scrutiny: Public Order Bill, </w:t>
      </w:r>
      <w:r>
        <w:t xml:space="preserve">June 2022, available at: </w:t>
      </w:r>
      <w:r>
        <w:fldChar w:fldCharType="begin"/>
      </w:r>
      <w:r>
        <w:instrText xml:space="preserve"> HYPERLINK "https://committees.parliament.uk/publications/22681/documents/166680/default/" </w:instrText>
      </w:r>
      <w:r>
        <w:fldChar w:fldCharType="separate"/>
      </w:r>
      <w:r w:rsidRPr="00F8496A">
        <w:rPr>
          <w:rStyle w:val="Hyperlink"/>
        </w:rPr>
        <w:t>https://committees.parliament.uk/publications/22681/documents/166680/default/</w:t>
      </w:r>
      <w:r>
        <w:fldChar w:fldCharType="end"/>
      </w:r>
      <w:r>
        <w:t xml:space="preserve"> </w:t>
      </w:r>
    </w:p>
  </w:footnote>
  <w:footnote w:id="11">
    <w:p w:rsidR="00DB3E71" w:rsidRPr="009F498D">
      <w:pPr>
        <w:pStyle w:val="FootnoteText"/>
      </w:pPr>
      <w:r>
        <w:rPr>
          <w:rStyle w:val="FootnoteReference"/>
        </w:rPr>
        <w:footnoteRef/>
      </w:r>
      <w:r>
        <w:t xml:space="preserve"> European Court of Human Rights, </w:t>
      </w:r>
      <w:r w:rsidRPr="009F498D">
        <w:rPr>
          <w:i/>
          <w:iCs/>
        </w:rPr>
        <w:t xml:space="preserve">Kudrevičius and Others v. Lithuania, Application No. </w:t>
      </w:r>
      <w:r w:rsidRPr="009F498D">
        <w:rPr>
          <w:i/>
          <w:iCs/>
        </w:rPr>
        <w:t>37553/05</w:t>
      </w:r>
      <w:r>
        <w:t xml:space="preserve">, September 2015, available at: </w:t>
      </w:r>
      <w:r>
        <w:fldChar w:fldCharType="begin"/>
      </w:r>
      <w:r>
        <w:instrText xml:space="preserve"> HYPERLINK "https://hudoc.echr.coe.int/eng" \l "{%22itemid%22:[%22001-158200%22]}" </w:instrText>
      </w:r>
      <w:r>
        <w:fldChar w:fldCharType="separate"/>
      </w:r>
      <w:r w:rsidRPr="00F8496A">
        <w:rPr>
          <w:rStyle w:val="Hyperlink"/>
        </w:rPr>
        <w:t>https://hudoc.echr.coe.int/eng#{%22itemid%22:[%22001-158200%22]}</w:t>
      </w:r>
      <w:r>
        <w:fldChar w:fldCharType="end"/>
      </w:r>
      <w:r>
        <w:t xml:space="preserve"> </w:t>
      </w:r>
    </w:p>
  </w:footnote>
  <w:footnote w:id="12">
    <w:p w:rsidR="00DB3E71" w:rsidRPr="00F828E6" w:rsidP="0068670B">
      <w:pPr>
        <w:pStyle w:val="FootnoteText"/>
      </w:pPr>
      <w:r>
        <w:rPr>
          <w:rStyle w:val="FootnoteReference"/>
        </w:rPr>
        <w:footnoteRef/>
      </w:r>
      <w:r>
        <w:t xml:space="preserve"> </w:t>
      </w:r>
      <w:r w:rsidRPr="00F828E6">
        <w:t>European Court of Human Rights</w:t>
      </w:r>
      <w:r>
        <w:t>,</w:t>
      </w:r>
      <w:r w:rsidRPr="00F828E6">
        <w:t xml:space="preserve"> </w:t>
      </w:r>
      <w:r w:rsidRPr="00F828E6">
        <w:rPr>
          <w:i/>
          <w:iCs/>
        </w:rPr>
        <w:t>Ezelin</w:t>
      </w:r>
      <w:r w:rsidRPr="00F828E6">
        <w:rPr>
          <w:i/>
          <w:iCs/>
        </w:rPr>
        <w:t xml:space="preserve"> v. France, Application No. 11800/85</w:t>
      </w:r>
      <w:r>
        <w:t>, April 1991, a</w:t>
      </w:r>
      <w:r w:rsidRPr="00F828E6">
        <w:t>vailable at:</w:t>
      </w:r>
    </w:p>
    <w:p w:rsidR="00DB3E71" w:rsidP="0068670B">
      <w:pPr>
        <w:pStyle w:val="FootnoteText"/>
      </w:pPr>
      <w:r>
        <w:fldChar w:fldCharType="begin"/>
      </w:r>
      <w:r>
        <w:instrText xml:space="preserve"> HYPERLINK "https://hudoc.echr.coe.int/eng" \l "{%22itemid%22:[%22001-57675%22]}" </w:instrText>
      </w:r>
      <w:r>
        <w:fldChar w:fldCharType="separate"/>
      </w:r>
      <w:r w:rsidRPr="00F8496A">
        <w:rPr>
          <w:rStyle w:val="Hyperlink"/>
        </w:rPr>
        <w:t>https://hudoc.echr.coe.int/eng#{%22itemid%22:[%22001-57675%22]}</w:t>
      </w:r>
      <w:r>
        <w:fldChar w:fldCharType="end"/>
      </w:r>
    </w:p>
  </w:footnote>
  <w:footnote w:id="13">
    <w:p w:rsidR="00DB3E71" w:rsidP="0028152C">
      <w:pPr>
        <w:pStyle w:val="FootnoteText"/>
      </w:pPr>
      <w:r>
        <w:rPr>
          <w:rStyle w:val="FootnoteReference"/>
        </w:rPr>
        <w:footnoteRef/>
      </w:r>
      <w:r>
        <w:t xml:space="preserve"> UN Special Rapporteur on the rights to freedom of peaceful assembly and association, </w:t>
      </w:r>
      <w:r>
        <w:rPr>
          <w:i/>
          <w:iCs/>
        </w:rPr>
        <w:t xml:space="preserve">United Kingdom: UN expert alarmed by systemic erosion of the right to protest, </w:t>
      </w:r>
      <w:r>
        <w:t xml:space="preserve">May 2026, available at: </w:t>
      </w:r>
      <w:r>
        <w:fldChar w:fldCharType="begin"/>
      </w:r>
      <w:r>
        <w:instrText xml:space="preserve"> HYPERLINK "https://www.ohchr.org/en/press-releases/2026/05/united-kingdom-un-expert-alarmed-systemic-erosion-right-protest" </w:instrText>
      </w:r>
      <w:r>
        <w:fldChar w:fldCharType="separate"/>
      </w:r>
      <w:r w:rsidRPr="008D5D38">
        <w:rPr>
          <w:rStyle w:val="Hyperlink"/>
        </w:rPr>
        <w:t>https://www.ohchr.org/en/press-releases/2026/05/united-kingdom-un-expert-alarmed-systemic-erosion-right-protest</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F9604A"/>
    <w:multiLevelType w:val="hybridMultilevel"/>
    <w:tmpl w:val="A2424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EAB61F2"/>
    <w:multiLevelType w:val="hybridMultilevel"/>
    <w:tmpl w:val="8A660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2F21AE"/>
    <w:multiLevelType w:val="hybridMultilevel"/>
    <w:tmpl w:val="864E0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62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E93"/>
    <w:rPr>
      <w:rFonts w:eastAsiaTheme="majorEastAsia" w:cstheme="majorBidi"/>
      <w:color w:val="272727" w:themeColor="text1" w:themeTint="D8"/>
    </w:rPr>
  </w:style>
  <w:style w:type="paragraph" w:styleId="Title">
    <w:name w:val="Title"/>
    <w:basedOn w:val="Normal"/>
    <w:next w:val="Normal"/>
    <w:link w:val="TitleChar"/>
    <w:uiPriority w:val="10"/>
    <w:qFormat/>
    <w:rsid w:val="00562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E93"/>
    <w:pPr>
      <w:spacing w:before="160"/>
      <w:jc w:val="center"/>
    </w:pPr>
    <w:rPr>
      <w:i/>
      <w:iCs/>
      <w:color w:val="404040" w:themeColor="text1" w:themeTint="BF"/>
    </w:rPr>
  </w:style>
  <w:style w:type="character" w:customStyle="1" w:styleId="QuoteChar">
    <w:name w:val="Quote Char"/>
    <w:basedOn w:val="DefaultParagraphFont"/>
    <w:link w:val="Quote"/>
    <w:uiPriority w:val="29"/>
    <w:rsid w:val="00562E93"/>
    <w:rPr>
      <w:i/>
      <w:iCs/>
      <w:color w:val="404040" w:themeColor="text1" w:themeTint="BF"/>
    </w:rPr>
  </w:style>
  <w:style w:type="paragraph" w:styleId="ListParagraph">
    <w:name w:val="List Paragraph"/>
    <w:basedOn w:val="Normal"/>
    <w:uiPriority w:val="34"/>
    <w:qFormat/>
    <w:rsid w:val="00562E93"/>
    <w:pPr>
      <w:ind w:left="720"/>
      <w:contextualSpacing/>
    </w:pPr>
  </w:style>
  <w:style w:type="character" w:styleId="IntenseEmphasis">
    <w:name w:val="Intense Emphasis"/>
    <w:basedOn w:val="DefaultParagraphFont"/>
    <w:uiPriority w:val="21"/>
    <w:qFormat/>
    <w:rsid w:val="00562E93"/>
    <w:rPr>
      <w:i/>
      <w:iCs/>
      <w:color w:val="0F4761" w:themeColor="accent1" w:themeShade="BF"/>
    </w:rPr>
  </w:style>
  <w:style w:type="paragraph" w:styleId="IntenseQuote">
    <w:name w:val="Intense Quote"/>
    <w:basedOn w:val="Normal"/>
    <w:next w:val="Normal"/>
    <w:link w:val="IntenseQuoteChar"/>
    <w:uiPriority w:val="30"/>
    <w:qFormat/>
    <w:rsid w:val="00562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E93"/>
    <w:rPr>
      <w:i/>
      <w:iCs/>
      <w:color w:val="0F4761" w:themeColor="accent1" w:themeShade="BF"/>
    </w:rPr>
  </w:style>
  <w:style w:type="character" w:styleId="IntenseReference">
    <w:name w:val="Intense Reference"/>
    <w:basedOn w:val="DefaultParagraphFont"/>
    <w:uiPriority w:val="32"/>
    <w:qFormat/>
    <w:rsid w:val="00562E93"/>
    <w:rPr>
      <w:b/>
      <w:bCs/>
      <w:smallCaps/>
      <w:color w:val="0F4761" w:themeColor="accent1" w:themeShade="BF"/>
      <w:spacing w:val="5"/>
    </w:rPr>
  </w:style>
  <w:style w:type="paragraph" w:styleId="FootnoteText">
    <w:name w:val="footnote text"/>
    <w:basedOn w:val="Normal"/>
    <w:link w:val="FootnoteTextChar"/>
    <w:uiPriority w:val="99"/>
    <w:semiHidden/>
    <w:unhideWhenUsed/>
    <w:rsid w:val="00341D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D48"/>
    <w:rPr>
      <w:sz w:val="20"/>
      <w:szCs w:val="20"/>
    </w:rPr>
  </w:style>
  <w:style w:type="character" w:styleId="FootnoteReference">
    <w:name w:val="footnote reference"/>
    <w:basedOn w:val="DefaultParagraphFont"/>
    <w:uiPriority w:val="99"/>
    <w:semiHidden/>
    <w:unhideWhenUsed/>
    <w:rsid w:val="00341D48"/>
    <w:rPr>
      <w:vertAlign w:val="superscript"/>
    </w:rPr>
  </w:style>
  <w:style w:type="character" w:styleId="Hyperlink">
    <w:name w:val="Hyperlink"/>
    <w:basedOn w:val="DefaultParagraphFont"/>
    <w:uiPriority w:val="99"/>
    <w:unhideWhenUsed/>
    <w:rsid w:val="00341D48"/>
    <w:rPr>
      <w:color w:val="467886" w:themeColor="hyperlink"/>
      <w:u w:val="single"/>
    </w:rPr>
  </w:style>
  <w:style w:type="character" w:customStyle="1" w:styleId="UnresolvedMention1">
    <w:name w:val="Unresolved Mention1"/>
    <w:basedOn w:val="DefaultParagraphFont"/>
    <w:uiPriority w:val="99"/>
    <w:semiHidden/>
    <w:unhideWhenUsed/>
    <w:rsid w:val="00341D48"/>
    <w:rPr>
      <w:color w:val="605E5C"/>
      <w:shd w:val="clear" w:color="auto" w:fill="E1DFDD"/>
    </w:rPr>
  </w:style>
  <w:style w:type="character" w:styleId="CommentReference">
    <w:name w:val="annotation reference"/>
    <w:basedOn w:val="DefaultParagraphFont"/>
    <w:uiPriority w:val="99"/>
    <w:semiHidden/>
    <w:unhideWhenUsed/>
    <w:rsid w:val="0085746C"/>
    <w:rPr>
      <w:sz w:val="16"/>
      <w:szCs w:val="16"/>
    </w:rPr>
  </w:style>
  <w:style w:type="paragraph" w:styleId="CommentText">
    <w:name w:val="annotation text"/>
    <w:basedOn w:val="Normal"/>
    <w:link w:val="CommentTextChar"/>
    <w:uiPriority w:val="99"/>
    <w:unhideWhenUsed/>
    <w:rsid w:val="0085746C"/>
    <w:pPr>
      <w:spacing w:line="240" w:lineRule="auto"/>
    </w:pPr>
    <w:rPr>
      <w:sz w:val="20"/>
      <w:szCs w:val="20"/>
    </w:rPr>
  </w:style>
  <w:style w:type="character" w:customStyle="1" w:styleId="CommentTextChar">
    <w:name w:val="Comment Text Char"/>
    <w:basedOn w:val="DefaultParagraphFont"/>
    <w:link w:val="CommentText"/>
    <w:uiPriority w:val="99"/>
    <w:rsid w:val="0085746C"/>
    <w:rPr>
      <w:sz w:val="20"/>
      <w:szCs w:val="20"/>
    </w:rPr>
  </w:style>
  <w:style w:type="paragraph" w:styleId="CommentSubject">
    <w:name w:val="annotation subject"/>
    <w:basedOn w:val="CommentText"/>
    <w:next w:val="CommentText"/>
    <w:link w:val="CommentSubjectChar"/>
    <w:uiPriority w:val="99"/>
    <w:semiHidden/>
    <w:unhideWhenUsed/>
    <w:rsid w:val="0085746C"/>
    <w:rPr>
      <w:b/>
      <w:bCs/>
    </w:rPr>
  </w:style>
  <w:style w:type="character" w:customStyle="1" w:styleId="CommentSubjectChar">
    <w:name w:val="Comment Subject Char"/>
    <w:basedOn w:val="CommentTextChar"/>
    <w:link w:val="CommentSubject"/>
    <w:uiPriority w:val="99"/>
    <w:semiHidden/>
    <w:rsid w:val="0085746C"/>
    <w:rPr>
      <w:b/>
      <w:bCs/>
      <w:sz w:val="20"/>
      <w:szCs w:val="20"/>
    </w:rPr>
  </w:style>
  <w:style w:type="character" w:styleId="FollowedHyperlink">
    <w:name w:val="FollowedHyperlink"/>
    <w:basedOn w:val="DefaultParagraphFont"/>
    <w:uiPriority w:val="99"/>
    <w:semiHidden/>
    <w:unhideWhenUsed/>
    <w:rsid w:val="00FA4EDB"/>
    <w:rPr>
      <w:color w:val="96607D" w:themeColor="followedHyperlink"/>
      <w:u w:val="single"/>
    </w:rPr>
  </w:style>
  <w:style w:type="paragraph" w:styleId="Revision">
    <w:name w:val="Revision"/>
    <w:hidden/>
    <w:uiPriority w:val="99"/>
    <w:semiHidden/>
    <w:rsid w:val="001F683F"/>
    <w:pPr>
      <w:spacing w:after="0" w:line="240" w:lineRule="auto"/>
    </w:pPr>
  </w:style>
  <w:style w:type="paragraph" w:styleId="Header">
    <w:name w:val="header"/>
    <w:basedOn w:val="Normal"/>
    <w:link w:val="HeaderChar"/>
    <w:uiPriority w:val="99"/>
    <w:unhideWhenUsed/>
    <w:rsid w:val="0070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083"/>
  </w:style>
  <w:style w:type="paragraph" w:styleId="Footer">
    <w:name w:val="footer"/>
    <w:basedOn w:val="Normal"/>
    <w:link w:val="FooterChar"/>
    <w:uiPriority w:val="99"/>
    <w:unhideWhenUsed/>
    <w:rsid w:val="0070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CB81F-AF6D-42FE-82E1-E278BE97BDAE}">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SSP0052</dc:title>
  <cp:revision>0</cp:revision>
</cp:coreProperties>
</file>