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E379D" w:rsidRPr="000E379D" w:rsidP="00302D26">
      <w:pPr>
        <w:spacing w:after="0" w:line="480" w:lineRule="auto"/>
        <w:rPr>
          <w:rFonts w:ascii="Verdana" w:hAnsi="Verdana"/>
          <w:b/>
          <w:bCs/>
          <w:sz w:val="28"/>
          <w:szCs w:val="28"/>
        </w:rPr>
      </w:pPr>
      <w:r w:rsidRPr="000E379D">
        <w:rPr>
          <w:rFonts w:ascii="Verdana" w:hAnsi="Verdana"/>
          <w:b/>
          <w:bCs/>
          <w:sz w:val="28"/>
          <w:szCs w:val="28"/>
        </w:rPr>
        <w:t>Byron Hyde</w:t>
      </w:r>
      <w:r w:rsidRPr="000E379D">
        <w:rPr>
          <w:rFonts w:ascii="Verdana" w:hAnsi="Verdana"/>
          <w:b/>
          <w:bCs/>
          <w:sz w:val="28"/>
          <w:szCs w:val="28"/>
        </w:rPr>
        <w:t>, Academic, Hokkaido University, University of Bristol, and Bangor University – Written evidence FDE0004</w:t>
      </w:r>
    </w:p>
    <w:p w:rsidR="000E379D" w:rsidRPr="000E379D" w:rsidP="00302D26">
      <w:pPr>
        <w:spacing w:after="0" w:line="480" w:lineRule="auto"/>
        <w:rPr>
          <w:rFonts w:ascii="Verdana" w:hAnsi="Verdana"/>
          <w:sz w:val="24"/>
          <w:szCs w:val="24"/>
        </w:rPr>
      </w:pPr>
    </w:p>
    <w:p w:rsidR="005C2847" w:rsidRPr="000E379D" w:rsidP="00302D26">
      <w:pPr>
        <w:spacing w:after="0" w:line="480" w:lineRule="auto"/>
        <w:rPr>
          <w:rFonts w:ascii="Verdana" w:hAnsi="Verdana"/>
          <w:sz w:val="24"/>
          <w:szCs w:val="24"/>
        </w:rPr>
      </w:pPr>
      <w:r w:rsidRPr="000E379D">
        <w:rPr>
          <w:rFonts w:ascii="Verdana" w:hAnsi="Verdana"/>
          <w:b/>
          <w:bCs/>
          <w:sz w:val="24"/>
          <w:szCs w:val="24"/>
        </w:rPr>
        <w:t>Highlights</w:t>
      </w:r>
    </w:p>
    <w:p w:rsidR="005C2847" w:rsidRPr="000E379D" w:rsidP="00302D26">
      <w:pPr>
        <w:pStyle w:val="ListParagraph"/>
        <w:numPr>
          <w:ilvl w:val="0"/>
          <w:numId w:val="2"/>
        </w:numPr>
        <w:spacing w:line="480" w:lineRule="auto"/>
        <w:rPr>
          <w:rFonts w:ascii="Verdana" w:hAnsi="Verdana"/>
          <w:sz w:val="24"/>
          <w:szCs w:val="24"/>
        </w:rPr>
      </w:pPr>
      <w:r w:rsidRPr="000E379D">
        <w:rPr>
          <w:rFonts w:ascii="Verdana" w:hAnsi="Verdana"/>
          <w:sz w:val="24"/>
          <w:szCs w:val="24"/>
        </w:rPr>
        <w:t xml:space="preserve">Devolution’s aims can </w:t>
      </w:r>
      <w:r w:rsidRPr="000E379D">
        <w:rPr>
          <w:rFonts w:ascii="Verdana" w:hAnsi="Verdana"/>
          <w:sz w:val="24"/>
          <w:szCs w:val="24"/>
        </w:rPr>
        <w:t>conflict:</w:t>
      </w:r>
      <w:r w:rsidRPr="000E379D">
        <w:rPr>
          <w:rFonts w:ascii="Verdana" w:hAnsi="Verdana"/>
          <w:sz w:val="24"/>
          <w:szCs w:val="24"/>
        </w:rPr>
        <w:t xml:space="preserve"> growth vs fairness vs legitimacy</w:t>
      </w:r>
    </w:p>
    <w:p w:rsidR="005C2847" w:rsidRPr="000E379D" w:rsidP="00302D26">
      <w:pPr>
        <w:pStyle w:val="ListParagraph"/>
        <w:numPr>
          <w:ilvl w:val="0"/>
          <w:numId w:val="2"/>
        </w:numPr>
        <w:spacing w:line="480" w:lineRule="auto"/>
        <w:rPr>
          <w:rFonts w:ascii="Verdana" w:hAnsi="Verdana"/>
          <w:sz w:val="24"/>
          <w:szCs w:val="24"/>
        </w:rPr>
      </w:pPr>
      <w:r w:rsidRPr="000E379D">
        <w:rPr>
          <w:rFonts w:ascii="Verdana" w:hAnsi="Verdana"/>
          <w:sz w:val="24"/>
          <w:szCs w:val="24"/>
        </w:rPr>
        <w:t>Accountability needs electoral salience, not just structures</w:t>
      </w:r>
    </w:p>
    <w:p w:rsidR="005C2847" w:rsidRPr="000E379D" w:rsidP="00302D26">
      <w:pPr>
        <w:pStyle w:val="ListParagraph"/>
        <w:numPr>
          <w:ilvl w:val="0"/>
          <w:numId w:val="2"/>
        </w:numPr>
        <w:spacing w:line="480" w:lineRule="auto"/>
        <w:rPr>
          <w:rFonts w:ascii="Verdana" w:hAnsi="Verdana"/>
          <w:sz w:val="24"/>
          <w:szCs w:val="24"/>
        </w:rPr>
      </w:pPr>
      <w:r w:rsidRPr="000E379D">
        <w:rPr>
          <w:rFonts w:ascii="Verdana" w:hAnsi="Verdana"/>
          <w:sz w:val="24"/>
          <w:szCs w:val="24"/>
        </w:rPr>
        <w:t>Distributional questions require a prior normative standard</w:t>
      </w:r>
    </w:p>
    <w:p w:rsidR="005C2847" w:rsidRPr="000E379D" w:rsidP="00302D26">
      <w:pPr>
        <w:pStyle w:val="ListParagraph"/>
        <w:numPr>
          <w:ilvl w:val="0"/>
          <w:numId w:val="2"/>
        </w:numPr>
        <w:spacing w:line="480" w:lineRule="auto"/>
        <w:rPr>
          <w:rFonts w:ascii="Verdana" w:hAnsi="Verdana"/>
          <w:sz w:val="24"/>
          <w:szCs w:val="24"/>
        </w:rPr>
      </w:pPr>
      <w:r w:rsidRPr="000E379D">
        <w:rPr>
          <w:rFonts w:ascii="Verdana" w:hAnsi="Verdana"/>
          <w:sz w:val="24"/>
          <w:szCs w:val="24"/>
        </w:rPr>
        <w:t>What are citizens owed regardless of where they live?</w:t>
      </w:r>
    </w:p>
    <w:p w:rsidR="005C2847" w:rsidRPr="000E379D" w:rsidP="00302D26">
      <w:pPr>
        <w:pStyle w:val="ListParagraph"/>
        <w:numPr>
          <w:ilvl w:val="0"/>
          <w:numId w:val="2"/>
        </w:numPr>
        <w:spacing w:line="480" w:lineRule="auto"/>
        <w:rPr>
          <w:rFonts w:ascii="Verdana" w:hAnsi="Verdana"/>
          <w:sz w:val="24"/>
          <w:szCs w:val="24"/>
        </w:rPr>
      </w:pPr>
      <w:r w:rsidRPr="000E379D">
        <w:rPr>
          <w:rFonts w:ascii="Verdana" w:hAnsi="Verdana"/>
          <w:sz w:val="24"/>
          <w:szCs w:val="24"/>
        </w:rPr>
        <w:t>Equalization is a value judgement, not a technical fix</w:t>
      </w:r>
    </w:p>
    <w:p w:rsidR="005C2847" w:rsidRPr="000E379D" w:rsidP="00302D26">
      <w:pPr>
        <w:pStyle w:val="ListParagraph"/>
        <w:numPr>
          <w:ilvl w:val="0"/>
          <w:numId w:val="2"/>
        </w:numPr>
        <w:spacing w:line="480" w:lineRule="auto"/>
        <w:rPr>
          <w:rFonts w:ascii="Verdana" w:hAnsi="Verdana"/>
          <w:sz w:val="24"/>
          <w:szCs w:val="24"/>
        </w:rPr>
      </w:pPr>
      <w:r w:rsidRPr="000E379D">
        <w:rPr>
          <w:rFonts w:ascii="Verdana" w:hAnsi="Verdana"/>
          <w:sz w:val="24"/>
          <w:szCs w:val="24"/>
        </w:rPr>
        <w:t>Legitimacy and accountability must precede fiscal autonomy</w:t>
      </w:r>
    </w:p>
    <w:p w:rsidR="005C2847" w:rsidRPr="000E379D" w:rsidP="000E379D">
      <w:pPr>
        <w:pStyle w:val="ListParagraph"/>
        <w:numPr>
          <w:ilvl w:val="0"/>
          <w:numId w:val="2"/>
        </w:numPr>
        <w:spacing w:line="480" w:lineRule="auto"/>
        <w:rPr>
          <w:rFonts w:ascii="Verdana" w:hAnsi="Verdana"/>
          <w:sz w:val="24"/>
          <w:szCs w:val="24"/>
        </w:rPr>
      </w:pPr>
      <w:r w:rsidRPr="000E379D">
        <w:rPr>
          <w:rFonts w:ascii="Verdana" w:hAnsi="Verdana"/>
          <w:sz w:val="24"/>
          <w:szCs w:val="24"/>
        </w:rPr>
        <w:t>Scrutiny and accountability aren’t the same thing</w:t>
      </w:r>
    </w:p>
    <w:p w:rsidR="005C2847" w:rsidRPr="000E379D" w:rsidP="000E379D">
      <w:pPr>
        <w:pStyle w:val="ListParagraph"/>
        <w:numPr>
          <w:ilvl w:val="0"/>
          <w:numId w:val="2"/>
        </w:numPr>
        <w:spacing w:line="480" w:lineRule="auto"/>
        <w:rPr>
          <w:rFonts w:ascii="Verdana" w:hAnsi="Verdana"/>
          <w:sz w:val="24"/>
          <w:szCs w:val="24"/>
        </w:rPr>
      </w:pPr>
      <w:r w:rsidRPr="000E379D">
        <w:rPr>
          <w:rFonts w:ascii="Verdana" w:hAnsi="Verdana"/>
          <w:sz w:val="24"/>
          <w:szCs w:val="24"/>
        </w:rPr>
        <w:t>Fiscal power needs stronger local standards frameworks</w:t>
      </w:r>
    </w:p>
    <w:p w:rsidR="005C2847" w:rsidRPr="000E379D" w:rsidP="000E379D">
      <w:pPr>
        <w:pStyle w:val="ListParagraph"/>
        <w:numPr>
          <w:ilvl w:val="0"/>
          <w:numId w:val="2"/>
        </w:numPr>
        <w:spacing w:line="480" w:lineRule="auto"/>
        <w:rPr>
          <w:rFonts w:ascii="Verdana" w:hAnsi="Verdana"/>
          <w:sz w:val="24"/>
          <w:szCs w:val="24"/>
        </w:rPr>
      </w:pPr>
      <w:r w:rsidRPr="000E379D">
        <w:rPr>
          <w:rFonts w:ascii="Verdana" w:hAnsi="Verdana"/>
          <w:sz w:val="24"/>
          <w:szCs w:val="24"/>
        </w:rPr>
        <w:t>Decentralisation ≠ devolution: they must be distinguished</w:t>
      </w:r>
    </w:p>
    <w:p w:rsidR="005C2847" w:rsidRPr="000E379D" w:rsidP="000E379D">
      <w:pPr>
        <w:spacing w:line="480" w:lineRule="auto"/>
        <w:rPr>
          <w:rFonts w:ascii="Verdana" w:hAnsi="Verdana"/>
          <w:b/>
          <w:bCs/>
          <w:sz w:val="24"/>
          <w:szCs w:val="24"/>
        </w:rPr>
      </w:pPr>
      <w:r w:rsidRPr="000E379D">
        <w:rPr>
          <w:rFonts w:ascii="Verdana" w:hAnsi="Verdana"/>
          <w:b/>
          <w:bCs/>
          <w:sz w:val="24"/>
          <w:szCs w:val="24"/>
        </w:rPr>
        <w:t>Introduction</w:t>
      </w:r>
    </w:p>
    <w:p w:rsidR="005C2847" w:rsidRPr="000E379D" w:rsidP="000E379D">
      <w:pPr>
        <w:spacing w:line="480" w:lineRule="auto"/>
        <w:rPr>
          <w:rFonts w:ascii="Verdana" w:hAnsi="Verdana"/>
          <w:spacing w:val="-1"/>
          <w:sz w:val="24"/>
          <w:szCs w:val="24"/>
        </w:rPr>
      </w:pPr>
      <w:r w:rsidRPr="000E379D">
        <w:rPr>
          <w:rFonts w:ascii="Verdana" w:hAnsi="Verdana"/>
          <w:spacing w:val="-1"/>
          <w:sz w:val="24"/>
          <w:szCs w:val="24"/>
        </w:rPr>
        <w:t>1. I’m a philosopher of science and public policy at Hokkaido University, the University of Bristol, and Bangor University, hold numerous public appointments providing ethical and scientific advice to government, and am a board member of several public institutions. My research focusses on evidence-based policy, standards in public life, and trust in institutions.</w:t>
      </w:r>
    </w:p>
    <w:p w:rsidR="005C2847" w:rsidRPr="000E379D" w:rsidP="000E379D">
      <w:pPr>
        <w:spacing w:line="480" w:lineRule="auto"/>
        <w:rPr>
          <w:rFonts w:ascii="Verdana" w:hAnsi="Verdana"/>
          <w:spacing w:val="-1"/>
          <w:sz w:val="24"/>
          <w:szCs w:val="24"/>
        </w:rPr>
      </w:pPr>
      <w:r w:rsidRPr="000E379D">
        <w:rPr>
          <w:rFonts w:ascii="Verdana" w:hAnsi="Verdana"/>
          <w:spacing w:val="-1"/>
          <w:sz w:val="24"/>
          <w:szCs w:val="24"/>
        </w:rPr>
        <w:t xml:space="preserve">2. My aim in this submission is to complement the economic and technical evidence the inquiry will receive from other sources by helping to frame some of the underlying questions and to disentangle claims that are partly </w:t>
      </w:r>
      <w:r w:rsidRPr="000E379D">
        <w:rPr>
          <w:rFonts w:ascii="Verdana" w:hAnsi="Verdana"/>
          <w:spacing w:val="-1"/>
          <w:sz w:val="24"/>
          <w:szCs w:val="24"/>
        </w:rPr>
        <w:t>empirical and partly normative. Where the inquiry’s questions presuppose contested value judgements, this submission tries to make those judgements visible. Where apparent technical choices are in fact political ones, it says so. The hope is that this makes the inquiry’s own reasoning more precise and its conclusions more defensible.</w:t>
      </w:r>
    </w:p>
    <w:p w:rsidR="005C2847" w:rsidRPr="000E379D" w:rsidP="000E379D">
      <w:pPr>
        <w:spacing w:line="480" w:lineRule="auto"/>
        <w:rPr>
          <w:rFonts w:ascii="Verdana" w:hAnsi="Verdana"/>
          <w:b/>
          <w:bCs/>
          <w:sz w:val="24"/>
          <w:szCs w:val="24"/>
        </w:rPr>
      </w:pPr>
      <w:r w:rsidRPr="000E379D">
        <w:rPr>
          <w:rFonts w:ascii="Verdana" w:hAnsi="Verdana"/>
          <w:b/>
          <w:bCs/>
          <w:sz w:val="24"/>
          <w:szCs w:val="24"/>
        </w:rPr>
        <w:t>Q1. What are the aims of fiscal devolution? What can it achieve?</w:t>
      </w:r>
    </w:p>
    <w:p w:rsidR="005C2847" w:rsidRPr="000E379D" w:rsidP="000E379D">
      <w:pPr>
        <w:spacing w:line="480" w:lineRule="auto"/>
        <w:rPr>
          <w:rFonts w:ascii="Verdana" w:hAnsi="Verdana"/>
          <w:sz w:val="24"/>
          <w:szCs w:val="24"/>
        </w:rPr>
      </w:pPr>
      <w:r w:rsidRPr="000E379D">
        <w:rPr>
          <w:rFonts w:ascii="Verdana" w:hAnsi="Verdana"/>
          <w:sz w:val="24"/>
          <w:szCs w:val="24"/>
        </w:rPr>
        <w:t>3. The aims of fiscal devolution aren’t unified. Promoting growth, enhancing democratic legitimacy, and reducing regional inequality are usually listed together as though they point in the same direction, but they don’t always. A settlement optimized for growth may concentrate resources in already productive regions. One optimized for legitimacy may be locally popular but economically inefficient. The inquiry needs to be clear about which aim comes first, because the design of any settlement will differ depending on the answer.</w:t>
      </w:r>
    </w:p>
    <w:p w:rsidR="005C2847" w:rsidRPr="000E379D" w:rsidP="000E379D">
      <w:pPr>
        <w:spacing w:line="480" w:lineRule="auto"/>
        <w:rPr>
          <w:rFonts w:ascii="Verdana" w:hAnsi="Verdana"/>
          <w:sz w:val="24"/>
          <w:szCs w:val="24"/>
        </w:rPr>
      </w:pPr>
      <w:r w:rsidRPr="000E379D">
        <w:rPr>
          <w:rFonts w:ascii="Verdana" w:hAnsi="Verdana"/>
          <w:sz w:val="24"/>
          <w:szCs w:val="24"/>
        </w:rPr>
        <w:t>4. Democratic accountability is sometimes treated as a consequence of devolution, sometimes as its justification. These are different claims. Devolution only improves accountability if citizens can actually trace fiscal decisions back to specific local actors. This requires electoral salience, comprehensible tax structures, and local discretion. Without those conditions, devolution appears to increase accountability without actually doing so in practice.</w:t>
      </w:r>
    </w:p>
    <w:p w:rsidR="005C2847" w:rsidRPr="000E379D" w:rsidP="000E379D">
      <w:pPr>
        <w:spacing w:line="480" w:lineRule="auto"/>
        <w:rPr>
          <w:rFonts w:ascii="Verdana" w:hAnsi="Verdana"/>
          <w:b/>
          <w:bCs/>
          <w:sz w:val="24"/>
          <w:szCs w:val="24"/>
        </w:rPr>
      </w:pPr>
      <w:r w:rsidRPr="000E379D">
        <w:rPr>
          <w:rFonts w:ascii="Verdana" w:hAnsi="Verdana"/>
          <w:b/>
          <w:bCs/>
          <w:sz w:val="24"/>
          <w:szCs w:val="24"/>
        </w:rPr>
        <w:t>Q6. What are the distributional consequences of fiscal devolution?</w:t>
      </w:r>
    </w:p>
    <w:p w:rsidR="005C2847" w:rsidRPr="000E379D" w:rsidP="000E379D">
      <w:pPr>
        <w:spacing w:line="480" w:lineRule="auto"/>
        <w:rPr>
          <w:rFonts w:ascii="Verdana" w:hAnsi="Verdana"/>
          <w:sz w:val="24"/>
          <w:szCs w:val="24"/>
        </w:rPr>
      </w:pPr>
      <w:r w:rsidRPr="000E379D">
        <w:rPr>
          <w:rFonts w:ascii="Verdana" w:hAnsi="Verdana"/>
          <w:sz w:val="24"/>
          <w:szCs w:val="24"/>
        </w:rPr>
        <w:t>5. This question sounds empirical but is partly a values question. You can only assess distributional consequences against a prior standard: are we concerned with aggregate welfare, with the position of the worst-off areas, or with reducing inter-regional inequality as such? These are different objectives and will produce different verdicts on the same settlement. The inquiry should say which standard it’s applying.</w:t>
      </w:r>
    </w:p>
    <w:p w:rsidR="005C2847" w:rsidRPr="000E379D" w:rsidP="000E379D">
      <w:pPr>
        <w:spacing w:line="480" w:lineRule="auto"/>
        <w:rPr>
          <w:rFonts w:ascii="Verdana" w:hAnsi="Verdana"/>
          <w:sz w:val="24"/>
          <w:szCs w:val="24"/>
        </w:rPr>
      </w:pPr>
      <w:r w:rsidRPr="000E379D">
        <w:rPr>
          <w:rFonts w:ascii="Verdana" w:hAnsi="Verdana"/>
          <w:sz w:val="24"/>
          <w:szCs w:val="24"/>
        </w:rPr>
        <w:t>6. There’s a tension between local fiscal autonomy and basic fairness. If residents of poorer areas get worse public services because their local tax base is smaller, that’s a direct consequence of devolution. Whether that’s acceptable depends on whether place-based variation in public services is justified. This is a question about what citizens are owed as citizens, not just as residents of a particular area.</w:t>
      </w:r>
    </w:p>
    <w:p w:rsidR="005C2847" w:rsidRPr="000E379D" w:rsidP="000E379D">
      <w:pPr>
        <w:spacing w:line="480" w:lineRule="auto"/>
        <w:rPr>
          <w:rFonts w:ascii="Verdana" w:hAnsi="Verdana"/>
          <w:sz w:val="24"/>
          <w:szCs w:val="24"/>
        </w:rPr>
      </w:pPr>
      <w:r w:rsidRPr="000E379D">
        <w:rPr>
          <w:rFonts w:ascii="Verdana" w:hAnsi="Verdana"/>
          <w:sz w:val="24"/>
          <w:szCs w:val="24"/>
        </w:rPr>
        <w:t>7. Equalization mechanisms are often presented as technical fixes. They’re not: they’re contested value judgements about how much inter-regional inequality is tolerable and who should pay to reduce it. The inquiry should resist treating their design as a purely technical matter.</w:t>
      </w:r>
    </w:p>
    <w:p w:rsidR="005C2847" w:rsidRPr="000E379D" w:rsidP="000E379D">
      <w:pPr>
        <w:spacing w:line="480" w:lineRule="auto"/>
        <w:rPr>
          <w:rFonts w:ascii="Verdana" w:hAnsi="Verdana"/>
          <w:b/>
          <w:bCs/>
          <w:sz w:val="24"/>
          <w:szCs w:val="24"/>
        </w:rPr>
      </w:pPr>
      <w:r w:rsidRPr="000E379D">
        <w:rPr>
          <w:rFonts w:ascii="Verdana" w:hAnsi="Verdana"/>
          <w:b/>
          <w:bCs/>
          <w:sz w:val="24"/>
          <w:szCs w:val="24"/>
        </w:rPr>
        <w:t>Q7. What governance arrangements are needed?</w:t>
      </w:r>
    </w:p>
    <w:p w:rsidR="005C2847" w:rsidRPr="000E379D" w:rsidP="000E379D">
      <w:pPr>
        <w:spacing w:line="480" w:lineRule="auto"/>
        <w:rPr>
          <w:rFonts w:ascii="Verdana" w:hAnsi="Verdana"/>
          <w:sz w:val="24"/>
          <w:szCs w:val="24"/>
        </w:rPr>
      </w:pPr>
      <w:r w:rsidRPr="000E379D">
        <w:rPr>
          <w:rFonts w:ascii="Verdana" w:hAnsi="Verdana"/>
          <w:sz w:val="24"/>
          <w:szCs w:val="24"/>
        </w:rPr>
        <w:t xml:space="preserve">8. The current mayoral model has a legitimacy problem that fiscal devolution would make worse. Mayors already exercise substantial powers in an environment of low electoral salience and weak scrutiny. Giving them significant revenue-raising powers before robust democratic accountability is in place gets the order wrong. Legitimacy should be a </w:t>
      </w:r>
      <w:r w:rsidRPr="000E379D">
        <w:rPr>
          <w:rFonts w:ascii="Verdana" w:hAnsi="Verdana"/>
          <w:sz w:val="24"/>
          <w:szCs w:val="24"/>
        </w:rPr>
        <w:t>precondition of fiscal autonomy, not something to work towards afterwards.</w:t>
      </w:r>
    </w:p>
    <w:p w:rsidR="005C2847" w:rsidRPr="000E379D" w:rsidP="000E379D">
      <w:pPr>
        <w:spacing w:line="480" w:lineRule="auto"/>
        <w:rPr>
          <w:rFonts w:ascii="Verdana" w:hAnsi="Verdana"/>
          <w:sz w:val="24"/>
          <w:szCs w:val="24"/>
        </w:rPr>
      </w:pPr>
      <w:r w:rsidRPr="000E379D">
        <w:rPr>
          <w:rFonts w:ascii="Verdana" w:hAnsi="Verdana"/>
          <w:sz w:val="24"/>
          <w:szCs w:val="24"/>
        </w:rPr>
        <w:t>9. Scrutiny and accountability aren’t the same thing. Scrutiny – by committees or auditors – is a mechanism. Accountability is what that mechanism is supposed to deliver: decisionmakers answerable to the people affected by their decisions. The two can come apart. Formal scrutiny arrangements can satisfy a procedural test while delivering very little real accountability, especially if the scrutinizing bodies lack independence, capacity, or public profile.</w:t>
      </w:r>
    </w:p>
    <w:p w:rsidR="005C2847" w:rsidRPr="000E379D" w:rsidP="000E379D">
      <w:pPr>
        <w:spacing w:line="480" w:lineRule="auto"/>
        <w:rPr>
          <w:rFonts w:ascii="Verdana" w:hAnsi="Verdana"/>
          <w:sz w:val="24"/>
          <w:szCs w:val="24"/>
        </w:rPr>
      </w:pPr>
      <w:r w:rsidRPr="000E379D">
        <w:rPr>
          <w:rFonts w:ascii="Verdana" w:hAnsi="Verdana"/>
          <w:sz w:val="24"/>
          <w:szCs w:val="24"/>
        </w:rPr>
        <w:t>10. Standards in public life become more important as fiscal powers expand. Greater discretion over revenue and spending creates greater opportunity for undue influence. I’d urge the inquiry to consider whether existing standards frameworks – designed mainly with central government in mind – are adequate for institutions that would become significantly more powerful under further devolution. Responsibility and accountability must come first before more powers are bestowed upon regional authorities.</w:t>
      </w:r>
    </w:p>
    <w:p w:rsidR="005C2847" w:rsidRPr="000E379D" w:rsidP="000E379D">
      <w:pPr>
        <w:spacing w:line="480" w:lineRule="auto"/>
        <w:rPr>
          <w:rFonts w:ascii="Verdana" w:hAnsi="Verdana"/>
          <w:b/>
          <w:bCs/>
          <w:sz w:val="24"/>
          <w:szCs w:val="24"/>
        </w:rPr>
      </w:pPr>
      <w:r w:rsidRPr="000E379D">
        <w:rPr>
          <w:rFonts w:ascii="Verdana" w:hAnsi="Verdana"/>
          <w:b/>
          <w:bCs/>
          <w:sz w:val="24"/>
          <w:szCs w:val="24"/>
        </w:rPr>
        <w:t>Q10. What risks are associated with further fiscal devolution?</w:t>
      </w:r>
    </w:p>
    <w:p w:rsidR="005C2847" w:rsidRPr="000E379D" w:rsidP="000E379D">
      <w:pPr>
        <w:spacing w:line="480" w:lineRule="auto"/>
        <w:rPr>
          <w:rFonts w:ascii="Verdana" w:hAnsi="Verdana"/>
          <w:sz w:val="24"/>
          <w:szCs w:val="24"/>
        </w:rPr>
      </w:pPr>
      <w:r w:rsidRPr="000E379D">
        <w:rPr>
          <w:rFonts w:ascii="Verdana" w:hAnsi="Verdana"/>
          <w:sz w:val="24"/>
          <w:szCs w:val="24"/>
        </w:rPr>
        <w:t xml:space="preserve">11. The most underexamined risk is that the government implements decentralization while calling it devolution, and that the inquiry treats the two as equivalent. Decentralization means central government deciding what gets spent, but routing that spending through local institutions. Devolution means transferring authority – including the authority to make </w:t>
      </w:r>
      <w:r w:rsidRPr="000E379D">
        <w:rPr>
          <w:rFonts w:ascii="Verdana" w:hAnsi="Verdana"/>
          <w:sz w:val="24"/>
          <w:szCs w:val="24"/>
        </w:rPr>
        <w:t>choices the centre wouldn’t make. The democratic legitimacy benefits typically claimed for fiscal devolution only follow from the real thing, not from decentralization.</w:t>
      </w:r>
    </w:p>
    <w:p w:rsidR="005C2847" w:rsidRPr="000E379D" w:rsidP="000E379D">
      <w:pPr>
        <w:spacing w:line="480" w:lineRule="auto"/>
        <w:rPr>
          <w:rFonts w:ascii="Verdana" w:hAnsi="Verdana"/>
          <w:sz w:val="24"/>
          <w:szCs w:val="24"/>
        </w:rPr>
      </w:pPr>
      <w:r w:rsidRPr="000E379D">
        <w:rPr>
          <w:rFonts w:ascii="Verdana" w:hAnsi="Verdana"/>
          <w:sz w:val="24"/>
          <w:szCs w:val="24"/>
        </w:rPr>
        <w:t>12. The current integrated settlement model illustrates the gap. Mayors receive funding allocated across six themes, with flexibility to move only up to 10% of annual funding between them, and parts of Whitehall have resisted surrendering control, imposing detailed targets across areas including transport, skills, and housing. That’s a defensible transitional arrangement, but if it becomes the ceiling rather than the floor, the Chancellor’s promise of "a genuine break with the past" won’t be delivered. The inquiry should press the government to be explicit about where on the devolution/decentralization spectrum its proposals actually sit, and to be and honest about whether the legitimacy benefits it claims will follow from that position.</w:t>
      </w:r>
    </w:p>
    <w:p w:rsidR="005C2847" w:rsidRPr="000E379D" w:rsidP="000E379D">
      <w:pPr>
        <w:spacing w:line="480" w:lineRule="auto"/>
        <w:rPr>
          <w:rFonts w:ascii="Verdana" w:hAnsi="Verdana"/>
          <w:b/>
          <w:bCs/>
          <w:sz w:val="24"/>
          <w:szCs w:val="24"/>
        </w:rPr>
      </w:pPr>
      <w:r w:rsidRPr="000E379D">
        <w:rPr>
          <w:rFonts w:ascii="Verdana" w:hAnsi="Verdana"/>
          <w:b/>
          <w:bCs/>
          <w:sz w:val="24"/>
          <w:szCs w:val="24"/>
        </w:rPr>
        <w:t>Summary of Recommendations</w:t>
      </w:r>
    </w:p>
    <w:p w:rsidR="005C2847" w:rsidRPr="000E379D" w:rsidP="000E379D">
      <w:pPr>
        <w:spacing w:line="480" w:lineRule="auto"/>
        <w:rPr>
          <w:rFonts w:ascii="Verdana" w:hAnsi="Verdana"/>
          <w:sz w:val="24"/>
          <w:szCs w:val="24"/>
        </w:rPr>
      </w:pPr>
      <w:r w:rsidRPr="000E379D">
        <w:rPr>
          <w:rFonts w:ascii="Verdana" w:hAnsi="Verdana"/>
          <w:sz w:val="24"/>
          <w:szCs w:val="24"/>
        </w:rPr>
        <w:t>13. The inquiry should explicitly state which aim – growth, democratic legitimacy, or regional equality – takes priority where they conflict, rather than treating them as mutually reinforcing.</w:t>
      </w:r>
    </w:p>
    <w:p w:rsidR="005C2847" w:rsidRPr="000E379D" w:rsidP="000E379D">
      <w:pPr>
        <w:spacing w:line="480" w:lineRule="auto"/>
        <w:rPr>
          <w:rFonts w:ascii="Verdana" w:hAnsi="Verdana"/>
          <w:sz w:val="24"/>
          <w:szCs w:val="24"/>
        </w:rPr>
      </w:pPr>
      <w:r w:rsidRPr="000E379D">
        <w:rPr>
          <w:rFonts w:ascii="Verdana" w:hAnsi="Verdana"/>
          <w:sz w:val="24"/>
          <w:szCs w:val="24"/>
        </w:rPr>
        <w:t>14. Before extending revenue-raising powers to mayoral authorities, the government should demonstrate that existing accountability mechanisms are sufficient to justify those powers. Legitimacy should precede fiscal autonomy, not follow it.</w:t>
      </w:r>
    </w:p>
    <w:p w:rsidR="005C2847" w:rsidRPr="000E379D" w:rsidP="000E379D">
      <w:pPr>
        <w:spacing w:line="480" w:lineRule="auto"/>
        <w:rPr>
          <w:rFonts w:ascii="Verdana" w:hAnsi="Verdana"/>
          <w:sz w:val="24"/>
          <w:szCs w:val="24"/>
        </w:rPr>
      </w:pPr>
      <w:r w:rsidRPr="000E379D">
        <w:rPr>
          <w:rFonts w:ascii="Verdana" w:hAnsi="Verdana"/>
          <w:sz w:val="24"/>
          <w:szCs w:val="24"/>
        </w:rPr>
        <w:t>15. The inquiry should adopt an explicit normative standard when evaluating distributional consequences and acknowledge that choosing between aggregate welfare, floor-raising for the worst-off, and reducing inter-regional inequality is a political judgement, not a technical one.</w:t>
      </w:r>
    </w:p>
    <w:p w:rsidR="005C2847" w:rsidRPr="000E379D" w:rsidP="000E379D">
      <w:pPr>
        <w:spacing w:line="480" w:lineRule="auto"/>
        <w:rPr>
          <w:rFonts w:ascii="Verdana" w:hAnsi="Verdana"/>
          <w:sz w:val="24"/>
          <w:szCs w:val="24"/>
        </w:rPr>
      </w:pPr>
      <w:r w:rsidRPr="000E379D">
        <w:rPr>
          <w:rFonts w:ascii="Verdana" w:hAnsi="Verdana"/>
          <w:sz w:val="24"/>
          <w:szCs w:val="24"/>
        </w:rPr>
        <w:t>16. Equalization mechanisms should be designed and debated as the value judgements they are, with explicit decisions about tolerable levels of inter-regional inequality made by elected representatives rather than delegated to technical formulae.</w:t>
      </w:r>
    </w:p>
    <w:p w:rsidR="005C2847" w:rsidRPr="000E379D" w:rsidP="000E379D">
      <w:pPr>
        <w:spacing w:line="480" w:lineRule="auto"/>
        <w:rPr>
          <w:rFonts w:ascii="Verdana" w:hAnsi="Verdana"/>
          <w:sz w:val="24"/>
          <w:szCs w:val="24"/>
        </w:rPr>
      </w:pPr>
      <w:r w:rsidRPr="000E379D">
        <w:rPr>
          <w:rFonts w:ascii="Verdana" w:hAnsi="Verdana"/>
          <w:sz w:val="24"/>
          <w:szCs w:val="24"/>
        </w:rPr>
        <w:t>17. The government should review whether existing standards frameworks are adequate for local and mayoral institutions that would hold significantly greater fiscal powers under further devolution.</w:t>
      </w:r>
    </w:p>
    <w:p w:rsidR="005C2847" w:rsidP="000E379D">
      <w:pPr>
        <w:spacing w:line="480" w:lineRule="auto"/>
        <w:rPr>
          <w:rFonts w:ascii="Verdana" w:hAnsi="Verdana"/>
          <w:sz w:val="24"/>
          <w:szCs w:val="24"/>
        </w:rPr>
      </w:pPr>
      <w:r w:rsidRPr="000E379D">
        <w:rPr>
          <w:rFonts w:ascii="Verdana" w:hAnsi="Verdana"/>
          <w:sz w:val="24"/>
          <w:szCs w:val="24"/>
        </w:rPr>
        <w:t>18. The inquiry should require the government to specify, for each proposed reform, whether it constitutes genuine devolution – a transfer of authority including the freedom to diverge from central preferences – or decentralization, and to justify any claimed legitimacy benefits accordingly.</w:t>
      </w:r>
    </w:p>
    <w:p w:rsidR="000E379D" w:rsidRPr="000E379D" w:rsidP="000E379D">
      <w:pPr>
        <w:spacing w:line="480" w:lineRule="auto"/>
        <w:rPr>
          <w:rFonts w:ascii="Verdana" w:hAnsi="Verdana"/>
          <w:i/>
          <w:iCs/>
          <w:sz w:val="24"/>
          <w:szCs w:val="24"/>
        </w:rPr>
      </w:pPr>
      <w:r w:rsidRPr="000E379D">
        <w:rPr>
          <w:rFonts w:ascii="Verdana" w:hAnsi="Verdana"/>
          <w:i/>
          <w:iCs/>
          <w:sz w:val="24"/>
          <w:szCs w:val="24"/>
        </w:rPr>
        <w:t>22 May 2026</w:t>
      </w:r>
    </w:p>
    <w:p w:rsidR="005C2847" w:rsidRPr="000E379D" w:rsidP="000E379D">
      <w:pPr>
        <w:spacing w:line="480" w:lineRule="auto"/>
        <w:rPr>
          <w:rFonts w:ascii="Verdana" w:hAnsi="Verdana"/>
          <w:sz w:val="24"/>
          <w:szCs w:val="24"/>
        </w:rPr>
      </w:pPr>
    </w:p>
    <w:p w:rsidR="005C2847" w:rsidRPr="00D70FEF" w:rsidP="00861FA8">
      <w:pPr>
        <w:jc w:val="right"/>
        <w:rPr>
          <w:rFonts w:ascii="Californian FB" w:hAnsi="Californian FB"/>
        </w:rPr>
      </w:pPr>
    </w:p>
    <w:sectPr w:rsidSect="00302D26">
      <w:pgSz w:w="11906" w:h="16838"/>
      <w:pgMar w:top="1440" w:right="1440" w:bottom="1440" w:left="1440" w:header="22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fornian FB">
    <w:panose1 w:val="0207040306080B03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1B669B"/>
    <w:multiLevelType w:val="multilevel"/>
    <w:tmpl w:val="1F44F0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810DD"/>
    <w:multiLevelType w:val="multilevel"/>
    <w:tmpl w:val="4D343C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E1527E"/>
    <w:multiLevelType w:val="multilevel"/>
    <w:tmpl w:val="0578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0B3250"/>
    <w:multiLevelType w:val="hybridMultilevel"/>
    <w:tmpl w:val="E9888B5E"/>
    <w:lvl w:ilvl="0">
      <w:start w:val="1"/>
      <w:numFmt w:val="bullet"/>
      <w:lvlText w:val=""/>
      <w:lvlJc w:val="left"/>
      <w:pPr>
        <w:ind w:left="6" w:hanging="360"/>
      </w:pPr>
      <w:rPr>
        <w:rFonts w:ascii="Symbol" w:hAnsi="Symbol" w:hint="default"/>
      </w:rPr>
    </w:lvl>
    <w:lvl w:ilvl="1" w:tentative="1">
      <w:start w:val="1"/>
      <w:numFmt w:val="bullet"/>
      <w:lvlText w:val="o"/>
      <w:lvlJc w:val="left"/>
      <w:pPr>
        <w:ind w:left="726" w:hanging="360"/>
      </w:pPr>
      <w:rPr>
        <w:rFonts w:ascii="Courier New" w:hAnsi="Courier New" w:cs="Courier New" w:hint="default"/>
      </w:rPr>
    </w:lvl>
    <w:lvl w:ilvl="2" w:tentative="1">
      <w:start w:val="1"/>
      <w:numFmt w:val="bullet"/>
      <w:lvlText w:val=""/>
      <w:lvlJc w:val="left"/>
      <w:pPr>
        <w:ind w:left="1446" w:hanging="360"/>
      </w:pPr>
      <w:rPr>
        <w:rFonts w:ascii="Wingdings" w:hAnsi="Wingdings" w:hint="default"/>
      </w:rPr>
    </w:lvl>
    <w:lvl w:ilvl="3" w:tentative="1">
      <w:start w:val="1"/>
      <w:numFmt w:val="bullet"/>
      <w:lvlText w:val=""/>
      <w:lvlJc w:val="left"/>
      <w:pPr>
        <w:ind w:left="2166" w:hanging="360"/>
      </w:pPr>
      <w:rPr>
        <w:rFonts w:ascii="Symbol" w:hAnsi="Symbol" w:hint="default"/>
      </w:rPr>
    </w:lvl>
    <w:lvl w:ilvl="4" w:tentative="1">
      <w:start w:val="1"/>
      <w:numFmt w:val="bullet"/>
      <w:lvlText w:val="o"/>
      <w:lvlJc w:val="left"/>
      <w:pPr>
        <w:ind w:left="2886" w:hanging="360"/>
      </w:pPr>
      <w:rPr>
        <w:rFonts w:ascii="Courier New" w:hAnsi="Courier New" w:cs="Courier New" w:hint="default"/>
      </w:rPr>
    </w:lvl>
    <w:lvl w:ilvl="5" w:tentative="1">
      <w:start w:val="1"/>
      <w:numFmt w:val="bullet"/>
      <w:lvlText w:val=""/>
      <w:lvlJc w:val="left"/>
      <w:pPr>
        <w:ind w:left="3606" w:hanging="360"/>
      </w:pPr>
      <w:rPr>
        <w:rFonts w:ascii="Wingdings" w:hAnsi="Wingdings" w:hint="default"/>
      </w:rPr>
    </w:lvl>
    <w:lvl w:ilvl="6" w:tentative="1">
      <w:start w:val="1"/>
      <w:numFmt w:val="bullet"/>
      <w:lvlText w:val=""/>
      <w:lvlJc w:val="left"/>
      <w:pPr>
        <w:ind w:left="4326" w:hanging="360"/>
      </w:pPr>
      <w:rPr>
        <w:rFonts w:ascii="Symbol" w:hAnsi="Symbol" w:hint="default"/>
      </w:rPr>
    </w:lvl>
    <w:lvl w:ilvl="7" w:tentative="1">
      <w:start w:val="1"/>
      <w:numFmt w:val="bullet"/>
      <w:lvlText w:val="o"/>
      <w:lvlJc w:val="left"/>
      <w:pPr>
        <w:ind w:left="5046" w:hanging="360"/>
      </w:pPr>
      <w:rPr>
        <w:rFonts w:ascii="Courier New" w:hAnsi="Courier New" w:cs="Courier New" w:hint="default"/>
      </w:rPr>
    </w:lvl>
    <w:lvl w:ilvl="8" w:tentative="1">
      <w:start w:val="1"/>
      <w:numFmt w:val="bullet"/>
      <w:lvlText w:val=""/>
      <w:lvlJc w:val="left"/>
      <w:pPr>
        <w:ind w:left="5766" w:hanging="360"/>
      </w:pPr>
      <w:rPr>
        <w:rFonts w:ascii="Wingdings" w:hAnsi="Wingdings" w:hint="default"/>
      </w:rPr>
    </w:lvl>
  </w:abstractNum>
  <w:abstractNum w:abstractNumId="4">
    <w:nsid w:val="26B17EE3"/>
    <w:multiLevelType w:val="multilevel"/>
    <w:tmpl w:val="602A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FA1C6F"/>
    <w:multiLevelType w:val="hybridMultilevel"/>
    <w:tmpl w:val="26D4124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8FE6B86"/>
    <w:multiLevelType w:val="multilevel"/>
    <w:tmpl w:val="9FDADEE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74142B"/>
    <w:multiLevelType w:val="multilevel"/>
    <w:tmpl w:val="D08E7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633756"/>
    <w:multiLevelType w:val="hybridMultilevel"/>
    <w:tmpl w:val="4C48BB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F9528E7"/>
    <w:multiLevelType w:val="multilevel"/>
    <w:tmpl w:val="D45A2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9"/>
  </w:num>
  <w:num w:numId="5">
    <w:abstractNumId w:val="0"/>
  </w:num>
  <w:num w:numId="6">
    <w:abstractNumId w:val="7"/>
  </w:num>
  <w:num w:numId="7">
    <w:abstractNumId w:val="1"/>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32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A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2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AE3"/>
    <w:rPr>
      <w:rFonts w:eastAsiaTheme="majorEastAsia" w:cstheme="majorBidi"/>
      <w:color w:val="272727" w:themeColor="text1" w:themeTint="D8"/>
    </w:rPr>
  </w:style>
  <w:style w:type="paragraph" w:styleId="Title">
    <w:name w:val="Title"/>
    <w:basedOn w:val="Normal"/>
    <w:next w:val="Normal"/>
    <w:link w:val="TitleChar"/>
    <w:uiPriority w:val="10"/>
    <w:qFormat/>
    <w:rsid w:val="00232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AE3"/>
    <w:pPr>
      <w:spacing w:before="160"/>
      <w:jc w:val="center"/>
    </w:pPr>
    <w:rPr>
      <w:i/>
      <w:iCs/>
      <w:color w:val="404040" w:themeColor="text1" w:themeTint="BF"/>
    </w:rPr>
  </w:style>
  <w:style w:type="character" w:customStyle="1" w:styleId="QuoteChar">
    <w:name w:val="Quote Char"/>
    <w:basedOn w:val="DefaultParagraphFont"/>
    <w:link w:val="Quote"/>
    <w:uiPriority w:val="29"/>
    <w:rsid w:val="00232AE3"/>
    <w:rPr>
      <w:i/>
      <w:iCs/>
      <w:color w:val="404040" w:themeColor="text1" w:themeTint="BF"/>
    </w:rPr>
  </w:style>
  <w:style w:type="paragraph" w:styleId="ListParagraph">
    <w:name w:val="List Paragraph"/>
    <w:basedOn w:val="Normal"/>
    <w:uiPriority w:val="34"/>
    <w:qFormat/>
    <w:rsid w:val="00232AE3"/>
    <w:pPr>
      <w:ind w:left="720"/>
      <w:contextualSpacing/>
    </w:pPr>
  </w:style>
  <w:style w:type="character" w:styleId="IntenseEmphasis">
    <w:name w:val="Intense Emphasis"/>
    <w:basedOn w:val="DefaultParagraphFont"/>
    <w:uiPriority w:val="21"/>
    <w:qFormat/>
    <w:rsid w:val="00232AE3"/>
    <w:rPr>
      <w:i/>
      <w:iCs/>
      <w:color w:val="0F4761" w:themeColor="accent1" w:themeShade="BF"/>
    </w:rPr>
  </w:style>
  <w:style w:type="paragraph" w:styleId="IntenseQuote">
    <w:name w:val="Intense Quote"/>
    <w:basedOn w:val="Normal"/>
    <w:next w:val="Normal"/>
    <w:link w:val="IntenseQuoteChar"/>
    <w:uiPriority w:val="30"/>
    <w:qFormat/>
    <w:rsid w:val="00232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AE3"/>
    <w:rPr>
      <w:i/>
      <w:iCs/>
      <w:color w:val="0F4761" w:themeColor="accent1" w:themeShade="BF"/>
    </w:rPr>
  </w:style>
  <w:style w:type="character" w:styleId="IntenseReference">
    <w:name w:val="Intense Reference"/>
    <w:basedOn w:val="DefaultParagraphFont"/>
    <w:uiPriority w:val="32"/>
    <w:qFormat/>
    <w:rsid w:val="00232AE3"/>
    <w:rPr>
      <w:b/>
      <w:bCs/>
      <w:smallCaps/>
      <w:color w:val="0F4761" w:themeColor="accent1" w:themeShade="BF"/>
      <w:spacing w:val="5"/>
    </w:rPr>
  </w:style>
  <w:style w:type="paragraph" w:styleId="FootnoteText">
    <w:name w:val="footnote text"/>
    <w:basedOn w:val="Normal"/>
    <w:link w:val="FootnoteTextChar"/>
    <w:uiPriority w:val="99"/>
    <w:semiHidden/>
    <w:unhideWhenUsed/>
    <w:rsid w:val="00232A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AE3"/>
    <w:rPr>
      <w:sz w:val="20"/>
      <w:szCs w:val="20"/>
    </w:rPr>
  </w:style>
  <w:style w:type="character" w:styleId="FootnoteReference">
    <w:name w:val="footnote reference"/>
    <w:basedOn w:val="DefaultParagraphFont"/>
    <w:uiPriority w:val="99"/>
    <w:semiHidden/>
    <w:unhideWhenUsed/>
    <w:rsid w:val="00232AE3"/>
    <w:rPr>
      <w:vertAlign w:val="superscript"/>
    </w:rPr>
  </w:style>
  <w:style w:type="character" w:styleId="Hyperlink">
    <w:name w:val="Hyperlink"/>
    <w:basedOn w:val="DefaultParagraphFont"/>
    <w:uiPriority w:val="99"/>
    <w:unhideWhenUsed/>
    <w:rsid w:val="00070A58"/>
    <w:rPr>
      <w:color w:val="467886" w:themeColor="hyperlink"/>
      <w:u w:val="single"/>
    </w:rPr>
  </w:style>
  <w:style w:type="character" w:customStyle="1" w:styleId="UnresolvedMention1">
    <w:name w:val="Unresolved Mention1"/>
    <w:basedOn w:val="DefaultParagraphFont"/>
    <w:uiPriority w:val="99"/>
    <w:semiHidden/>
    <w:unhideWhenUsed/>
    <w:rsid w:val="00070A58"/>
    <w:rPr>
      <w:color w:val="605E5C"/>
      <w:shd w:val="clear" w:color="auto" w:fill="E1DFDD"/>
    </w:rPr>
  </w:style>
  <w:style w:type="character" w:styleId="CommentReference">
    <w:name w:val="annotation reference"/>
    <w:basedOn w:val="DefaultParagraphFont"/>
    <w:uiPriority w:val="99"/>
    <w:semiHidden/>
    <w:unhideWhenUsed/>
    <w:rsid w:val="009967A5"/>
    <w:rPr>
      <w:sz w:val="16"/>
      <w:szCs w:val="16"/>
    </w:rPr>
  </w:style>
  <w:style w:type="paragraph" w:styleId="CommentText">
    <w:name w:val="annotation text"/>
    <w:basedOn w:val="Normal"/>
    <w:link w:val="CommentTextChar"/>
    <w:uiPriority w:val="99"/>
    <w:unhideWhenUsed/>
    <w:rsid w:val="009967A5"/>
    <w:pPr>
      <w:spacing w:line="240" w:lineRule="auto"/>
    </w:pPr>
    <w:rPr>
      <w:sz w:val="20"/>
      <w:szCs w:val="20"/>
    </w:rPr>
  </w:style>
  <w:style w:type="character" w:customStyle="1" w:styleId="CommentTextChar">
    <w:name w:val="Comment Text Char"/>
    <w:basedOn w:val="DefaultParagraphFont"/>
    <w:link w:val="CommentText"/>
    <w:uiPriority w:val="99"/>
    <w:rsid w:val="009967A5"/>
    <w:rPr>
      <w:sz w:val="20"/>
      <w:szCs w:val="20"/>
    </w:rPr>
  </w:style>
  <w:style w:type="paragraph" w:styleId="CommentSubject">
    <w:name w:val="annotation subject"/>
    <w:basedOn w:val="CommentText"/>
    <w:next w:val="CommentText"/>
    <w:link w:val="CommentSubjectChar"/>
    <w:uiPriority w:val="99"/>
    <w:semiHidden/>
    <w:unhideWhenUsed/>
    <w:rsid w:val="009967A5"/>
    <w:rPr>
      <w:b/>
      <w:bCs/>
    </w:rPr>
  </w:style>
  <w:style w:type="character" w:customStyle="1" w:styleId="CommentSubjectChar">
    <w:name w:val="Comment Subject Char"/>
    <w:basedOn w:val="CommentTextChar"/>
    <w:link w:val="CommentSubject"/>
    <w:uiPriority w:val="99"/>
    <w:semiHidden/>
    <w:rsid w:val="009967A5"/>
    <w:rPr>
      <w:b/>
      <w:bCs/>
      <w:sz w:val="20"/>
      <w:szCs w:val="20"/>
    </w:rPr>
  </w:style>
  <w:style w:type="paragraph" w:styleId="Header">
    <w:name w:val="header"/>
    <w:basedOn w:val="Normal"/>
    <w:link w:val="HeaderChar"/>
    <w:uiPriority w:val="99"/>
    <w:unhideWhenUsed/>
    <w:rsid w:val="000E37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79D"/>
  </w:style>
  <w:style w:type="paragraph" w:styleId="Footer">
    <w:name w:val="footer"/>
    <w:basedOn w:val="Normal"/>
    <w:link w:val="FooterChar"/>
    <w:uiPriority w:val="99"/>
    <w:unhideWhenUsed/>
    <w:rsid w:val="000E37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1F77E-DEE2-4B6A-AD25-C0358E061DE7}">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FDE0004</dc:title>
  <cp:revision>0</cp:revision>
</cp:coreProperties>
</file>