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377E6" w:rsidRPr="00560C4C" w:rsidP="003377E6">
      <w:pPr>
        <w:spacing w:line="360" w:lineRule="auto"/>
        <w:jc w:val="center"/>
        <w:rPr>
          <w:sz w:val="28"/>
          <w:szCs w:val="28"/>
        </w:rPr>
      </w:pPr>
      <w:r w:rsidRPr="00560C4C">
        <w:rPr>
          <w:sz w:val="28"/>
          <w:szCs w:val="28"/>
        </w:rPr>
        <w:t xml:space="preserve">Written evidence submitted </w:t>
      </w:r>
      <w:r>
        <w:rPr>
          <w:sz w:val="28"/>
          <w:szCs w:val="28"/>
        </w:rPr>
        <w:t>by HomeExchange</w:t>
      </w:r>
    </w:p>
    <w:p w:rsidR="00136D20">
      <w:pPr>
        <w:pStyle w:val="BodyText"/>
        <w:spacing w:before="10"/>
        <w:rPr>
          <w:b/>
        </w:rPr>
      </w:pPr>
    </w:p>
    <w:p w:rsidR="00136D20">
      <w:pPr>
        <w:pStyle w:val="Heading2"/>
        <w:ind w:left="24"/>
        <w:jc w:val="center"/>
      </w:pPr>
      <w:r>
        <w:rPr>
          <w:noProof/>
        </w:rPr>
        <mc:AlternateContent>
          <mc:Choice Requires="wpg">
            <w:drawing>
              <wp:anchor distT="0" distB="0" distL="0" distR="0" simplePos="0" relativeHeight="251658240" behindDoc="1" locked="0" layoutInCell="1" allowOverlap="1">
                <wp:simplePos x="0" y="0"/>
                <wp:positionH relativeFrom="page">
                  <wp:posOffset>914704</wp:posOffset>
                </wp:positionH>
                <wp:positionV relativeFrom="paragraph">
                  <wp:posOffset>-78683</wp:posOffset>
                </wp:positionV>
                <wp:extent cx="5745480" cy="4860925"/>
                <wp:effectExtent l="0" t="0" r="0" b="0"/>
                <wp:wrapNone/>
                <wp:docPr id="4" name="Group 4"/>
                <wp:cNvGraphicFramePr/>
                <a:graphic xmlns:a="http://schemas.openxmlformats.org/drawingml/2006/main">
                  <a:graphicData uri="http://schemas.microsoft.com/office/word/2010/wordprocessingGroup">
                    <wpg:wgp xmlns:wpg="http://schemas.microsoft.com/office/word/2010/wordprocessingGroup">
                      <wpg:cNvGrpSpPr>
                        <a:grpSpLocks/>
                      </wpg:cNvGrpSpPr>
                      <wpg:grpSpPr>
                        <a:xfrm>
                          <a:off x="0" y="0"/>
                          <a:ext cx="5745480" cy="4860925"/>
                          <a:chOff x="0" y="0"/>
                          <a:chExt cx="5745480" cy="4860925"/>
                        </a:xfrm>
                      </wpg:grpSpPr>
                      <wps:wsp xmlns:wps="http://schemas.microsoft.com/office/word/2010/wordprocessingShape">
                        <wps:cNvPr id="5" name="Graphic 5"/>
                        <wps:cNvSpPr/>
                        <wps:spPr>
                          <a:xfrm>
                            <a:off x="12191" y="12192"/>
                            <a:ext cx="5720715" cy="4836795"/>
                          </a:xfrm>
                          <a:custGeom>
                            <a:avLst/>
                            <a:gdLst/>
                            <a:ahLst/>
                            <a:cxnLst/>
                            <a:rect l="l" t="t" r="r" b="b"/>
                            <a:pathLst>
                              <a:path w="5720715" h="4836795">
                                <a:moveTo>
                                  <a:pt x="5720461" y="0"/>
                                </a:moveTo>
                                <a:lnTo>
                                  <a:pt x="0" y="0"/>
                                </a:lnTo>
                                <a:lnTo>
                                  <a:pt x="0" y="4836286"/>
                                </a:lnTo>
                                <a:lnTo>
                                  <a:pt x="5720461" y="4836286"/>
                                </a:lnTo>
                                <a:lnTo>
                                  <a:pt x="5720461" y="0"/>
                                </a:lnTo>
                                <a:close/>
                              </a:path>
                            </a:pathLst>
                          </a:custGeom>
                          <a:solidFill>
                            <a:srgbClr val="F3F3F3"/>
                          </a:solidFill>
                        </wps:spPr>
                        <wps:bodyPr wrap="square" lIns="0" tIns="0" rIns="0" bIns="0" rtlCol="0">
                          <a:prstTxWarp prst="textNoShape">
                            <a:avLst/>
                          </a:prstTxWarp>
                          <a:noAutofit/>
                        </wps:bodyPr>
                      </wps:wsp>
                      <wps:wsp xmlns:wps="http://schemas.microsoft.com/office/word/2010/wordprocessingShape">
                        <wps:cNvPr id="6" name="Graphic 6"/>
                        <wps:cNvSpPr/>
                        <wps:spPr>
                          <a:xfrm>
                            <a:off x="0" y="0"/>
                            <a:ext cx="5745480" cy="4860925"/>
                          </a:xfrm>
                          <a:custGeom>
                            <a:avLst/>
                            <a:gdLst/>
                            <a:ahLst/>
                            <a:cxnLst/>
                            <a:rect l="l" t="t" r="r" b="b"/>
                            <a:pathLst>
                              <a:path w="5745480" h="4860925">
                                <a:moveTo>
                                  <a:pt x="5732653" y="4848491"/>
                                </a:moveTo>
                                <a:lnTo>
                                  <a:pt x="12192" y="4848491"/>
                                </a:lnTo>
                                <a:lnTo>
                                  <a:pt x="0" y="4848491"/>
                                </a:lnTo>
                                <a:lnTo>
                                  <a:pt x="0" y="4860671"/>
                                </a:lnTo>
                                <a:lnTo>
                                  <a:pt x="12192" y="4860671"/>
                                </a:lnTo>
                                <a:lnTo>
                                  <a:pt x="5732653" y="4860671"/>
                                </a:lnTo>
                                <a:lnTo>
                                  <a:pt x="5732653" y="4848491"/>
                                </a:lnTo>
                                <a:close/>
                              </a:path>
                              <a:path w="5745480" h="4860925">
                                <a:moveTo>
                                  <a:pt x="5732653" y="0"/>
                                </a:moveTo>
                                <a:lnTo>
                                  <a:pt x="12192" y="0"/>
                                </a:lnTo>
                                <a:lnTo>
                                  <a:pt x="0" y="0"/>
                                </a:lnTo>
                                <a:lnTo>
                                  <a:pt x="0" y="12192"/>
                                </a:lnTo>
                                <a:lnTo>
                                  <a:pt x="0" y="76200"/>
                                </a:lnTo>
                                <a:lnTo>
                                  <a:pt x="0" y="4848479"/>
                                </a:lnTo>
                                <a:lnTo>
                                  <a:pt x="12192" y="4848479"/>
                                </a:lnTo>
                                <a:lnTo>
                                  <a:pt x="12192" y="76200"/>
                                </a:lnTo>
                                <a:lnTo>
                                  <a:pt x="12192" y="12192"/>
                                </a:lnTo>
                                <a:lnTo>
                                  <a:pt x="5732653" y="12192"/>
                                </a:lnTo>
                                <a:lnTo>
                                  <a:pt x="5732653" y="0"/>
                                </a:lnTo>
                                <a:close/>
                              </a:path>
                              <a:path w="5745480" h="4860925">
                                <a:moveTo>
                                  <a:pt x="5744908" y="4848491"/>
                                </a:moveTo>
                                <a:lnTo>
                                  <a:pt x="5732716" y="4848491"/>
                                </a:lnTo>
                                <a:lnTo>
                                  <a:pt x="5732716" y="4860671"/>
                                </a:lnTo>
                                <a:lnTo>
                                  <a:pt x="5744908" y="4860671"/>
                                </a:lnTo>
                                <a:lnTo>
                                  <a:pt x="5744908" y="4848491"/>
                                </a:lnTo>
                                <a:close/>
                              </a:path>
                              <a:path w="5745480" h="4860925">
                                <a:moveTo>
                                  <a:pt x="5744908" y="0"/>
                                </a:moveTo>
                                <a:lnTo>
                                  <a:pt x="5732716" y="0"/>
                                </a:lnTo>
                                <a:lnTo>
                                  <a:pt x="5732716" y="12192"/>
                                </a:lnTo>
                                <a:lnTo>
                                  <a:pt x="5732716" y="76200"/>
                                </a:lnTo>
                                <a:lnTo>
                                  <a:pt x="5732716" y="4848479"/>
                                </a:lnTo>
                                <a:lnTo>
                                  <a:pt x="5744908" y="4848479"/>
                                </a:lnTo>
                                <a:lnTo>
                                  <a:pt x="5744908" y="76200"/>
                                </a:lnTo>
                                <a:lnTo>
                                  <a:pt x="5744908" y="12192"/>
                                </a:lnTo>
                                <a:lnTo>
                                  <a:pt x="57449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id="Group 4" o:spid="_x0000_s1025" style="height:382.75pt;margin-left:1in;margin-top:-6.2pt;mso-position-horizontal-relative:page;mso-wrap-distance-left:0;mso-wrap-distance-right:0;position:absolute;width:452.4pt;z-index:-251657216" coordsize="57454,48609">
                <v:shape id="Graphic 5" o:spid="_x0000_s1026" style="height:48368;left:121;mso-wrap-style:square;position:absolute;top:121;v-text-anchor:top;visibility:visible;width:57208" coordsize="5720715,4836795" path="m5720461,l,,,4836286l5720461,4836286l5720461,xe" fillcolor="#f3f3f3" stroked="f">
                  <v:path arrowok="t"/>
                </v:shape>
                <v:shape id="Graphic 6" o:spid="_x0000_s1027" style="height:48609;mso-wrap-style:square;position:absolute;v-text-anchor:top;visibility:visible;width:57454" coordsize="5745480,4860925" path="m5732653,4848491l12192,4848491l,4848491l,4860671l12192,4860671l5732653,4860671l5732653,4848491xem5732653,l12192,,,,,12192,,76200,,4848479l12192,4848479l12192,76200l12192,12192l5732653,12192l5732653,xem5744908,4848491l5732716,4848491l5732716,4860671l5744908,4860671l5744908,4848491xem5744908,l5732716,l5732716,12192l5732716,76200l5732716,4848479l5744908,4848479l5744908,76200l5744908,12192l5744908,xe" fillcolor="black" stroked="f">
                  <v:path arrowok="t"/>
                </v:shape>
                <w10:wrap anchorx="page"/>
              </v:group>
            </w:pict>
          </mc:Fallback>
        </mc:AlternateContent>
      </w:r>
      <w:r>
        <w:rPr>
          <w:w w:val="115"/>
        </w:rPr>
        <w:t>Summary</w:t>
      </w:r>
      <w:r>
        <w:rPr>
          <w:spacing w:val="-2"/>
          <w:w w:val="115"/>
        </w:rPr>
        <w:t xml:space="preserve"> </w:t>
      </w:r>
      <w:r>
        <w:rPr>
          <w:w w:val="115"/>
        </w:rPr>
        <w:t>of</w:t>
      </w:r>
      <w:r>
        <w:rPr>
          <w:spacing w:val="-2"/>
          <w:w w:val="115"/>
        </w:rPr>
        <w:t xml:space="preserve"> response</w:t>
      </w:r>
    </w:p>
    <w:p w:rsidR="00136D20">
      <w:pPr>
        <w:pStyle w:val="BodyText"/>
        <w:spacing w:before="158"/>
        <w:rPr>
          <w:b/>
        </w:rPr>
      </w:pPr>
    </w:p>
    <w:p w:rsidR="00136D20">
      <w:pPr>
        <w:pStyle w:val="BodyText"/>
        <w:spacing w:before="1" w:line="237" w:lineRule="auto"/>
        <w:ind w:left="133" w:right="110"/>
        <w:jc w:val="both"/>
      </w:pPr>
      <w:r>
        <w:rPr>
          <w:w w:val="115"/>
        </w:rPr>
        <w:t>HomeExchange welcomes the Committee’s inquiry and supports its focus on the competitiveness, resilience and regional</w:t>
      </w:r>
      <w:r>
        <w:rPr>
          <w:w w:val="115"/>
        </w:rPr>
        <w:t xml:space="preserve"> distribution of benefits within the United Kingdom tourism sector.</w:t>
      </w:r>
    </w:p>
    <w:p w:rsidR="00136D20">
      <w:pPr>
        <w:pStyle w:val="BodyText"/>
        <w:spacing w:before="162" w:line="237" w:lineRule="auto"/>
        <w:ind w:left="133" w:right="109"/>
        <w:jc w:val="both"/>
      </w:pPr>
      <w:r>
        <w:rPr>
          <w:spacing w:val="-2"/>
          <w:w w:val="115"/>
        </w:rPr>
        <w:t>The</w:t>
      </w:r>
      <w:r>
        <w:rPr>
          <w:spacing w:val="-3"/>
          <w:w w:val="115"/>
        </w:rPr>
        <w:t xml:space="preserve"> </w:t>
      </w:r>
      <w:r>
        <w:rPr>
          <w:spacing w:val="-2"/>
          <w:w w:val="115"/>
        </w:rPr>
        <w:t>United</w:t>
      </w:r>
      <w:r>
        <w:rPr>
          <w:spacing w:val="-7"/>
          <w:w w:val="115"/>
        </w:rPr>
        <w:t xml:space="preserve"> </w:t>
      </w:r>
      <w:r>
        <w:rPr>
          <w:spacing w:val="-2"/>
          <w:w w:val="115"/>
        </w:rPr>
        <w:t>Kingdom</w:t>
      </w:r>
      <w:r>
        <w:rPr>
          <w:spacing w:val="-4"/>
          <w:w w:val="115"/>
        </w:rPr>
        <w:t xml:space="preserve"> </w:t>
      </w:r>
      <w:r>
        <w:rPr>
          <w:spacing w:val="-2"/>
          <w:w w:val="115"/>
        </w:rPr>
        <w:t>remains</w:t>
      </w:r>
      <w:r>
        <w:rPr>
          <w:spacing w:val="-3"/>
          <w:w w:val="115"/>
        </w:rPr>
        <w:t xml:space="preserve"> </w:t>
      </w:r>
      <w:r>
        <w:rPr>
          <w:spacing w:val="-2"/>
          <w:w w:val="115"/>
        </w:rPr>
        <w:t>a</w:t>
      </w:r>
      <w:r>
        <w:rPr>
          <w:spacing w:val="-4"/>
          <w:w w:val="115"/>
        </w:rPr>
        <w:t xml:space="preserve"> </w:t>
      </w:r>
      <w:r>
        <w:rPr>
          <w:spacing w:val="-2"/>
          <w:w w:val="115"/>
        </w:rPr>
        <w:t>leading</w:t>
      </w:r>
      <w:r>
        <w:rPr>
          <w:spacing w:val="-7"/>
          <w:w w:val="115"/>
        </w:rPr>
        <w:t xml:space="preserve"> </w:t>
      </w:r>
      <w:r>
        <w:rPr>
          <w:spacing w:val="-2"/>
          <w:w w:val="115"/>
        </w:rPr>
        <w:t>tourism</w:t>
      </w:r>
      <w:r>
        <w:rPr>
          <w:spacing w:val="-7"/>
          <w:w w:val="115"/>
        </w:rPr>
        <w:t xml:space="preserve"> </w:t>
      </w:r>
      <w:r>
        <w:rPr>
          <w:spacing w:val="-2"/>
          <w:w w:val="115"/>
        </w:rPr>
        <w:t>destination,</w:t>
      </w:r>
      <w:r>
        <w:rPr>
          <w:spacing w:val="-4"/>
          <w:w w:val="115"/>
        </w:rPr>
        <w:t xml:space="preserve"> </w:t>
      </w:r>
      <w:r>
        <w:rPr>
          <w:spacing w:val="-2"/>
          <w:w w:val="115"/>
        </w:rPr>
        <w:t>but</w:t>
      </w:r>
      <w:r>
        <w:rPr>
          <w:spacing w:val="-4"/>
          <w:w w:val="115"/>
        </w:rPr>
        <w:t xml:space="preserve"> </w:t>
      </w:r>
      <w:r>
        <w:rPr>
          <w:spacing w:val="-2"/>
          <w:w w:val="115"/>
        </w:rPr>
        <w:t>rising</w:t>
      </w:r>
      <w:r>
        <w:rPr>
          <w:spacing w:val="-7"/>
          <w:w w:val="115"/>
        </w:rPr>
        <w:t xml:space="preserve"> </w:t>
      </w:r>
      <w:r>
        <w:rPr>
          <w:spacing w:val="-2"/>
          <w:w w:val="115"/>
        </w:rPr>
        <w:t>costs,</w:t>
      </w:r>
      <w:r>
        <w:rPr>
          <w:spacing w:val="-4"/>
          <w:w w:val="115"/>
        </w:rPr>
        <w:t xml:space="preserve"> </w:t>
      </w:r>
      <w:r>
        <w:rPr>
          <w:spacing w:val="-2"/>
          <w:w w:val="115"/>
        </w:rPr>
        <w:t xml:space="preserve">particularly </w:t>
      </w:r>
      <w:r>
        <w:rPr>
          <w:w w:val="115"/>
        </w:rPr>
        <w:t>accommodation, are affecting international competitiveness.</w:t>
      </w:r>
    </w:p>
    <w:p w:rsidR="00136D20">
      <w:pPr>
        <w:pStyle w:val="BodyText"/>
        <w:spacing w:before="237"/>
        <w:ind w:left="133" w:right="110"/>
        <w:jc w:val="both"/>
      </w:pPr>
      <w:r>
        <w:rPr>
          <w:w w:val="115"/>
        </w:rPr>
        <w:t>Home</w:t>
      </w:r>
      <w:r>
        <w:rPr>
          <w:spacing w:val="-14"/>
          <w:w w:val="115"/>
        </w:rPr>
        <w:t xml:space="preserve"> </w:t>
      </w:r>
      <w:r>
        <w:rPr>
          <w:w w:val="115"/>
        </w:rPr>
        <w:t>swapping</w:t>
      </w:r>
      <w:r>
        <w:rPr>
          <w:spacing w:val="-14"/>
          <w:w w:val="115"/>
        </w:rPr>
        <w:t xml:space="preserve"> </w:t>
      </w:r>
      <w:r>
        <w:rPr>
          <w:w w:val="115"/>
        </w:rPr>
        <w:t>directly</w:t>
      </w:r>
      <w:r>
        <w:rPr>
          <w:spacing w:val="-13"/>
          <w:w w:val="115"/>
        </w:rPr>
        <w:t xml:space="preserve"> </w:t>
      </w:r>
      <w:r>
        <w:rPr>
          <w:w w:val="115"/>
        </w:rPr>
        <w:t>addresses</w:t>
      </w:r>
      <w:r>
        <w:rPr>
          <w:spacing w:val="-14"/>
          <w:w w:val="115"/>
        </w:rPr>
        <w:t xml:space="preserve"> </w:t>
      </w:r>
      <w:r>
        <w:rPr>
          <w:w w:val="115"/>
        </w:rPr>
        <w:t>several</w:t>
      </w:r>
      <w:r>
        <w:rPr>
          <w:spacing w:val="-13"/>
          <w:w w:val="115"/>
        </w:rPr>
        <w:t xml:space="preserve"> </w:t>
      </w:r>
      <w:r>
        <w:rPr>
          <w:w w:val="115"/>
        </w:rPr>
        <w:t>of</w:t>
      </w:r>
      <w:r>
        <w:rPr>
          <w:spacing w:val="-13"/>
          <w:w w:val="115"/>
        </w:rPr>
        <w:t xml:space="preserve"> </w:t>
      </w:r>
      <w:r>
        <w:rPr>
          <w:w w:val="115"/>
        </w:rPr>
        <w:t>the</w:t>
      </w:r>
      <w:r>
        <w:rPr>
          <w:spacing w:val="-14"/>
          <w:w w:val="115"/>
        </w:rPr>
        <w:t xml:space="preserve"> </w:t>
      </w:r>
      <w:r>
        <w:rPr>
          <w:w w:val="115"/>
        </w:rPr>
        <w:t>structural</w:t>
      </w:r>
      <w:r>
        <w:rPr>
          <w:spacing w:val="-13"/>
          <w:w w:val="115"/>
        </w:rPr>
        <w:t xml:space="preserve"> </w:t>
      </w:r>
      <w:r>
        <w:rPr>
          <w:w w:val="115"/>
        </w:rPr>
        <w:t>challenges</w:t>
      </w:r>
      <w:r>
        <w:rPr>
          <w:spacing w:val="-14"/>
          <w:w w:val="115"/>
        </w:rPr>
        <w:t xml:space="preserve"> </w:t>
      </w:r>
      <w:r>
        <w:rPr>
          <w:w w:val="115"/>
        </w:rPr>
        <w:t>identified</w:t>
      </w:r>
      <w:r>
        <w:rPr>
          <w:spacing w:val="-14"/>
          <w:w w:val="115"/>
        </w:rPr>
        <w:t xml:space="preserve"> </w:t>
      </w:r>
      <w:r>
        <w:rPr>
          <w:w w:val="115"/>
        </w:rPr>
        <w:t>in</w:t>
      </w:r>
      <w:r>
        <w:rPr>
          <w:spacing w:val="-13"/>
          <w:w w:val="115"/>
        </w:rPr>
        <w:t xml:space="preserve"> </w:t>
      </w:r>
      <w:r>
        <w:rPr>
          <w:w w:val="115"/>
        </w:rPr>
        <w:t>this inquiry, through affordability, geographic dispersal, longer stays and no impact on housing</w:t>
      </w:r>
      <w:r>
        <w:rPr>
          <w:spacing w:val="-4"/>
          <w:w w:val="115"/>
        </w:rPr>
        <w:t xml:space="preserve"> </w:t>
      </w:r>
      <w:r>
        <w:rPr>
          <w:w w:val="115"/>
        </w:rPr>
        <w:t>supply.</w:t>
      </w:r>
    </w:p>
    <w:p w:rsidR="00136D20">
      <w:pPr>
        <w:pStyle w:val="Heading2"/>
        <w:spacing w:before="238"/>
        <w:ind w:left="133"/>
        <w:jc w:val="both"/>
      </w:pPr>
      <w:r>
        <w:rPr>
          <w:w w:val="115"/>
        </w:rPr>
        <w:t>HomeExchange's</w:t>
      </w:r>
      <w:r>
        <w:rPr>
          <w:spacing w:val="6"/>
          <w:w w:val="115"/>
        </w:rPr>
        <w:t xml:space="preserve"> </w:t>
      </w:r>
      <w:r>
        <w:rPr>
          <w:w w:val="115"/>
        </w:rPr>
        <w:t>recommendations</w:t>
      </w:r>
      <w:r>
        <w:rPr>
          <w:spacing w:val="7"/>
          <w:w w:val="115"/>
        </w:rPr>
        <w:t xml:space="preserve"> </w:t>
      </w:r>
      <w:r>
        <w:rPr>
          <w:w w:val="115"/>
        </w:rPr>
        <w:t>to</w:t>
      </w:r>
      <w:r>
        <w:rPr>
          <w:spacing w:val="2"/>
          <w:w w:val="115"/>
        </w:rPr>
        <w:t xml:space="preserve"> </w:t>
      </w:r>
      <w:r>
        <w:rPr>
          <w:w w:val="115"/>
        </w:rPr>
        <w:t>the</w:t>
      </w:r>
      <w:r>
        <w:rPr>
          <w:spacing w:val="3"/>
          <w:w w:val="115"/>
        </w:rPr>
        <w:t xml:space="preserve"> </w:t>
      </w:r>
      <w:r>
        <w:rPr>
          <w:spacing w:val="-2"/>
          <w:w w:val="115"/>
        </w:rPr>
        <w:t>Committee</w:t>
      </w:r>
    </w:p>
    <w:p w:rsidR="00136D20">
      <w:pPr>
        <w:pStyle w:val="ListParagraph"/>
        <w:numPr>
          <w:ilvl w:val="0"/>
          <w:numId w:val="2"/>
        </w:numPr>
        <w:tabs>
          <w:tab w:val="left" w:pos="853"/>
        </w:tabs>
        <w:spacing w:before="240" w:line="237" w:lineRule="auto"/>
        <w:ind w:right="109"/>
        <w:jc w:val="both"/>
      </w:pPr>
      <w:r>
        <w:rPr>
          <w:w w:val="115"/>
        </w:rPr>
        <w:t>Home</w:t>
      </w:r>
      <w:r>
        <w:rPr>
          <w:spacing w:val="-5"/>
          <w:w w:val="115"/>
        </w:rPr>
        <w:t xml:space="preserve"> </w:t>
      </w:r>
      <w:r>
        <w:rPr>
          <w:w w:val="115"/>
        </w:rPr>
        <w:t>swapping</w:t>
      </w:r>
      <w:r>
        <w:rPr>
          <w:spacing w:val="-8"/>
          <w:w w:val="115"/>
        </w:rPr>
        <w:t xml:space="preserve"> </w:t>
      </w:r>
      <w:r>
        <w:rPr>
          <w:w w:val="115"/>
        </w:rPr>
        <w:t>should</w:t>
      </w:r>
      <w:r>
        <w:rPr>
          <w:spacing w:val="-10"/>
          <w:w w:val="115"/>
        </w:rPr>
        <w:t xml:space="preserve"> </w:t>
      </w:r>
      <w:r>
        <w:rPr>
          <w:w w:val="115"/>
        </w:rPr>
        <w:t>be</w:t>
      </w:r>
      <w:r>
        <w:rPr>
          <w:spacing w:val="-5"/>
          <w:w w:val="115"/>
        </w:rPr>
        <w:t xml:space="preserve"> </w:t>
      </w:r>
      <w:r>
        <w:rPr>
          <w:w w:val="115"/>
        </w:rPr>
        <w:t>explicitly</w:t>
      </w:r>
      <w:r>
        <w:rPr>
          <w:spacing w:val="-5"/>
          <w:w w:val="115"/>
        </w:rPr>
        <w:t xml:space="preserve"> </w:t>
      </w:r>
      <w:r>
        <w:rPr>
          <w:w w:val="115"/>
        </w:rPr>
        <w:t>excluded</w:t>
      </w:r>
      <w:r>
        <w:rPr>
          <w:spacing w:val="-7"/>
          <w:w w:val="115"/>
        </w:rPr>
        <w:t xml:space="preserve"> </w:t>
      </w:r>
      <w:r>
        <w:rPr>
          <w:w w:val="115"/>
        </w:rPr>
        <w:t>from</w:t>
      </w:r>
      <w:r>
        <w:rPr>
          <w:spacing w:val="-5"/>
          <w:w w:val="115"/>
        </w:rPr>
        <w:t xml:space="preserve"> </w:t>
      </w:r>
      <w:r>
        <w:rPr>
          <w:w w:val="115"/>
        </w:rPr>
        <w:t>any</w:t>
      </w:r>
      <w:r>
        <w:rPr>
          <w:spacing w:val="-5"/>
          <w:w w:val="115"/>
        </w:rPr>
        <w:t xml:space="preserve"> </w:t>
      </w:r>
      <w:r>
        <w:rPr>
          <w:w w:val="115"/>
        </w:rPr>
        <w:t>overnight</w:t>
      </w:r>
      <w:r>
        <w:rPr>
          <w:spacing w:val="-5"/>
          <w:w w:val="115"/>
        </w:rPr>
        <w:t xml:space="preserve"> </w:t>
      </w:r>
      <w:r>
        <w:rPr>
          <w:w w:val="115"/>
        </w:rPr>
        <w:t>visitor</w:t>
      </w:r>
      <w:r>
        <w:rPr>
          <w:spacing w:val="-4"/>
          <w:w w:val="115"/>
        </w:rPr>
        <w:t xml:space="preserve"> </w:t>
      </w:r>
      <w:r>
        <w:rPr>
          <w:w w:val="115"/>
        </w:rPr>
        <w:t>levy</w:t>
      </w:r>
      <w:r>
        <w:rPr>
          <w:spacing w:val="-3"/>
          <w:w w:val="115"/>
        </w:rPr>
        <w:t xml:space="preserve"> </w:t>
      </w:r>
      <w:r>
        <w:rPr>
          <w:w w:val="115"/>
        </w:rPr>
        <w:t xml:space="preserve">as its inclusion would create a highly disproportionate administrative burden. It </w:t>
      </w:r>
      <w:r>
        <w:rPr>
          <w:w w:val="110"/>
        </w:rPr>
        <w:t xml:space="preserve">involves no payment, no booking and no commercial transaction. Applying a levy </w:t>
      </w:r>
      <w:r>
        <w:rPr>
          <w:spacing w:val="-2"/>
          <w:w w:val="115"/>
        </w:rPr>
        <w:t>would</w:t>
      </w:r>
      <w:r>
        <w:rPr>
          <w:spacing w:val="-8"/>
          <w:w w:val="115"/>
        </w:rPr>
        <w:t xml:space="preserve"> </w:t>
      </w:r>
      <w:r>
        <w:rPr>
          <w:spacing w:val="-2"/>
          <w:w w:val="115"/>
        </w:rPr>
        <w:t>constitute</w:t>
      </w:r>
      <w:r>
        <w:rPr>
          <w:spacing w:val="-8"/>
          <w:w w:val="115"/>
        </w:rPr>
        <w:t xml:space="preserve"> </w:t>
      </w:r>
      <w:r>
        <w:rPr>
          <w:spacing w:val="-2"/>
          <w:w w:val="115"/>
        </w:rPr>
        <w:t>a</w:t>
      </w:r>
      <w:r>
        <w:rPr>
          <w:spacing w:val="-5"/>
          <w:w w:val="115"/>
        </w:rPr>
        <w:t xml:space="preserve"> </w:t>
      </w:r>
      <w:r>
        <w:rPr>
          <w:spacing w:val="-2"/>
          <w:w w:val="115"/>
        </w:rPr>
        <w:t>misclassification</w:t>
      </w:r>
      <w:r>
        <w:rPr>
          <w:spacing w:val="-5"/>
          <w:w w:val="115"/>
        </w:rPr>
        <w:t xml:space="preserve"> </w:t>
      </w:r>
      <w:r>
        <w:rPr>
          <w:spacing w:val="-2"/>
          <w:w w:val="115"/>
        </w:rPr>
        <w:t>of</w:t>
      </w:r>
      <w:r>
        <w:rPr>
          <w:spacing w:val="-9"/>
          <w:w w:val="115"/>
        </w:rPr>
        <w:t xml:space="preserve"> </w:t>
      </w:r>
      <w:r>
        <w:rPr>
          <w:spacing w:val="-2"/>
          <w:w w:val="115"/>
        </w:rPr>
        <w:t>the</w:t>
      </w:r>
      <w:r>
        <w:rPr>
          <w:spacing w:val="-6"/>
          <w:w w:val="115"/>
        </w:rPr>
        <w:t xml:space="preserve"> </w:t>
      </w:r>
      <w:r>
        <w:rPr>
          <w:spacing w:val="-2"/>
          <w:w w:val="115"/>
        </w:rPr>
        <w:t>model</w:t>
      </w:r>
      <w:r>
        <w:rPr>
          <w:spacing w:val="-6"/>
          <w:w w:val="115"/>
        </w:rPr>
        <w:t xml:space="preserve"> </w:t>
      </w:r>
      <w:r>
        <w:rPr>
          <w:spacing w:val="-2"/>
          <w:w w:val="115"/>
        </w:rPr>
        <w:t>and</w:t>
      </w:r>
      <w:r>
        <w:rPr>
          <w:spacing w:val="-6"/>
          <w:w w:val="115"/>
        </w:rPr>
        <w:t xml:space="preserve"> </w:t>
      </w:r>
      <w:r>
        <w:rPr>
          <w:spacing w:val="-2"/>
          <w:w w:val="115"/>
        </w:rPr>
        <w:t>would</w:t>
      </w:r>
      <w:r>
        <w:rPr>
          <w:spacing w:val="-8"/>
          <w:w w:val="115"/>
        </w:rPr>
        <w:t xml:space="preserve"> </w:t>
      </w:r>
      <w:r>
        <w:rPr>
          <w:spacing w:val="-2"/>
          <w:w w:val="115"/>
        </w:rPr>
        <w:t>be</w:t>
      </w:r>
      <w:r>
        <w:rPr>
          <w:spacing w:val="-8"/>
          <w:w w:val="115"/>
        </w:rPr>
        <w:t xml:space="preserve"> </w:t>
      </w:r>
      <w:r>
        <w:rPr>
          <w:spacing w:val="-2"/>
          <w:w w:val="115"/>
        </w:rPr>
        <w:t>unenforceable</w:t>
      </w:r>
      <w:r>
        <w:rPr>
          <w:spacing w:val="-8"/>
          <w:w w:val="115"/>
        </w:rPr>
        <w:t xml:space="preserve"> </w:t>
      </w:r>
      <w:r>
        <w:rPr>
          <w:spacing w:val="-2"/>
          <w:w w:val="115"/>
        </w:rPr>
        <w:t>in practice.</w:t>
      </w:r>
    </w:p>
    <w:p w:rsidR="00136D20">
      <w:pPr>
        <w:pStyle w:val="ListParagraph"/>
        <w:numPr>
          <w:ilvl w:val="0"/>
          <w:numId w:val="2"/>
        </w:numPr>
        <w:tabs>
          <w:tab w:val="left" w:pos="853"/>
        </w:tabs>
        <w:spacing w:before="1"/>
        <w:ind w:right="111"/>
        <w:jc w:val="both"/>
        <w:rPr>
          <w:rFonts w:ascii="Times New Roman" w:hAnsi="Times New Roman"/>
        </w:rPr>
      </w:pPr>
      <w:r>
        <w:rPr>
          <w:w w:val="115"/>
        </w:rPr>
        <w:t xml:space="preserve">Commercial short-term letting and home swapping should be formally distinguished in all relevant regulatory frameworks, to support consistent and </w:t>
      </w:r>
      <w:r>
        <w:rPr>
          <w:w w:val="115"/>
        </w:rPr>
        <w:t>harmonised</w:t>
      </w:r>
      <w:r>
        <w:rPr>
          <w:w w:val="115"/>
        </w:rPr>
        <w:t xml:space="preserve"> classification across the United Kingdom.</w:t>
      </w:r>
    </w:p>
    <w:p w:rsidR="00136D20">
      <w:pPr>
        <w:pStyle w:val="ListParagraph"/>
        <w:numPr>
          <w:ilvl w:val="0"/>
          <w:numId w:val="2"/>
        </w:numPr>
        <w:tabs>
          <w:tab w:val="left" w:pos="853"/>
        </w:tabs>
        <w:spacing w:line="237" w:lineRule="auto"/>
        <w:ind w:right="108"/>
        <w:jc w:val="both"/>
        <w:rPr>
          <w:rFonts w:ascii="Times New Roman" w:hAnsi="Times New Roman"/>
        </w:rPr>
      </w:pPr>
      <w:r>
        <w:rPr>
          <w:w w:val="115"/>
        </w:rPr>
        <w:t>DCMS, VisitBritain, VisitEngland and devolved administrations should pursue greater</w:t>
      </w:r>
      <w:r>
        <w:rPr>
          <w:spacing w:val="-15"/>
          <w:w w:val="115"/>
        </w:rPr>
        <w:t xml:space="preserve"> </w:t>
      </w:r>
      <w:r>
        <w:rPr>
          <w:w w:val="115"/>
        </w:rPr>
        <w:t>alignment</w:t>
      </w:r>
      <w:r>
        <w:rPr>
          <w:spacing w:val="-14"/>
          <w:w w:val="115"/>
        </w:rPr>
        <w:t xml:space="preserve"> </w:t>
      </w:r>
      <w:r>
        <w:rPr>
          <w:w w:val="115"/>
        </w:rPr>
        <w:t>on</w:t>
      </w:r>
      <w:r>
        <w:rPr>
          <w:spacing w:val="-14"/>
          <w:w w:val="115"/>
        </w:rPr>
        <w:t xml:space="preserve"> </w:t>
      </w:r>
      <w:r>
        <w:rPr>
          <w:w w:val="115"/>
        </w:rPr>
        <w:t>the</w:t>
      </w:r>
      <w:r>
        <w:rPr>
          <w:spacing w:val="-15"/>
          <w:w w:val="115"/>
        </w:rPr>
        <w:t xml:space="preserve"> </w:t>
      </w:r>
      <w:r>
        <w:rPr>
          <w:w w:val="115"/>
        </w:rPr>
        <w:t>treatment</w:t>
      </w:r>
      <w:r>
        <w:rPr>
          <w:spacing w:val="-14"/>
          <w:w w:val="115"/>
        </w:rPr>
        <w:t xml:space="preserve"> </w:t>
      </w:r>
      <w:r>
        <w:rPr>
          <w:w w:val="115"/>
        </w:rPr>
        <w:t>of</w:t>
      </w:r>
      <w:r>
        <w:rPr>
          <w:spacing w:val="-14"/>
          <w:w w:val="115"/>
        </w:rPr>
        <w:t xml:space="preserve"> </w:t>
      </w:r>
      <w:r>
        <w:rPr>
          <w:w w:val="115"/>
        </w:rPr>
        <w:t>non-commercial</w:t>
      </w:r>
      <w:r>
        <w:rPr>
          <w:spacing w:val="-15"/>
          <w:w w:val="115"/>
        </w:rPr>
        <w:t xml:space="preserve"> </w:t>
      </w:r>
      <w:r>
        <w:rPr>
          <w:w w:val="115"/>
        </w:rPr>
        <w:t>accommodation</w:t>
      </w:r>
      <w:r>
        <w:rPr>
          <w:spacing w:val="-14"/>
          <w:w w:val="115"/>
        </w:rPr>
        <w:t xml:space="preserve"> </w:t>
      </w:r>
      <w:r>
        <w:rPr>
          <w:w w:val="115"/>
        </w:rPr>
        <w:t>models across</w:t>
      </w:r>
      <w:r>
        <w:rPr>
          <w:spacing w:val="-8"/>
          <w:w w:val="115"/>
        </w:rPr>
        <w:t xml:space="preserve"> </w:t>
      </w:r>
      <w:r>
        <w:rPr>
          <w:w w:val="115"/>
        </w:rPr>
        <w:t>the</w:t>
      </w:r>
      <w:r>
        <w:rPr>
          <w:spacing w:val="-8"/>
          <w:w w:val="115"/>
        </w:rPr>
        <w:t xml:space="preserve"> </w:t>
      </w:r>
      <w:r>
        <w:rPr>
          <w:w w:val="115"/>
        </w:rPr>
        <w:t>four</w:t>
      </w:r>
      <w:r>
        <w:rPr>
          <w:spacing w:val="-11"/>
          <w:w w:val="115"/>
        </w:rPr>
        <w:t xml:space="preserve"> </w:t>
      </w:r>
      <w:r>
        <w:rPr>
          <w:w w:val="115"/>
        </w:rPr>
        <w:t>nations,</w:t>
      </w:r>
      <w:r>
        <w:rPr>
          <w:spacing w:val="-9"/>
          <w:w w:val="115"/>
        </w:rPr>
        <w:t xml:space="preserve"> </w:t>
      </w:r>
      <w:r>
        <w:rPr>
          <w:w w:val="115"/>
        </w:rPr>
        <w:t>to</w:t>
      </w:r>
      <w:r>
        <w:rPr>
          <w:spacing w:val="-8"/>
          <w:w w:val="115"/>
        </w:rPr>
        <w:t xml:space="preserve"> </w:t>
      </w:r>
      <w:r>
        <w:rPr>
          <w:w w:val="115"/>
        </w:rPr>
        <w:t>avoid</w:t>
      </w:r>
      <w:r>
        <w:rPr>
          <w:spacing w:val="-8"/>
          <w:w w:val="115"/>
        </w:rPr>
        <w:t xml:space="preserve"> </w:t>
      </w:r>
      <w:r>
        <w:rPr>
          <w:w w:val="115"/>
        </w:rPr>
        <w:t>disproportionate</w:t>
      </w:r>
      <w:r>
        <w:rPr>
          <w:spacing w:val="-8"/>
          <w:w w:val="115"/>
        </w:rPr>
        <w:t xml:space="preserve"> </w:t>
      </w:r>
      <w:r>
        <w:rPr>
          <w:w w:val="115"/>
        </w:rPr>
        <w:t>regulatory</w:t>
      </w:r>
      <w:r>
        <w:rPr>
          <w:spacing w:val="-7"/>
          <w:w w:val="115"/>
        </w:rPr>
        <w:t xml:space="preserve"> </w:t>
      </w:r>
      <w:r>
        <w:rPr>
          <w:w w:val="115"/>
        </w:rPr>
        <w:t>frameworks</w:t>
      </w:r>
      <w:r>
        <w:rPr>
          <w:spacing w:val="-8"/>
          <w:w w:val="115"/>
        </w:rPr>
        <w:t xml:space="preserve"> </w:t>
      </w:r>
      <w:r>
        <w:rPr>
          <w:w w:val="115"/>
        </w:rPr>
        <w:t>being applied to non-commercial models.</w:t>
      </w:r>
    </w:p>
    <w:p w:rsidR="00136D20">
      <w:pPr>
        <w:pStyle w:val="BodyText"/>
      </w:pPr>
    </w:p>
    <w:p w:rsidR="00136D20">
      <w:pPr>
        <w:pStyle w:val="BodyText"/>
      </w:pPr>
    </w:p>
    <w:p w:rsidR="00136D20">
      <w:pPr>
        <w:pStyle w:val="BodyText"/>
        <w:spacing w:before="57"/>
      </w:pPr>
    </w:p>
    <w:p w:rsidR="00136D20">
      <w:pPr>
        <w:ind w:left="23"/>
        <w:rPr>
          <w:b/>
        </w:rPr>
      </w:pPr>
      <w:r>
        <w:rPr>
          <w:b/>
          <w:color w:val="E69138"/>
          <w:w w:val="115"/>
        </w:rPr>
        <w:t>About</w:t>
      </w:r>
      <w:r>
        <w:rPr>
          <w:b/>
          <w:color w:val="E69138"/>
          <w:spacing w:val="-1"/>
          <w:w w:val="115"/>
        </w:rPr>
        <w:t xml:space="preserve"> </w:t>
      </w:r>
      <w:r>
        <w:rPr>
          <w:b/>
          <w:color w:val="E69138"/>
          <w:spacing w:val="-2"/>
          <w:w w:val="115"/>
        </w:rPr>
        <w:t>HomeExchange</w:t>
      </w:r>
    </w:p>
    <w:p w:rsidR="00136D20">
      <w:pPr>
        <w:pStyle w:val="BodyText"/>
        <w:spacing w:before="11"/>
        <w:rPr>
          <w:b/>
          <w:sz w:val="12"/>
        </w:rPr>
      </w:pPr>
      <w:r>
        <w:rPr>
          <w:b/>
          <w:noProof/>
          <w:sz w:val="12"/>
        </w:rPr>
        <mc:AlternateContent>
          <mc:Choice Requires="wpg">
            <w:drawing>
              <wp:anchor distT="0" distB="0" distL="0" distR="0" simplePos="0" relativeHeight="251660288" behindDoc="1" locked="0" layoutInCell="1" allowOverlap="1">
                <wp:simplePos x="0" y="0"/>
                <wp:positionH relativeFrom="page">
                  <wp:posOffset>914400</wp:posOffset>
                </wp:positionH>
                <wp:positionV relativeFrom="paragraph">
                  <wp:posOffset>115766</wp:posOffset>
                </wp:positionV>
                <wp:extent cx="5733415" cy="20955"/>
                <wp:effectExtent l="0" t="0" r="0" b="0"/>
                <wp:wrapTopAndBottom/>
                <wp:docPr id="7" name="Group 7"/>
                <wp:cNvGraphicFramePr/>
                <a:graphic xmlns:a="http://schemas.openxmlformats.org/drawingml/2006/main">
                  <a:graphicData uri="http://schemas.microsoft.com/office/word/2010/wordprocessingGroup">
                    <wpg:wgp xmlns:wpg="http://schemas.microsoft.com/office/word/2010/wordprocessingGroup">
                      <wpg:cNvGrpSpPr>
                        <a:grpSpLocks/>
                      </wpg:cNvGrpSpPr>
                      <wpg:grpSpPr>
                        <a:xfrm>
                          <a:off x="0" y="0"/>
                          <a:ext cx="5733415" cy="20955"/>
                          <a:chOff x="0" y="0"/>
                          <a:chExt cx="5733415" cy="20955"/>
                        </a:xfrm>
                      </wpg:grpSpPr>
                      <wps:wsp xmlns:wps="http://schemas.microsoft.com/office/word/2010/wordprocessingShape">
                        <wps:cNvPr id="8" name="Graphic 8"/>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xmlns:wps="http://schemas.microsoft.com/office/word/2010/wordprocessingShape">
                        <wps:cNvPr id="9" name="Graphic 9"/>
                        <wps:cNvSpPr/>
                        <wps:spPr>
                          <a:xfrm>
                            <a:off x="5729985" y="1016"/>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xmlns:wps="http://schemas.microsoft.com/office/word/2010/wordprocessingShape">
                        <wps:cNvPr id="10" name="Graphic 10"/>
                        <wps:cNvSpPr/>
                        <wps:spPr>
                          <a:xfrm>
                            <a:off x="304" y="1028"/>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xmlns:wps="http://schemas.microsoft.com/office/word/2010/wordprocessingShape">
                        <wps:cNvPr id="11" name="Graphic 11"/>
                        <wps:cNvSpPr/>
                        <wps:spPr>
                          <a:xfrm>
                            <a:off x="5729985" y="4063"/>
                            <a:ext cx="3175" cy="13970"/>
                          </a:xfrm>
                          <a:custGeom>
                            <a:avLst/>
                            <a:gdLst/>
                            <a:ahLst/>
                            <a:cxnLst/>
                            <a:rect l="l" t="t" r="r" b="b"/>
                            <a:pathLst>
                              <a:path w="3175" h="13970">
                                <a:moveTo>
                                  <a:pt x="3047" y="0"/>
                                </a:moveTo>
                                <a:lnTo>
                                  <a:pt x="0" y="0"/>
                                </a:lnTo>
                                <a:lnTo>
                                  <a:pt x="0" y="13715"/>
                                </a:lnTo>
                                <a:lnTo>
                                  <a:pt x="3047" y="13715"/>
                                </a:lnTo>
                                <a:lnTo>
                                  <a:pt x="3047" y="0"/>
                                </a:lnTo>
                                <a:close/>
                              </a:path>
                            </a:pathLst>
                          </a:custGeom>
                          <a:solidFill>
                            <a:srgbClr val="E2E2E2"/>
                          </a:solidFill>
                        </wps:spPr>
                        <wps:bodyPr wrap="square" lIns="0" tIns="0" rIns="0" bIns="0" rtlCol="0">
                          <a:prstTxWarp prst="textNoShape">
                            <a:avLst/>
                          </a:prstTxWarp>
                          <a:noAutofit/>
                        </wps:bodyPr>
                      </wps:wsp>
                      <wps:wsp xmlns:wps="http://schemas.microsoft.com/office/word/2010/wordprocessingShape">
                        <wps:cNvPr id="12" name="Graphic 12"/>
                        <wps:cNvSpPr/>
                        <wps:spPr>
                          <a:xfrm>
                            <a:off x="304" y="17780"/>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xmlns:wps="http://schemas.microsoft.com/office/word/2010/wordprocessingShape">
                        <wps:cNvPr id="13" name="Graphic 13"/>
                        <wps:cNvSpPr/>
                        <wps:spPr>
                          <a:xfrm>
                            <a:off x="304" y="17792"/>
                            <a:ext cx="5732780" cy="3175"/>
                          </a:xfrm>
                          <a:custGeom>
                            <a:avLst/>
                            <a:gdLst/>
                            <a:ahLst/>
                            <a:cxnLst/>
                            <a:rect l="l" t="t" r="r" b="b"/>
                            <a:pathLst>
                              <a:path w="5732780" h="3175">
                                <a:moveTo>
                                  <a:pt x="5729605" y="0"/>
                                </a:moveTo>
                                <a:lnTo>
                                  <a:pt x="3048" y="0"/>
                                </a:lnTo>
                                <a:lnTo>
                                  <a:pt x="0" y="0"/>
                                </a:lnTo>
                                <a:lnTo>
                                  <a:pt x="0" y="3035"/>
                                </a:lnTo>
                                <a:lnTo>
                                  <a:pt x="3048" y="3035"/>
                                </a:lnTo>
                                <a:lnTo>
                                  <a:pt x="5729605" y="3035"/>
                                </a:lnTo>
                                <a:lnTo>
                                  <a:pt x="5729605" y="0"/>
                                </a:lnTo>
                                <a:close/>
                              </a:path>
                              <a:path w="5732780" h="3175">
                                <a:moveTo>
                                  <a:pt x="5732716" y="0"/>
                                </a:moveTo>
                                <a:lnTo>
                                  <a:pt x="5729668" y="0"/>
                                </a:lnTo>
                                <a:lnTo>
                                  <a:pt x="5729668" y="3035"/>
                                </a:lnTo>
                                <a:lnTo>
                                  <a:pt x="5732716" y="3035"/>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id="Group 7" o:spid="_x0000_s1028" style="height:1.65pt;margin-left:1in;margin-top:9.1pt;mso-position-horizontal-relative:page;mso-wrap-distance-left:0;mso-wrap-distance-right:0;position:absolute;width:451.45pt;z-index:-251655168" coordsize="57334,209">
                <v:shape id="Graphic 8" o:spid="_x0000_s1029" style="height:196;mso-wrap-style:square;position:absolute;v-text-anchor:top;visibility:visible;width:57315" coordsize="5731510,19685" path="m5731497,l,,,19685l5731497,19685l5731497,xe" fillcolor="#9f9f9f" stroked="f">
                  <v:path arrowok="t"/>
                </v:shape>
                <v:shape id="Graphic 9" o:spid="_x0000_s1030" style="height:31;left:57299;mso-wrap-style:square;position:absolute;top:10;v-text-anchor:top;visibility:visible;width:32" coordsize="3175,3175" path="m3047,l,,,3047l3047,3047l3047,xe" fillcolor="#e2e2e2" stroked="f">
                  <v:path arrowok="t"/>
                </v:shape>
                <v:shape id="Graphic 10" o:spid="_x0000_s1031" style="height:171;left:3;mso-wrap-style:square;position:absolute;top:10;v-text-anchor:top;visibility:visible;width:57327" coordsize="5732780,17145" path="m3048,3035l,3035,,16751l3048,16751l3048,3035xem5732716,l5729668,l5729668,3035l5732716,3035l5732716,xe" fillcolor="#9f9f9f" stroked="f">
                  <v:path arrowok="t"/>
                </v:shape>
                <v:shape id="Graphic 11" o:spid="_x0000_s1032" style="height:140;left:57299;mso-wrap-style:square;position:absolute;top:40;v-text-anchor:top;visibility:visible;width:32" coordsize="3175,13970" path="m3047,l,,,13715l3047,13715l3047,xe" fillcolor="#e2e2e2" stroked="f">
                  <v:path arrowok="t"/>
                </v:shape>
                <v:shape id="Graphic 12" o:spid="_x0000_s1033" style="height:32;left:3;mso-wrap-style:square;position:absolute;top:177;v-text-anchor:top;visibility:visible;width:31" coordsize="3175,3175" path="m3047,l,,,3047l3047,3047l3047,xe" fillcolor="#9f9f9f" stroked="f">
                  <v:path arrowok="t"/>
                </v:shape>
                <v:shape id="Graphic 13" o:spid="_x0000_s1034" style="height:32;left:3;mso-wrap-style:square;position:absolute;top:177;v-text-anchor:top;visibility:visible;width:57327" coordsize="5732780,3175" path="m5729605,l3048,,,,,3035l3048,3035l5729605,3035l5729605,xem5732716,l5729668,l5729668,3035l5732716,3035l5732716,xe" fillcolor="#e2e2e2" stroked="f">
                  <v:path arrowok="t"/>
                </v:shape>
                <w10:wrap type="topAndBottom"/>
              </v:group>
            </w:pict>
          </mc:Fallback>
        </mc:AlternateContent>
      </w:r>
    </w:p>
    <w:p w:rsidR="00136D20">
      <w:pPr>
        <w:pStyle w:val="BodyText"/>
        <w:spacing w:before="28"/>
        <w:rPr>
          <w:b/>
        </w:rPr>
      </w:pPr>
    </w:p>
    <w:p w:rsidR="00136D20">
      <w:pPr>
        <w:pStyle w:val="BodyText"/>
        <w:spacing w:line="237" w:lineRule="auto"/>
        <w:ind w:left="23" w:right="19"/>
        <w:jc w:val="both"/>
        <w:rPr>
          <w:b/>
        </w:rPr>
      </w:pPr>
      <w:r>
        <w:rPr>
          <w:w w:val="115"/>
        </w:rPr>
        <w:t>HomeExchange is the world's largest home swapping platform, representing more</w:t>
      </w:r>
      <w:r>
        <w:rPr>
          <w:spacing w:val="-1"/>
          <w:w w:val="115"/>
        </w:rPr>
        <w:t xml:space="preserve"> </w:t>
      </w:r>
      <w:r>
        <w:rPr>
          <w:w w:val="115"/>
        </w:rPr>
        <w:t xml:space="preserve">than </w:t>
      </w:r>
      <w:r>
        <w:rPr>
          <w:w w:val="120"/>
        </w:rPr>
        <w:t xml:space="preserve">80% of the global home exchange market across over 155 countries and more than </w:t>
      </w:r>
      <w:r>
        <w:rPr>
          <w:b/>
          <w:w w:val="120"/>
        </w:rPr>
        <w:t>290,000 members worldwide.</w:t>
      </w:r>
    </w:p>
    <w:p w:rsidR="00136D20">
      <w:pPr>
        <w:pStyle w:val="BodyText"/>
        <w:spacing w:before="241" w:line="237" w:lineRule="auto"/>
        <w:ind w:left="23" w:right="16"/>
        <w:jc w:val="both"/>
      </w:pPr>
      <w:r>
        <w:rPr>
          <w:w w:val="115"/>
        </w:rPr>
        <w:t>The model is community-based and is fundamentally non-commercial and non-professional: members exchange their residences without any monetary transaction. Home swapping is a reciprocal arrangement between private individuals, grounded in trust and mutual hospitality.</w:t>
      </w:r>
    </w:p>
    <w:p w:rsidR="00136D20">
      <w:pPr>
        <w:pStyle w:val="BodyText"/>
        <w:spacing w:before="245" w:line="237" w:lineRule="auto"/>
        <w:ind w:left="23" w:right="22"/>
        <w:jc w:val="both"/>
      </w:pPr>
      <w:r>
        <w:rPr>
          <w:w w:val="115"/>
        </w:rPr>
        <w:t xml:space="preserve">HomeExchange is a certified B Corp company. This reflects a broader commitment to responsible tourism, one that </w:t>
      </w:r>
      <w:r>
        <w:rPr>
          <w:w w:val="115"/>
        </w:rPr>
        <w:t>prioritises</w:t>
      </w:r>
      <w:r>
        <w:rPr>
          <w:w w:val="115"/>
        </w:rPr>
        <w:t xml:space="preserve"> sustainability, affordability and genuine connection with local communities over volume-driven visitor growth.</w:t>
      </w:r>
    </w:p>
    <w:p w:rsidR="00136D20">
      <w:pPr>
        <w:pStyle w:val="BodyText"/>
        <w:spacing w:line="237" w:lineRule="auto"/>
        <w:jc w:val="both"/>
        <w:sectPr w:rsidSect="003377E6">
          <w:headerReference w:type="default" r:id="rId4"/>
          <w:footerReference w:type="default" r:id="rId5"/>
          <w:type w:val="continuous"/>
          <w:pgSz w:w="11910" w:h="16840"/>
          <w:pgMar w:top="993" w:right="1417" w:bottom="960" w:left="1417" w:header="716" w:footer="774" w:gutter="0"/>
          <w:pgNumType w:start="1"/>
          <w:cols w:space="720"/>
        </w:sectPr>
      </w:pPr>
    </w:p>
    <w:p w:rsidR="00136D20">
      <w:pPr>
        <w:spacing w:before="96" w:line="237" w:lineRule="auto"/>
        <w:ind w:left="23" w:right="16"/>
        <w:jc w:val="both"/>
      </w:pPr>
      <w:r>
        <w:rPr>
          <w:w w:val="120"/>
        </w:rPr>
        <w:t xml:space="preserve">The United Kingdom is HomeExchange's seventh largest market globally. HomeExchange has </w:t>
      </w:r>
      <w:r>
        <w:rPr>
          <w:b/>
          <w:w w:val="120"/>
        </w:rPr>
        <w:t>over 7,500 UK</w:t>
      </w:r>
      <w:r>
        <w:rPr>
          <w:b/>
          <w:spacing w:val="-3"/>
          <w:w w:val="120"/>
        </w:rPr>
        <w:t xml:space="preserve"> </w:t>
      </w:r>
      <w:r>
        <w:rPr>
          <w:b/>
          <w:w w:val="120"/>
        </w:rPr>
        <w:t>members.</w:t>
      </w:r>
      <w:r>
        <w:rPr>
          <w:b/>
          <w:spacing w:val="-1"/>
          <w:w w:val="120"/>
        </w:rPr>
        <w:t xml:space="preserve"> </w:t>
      </w:r>
      <w:r>
        <w:rPr>
          <w:b/>
          <w:w w:val="120"/>
        </w:rPr>
        <w:t>In 2025,</w:t>
      </w:r>
      <w:r>
        <w:rPr>
          <w:b/>
          <w:spacing w:val="-2"/>
          <w:w w:val="120"/>
        </w:rPr>
        <w:t xml:space="preserve"> </w:t>
      </w:r>
      <w:r>
        <w:rPr>
          <w:b/>
          <w:w w:val="120"/>
        </w:rPr>
        <w:t>more</w:t>
      </w:r>
      <w:r>
        <w:rPr>
          <w:b/>
          <w:spacing w:val="-2"/>
          <w:w w:val="120"/>
        </w:rPr>
        <w:t xml:space="preserve"> </w:t>
      </w:r>
      <w:r>
        <w:rPr>
          <w:b/>
          <w:w w:val="120"/>
        </w:rPr>
        <w:t>than</w:t>
      </w:r>
      <w:r>
        <w:rPr>
          <w:b/>
          <w:spacing w:val="-1"/>
          <w:w w:val="120"/>
        </w:rPr>
        <w:t xml:space="preserve"> </w:t>
      </w:r>
      <w:r>
        <w:rPr>
          <w:b/>
          <w:w w:val="120"/>
        </w:rPr>
        <w:t xml:space="preserve">20,000 exchanges </w:t>
      </w:r>
      <w:r>
        <w:rPr>
          <w:b/>
          <w:w w:val="115"/>
        </w:rPr>
        <w:t>involved</w:t>
      </w:r>
      <w:r>
        <w:rPr>
          <w:b/>
          <w:spacing w:val="-5"/>
          <w:w w:val="115"/>
        </w:rPr>
        <w:t xml:space="preserve"> </w:t>
      </w:r>
      <w:r>
        <w:rPr>
          <w:b/>
          <w:w w:val="115"/>
        </w:rPr>
        <w:t>the</w:t>
      </w:r>
      <w:r>
        <w:rPr>
          <w:b/>
          <w:spacing w:val="-1"/>
          <w:w w:val="115"/>
        </w:rPr>
        <w:t xml:space="preserve"> </w:t>
      </w:r>
      <w:r>
        <w:rPr>
          <w:b/>
          <w:w w:val="115"/>
        </w:rPr>
        <w:t>United</w:t>
      </w:r>
      <w:r>
        <w:rPr>
          <w:b/>
          <w:spacing w:val="-5"/>
          <w:w w:val="115"/>
        </w:rPr>
        <w:t xml:space="preserve"> </w:t>
      </w:r>
      <w:r>
        <w:rPr>
          <w:b/>
          <w:w w:val="115"/>
        </w:rPr>
        <w:t>Kingdom</w:t>
      </w:r>
      <w:r>
        <w:rPr>
          <w:b/>
          <w:spacing w:val="-4"/>
          <w:w w:val="115"/>
        </w:rPr>
        <w:t xml:space="preserve"> </w:t>
      </w:r>
      <w:r>
        <w:rPr>
          <w:b/>
          <w:w w:val="115"/>
        </w:rPr>
        <w:t>(7,800+</w:t>
      </w:r>
      <w:r>
        <w:rPr>
          <w:b/>
          <w:spacing w:val="-4"/>
          <w:w w:val="115"/>
        </w:rPr>
        <w:t xml:space="preserve"> </w:t>
      </w:r>
      <w:r>
        <w:rPr>
          <w:b/>
          <w:w w:val="115"/>
        </w:rPr>
        <w:t>of</w:t>
      </w:r>
      <w:r>
        <w:rPr>
          <w:b/>
          <w:spacing w:val="-5"/>
          <w:w w:val="115"/>
        </w:rPr>
        <w:t xml:space="preserve"> </w:t>
      </w:r>
      <w:r>
        <w:rPr>
          <w:b/>
          <w:w w:val="115"/>
        </w:rPr>
        <w:t>them</w:t>
      </w:r>
      <w:r>
        <w:rPr>
          <w:b/>
          <w:spacing w:val="-4"/>
          <w:w w:val="115"/>
        </w:rPr>
        <w:t xml:space="preserve"> </w:t>
      </w:r>
      <w:r>
        <w:rPr>
          <w:b/>
          <w:w w:val="115"/>
        </w:rPr>
        <w:t>in</w:t>
      </w:r>
      <w:r>
        <w:rPr>
          <w:b/>
          <w:spacing w:val="-1"/>
          <w:w w:val="115"/>
        </w:rPr>
        <w:t xml:space="preserve"> </w:t>
      </w:r>
      <w:r>
        <w:rPr>
          <w:b/>
          <w:w w:val="115"/>
        </w:rPr>
        <w:t>London).</w:t>
      </w:r>
      <w:r>
        <w:rPr>
          <w:b/>
          <w:spacing w:val="-3"/>
          <w:w w:val="115"/>
        </w:rPr>
        <w:t xml:space="preserve"> </w:t>
      </w:r>
      <w:r>
        <w:rPr>
          <w:b/>
          <w:w w:val="115"/>
        </w:rPr>
        <w:t>In</w:t>
      </w:r>
      <w:r>
        <w:rPr>
          <w:b/>
          <w:spacing w:val="-1"/>
          <w:w w:val="115"/>
        </w:rPr>
        <w:t xml:space="preserve"> </w:t>
      </w:r>
      <w:r>
        <w:rPr>
          <w:b/>
          <w:w w:val="115"/>
        </w:rPr>
        <w:t>2026,</w:t>
      </w:r>
      <w:r>
        <w:rPr>
          <w:b/>
          <w:spacing w:val="-3"/>
          <w:w w:val="115"/>
        </w:rPr>
        <w:t xml:space="preserve"> </w:t>
      </w:r>
      <w:r>
        <w:rPr>
          <w:b/>
          <w:w w:val="115"/>
        </w:rPr>
        <w:t>exchange</w:t>
      </w:r>
      <w:r>
        <w:rPr>
          <w:b/>
          <w:spacing w:val="-5"/>
          <w:w w:val="115"/>
        </w:rPr>
        <w:t xml:space="preserve"> </w:t>
      </w:r>
      <w:r>
        <w:rPr>
          <w:b/>
          <w:w w:val="115"/>
        </w:rPr>
        <w:t>activity</w:t>
      </w:r>
      <w:r>
        <w:rPr>
          <w:b/>
          <w:spacing w:val="-3"/>
          <w:w w:val="115"/>
        </w:rPr>
        <w:t xml:space="preserve"> </w:t>
      </w:r>
      <w:r>
        <w:rPr>
          <w:b/>
          <w:w w:val="115"/>
        </w:rPr>
        <w:t xml:space="preserve">is </w:t>
      </w:r>
      <w:r>
        <w:rPr>
          <w:b/>
          <w:w w:val="120"/>
        </w:rPr>
        <w:t xml:space="preserve">already running more than 40% ahead of the same period last year. </w:t>
      </w:r>
      <w:r>
        <w:rPr>
          <w:w w:val="120"/>
        </w:rPr>
        <w:t xml:space="preserve">The principal </w:t>
      </w:r>
      <w:r>
        <w:rPr>
          <w:spacing w:val="-2"/>
          <w:w w:val="115"/>
        </w:rPr>
        <w:t>inbound</w:t>
      </w:r>
      <w:r>
        <w:rPr>
          <w:spacing w:val="-10"/>
          <w:w w:val="115"/>
        </w:rPr>
        <w:t xml:space="preserve"> </w:t>
      </w:r>
      <w:r>
        <w:rPr>
          <w:spacing w:val="-2"/>
          <w:w w:val="115"/>
        </w:rPr>
        <w:t>markets</w:t>
      </w:r>
      <w:r>
        <w:rPr>
          <w:spacing w:val="-7"/>
          <w:w w:val="115"/>
        </w:rPr>
        <w:t xml:space="preserve"> </w:t>
      </w:r>
      <w:r>
        <w:rPr>
          <w:spacing w:val="-2"/>
          <w:w w:val="115"/>
        </w:rPr>
        <w:t>are</w:t>
      </w:r>
      <w:r>
        <w:rPr>
          <w:spacing w:val="-8"/>
          <w:w w:val="115"/>
        </w:rPr>
        <w:t xml:space="preserve"> </w:t>
      </w:r>
      <w:r>
        <w:rPr>
          <w:spacing w:val="-2"/>
          <w:w w:val="115"/>
        </w:rPr>
        <w:t>France,</w:t>
      </w:r>
      <w:r>
        <w:rPr>
          <w:spacing w:val="-8"/>
          <w:w w:val="115"/>
        </w:rPr>
        <w:t xml:space="preserve"> </w:t>
      </w:r>
      <w:r>
        <w:rPr>
          <w:spacing w:val="-2"/>
          <w:w w:val="115"/>
        </w:rPr>
        <w:t>the</w:t>
      </w:r>
      <w:r>
        <w:rPr>
          <w:spacing w:val="-7"/>
          <w:w w:val="115"/>
        </w:rPr>
        <w:t xml:space="preserve"> </w:t>
      </w:r>
      <w:r>
        <w:rPr>
          <w:spacing w:val="-2"/>
          <w:w w:val="115"/>
        </w:rPr>
        <w:t>United</w:t>
      </w:r>
      <w:r>
        <w:rPr>
          <w:spacing w:val="-11"/>
          <w:w w:val="115"/>
        </w:rPr>
        <w:t xml:space="preserve"> </w:t>
      </w:r>
      <w:r>
        <w:rPr>
          <w:spacing w:val="-2"/>
          <w:w w:val="115"/>
        </w:rPr>
        <w:t>Kingdom</w:t>
      </w:r>
      <w:r>
        <w:rPr>
          <w:spacing w:val="-8"/>
          <w:w w:val="115"/>
        </w:rPr>
        <w:t xml:space="preserve"> </w:t>
      </w:r>
      <w:r>
        <w:rPr>
          <w:spacing w:val="-2"/>
          <w:w w:val="115"/>
        </w:rPr>
        <w:t>itself,</w:t>
      </w:r>
      <w:r>
        <w:rPr>
          <w:spacing w:val="-6"/>
          <w:w w:val="115"/>
        </w:rPr>
        <w:t xml:space="preserve"> </w:t>
      </w:r>
      <w:r>
        <w:rPr>
          <w:spacing w:val="-2"/>
          <w:w w:val="115"/>
        </w:rPr>
        <w:t>Spain,</w:t>
      </w:r>
      <w:r>
        <w:rPr>
          <w:spacing w:val="-8"/>
          <w:w w:val="115"/>
        </w:rPr>
        <w:t xml:space="preserve"> </w:t>
      </w:r>
      <w:r>
        <w:rPr>
          <w:spacing w:val="-2"/>
          <w:w w:val="115"/>
        </w:rPr>
        <w:t>the</w:t>
      </w:r>
      <w:r>
        <w:rPr>
          <w:spacing w:val="-7"/>
          <w:w w:val="115"/>
        </w:rPr>
        <w:t xml:space="preserve"> </w:t>
      </w:r>
      <w:r>
        <w:rPr>
          <w:spacing w:val="-2"/>
          <w:w w:val="115"/>
        </w:rPr>
        <w:t>United</w:t>
      </w:r>
      <w:r>
        <w:rPr>
          <w:spacing w:val="-7"/>
          <w:w w:val="115"/>
        </w:rPr>
        <w:t xml:space="preserve"> </w:t>
      </w:r>
      <w:r>
        <w:rPr>
          <w:spacing w:val="-2"/>
          <w:w w:val="115"/>
        </w:rPr>
        <w:t>States</w:t>
      </w:r>
      <w:r>
        <w:rPr>
          <w:spacing w:val="-11"/>
          <w:w w:val="115"/>
        </w:rPr>
        <w:t xml:space="preserve"> </w:t>
      </w:r>
      <w:r>
        <w:rPr>
          <w:spacing w:val="-2"/>
          <w:w w:val="115"/>
        </w:rPr>
        <w:t>and</w:t>
      </w:r>
      <w:r>
        <w:rPr>
          <w:spacing w:val="-9"/>
          <w:w w:val="115"/>
        </w:rPr>
        <w:t xml:space="preserve"> </w:t>
      </w:r>
      <w:r>
        <w:rPr>
          <w:spacing w:val="-2"/>
          <w:w w:val="115"/>
        </w:rPr>
        <w:t>Italy.</w:t>
      </w:r>
    </w:p>
    <w:p w:rsidR="00136D20">
      <w:pPr>
        <w:pStyle w:val="BodyText"/>
      </w:pPr>
    </w:p>
    <w:p w:rsidR="00136D20">
      <w:pPr>
        <w:pStyle w:val="BodyText"/>
        <w:spacing w:before="212"/>
      </w:pPr>
    </w:p>
    <w:p w:rsidR="00136D20">
      <w:pPr>
        <w:ind w:left="23"/>
        <w:jc w:val="both"/>
        <w:rPr>
          <w:b/>
        </w:rPr>
      </w:pPr>
      <w:r>
        <w:rPr>
          <w:b/>
          <w:color w:val="E69138"/>
          <w:w w:val="115"/>
        </w:rPr>
        <w:t>Our</w:t>
      </w:r>
      <w:r>
        <w:rPr>
          <w:b/>
          <w:color w:val="E69138"/>
          <w:spacing w:val="-14"/>
          <w:w w:val="115"/>
        </w:rPr>
        <w:t xml:space="preserve"> </w:t>
      </w:r>
      <w:r>
        <w:rPr>
          <w:b/>
          <w:color w:val="E69138"/>
          <w:spacing w:val="-2"/>
          <w:w w:val="120"/>
        </w:rPr>
        <w:t>responses</w:t>
      </w:r>
    </w:p>
    <w:p w:rsidR="00136D20">
      <w:pPr>
        <w:pStyle w:val="BodyText"/>
        <w:spacing w:before="10"/>
        <w:rPr>
          <w:b/>
          <w:sz w:val="12"/>
        </w:rPr>
      </w:pPr>
      <w:r>
        <w:rPr>
          <w:b/>
          <w:noProof/>
          <w:sz w:val="12"/>
        </w:rPr>
        <mc:AlternateContent>
          <mc:Choice Requires="wpg">
            <w:drawing>
              <wp:anchor distT="0" distB="0" distL="0" distR="0" simplePos="0" relativeHeight="251662336" behindDoc="1" locked="0" layoutInCell="1" allowOverlap="1">
                <wp:simplePos x="0" y="0"/>
                <wp:positionH relativeFrom="page">
                  <wp:posOffset>914400</wp:posOffset>
                </wp:positionH>
                <wp:positionV relativeFrom="paragraph">
                  <wp:posOffset>114835</wp:posOffset>
                </wp:positionV>
                <wp:extent cx="5733415" cy="20320"/>
                <wp:effectExtent l="0" t="0" r="0" b="0"/>
                <wp:wrapTopAndBottom/>
                <wp:docPr id="14" name="Group 14"/>
                <wp:cNvGraphicFramePr/>
                <a:graphic xmlns:a="http://schemas.openxmlformats.org/drawingml/2006/main">
                  <a:graphicData uri="http://schemas.microsoft.com/office/word/2010/wordprocessingGroup">
                    <wpg:wgp xmlns:wpg="http://schemas.microsoft.com/office/word/2010/wordprocessingGroup">
                      <wpg:cNvGrpSpPr>
                        <a:grpSpLocks/>
                      </wpg:cNvGrpSpPr>
                      <wpg:grpSpPr>
                        <a:xfrm>
                          <a:off x="0" y="0"/>
                          <a:ext cx="5733415" cy="20320"/>
                          <a:chOff x="0" y="0"/>
                          <a:chExt cx="5733415" cy="20320"/>
                        </a:xfrm>
                      </wpg:grpSpPr>
                      <wps:wsp xmlns:wps="http://schemas.microsoft.com/office/word/2010/wordprocessingShape">
                        <wps:cNvPr id="15" name="Graphic 15"/>
                        <wps:cNvSpPr/>
                        <wps:spPr>
                          <a:xfrm>
                            <a:off x="0" y="12"/>
                            <a:ext cx="5731510" cy="19685"/>
                          </a:xfrm>
                          <a:custGeom>
                            <a:avLst/>
                            <a:gdLst/>
                            <a:ahLst/>
                            <a:cxnLst/>
                            <a:rect l="l" t="t" r="r" b="b"/>
                            <a:pathLst>
                              <a:path w="5731510" h="19685">
                                <a:moveTo>
                                  <a:pt x="5731497" y="0"/>
                                </a:moveTo>
                                <a:lnTo>
                                  <a:pt x="0" y="0"/>
                                </a:lnTo>
                                <a:lnTo>
                                  <a:pt x="0" y="19672"/>
                                </a:lnTo>
                                <a:lnTo>
                                  <a:pt x="5731497" y="19672"/>
                                </a:lnTo>
                                <a:lnTo>
                                  <a:pt x="5731497" y="0"/>
                                </a:lnTo>
                                <a:close/>
                              </a:path>
                            </a:pathLst>
                          </a:custGeom>
                          <a:solidFill>
                            <a:srgbClr val="9F9F9F"/>
                          </a:solidFill>
                        </wps:spPr>
                        <wps:bodyPr wrap="square" lIns="0" tIns="0" rIns="0" bIns="0" rtlCol="0">
                          <a:prstTxWarp prst="textNoShape">
                            <a:avLst/>
                          </a:prstTxWarp>
                          <a:noAutofit/>
                        </wps:bodyPr>
                      </wps:wsp>
                      <wps:wsp xmlns:wps="http://schemas.microsoft.com/office/word/2010/wordprocessingShape">
                        <wps:cNvPr id="16" name="Graphic 16"/>
                        <wps:cNvSpPr/>
                        <wps:spPr>
                          <a:xfrm>
                            <a:off x="5729985" y="38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xmlns:wps="http://schemas.microsoft.com/office/word/2010/wordprocessingShape">
                        <wps:cNvPr id="17" name="Graphic 17"/>
                        <wps:cNvSpPr/>
                        <wps:spPr>
                          <a:xfrm>
                            <a:off x="304" y="393"/>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xmlns:wps="http://schemas.microsoft.com/office/word/2010/wordprocessingShape">
                        <wps:cNvPr id="18" name="Graphic 18"/>
                        <wps:cNvSpPr/>
                        <wps:spPr>
                          <a:xfrm>
                            <a:off x="5729985" y="3429"/>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xmlns:wps="http://schemas.microsoft.com/office/word/2010/wordprocessingShape">
                        <wps:cNvPr id="19" name="Graphic 19"/>
                        <wps:cNvSpPr/>
                        <wps:spPr>
                          <a:xfrm>
                            <a:off x="304" y="1714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xmlns:wps="http://schemas.microsoft.com/office/word/2010/wordprocessingShape">
                        <wps:cNvPr id="20" name="Graphic 20"/>
                        <wps:cNvSpPr/>
                        <wps:spPr>
                          <a:xfrm>
                            <a:off x="304" y="17144"/>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id="Group 14" o:spid="_x0000_s1035" style="height:1.6pt;margin-left:1in;margin-top:9.05pt;mso-position-horizontal-relative:page;mso-wrap-distance-left:0;mso-wrap-distance-right:0;position:absolute;width:451.45pt;z-index:-251653120" coordsize="57334,203">
                <v:shape id="Graphic 15" o:spid="_x0000_s1036" style="height:196;mso-wrap-style:square;position:absolute;v-text-anchor:top;visibility:visible;width:57315" coordsize="5731510,19685" path="m5731497,l,,,19672l5731497,19672l5731497,xe" fillcolor="#9f9f9f" stroked="f">
                  <v:path arrowok="t"/>
                </v:shape>
                <v:shape id="Graphic 16" o:spid="_x0000_s1037" style="height:32;left:57299;mso-wrap-style:square;position:absolute;top:3;v-text-anchor:top;visibility:visible;width:32" coordsize="3175,3175" path="m3047,l,,,3047l3047,3047l3047,xe" fillcolor="#e2e2e2" stroked="f">
                  <v:path arrowok="t"/>
                </v:shape>
                <v:shape id="Graphic 17" o:spid="_x0000_s1038" style="height:172;left:3;mso-wrap-style:square;position:absolute;top:3;v-text-anchor:top;visibility:visible;width:57327" coordsize="5732780,17145" path="m3048,3035l,3035,,16751l3048,16751l3048,3035xem5732716,l5729668,l5729668,3035l5732716,3035l5732716,xe" fillcolor="#9f9f9f" stroked="f">
                  <v:path arrowok="t"/>
                </v:shape>
                <v:shape id="Graphic 18" o:spid="_x0000_s1039" style="height:139;left:57299;mso-wrap-style:square;position:absolute;top:34;v-text-anchor:top;visibility:visible;width:32" coordsize="3175,13970" path="m3047,l,,,13716l3047,13716l3047,xe" fillcolor="#e2e2e2" stroked="f">
                  <v:path arrowok="t"/>
                </v:shape>
                <v:shape id="Graphic 19" o:spid="_x0000_s1040" style="height:32;left:3;mso-wrap-style:square;position:absolute;top:171;v-text-anchor:top;visibility:visible;width:31" coordsize="3175,3175" path="m3047,l,,,3048l3047,3048l3047,xe" fillcolor="#9f9f9f" stroked="f">
                  <v:path arrowok="t"/>
                </v:shape>
                <v:shape id="Graphic 20" o:spid="_x0000_s1041" style="height:32;left:3;mso-wrap-style:square;position:absolute;top:171;v-text-anchor:top;visibility:visible;width:57327" coordsize="5732780,3175" path="m5729605,l3048,,,,,3048l3048,3048l5729605,3048l5729605,xem5732716,l5729668,l5729668,3048l5732716,3048l5732716,xe" fillcolor="#e2e2e2" stroked="f">
                  <v:path arrowok="t"/>
                </v:shape>
                <w10:wrap type="topAndBottom"/>
              </v:group>
            </w:pict>
          </mc:Fallback>
        </mc:AlternateContent>
      </w:r>
    </w:p>
    <w:p w:rsidR="00136D20">
      <w:pPr>
        <w:pStyle w:val="BodyText"/>
        <w:spacing w:before="26"/>
        <w:rPr>
          <w:b/>
        </w:rPr>
      </w:pPr>
    </w:p>
    <w:p w:rsidR="00136D20">
      <w:pPr>
        <w:pStyle w:val="Heading2"/>
        <w:numPr>
          <w:ilvl w:val="0"/>
          <w:numId w:val="1"/>
        </w:numPr>
        <w:tabs>
          <w:tab w:val="left" w:pos="190"/>
        </w:tabs>
        <w:ind w:left="190" w:hanging="167"/>
      </w:pPr>
      <w:r>
        <w:rPr>
          <w:spacing w:val="-8"/>
          <w:w w:val="115"/>
          <w:u w:val="single"/>
        </w:rPr>
        <w:t xml:space="preserve"> </w:t>
      </w:r>
      <w:r>
        <w:rPr>
          <w:w w:val="115"/>
          <w:u w:val="single"/>
        </w:rPr>
        <w:t>Government</w:t>
      </w:r>
      <w:r>
        <w:rPr>
          <w:spacing w:val="-8"/>
          <w:w w:val="115"/>
          <w:u w:val="single"/>
        </w:rPr>
        <w:t xml:space="preserve"> </w:t>
      </w:r>
      <w:r>
        <w:rPr>
          <w:w w:val="115"/>
          <w:u w:val="single"/>
        </w:rPr>
        <w:t>policy,</w:t>
      </w:r>
      <w:r>
        <w:rPr>
          <w:spacing w:val="-8"/>
          <w:w w:val="115"/>
          <w:u w:val="single"/>
        </w:rPr>
        <w:t xml:space="preserve"> </w:t>
      </w:r>
      <w:r>
        <w:rPr>
          <w:w w:val="115"/>
          <w:u w:val="single"/>
        </w:rPr>
        <w:t>competitiveness</w:t>
      </w:r>
      <w:r>
        <w:rPr>
          <w:spacing w:val="-6"/>
          <w:w w:val="115"/>
          <w:u w:val="single"/>
        </w:rPr>
        <w:t xml:space="preserve"> </w:t>
      </w:r>
      <w:r>
        <w:rPr>
          <w:w w:val="115"/>
          <w:u w:val="single"/>
        </w:rPr>
        <w:t>and</w:t>
      </w:r>
      <w:r>
        <w:rPr>
          <w:spacing w:val="-7"/>
          <w:w w:val="115"/>
          <w:u w:val="single"/>
        </w:rPr>
        <w:t xml:space="preserve"> </w:t>
      </w:r>
      <w:r>
        <w:rPr>
          <w:spacing w:val="-2"/>
          <w:w w:val="115"/>
          <w:u w:val="single"/>
        </w:rPr>
        <w:t>resilience</w:t>
      </w:r>
    </w:p>
    <w:p w:rsidR="00136D20">
      <w:pPr>
        <w:spacing w:before="157" w:line="254" w:lineRule="auto"/>
        <w:ind w:left="23" w:right="21"/>
        <w:jc w:val="both"/>
      </w:pPr>
      <w:r>
        <w:rPr>
          <w:b/>
          <w:w w:val="115"/>
        </w:rPr>
        <w:t xml:space="preserve">Accommodation pricing and capacity are among the principal factors shaping the international competitiveness of the United Kingdom as a tourism destination, </w:t>
      </w:r>
      <w:r>
        <w:rPr>
          <w:w w:val="115"/>
        </w:rPr>
        <w:t>affecting inbound demand and the relative attractiveness of the United</w:t>
      </w:r>
      <w:r>
        <w:rPr>
          <w:w w:val="115"/>
        </w:rPr>
        <w:t xml:space="preserve"> Kingdom compared with other European destinations.</w:t>
      </w:r>
    </w:p>
    <w:p w:rsidR="00136D20">
      <w:pPr>
        <w:pStyle w:val="BodyText"/>
        <w:spacing w:before="236"/>
        <w:ind w:left="23" w:right="16"/>
        <w:jc w:val="both"/>
      </w:pPr>
      <w:r>
        <w:rPr>
          <w:w w:val="115"/>
        </w:rPr>
        <w:t>HomeExchange reduces accommodation costs to a single annual membership fee, improving</w:t>
      </w:r>
      <w:r>
        <w:rPr>
          <w:spacing w:val="-15"/>
          <w:w w:val="115"/>
        </w:rPr>
        <w:t xml:space="preserve"> </w:t>
      </w:r>
      <w:r>
        <w:rPr>
          <w:w w:val="115"/>
        </w:rPr>
        <w:t>affordability</w:t>
      </w:r>
      <w:r>
        <w:rPr>
          <w:spacing w:val="-14"/>
          <w:w w:val="115"/>
        </w:rPr>
        <w:t xml:space="preserve"> </w:t>
      </w:r>
      <w:r>
        <w:rPr>
          <w:w w:val="115"/>
        </w:rPr>
        <w:t>for</w:t>
      </w:r>
      <w:r>
        <w:rPr>
          <w:spacing w:val="-14"/>
          <w:w w:val="115"/>
        </w:rPr>
        <w:t xml:space="preserve"> </w:t>
      </w:r>
      <w:r>
        <w:rPr>
          <w:w w:val="115"/>
        </w:rPr>
        <w:t>international</w:t>
      </w:r>
      <w:r>
        <w:rPr>
          <w:spacing w:val="-15"/>
          <w:w w:val="115"/>
        </w:rPr>
        <w:t xml:space="preserve"> </w:t>
      </w:r>
      <w:r>
        <w:rPr>
          <w:w w:val="115"/>
        </w:rPr>
        <w:t>visitors</w:t>
      </w:r>
      <w:r>
        <w:rPr>
          <w:spacing w:val="-14"/>
          <w:w w:val="115"/>
        </w:rPr>
        <w:t xml:space="preserve"> </w:t>
      </w:r>
      <w:r>
        <w:rPr>
          <w:w w:val="115"/>
        </w:rPr>
        <w:t>and</w:t>
      </w:r>
      <w:r>
        <w:rPr>
          <w:spacing w:val="-14"/>
          <w:w w:val="115"/>
        </w:rPr>
        <w:t xml:space="preserve"> </w:t>
      </w:r>
      <w:r>
        <w:rPr>
          <w:w w:val="115"/>
        </w:rPr>
        <w:t>supporting</w:t>
      </w:r>
      <w:r>
        <w:rPr>
          <w:spacing w:val="-15"/>
          <w:w w:val="115"/>
        </w:rPr>
        <w:t xml:space="preserve"> </w:t>
      </w:r>
      <w:r>
        <w:rPr>
          <w:w w:val="115"/>
        </w:rPr>
        <w:t>competitiveness</w:t>
      </w:r>
      <w:r>
        <w:rPr>
          <w:spacing w:val="-14"/>
          <w:w w:val="115"/>
        </w:rPr>
        <w:t xml:space="preserve"> </w:t>
      </w:r>
      <w:r>
        <w:rPr>
          <w:w w:val="115"/>
        </w:rPr>
        <w:t>in</w:t>
      </w:r>
      <w:r>
        <w:rPr>
          <w:spacing w:val="-14"/>
          <w:w w:val="115"/>
        </w:rPr>
        <w:t xml:space="preserve"> </w:t>
      </w:r>
      <w:r>
        <w:rPr>
          <w:w w:val="115"/>
        </w:rPr>
        <w:t xml:space="preserve">price-sensitive markets. HomeExchange members report saving an average of 35% on their overall holiday budget for a one-week trip. Moreover, for 20% of members, home </w:t>
      </w:r>
      <w:r>
        <w:rPr>
          <w:spacing w:val="-2"/>
          <w:w w:val="115"/>
        </w:rPr>
        <w:t>swapping</w:t>
      </w:r>
      <w:r>
        <w:rPr>
          <w:spacing w:val="-10"/>
          <w:w w:val="115"/>
        </w:rPr>
        <w:t xml:space="preserve"> </w:t>
      </w:r>
      <w:r>
        <w:rPr>
          <w:spacing w:val="-2"/>
          <w:w w:val="115"/>
        </w:rPr>
        <w:t>is</w:t>
      </w:r>
      <w:r>
        <w:rPr>
          <w:spacing w:val="-6"/>
          <w:w w:val="115"/>
        </w:rPr>
        <w:t xml:space="preserve"> </w:t>
      </w:r>
      <w:r>
        <w:rPr>
          <w:spacing w:val="-2"/>
          <w:w w:val="115"/>
        </w:rPr>
        <w:t>what</w:t>
      </w:r>
      <w:r>
        <w:rPr>
          <w:spacing w:val="-9"/>
          <w:w w:val="115"/>
        </w:rPr>
        <w:t xml:space="preserve"> </w:t>
      </w:r>
      <w:r>
        <w:rPr>
          <w:spacing w:val="-2"/>
          <w:w w:val="115"/>
        </w:rPr>
        <w:t>makes</w:t>
      </w:r>
      <w:r>
        <w:rPr>
          <w:spacing w:val="-6"/>
          <w:w w:val="115"/>
        </w:rPr>
        <w:t xml:space="preserve"> </w:t>
      </w:r>
      <w:r>
        <w:rPr>
          <w:spacing w:val="-2"/>
          <w:w w:val="115"/>
        </w:rPr>
        <w:t>travel</w:t>
      </w:r>
      <w:r>
        <w:rPr>
          <w:spacing w:val="-9"/>
          <w:w w:val="115"/>
        </w:rPr>
        <w:t xml:space="preserve"> </w:t>
      </w:r>
      <w:r>
        <w:rPr>
          <w:spacing w:val="-2"/>
          <w:w w:val="115"/>
        </w:rPr>
        <w:t>possible</w:t>
      </w:r>
      <w:r>
        <w:rPr>
          <w:spacing w:val="-10"/>
          <w:w w:val="115"/>
        </w:rPr>
        <w:t xml:space="preserve"> </w:t>
      </w:r>
      <w:r>
        <w:rPr>
          <w:spacing w:val="-2"/>
          <w:w w:val="115"/>
        </w:rPr>
        <w:t>at</w:t>
      </w:r>
      <w:r>
        <w:rPr>
          <w:spacing w:val="-8"/>
          <w:w w:val="115"/>
        </w:rPr>
        <w:t xml:space="preserve"> </w:t>
      </w:r>
      <w:r>
        <w:rPr>
          <w:spacing w:val="-2"/>
          <w:w w:val="115"/>
        </w:rPr>
        <w:t>all,</w:t>
      </w:r>
      <w:r>
        <w:rPr>
          <w:spacing w:val="-8"/>
          <w:w w:val="115"/>
        </w:rPr>
        <w:t xml:space="preserve"> </w:t>
      </w:r>
      <w:r>
        <w:rPr>
          <w:spacing w:val="-2"/>
          <w:w w:val="115"/>
        </w:rPr>
        <w:t>underscoring</w:t>
      </w:r>
      <w:r>
        <w:rPr>
          <w:spacing w:val="-10"/>
          <w:w w:val="115"/>
        </w:rPr>
        <w:t xml:space="preserve"> </w:t>
      </w:r>
      <w:r>
        <w:rPr>
          <w:spacing w:val="-2"/>
          <w:w w:val="115"/>
        </w:rPr>
        <w:t>the</w:t>
      </w:r>
      <w:r>
        <w:rPr>
          <w:spacing w:val="-6"/>
          <w:w w:val="115"/>
        </w:rPr>
        <w:t xml:space="preserve"> </w:t>
      </w:r>
      <w:r>
        <w:rPr>
          <w:spacing w:val="-2"/>
          <w:w w:val="115"/>
        </w:rPr>
        <w:t>model's</w:t>
      </w:r>
      <w:r>
        <w:rPr>
          <w:spacing w:val="-6"/>
          <w:w w:val="115"/>
        </w:rPr>
        <w:t xml:space="preserve"> </w:t>
      </w:r>
      <w:r>
        <w:rPr>
          <w:spacing w:val="-2"/>
          <w:w w:val="115"/>
        </w:rPr>
        <w:t>role</w:t>
      </w:r>
      <w:r>
        <w:rPr>
          <w:spacing w:val="-8"/>
          <w:w w:val="115"/>
        </w:rPr>
        <w:t xml:space="preserve"> </w:t>
      </w:r>
      <w:r>
        <w:rPr>
          <w:spacing w:val="-2"/>
          <w:w w:val="115"/>
        </w:rPr>
        <w:t>in</w:t>
      </w:r>
      <w:r>
        <w:rPr>
          <w:spacing w:val="-9"/>
          <w:w w:val="115"/>
        </w:rPr>
        <w:t xml:space="preserve"> </w:t>
      </w:r>
      <w:r>
        <w:rPr>
          <w:spacing w:val="-2"/>
          <w:w w:val="115"/>
        </w:rPr>
        <w:t>opening</w:t>
      </w:r>
      <w:r>
        <w:rPr>
          <w:spacing w:val="-6"/>
          <w:w w:val="115"/>
        </w:rPr>
        <w:t xml:space="preserve"> </w:t>
      </w:r>
      <w:r>
        <w:rPr>
          <w:spacing w:val="-2"/>
          <w:w w:val="115"/>
        </w:rPr>
        <w:t>up</w:t>
      </w:r>
      <w:r>
        <w:rPr>
          <w:spacing w:val="-2"/>
          <w:w w:val="115"/>
        </w:rPr>
        <w:t xml:space="preserve"> </w:t>
      </w:r>
      <w:r>
        <w:rPr>
          <w:w w:val="115"/>
        </w:rPr>
        <w:t>tourism to households that would otherwise be priced out.</w:t>
      </w:r>
    </w:p>
    <w:p w:rsidR="00136D20">
      <w:pPr>
        <w:pStyle w:val="BodyText"/>
        <w:spacing w:before="234" w:line="237" w:lineRule="auto"/>
        <w:ind w:left="23" w:right="16"/>
        <w:jc w:val="both"/>
      </w:pPr>
      <w:r>
        <w:rPr>
          <w:w w:val="115"/>
        </w:rPr>
        <w:t>Beyond</w:t>
      </w:r>
      <w:r>
        <w:rPr>
          <w:spacing w:val="-10"/>
          <w:w w:val="115"/>
        </w:rPr>
        <w:t xml:space="preserve"> </w:t>
      </w:r>
      <w:r>
        <w:rPr>
          <w:w w:val="115"/>
        </w:rPr>
        <w:t>affordability,</w:t>
      </w:r>
      <w:r>
        <w:rPr>
          <w:spacing w:val="-12"/>
          <w:w w:val="115"/>
        </w:rPr>
        <w:t xml:space="preserve"> </w:t>
      </w:r>
      <w:r>
        <w:rPr>
          <w:w w:val="115"/>
        </w:rPr>
        <w:t>home</w:t>
      </w:r>
      <w:r>
        <w:rPr>
          <w:spacing w:val="-11"/>
          <w:w w:val="115"/>
        </w:rPr>
        <w:t xml:space="preserve"> </w:t>
      </w:r>
      <w:r>
        <w:rPr>
          <w:w w:val="115"/>
        </w:rPr>
        <w:t>swapping</w:t>
      </w:r>
      <w:r>
        <w:rPr>
          <w:spacing w:val="-14"/>
          <w:w w:val="115"/>
        </w:rPr>
        <w:t xml:space="preserve"> </w:t>
      </w:r>
      <w:r>
        <w:rPr>
          <w:w w:val="115"/>
        </w:rPr>
        <w:t>contributes</w:t>
      </w:r>
      <w:r>
        <w:rPr>
          <w:spacing w:val="-10"/>
          <w:w w:val="115"/>
        </w:rPr>
        <w:t xml:space="preserve"> </w:t>
      </w:r>
      <w:r>
        <w:rPr>
          <w:w w:val="115"/>
        </w:rPr>
        <w:t>to</w:t>
      </w:r>
      <w:r>
        <w:rPr>
          <w:spacing w:val="-10"/>
          <w:w w:val="115"/>
        </w:rPr>
        <w:t xml:space="preserve"> </w:t>
      </w:r>
      <w:r>
        <w:rPr>
          <w:w w:val="115"/>
        </w:rPr>
        <w:t>accommodation</w:t>
      </w:r>
      <w:r>
        <w:rPr>
          <w:spacing w:val="-9"/>
          <w:w w:val="115"/>
        </w:rPr>
        <w:t xml:space="preserve"> </w:t>
      </w:r>
      <w:r>
        <w:rPr>
          <w:w w:val="115"/>
        </w:rPr>
        <w:t>capacity</w:t>
      </w:r>
      <w:r>
        <w:rPr>
          <w:spacing w:val="-12"/>
          <w:w w:val="115"/>
        </w:rPr>
        <w:t xml:space="preserve"> </w:t>
      </w:r>
      <w:r>
        <w:rPr>
          <w:w w:val="115"/>
        </w:rPr>
        <w:t>where</w:t>
      </w:r>
      <w:r>
        <w:rPr>
          <w:spacing w:val="-12"/>
          <w:w w:val="115"/>
        </w:rPr>
        <w:t xml:space="preserve"> </w:t>
      </w:r>
      <w:r>
        <w:rPr>
          <w:w w:val="115"/>
        </w:rPr>
        <w:t>the commercial sector</w:t>
      </w:r>
      <w:r>
        <w:rPr>
          <w:spacing w:val="-4"/>
          <w:w w:val="115"/>
        </w:rPr>
        <w:t xml:space="preserve"> </w:t>
      </w:r>
      <w:r>
        <w:rPr>
          <w:w w:val="115"/>
        </w:rPr>
        <w:t>cannot</w:t>
      </w:r>
      <w:r>
        <w:rPr>
          <w:spacing w:val="-1"/>
          <w:w w:val="115"/>
        </w:rPr>
        <w:t xml:space="preserve"> </w:t>
      </w:r>
      <w:r>
        <w:rPr>
          <w:w w:val="115"/>
        </w:rPr>
        <w:t>fully meet</w:t>
      </w:r>
      <w:r>
        <w:rPr>
          <w:spacing w:val="-2"/>
          <w:w w:val="115"/>
        </w:rPr>
        <w:t xml:space="preserve"> </w:t>
      </w:r>
      <w:r>
        <w:rPr>
          <w:w w:val="115"/>
        </w:rPr>
        <w:t>demand.</w:t>
      </w:r>
      <w:r>
        <w:rPr>
          <w:spacing w:val="-4"/>
          <w:w w:val="115"/>
        </w:rPr>
        <w:t xml:space="preserve"> </w:t>
      </w:r>
      <w:r>
        <w:rPr>
          <w:w w:val="115"/>
        </w:rPr>
        <w:t>During</w:t>
      </w:r>
      <w:r>
        <w:rPr>
          <w:spacing w:val="-1"/>
          <w:w w:val="115"/>
        </w:rPr>
        <w:t xml:space="preserve"> </w:t>
      </w:r>
      <w:r>
        <w:rPr>
          <w:w w:val="115"/>
        </w:rPr>
        <w:t>periods</w:t>
      </w:r>
      <w:r>
        <w:rPr>
          <w:spacing w:val="-3"/>
          <w:w w:val="115"/>
        </w:rPr>
        <w:t xml:space="preserve"> </w:t>
      </w:r>
      <w:r>
        <w:rPr>
          <w:w w:val="115"/>
        </w:rPr>
        <w:t>of</w:t>
      </w:r>
      <w:r>
        <w:rPr>
          <w:spacing w:val="-3"/>
          <w:w w:val="115"/>
        </w:rPr>
        <w:t xml:space="preserve"> </w:t>
      </w:r>
      <w:r>
        <w:rPr>
          <w:w w:val="115"/>
        </w:rPr>
        <w:t>peak</w:t>
      </w:r>
      <w:r>
        <w:rPr>
          <w:spacing w:val="-4"/>
          <w:w w:val="115"/>
        </w:rPr>
        <w:t xml:space="preserve"> </w:t>
      </w:r>
      <w:r>
        <w:rPr>
          <w:w w:val="115"/>
        </w:rPr>
        <w:t>pressure</w:t>
      </w:r>
      <w:r>
        <w:rPr>
          <w:spacing w:val="-2"/>
          <w:w w:val="115"/>
        </w:rPr>
        <w:t xml:space="preserve"> </w:t>
      </w:r>
      <w:r>
        <w:rPr>
          <w:w w:val="115"/>
        </w:rPr>
        <w:t>or</w:t>
      </w:r>
      <w:r>
        <w:rPr>
          <w:spacing w:val="-1"/>
          <w:w w:val="115"/>
        </w:rPr>
        <w:t xml:space="preserve"> </w:t>
      </w:r>
      <w:r>
        <w:rPr>
          <w:w w:val="115"/>
        </w:rPr>
        <w:t>major events, it</w:t>
      </w:r>
      <w:r>
        <w:rPr>
          <w:w w:val="115"/>
        </w:rPr>
        <w:t xml:space="preserve"> activates existing residential stock, expanding effective supply without requiring new development or public investment. In cities such as London, where accommodation is structurally constrained and pricing can deter visits entirely, this additional layer of capacity supports the United Kingdom's ability to receive and retain visitors.</w:t>
      </w:r>
      <w:r>
        <w:rPr>
          <w:spacing w:val="-10"/>
          <w:w w:val="115"/>
        </w:rPr>
        <w:t xml:space="preserve"> </w:t>
      </w:r>
      <w:r>
        <w:rPr>
          <w:w w:val="115"/>
        </w:rPr>
        <w:t>An</w:t>
      </w:r>
      <w:r>
        <w:rPr>
          <w:spacing w:val="-9"/>
          <w:w w:val="115"/>
        </w:rPr>
        <w:t xml:space="preserve"> </w:t>
      </w:r>
      <w:r>
        <w:rPr>
          <w:w w:val="115"/>
        </w:rPr>
        <w:t>example</w:t>
      </w:r>
      <w:r>
        <w:rPr>
          <w:spacing w:val="-10"/>
          <w:w w:val="115"/>
        </w:rPr>
        <w:t xml:space="preserve"> </w:t>
      </w:r>
      <w:r>
        <w:rPr>
          <w:w w:val="115"/>
        </w:rPr>
        <w:t>of</w:t>
      </w:r>
      <w:r>
        <w:rPr>
          <w:spacing w:val="-10"/>
          <w:w w:val="115"/>
        </w:rPr>
        <w:t xml:space="preserve"> </w:t>
      </w:r>
      <w:r>
        <w:rPr>
          <w:w w:val="115"/>
        </w:rPr>
        <w:t>this</w:t>
      </w:r>
      <w:r>
        <w:rPr>
          <w:spacing w:val="-10"/>
          <w:w w:val="115"/>
        </w:rPr>
        <w:t xml:space="preserve"> </w:t>
      </w:r>
      <w:r>
        <w:rPr>
          <w:w w:val="115"/>
        </w:rPr>
        <w:t>is</w:t>
      </w:r>
      <w:r>
        <w:rPr>
          <w:spacing w:val="-10"/>
          <w:w w:val="115"/>
        </w:rPr>
        <w:t xml:space="preserve"> </w:t>
      </w:r>
      <w:r>
        <w:rPr>
          <w:w w:val="115"/>
        </w:rPr>
        <w:t>our</w:t>
      </w:r>
      <w:r>
        <w:rPr>
          <w:spacing w:val="-10"/>
          <w:w w:val="115"/>
        </w:rPr>
        <w:t xml:space="preserve"> </w:t>
      </w:r>
      <w:r>
        <w:rPr>
          <w:w w:val="115"/>
        </w:rPr>
        <w:t>partnership</w:t>
      </w:r>
      <w:r>
        <w:rPr>
          <w:spacing w:val="-10"/>
          <w:w w:val="115"/>
        </w:rPr>
        <w:t xml:space="preserve"> </w:t>
      </w:r>
      <w:r>
        <w:rPr>
          <w:w w:val="115"/>
        </w:rPr>
        <w:t>with</w:t>
      </w:r>
      <w:r>
        <w:rPr>
          <w:spacing w:val="-11"/>
          <w:w w:val="115"/>
        </w:rPr>
        <w:t xml:space="preserve"> </w:t>
      </w:r>
      <w:r>
        <w:rPr>
          <w:w w:val="115"/>
        </w:rPr>
        <w:t>Paris</w:t>
      </w:r>
      <w:r>
        <w:rPr>
          <w:spacing w:val="-10"/>
          <w:w w:val="115"/>
        </w:rPr>
        <w:t xml:space="preserve"> </w:t>
      </w:r>
      <w:r>
        <w:rPr>
          <w:w w:val="115"/>
        </w:rPr>
        <w:t>during</w:t>
      </w:r>
      <w:r>
        <w:rPr>
          <w:spacing w:val="-10"/>
          <w:w w:val="115"/>
        </w:rPr>
        <w:t xml:space="preserve"> </w:t>
      </w:r>
      <w:r>
        <w:rPr>
          <w:w w:val="115"/>
        </w:rPr>
        <w:t>the</w:t>
      </w:r>
      <w:r>
        <w:rPr>
          <w:spacing w:val="-10"/>
          <w:w w:val="115"/>
        </w:rPr>
        <w:t xml:space="preserve"> </w:t>
      </w:r>
      <w:r>
        <w:rPr>
          <w:w w:val="115"/>
        </w:rPr>
        <w:t>2024</w:t>
      </w:r>
      <w:r>
        <w:rPr>
          <w:spacing w:val="-9"/>
          <w:w w:val="115"/>
        </w:rPr>
        <w:t xml:space="preserve"> </w:t>
      </w:r>
      <w:r>
        <w:rPr>
          <w:w w:val="115"/>
        </w:rPr>
        <w:t>Olympic</w:t>
      </w:r>
      <w:r>
        <w:rPr>
          <w:spacing w:val="-12"/>
          <w:w w:val="115"/>
        </w:rPr>
        <w:t xml:space="preserve"> </w:t>
      </w:r>
      <w:r>
        <w:rPr>
          <w:w w:val="115"/>
        </w:rPr>
        <w:t>Games, which demonstrated that our model operates entirely outside traditional supply-and-demand dyn</w:t>
      </w:r>
      <w:r>
        <w:rPr>
          <w:w w:val="115"/>
        </w:rPr>
        <w:t>amics. By activating residential stock rather than commercial stock, it prevents the severe inflation seen on short-term rental platforms.</w:t>
      </w:r>
    </w:p>
    <w:p w:rsidR="00136D20">
      <w:pPr>
        <w:spacing w:before="249" w:line="237" w:lineRule="auto"/>
        <w:ind w:left="23" w:right="18"/>
        <w:jc w:val="both"/>
        <w:rPr>
          <w:w w:val="115"/>
        </w:rPr>
      </w:pPr>
      <w:r>
        <w:rPr>
          <w:w w:val="115"/>
        </w:rPr>
        <w:t xml:space="preserve">The proposal to give mayoral strategic authorities powers to introduce an overnight visitor levy forms part of wider efforts to strengthen local tourism funding. However, </w:t>
      </w:r>
      <w:r>
        <w:rPr>
          <w:b/>
          <w:w w:val="115"/>
        </w:rPr>
        <w:t xml:space="preserve">home swapping should be explicitly excluded from any overnight visitor levy, as its </w:t>
      </w:r>
      <w:r>
        <w:rPr>
          <w:b/>
          <w:spacing w:val="-2"/>
          <w:w w:val="115"/>
        </w:rPr>
        <w:t>inclusion</w:t>
      </w:r>
      <w:r>
        <w:rPr>
          <w:b/>
          <w:spacing w:val="-8"/>
          <w:w w:val="115"/>
        </w:rPr>
        <w:t xml:space="preserve"> </w:t>
      </w:r>
      <w:r>
        <w:rPr>
          <w:b/>
          <w:spacing w:val="-2"/>
          <w:w w:val="115"/>
        </w:rPr>
        <w:t>would</w:t>
      </w:r>
      <w:r>
        <w:rPr>
          <w:b/>
          <w:spacing w:val="-8"/>
          <w:w w:val="115"/>
        </w:rPr>
        <w:t xml:space="preserve"> </w:t>
      </w:r>
      <w:r>
        <w:rPr>
          <w:b/>
          <w:spacing w:val="-2"/>
          <w:w w:val="115"/>
        </w:rPr>
        <w:t>create</w:t>
      </w:r>
      <w:r>
        <w:rPr>
          <w:b/>
          <w:spacing w:val="-8"/>
          <w:w w:val="115"/>
        </w:rPr>
        <w:t xml:space="preserve"> </w:t>
      </w:r>
      <w:r>
        <w:rPr>
          <w:b/>
          <w:spacing w:val="-2"/>
          <w:w w:val="115"/>
        </w:rPr>
        <w:t>a</w:t>
      </w:r>
      <w:r>
        <w:rPr>
          <w:b/>
          <w:spacing w:val="-4"/>
          <w:w w:val="115"/>
        </w:rPr>
        <w:t xml:space="preserve"> </w:t>
      </w:r>
      <w:r>
        <w:rPr>
          <w:b/>
          <w:spacing w:val="-2"/>
          <w:w w:val="115"/>
        </w:rPr>
        <w:t>highly</w:t>
      </w:r>
      <w:r>
        <w:rPr>
          <w:b/>
          <w:spacing w:val="-5"/>
          <w:w w:val="115"/>
        </w:rPr>
        <w:t xml:space="preserve"> </w:t>
      </w:r>
      <w:r>
        <w:rPr>
          <w:b/>
          <w:spacing w:val="-2"/>
          <w:w w:val="115"/>
        </w:rPr>
        <w:t>disproportionate</w:t>
      </w:r>
      <w:r>
        <w:rPr>
          <w:b/>
          <w:spacing w:val="-4"/>
          <w:w w:val="115"/>
        </w:rPr>
        <w:t xml:space="preserve"> </w:t>
      </w:r>
      <w:r>
        <w:rPr>
          <w:b/>
          <w:spacing w:val="-2"/>
          <w:w w:val="115"/>
        </w:rPr>
        <w:t>administrative</w:t>
      </w:r>
      <w:r>
        <w:rPr>
          <w:b/>
          <w:spacing w:val="-5"/>
          <w:w w:val="115"/>
        </w:rPr>
        <w:t xml:space="preserve"> </w:t>
      </w:r>
      <w:r>
        <w:rPr>
          <w:b/>
          <w:spacing w:val="-2"/>
          <w:w w:val="115"/>
        </w:rPr>
        <w:t xml:space="preserve">burden. </w:t>
      </w:r>
      <w:r>
        <w:rPr>
          <w:spacing w:val="-2"/>
          <w:w w:val="115"/>
        </w:rPr>
        <w:t>A</w:t>
      </w:r>
      <w:r>
        <w:rPr>
          <w:spacing w:val="-5"/>
          <w:w w:val="115"/>
        </w:rPr>
        <w:t xml:space="preserve"> </w:t>
      </w:r>
      <w:r>
        <w:rPr>
          <w:spacing w:val="-2"/>
          <w:w w:val="115"/>
        </w:rPr>
        <w:t>visitor</w:t>
      </w:r>
      <w:r>
        <w:rPr>
          <w:spacing w:val="-7"/>
          <w:w w:val="115"/>
        </w:rPr>
        <w:t xml:space="preserve"> </w:t>
      </w:r>
      <w:r>
        <w:rPr>
          <w:spacing w:val="-2"/>
          <w:w w:val="115"/>
        </w:rPr>
        <w:t xml:space="preserve">levy is, </w:t>
      </w:r>
      <w:r>
        <w:rPr>
          <w:w w:val="115"/>
        </w:rPr>
        <w:t>by design, a charge on commercial accommodation transactions. Home swapping does not meet this definition on any measure: there</w:t>
      </w:r>
      <w:r>
        <w:rPr>
          <w:spacing w:val="-1"/>
          <w:w w:val="115"/>
        </w:rPr>
        <w:t xml:space="preserve"> </w:t>
      </w:r>
      <w:r>
        <w:rPr>
          <w:w w:val="115"/>
        </w:rPr>
        <w:t>is no booking,</w:t>
      </w:r>
      <w:r>
        <w:rPr>
          <w:spacing w:val="-1"/>
          <w:w w:val="115"/>
        </w:rPr>
        <w:t xml:space="preserve"> </w:t>
      </w:r>
      <w:r>
        <w:rPr>
          <w:w w:val="115"/>
        </w:rPr>
        <w:t>no fee, no income and no commercial</w:t>
      </w:r>
      <w:r>
        <w:rPr>
          <w:spacing w:val="-13"/>
          <w:w w:val="115"/>
        </w:rPr>
        <w:t xml:space="preserve"> </w:t>
      </w:r>
      <w:r>
        <w:rPr>
          <w:w w:val="115"/>
        </w:rPr>
        <w:t>operator.</w:t>
      </w:r>
      <w:r>
        <w:rPr>
          <w:spacing w:val="-15"/>
          <w:w w:val="115"/>
        </w:rPr>
        <w:t xml:space="preserve"> </w:t>
      </w:r>
      <w:r>
        <w:rPr>
          <w:w w:val="115"/>
        </w:rPr>
        <w:t>To</w:t>
      </w:r>
      <w:r>
        <w:rPr>
          <w:spacing w:val="-11"/>
          <w:w w:val="115"/>
        </w:rPr>
        <w:t xml:space="preserve"> </w:t>
      </w:r>
      <w:r>
        <w:rPr>
          <w:w w:val="115"/>
        </w:rPr>
        <w:t>apply</w:t>
      </w:r>
      <w:r>
        <w:rPr>
          <w:spacing w:val="-11"/>
          <w:w w:val="115"/>
        </w:rPr>
        <w:t xml:space="preserve"> </w:t>
      </w:r>
      <w:r>
        <w:rPr>
          <w:w w:val="115"/>
        </w:rPr>
        <w:t>such</w:t>
      </w:r>
      <w:r>
        <w:rPr>
          <w:spacing w:val="-13"/>
          <w:w w:val="115"/>
        </w:rPr>
        <w:t xml:space="preserve"> </w:t>
      </w:r>
      <w:r>
        <w:rPr>
          <w:w w:val="115"/>
        </w:rPr>
        <w:t>a</w:t>
      </w:r>
      <w:r>
        <w:rPr>
          <w:spacing w:val="-13"/>
          <w:w w:val="115"/>
        </w:rPr>
        <w:t xml:space="preserve"> </w:t>
      </w:r>
      <w:r>
        <w:rPr>
          <w:w w:val="115"/>
        </w:rPr>
        <w:t>levy</w:t>
      </w:r>
      <w:r>
        <w:rPr>
          <w:spacing w:val="-14"/>
          <w:w w:val="115"/>
        </w:rPr>
        <w:t xml:space="preserve"> </w:t>
      </w:r>
      <w:r>
        <w:rPr>
          <w:w w:val="115"/>
        </w:rPr>
        <w:t>would</w:t>
      </w:r>
      <w:r>
        <w:rPr>
          <w:spacing w:val="-12"/>
          <w:w w:val="115"/>
        </w:rPr>
        <w:t xml:space="preserve"> </w:t>
      </w:r>
      <w:r>
        <w:rPr>
          <w:w w:val="115"/>
        </w:rPr>
        <w:t>require</w:t>
      </w:r>
      <w:r>
        <w:rPr>
          <w:spacing w:val="-14"/>
          <w:w w:val="115"/>
        </w:rPr>
        <w:t xml:space="preserve"> </w:t>
      </w:r>
      <w:r>
        <w:rPr>
          <w:w w:val="115"/>
        </w:rPr>
        <w:t>a</w:t>
      </w:r>
      <w:r>
        <w:rPr>
          <w:spacing w:val="-15"/>
          <w:w w:val="115"/>
        </w:rPr>
        <w:t xml:space="preserve"> </w:t>
      </w:r>
      <w:r>
        <w:rPr>
          <w:w w:val="115"/>
        </w:rPr>
        <w:t>fundamental</w:t>
      </w:r>
      <w:r>
        <w:rPr>
          <w:spacing w:val="-14"/>
          <w:w w:val="115"/>
        </w:rPr>
        <w:t xml:space="preserve"> </w:t>
      </w:r>
      <w:r>
        <w:rPr>
          <w:w w:val="115"/>
        </w:rPr>
        <w:t>misclassification of what home swapping is. It would also be unenforceable in practice, as there is no financial transaction on which a levy could be based.</w:t>
      </w:r>
    </w:p>
    <w:p w:rsidR="003377E6">
      <w:pPr>
        <w:spacing w:before="249" w:line="237" w:lineRule="auto"/>
        <w:ind w:left="23" w:right="18"/>
        <w:jc w:val="both"/>
      </w:pPr>
    </w:p>
    <w:p w:rsidR="00136D20">
      <w:pPr>
        <w:pStyle w:val="Heading2"/>
        <w:numPr>
          <w:ilvl w:val="0"/>
          <w:numId w:val="1"/>
        </w:numPr>
        <w:tabs>
          <w:tab w:val="left" w:pos="220"/>
        </w:tabs>
        <w:spacing w:before="94"/>
        <w:ind w:left="220" w:hanging="197"/>
      </w:pPr>
      <w:r>
        <w:rPr>
          <w:w w:val="115"/>
          <w:u w:val="single"/>
        </w:rPr>
        <w:t xml:space="preserve"> Government</w:t>
      </w:r>
      <w:r>
        <w:rPr>
          <w:spacing w:val="3"/>
          <w:w w:val="115"/>
          <w:u w:val="single"/>
        </w:rPr>
        <w:t xml:space="preserve"> </w:t>
      </w:r>
      <w:r>
        <w:rPr>
          <w:w w:val="115"/>
          <w:u w:val="single"/>
        </w:rPr>
        <w:t>structures</w:t>
      </w:r>
      <w:r>
        <w:rPr>
          <w:spacing w:val="6"/>
          <w:w w:val="115"/>
          <w:u w:val="single"/>
        </w:rPr>
        <w:t xml:space="preserve"> </w:t>
      </w:r>
      <w:r>
        <w:rPr>
          <w:w w:val="115"/>
          <w:u w:val="single"/>
        </w:rPr>
        <w:t>and</w:t>
      </w:r>
      <w:r>
        <w:rPr>
          <w:spacing w:val="4"/>
          <w:w w:val="115"/>
          <w:u w:val="single"/>
        </w:rPr>
        <w:t xml:space="preserve"> </w:t>
      </w:r>
      <w:r>
        <w:rPr>
          <w:w w:val="115"/>
          <w:u w:val="single"/>
        </w:rPr>
        <w:t>sector</w:t>
      </w:r>
      <w:r>
        <w:rPr>
          <w:spacing w:val="2"/>
          <w:w w:val="115"/>
          <w:u w:val="single"/>
        </w:rPr>
        <w:t xml:space="preserve"> </w:t>
      </w:r>
      <w:r>
        <w:rPr>
          <w:spacing w:val="-2"/>
          <w:w w:val="115"/>
          <w:u w:val="single"/>
        </w:rPr>
        <w:t>coordination</w:t>
      </w:r>
    </w:p>
    <w:p w:rsidR="00136D20">
      <w:pPr>
        <w:pStyle w:val="BodyText"/>
        <w:spacing w:before="161" w:line="237" w:lineRule="auto"/>
        <w:ind w:left="23" w:right="17"/>
        <w:jc w:val="both"/>
      </w:pPr>
      <w:r>
        <w:rPr>
          <w:w w:val="115"/>
        </w:rPr>
        <w:t>T</w:t>
      </w:r>
      <w:r>
        <w:rPr>
          <w:w w:val="115"/>
        </w:rPr>
        <w:t>ourism</w:t>
      </w:r>
      <w:r>
        <w:rPr>
          <w:spacing w:val="-12"/>
          <w:w w:val="115"/>
        </w:rPr>
        <w:t xml:space="preserve"> </w:t>
      </w:r>
      <w:r>
        <w:rPr>
          <w:w w:val="115"/>
        </w:rPr>
        <w:t>regulation</w:t>
      </w:r>
      <w:r>
        <w:rPr>
          <w:spacing w:val="-11"/>
          <w:w w:val="115"/>
        </w:rPr>
        <w:t xml:space="preserve"> </w:t>
      </w:r>
      <w:r>
        <w:rPr>
          <w:w w:val="115"/>
        </w:rPr>
        <w:t>is</w:t>
      </w:r>
      <w:r>
        <w:rPr>
          <w:spacing w:val="-12"/>
          <w:w w:val="115"/>
        </w:rPr>
        <w:t xml:space="preserve"> </w:t>
      </w:r>
      <w:r>
        <w:rPr>
          <w:w w:val="115"/>
        </w:rPr>
        <w:t>currently</w:t>
      </w:r>
      <w:r>
        <w:rPr>
          <w:spacing w:val="-11"/>
          <w:w w:val="115"/>
        </w:rPr>
        <w:t xml:space="preserve"> </w:t>
      </w:r>
      <w:r>
        <w:rPr>
          <w:w w:val="115"/>
        </w:rPr>
        <w:t>being</w:t>
      </w:r>
      <w:r>
        <w:rPr>
          <w:spacing w:val="-12"/>
          <w:w w:val="115"/>
        </w:rPr>
        <w:t xml:space="preserve"> </w:t>
      </w:r>
      <w:r>
        <w:rPr>
          <w:w w:val="115"/>
        </w:rPr>
        <w:t>developed</w:t>
      </w:r>
      <w:r>
        <w:rPr>
          <w:spacing w:val="-12"/>
          <w:w w:val="115"/>
        </w:rPr>
        <w:t xml:space="preserve"> </w:t>
      </w:r>
      <w:r>
        <w:rPr>
          <w:w w:val="115"/>
        </w:rPr>
        <w:t>separately</w:t>
      </w:r>
      <w:r>
        <w:rPr>
          <w:spacing w:val="-11"/>
          <w:w w:val="115"/>
        </w:rPr>
        <w:t xml:space="preserve"> </w:t>
      </w:r>
      <w:r>
        <w:rPr>
          <w:w w:val="115"/>
        </w:rPr>
        <w:t>across</w:t>
      </w:r>
      <w:r>
        <w:rPr>
          <w:spacing w:val="-14"/>
          <w:w w:val="115"/>
        </w:rPr>
        <w:t xml:space="preserve"> </w:t>
      </w:r>
      <w:r>
        <w:rPr>
          <w:w w:val="115"/>
        </w:rPr>
        <w:t>the</w:t>
      </w:r>
      <w:r>
        <w:rPr>
          <w:spacing w:val="-12"/>
          <w:w w:val="115"/>
        </w:rPr>
        <w:t xml:space="preserve"> </w:t>
      </w:r>
      <w:r>
        <w:rPr>
          <w:w w:val="115"/>
        </w:rPr>
        <w:t>four</w:t>
      </w:r>
      <w:r>
        <w:rPr>
          <w:spacing w:val="-12"/>
          <w:w w:val="115"/>
        </w:rPr>
        <w:t xml:space="preserve"> </w:t>
      </w:r>
      <w:r>
        <w:rPr>
          <w:w w:val="115"/>
        </w:rPr>
        <w:t>nations</w:t>
      </w:r>
      <w:r>
        <w:rPr>
          <w:spacing w:val="-11"/>
          <w:w w:val="115"/>
        </w:rPr>
        <w:t xml:space="preserve"> </w:t>
      </w:r>
      <w:r>
        <w:rPr>
          <w:w w:val="115"/>
        </w:rPr>
        <w:t>of</w:t>
      </w:r>
      <w:r>
        <w:rPr>
          <w:spacing w:val="-14"/>
          <w:w w:val="115"/>
        </w:rPr>
        <w:t xml:space="preserve"> </w:t>
      </w:r>
      <w:r>
        <w:rPr>
          <w:w w:val="115"/>
        </w:rPr>
        <w:t>the United</w:t>
      </w:r>
      <w:r>
        <w:rPr>
          <w:spacing w:val="-6"/>
          <w:w w:val="115"/>
        </w:rPr>
        <w:t xml:space="preserve"> </w:t>
      </w:r>
      <w:r>
        <w:rPr>
          <w:w w:val="115"/>
        </w:rPr>
        <w:t>Kingdom.</w:t>
      </w:r>
      <w:r>
        <w:rPr>
          <w:spacing w:val="-6"/>
          <w:w w:val="115"/>
        </w:rPr>
        <w:t xml:space="preserve"> </w:t>
      </w:r>
      <w:r>
        <w:rPr>
          <w:w w:val="115"/>
        </w:rPr>
        <w:t>England,</w:t>
      </w:r>
      <w:r>
        <w:rPr>
          <w:spacing w:val="-4"/>
          <w:w w:val="115"/>
        </w:rPr>
        <w:t xml:space="preserve"> </w:t>
      </w:r>
      <w:r>
        <w:rPr>
          <w:w w:val="115"/>
        </w:rPr>
        <w:t>Scotland,</w:t>
      </w:r>
      <w:r>
        <w:rPr>
          <w:spacing w:val="-4"/>
          <w:w w:val="115"/>
        </w:rPr>
        <w:t xml:space="preserve"> </w:t>
      </w:r>
      <w:r>
        <w:rPr>
          <w:w w:val="115"/>
        </w:rPr>
        <w:t>Wales</w:t>
      </w:r>
      <w:r>
        <w:rPr>
          <w:spacing w:val="-4"/>
          <w:w w:val="115"/>
        </w:rPr>
        <w:t xml:space="preserve"> </w:t>
      </w:r>
      <w:r>
        <w:rPr>
          <w:w w:val="115"/>
        </w:rPr>
        <w:t>and</w:t>
      </w:r>
      <w:r>
        <w:rPr>
          <w:spacing w:val="-4"/>
          <w:w w:val="115"/>
        </w:rPr>
        <w:t xml:space="preserve"> </w:t>
      </w:r>
      <w:r>
        <w:rPr>
          <w:w w:val="115"/>
        </w:rPr>
        <w:t>Northern</w:t>
      </w:r>
      <w:r>
        <w:rPr>
          <w:spacing w:val="-8"/>
          <w:w w:val="115"/>
        </w:rPr>
        <w:t xml:space="preserve"> </w:t>
      </w:r>
      <w:r>
        <w:rPr>
          <w:w w:val="115"/>
        </w:rPr>
        <w:t>Ireland</w:t>
      </w:r>
      <w:r>
        <w:rPr>
          <w:spacing w:val="-3"/>
          <w:w w:val="115"/>
        </w:rPr>
        <w:t xml:space="preserve"> </w:t>
      </w:r>
      <w:r>
        <w:rPr>
          <w:w w:val="115"/>
        </w:rPr>
        <w:t>are</w:t>
      </w:r>
      <w:r>
        <w:rPr>
          <w:spacing w:val="-7"/>
          <w:w w:val="115"/>
        </w:rPr>
        <w:t xml:space="preserve"> </w:t>
      </w:r>
      <w:r>
        <w:rPr>
          <w:w w:val="115"/>
        </w:rPr>
        <w:t>each</w:t>
      </w:r>
      <w:r>
        <w:rPr>
          <w:spacing w:val="-3"/>
          <w:w w:val="115"/>
        </w:rPr>
        <w:t xml:space="preserve"> </w:t>
      </w:r>
      <w:r>
        <w:rPr>
          <w:w w:val="115"/>
        </w:rPr>
        <w:t>introducing</w:t>
      </w:r>
      <w:r>
        <w:rPr>
          <w:spacing w:val="-4"/>
          <w:w w:val="115"/>
        </w:rPr>
        <w:t xml:space="preserve"> </w:t>
      </w:r>
      <w:r>
        <w:rPr>
          <w:w w:val="115"/>
        </w:rPr>
        <w:t xml:space="preserve">or considering different approaches to short-term let registration, licensing and visitor </w:t>
      </w:r>
      <w:r>
        <w:rPr>
          <w:spacing w:val="-2"/>
          <w:w w:val="115"/>
        </w:rPr>
        <w:t>levies.</w:t>
      </w:r>
    </w:p>
    <w:p w:rsidR="00136D20">
      <w:pPr>
        <w:pStyle w:val="BodyText"/>
        <w:spacing w:before="163" w:line="237" w:lineRule="auto"/>
        <w:ind w:left="23" w:right="19"/>
        <w:jc w:val="both"/>
      </w:pPr>
      <w:r>
        <w:rPr>
          <w:w w:val="115"/>
        </w:rPr>
        <w:t>This results in variation in the</w:t>
      </w:r>
      <w:r>
        <w:rPr>
          <w:w w:val="115"/>
        </w:rPr>
        <w:t xml:space="preserve"> treatment of non-commercial accommodation models, including HomeExchange. It also creates differences in regulatory interpretation across jurisdictions, which can generate uncertainty for users, platforms and local authorities operating across national boundaries.</w:t>
      </w:r>
    </w:p>
    <w:p w:rsidR="00136D20">
      <w:pPr>
        <w:spacing w:before="238"/>
        <w:ind w:left="23" w:right="18"/>
        <w:jc w:val="both"/>
      </w:pPr>
      <w:r>
        <w:rPr>
          <w:w w:val="115"/>
        </w:rPr>
        <w:t xml:space="preserve">Given the cross-border nature of tourism activity, </w:t>
      </w:r>
      <w:r>
        <w:rPr>
          <w:b/>
          <w:w w:val="115"/>
        </w:rPr>
        <w:t>stronger coordination between the Department for Culture, Media and Sport, VisitBritain, VisitEngland and devolved administrations</w:t>
      </w:r>
      <w:r>
        <w:rPr>
          <w:b/>
          <w:spacing w:val="-8"/>
          <w:w w:val="115"/>
        </w:rPr>
        <w:t xml:space="preserve"> </w:t>
      </w:r>
      <w:r>
        <w:rPr>
          <w:w w:val="115"/>
        </w:rPr>
        <w:t>would</w:t>
      </w:r>
      <w:r>
        <w:rPr>
          <w:spacing w:val="-10"/>
          <w:w w:val="115"/>
        </w:rPr>
        <w:t xml:space="preserve"> </w:t>
      </w:r>
      <w:r>
        <w:rPr>
          <w:w w:val="115"/>
        </w:rPr>
        <w:t>reduce</w:t>
      </w:r>
      <w:r>
        <w:rPr>
          <w:spacing w:val="-4"/>
          <w:w w:val="115"/>
        </w:rPr>
        <w:t xml:space="preserve"> </w:t>
      </w:r>
      <w:r>
        <w:rPr>
          <w:w w:val="115"/>
        </w:rPr>
        <w:t>administrative</w:t>
      </w:r>
      <w:r>
        <w:rPr>
          <w:spacing w:val="-5"/>
          <w:w w:val="115"/>
        </w:rPr>
        <w:t xml:space="preserve"> </w:t>
      </w:r>
      <w:r>
        <w:rPr>
          <w:w w:val="115"/>
        </w:rPr>
        <w:t>complexity</w:t>
      </w:r>
      <w:r>
        <w:rPr>
          <w:spacing w:val="-6"/>
          <w:w w:val="115"/>
        </w:rPr>
        <w:t xml:space="preserve"> </w:t>
      </w:r>
      <w:r>
        <w:rPr>
          <w:w w:val="115"/>
        </w:rPr>
        <w:t>and</w:t>
      </w:r>
      <w:r>
        <w:rPr>
          <w:spacing w:val="-6"/>
          <w:w w:val="115"/>
        </w:rPr>
        <w:t xml:space="preserve"> </w:t>
      </w:r>
      <w:r>
        <w:rPr>
          <w:w w:val="115"/>
        </w:rPr>
        <w:t>support</w:t>
      </w:r>
      <w:r>
        <w:rPr>
          <w:spacing w:val="-8"/>
          <w:w w:val="115"/>
        </w:rPr>
        <w:t xml:space="preserve"> </w:t>
      </w:r>
      <w:r>
        <w:rPr>
          <w:w w:val="115"/>
        </w:rPr>
        <w:t>clearer</w:t>
      </w:r>
      <w:r>
        <w:rPr>
          <w:spacing w:val="-4"/>
          <w:w w:val="115"/>
        </w:rPr>
        <w:t xml:space="preserve"> </w:t>
      </w:r>
      <w:r>
        <w:rPr>
          <w:w w:val="115"/>
        </w:rPr>
        <w:t>regulatory interpretation across the sector.</w:t>
      </w:r>
    </w:p>
    <w:p w:rsidR="00136D20">
      <w:pPr>
        <w:spacing w:before="238" w:line="237" w:lineRule="auto"/>
        <w:ind w:left="23" w:right="16"/>
        <w:jc w:val="both"/>
      </w:pPr>
      <w:r>
        <w:rPr>
          <w:b/>
          <w:w w:val="120"/>
        </w:rPr>
        <w:t xml:space="preserve">A formal distinction between commercial short-term letting and non-commercial </w:t>
      </w:r>
      <w:r>
        <w:rPr>
          <w:b/>
          <w:w w:val="115"/>
        </w:rPr>
        <w:t xml:space="preserve">home swapping </w:t>
      </w:r>
      <w:r>
        <w:rPr>
          <w:w w:val="115"/>
        </w:rPr>
        <w:t xml:space="preserve">would improve policy coherence across the United Kingdom and allow </w:t>
      </w:r>
      <w:r>
        <w:rPr>
          <w:w w:val="120"/>
        </w:rPr>
        <w:t>HomeExchange to fulfil its full potential as a</w:t>
      </w:r>
      <w:r>
        <w:rPr>
          <w:w w:val="120"/>
        </w:rPr>
        <w:t xml:space="preserve"> sustainable, community-based tourism </w:t>
      </w:r>
      <w:r>
        <w:rPr>
          <w:spacing w:val="-2"/>
          <w:w w:val="120"/>
        </w:rPr>
        <w:t>model.</w:t>
      </w:r>
    </w:p>
    <w:p w:rsidR="00136D20">
      <w:pPr>
        <w:pStyle w:val="BodyText"/>
      </w:pPr>
    </w:p>
    <w:p w:rsidR="00136D20">
      <w:pPr>
        <w:pStyle w:val="BodyText"/>
        <w:spacing w:before="210"/>
      </w:pPr>
    </w:p>
    <w:p w:rsidR="00136D20">
      <w:pPr>
        <w:pStyle w:val="Heading2"/>
        <w:numPr>
          <w:ilvl w:val="0"/>
          <w:numId w:val="1"/>
        </w:numPr>
        <w:tabs>
          <w:tab w:val="left" w:pos="224"/>
        </w:tabs>
        <w:ind w:left="224" w:hanging="201"/>
      </w:pPr>
      <w:r>
        <w:rPr>
          <w:spacing w:val="-3"/>
          <w:w w:val="115"/>
          <w:u w:val="single"/>
        </w:rPr>
        <w:t xml:space="preserve"> </w:t>
      </w:r>
      <w:r>
        <w:rPr>
          <w:w w:val="115"/>
          <w:u w:val="single"/>
        </w:rPr>
        <w:t>Post</w:t>
      </w:r>
      <w:r>
        <w:rPr>
          <w:spacing w:val="-5"/>
          <w:w w:val="115"/>
          <w:u w:val="single"/>
        </w:rPr>
        <w:t xml:space="preserve"> </w:t>
      </w:r>
      <w:r>
        <w:rPr>
          <w:w w:val="115"/>
          <w:u w:val="single"/>
        </w:rPr>
        <w:t>pandemic</w:t>
      </w:r>
      <w:r>
        <w:rPr>
          <w:spacing w:val="-1"/>
          <w:w w:val="115"/>
          <w:u w:val="single"/>
        </w:rPr>
        <w:t xml:space="preserve"> </w:t>
      </w:r>
      <w:r>
        <w:rPr>
          <w:w w:val="115"/>
          <w:u w:val="single"/>
        </w:rPr>
        <w:t>recovery</w:t>
      </w:r>
      <w:r>
        <w:rPr>
          <w:spacing w:val="-3"/>
          <w:w w:val="115"/>
          <w:u w:val="single"/>
        </w:rPr>
        <w:t xml:space="preserve"> </w:t>
      </w:r>
      <w:r>
        <w:rPr>
          <w:w w:val="115"/>
          <w:u w:val="single"/>
        </w:rPr>
        <w:t>and</w:t>
      </w:r>
      <w:r>
        <w:rPr>
          <w:spacing w:val="-2"/>
          <w:w w:val="115"/>
          <w:u w:val="single"/>
        </w:rPr>
        <w:t xml:space="preserve"> </w:t>
      </w:r>
      <w:r>
        <w:rPr>
          <w:w w:val="115"/>
          <w:u w:val="single"/>
        </w:rPr>
        <w:t>economic</w:t>
      </w:r>
      <w:r>
        <w:rPr>
          <w:spacing w:val="-5"/>
          <w:w w:val="115"/>
          <w:u w:val="single"/>
        </w:rPr>
        <w:t xml:space="preserve"> </w:t>
      </w:r>
      <w:r>
        <w:rPr>
          <w:spacing w:val="-2"/>
          <w:w w:val="115"/>
          <w:u w:val="single"/>
        </w:rPr>
        <w:t>pressures</w:t>
      </w:r>
    </w:p>
    <w:p w:rsidR="00136D20">
      <w:pPr>
        <w:pStyle w:val="BodyText"/>
        <w:spacing w:before="237" w:line="237" w:lineRule="auto"/>
        <w:ind w:left="23" w:right="17"/>
        <w:jc w:val="both"/>
      </w:pPr>
      <w:r>
        <w:rPr>
          <w:w w:val="115"/>
        </w:rPr>
        <w:t xml:space="preserve">The tourism sector has recovered significantly following the COVID-19 pandemic, with </w:t>
      </w:r>
      <w:r>
        <w:rPr>
          <w:w w:val="110"/>
        </w:rPr>
        <w:t xml:space="preserve">visitor numbers returning to or exceeding pre-pandemic levels in many parts of the United </w:t>
      </w:r>
      <w:r>
        <w:rPr>
          <w:w w:val="115"/>
        </w:rPr>
        <w:t xml:space="preserve">Kingdom. However, the pace and quality of recovery </w:t>
      </w:r>
      <w:r>
        <w:rPr>
          <w:w w:val="115"/>
        </w:rPr>
        <w:t>continues</w:t>
      </w:r>
      <w:r>
        <w:rPr>
          <w:w w:val="115"/>
        </w:rPr>
        <w:t xml:space="preserve"> to be shaped by wider economic</w:t>
      </w:r>
      <w:r>
        <w:rPr>
          <w:spacing w:val="-13"/>
          <w:w w:val="115"/>
        </w:rPr>
        <w:t xml:space="preserve"> </w:t>
      </w:r>
      <w:r>
        <w:rPr>
          <w:w w:val="115"/>
        </w:rPr>
        <w:t>conditions.</w:t>
      </w:r>
      <w:r>
        <w:rPr>
          <w:spacing w:val="-13"/>
          <w:w w:val="115"/>
        </w:rPr>
        <w:t xml:space="preserve"> </w:t>
      </w:r>
      <w:r>
        <w:rPr>
          <w:w w:val="115"/>
        </w:rPr>
        <w:t>Energy</w:t>
      </w:r>
      <w:r>
        <w:rPr>
          <w:spacing w:val="-10"/>
          <w:w w:val="115"/>
        </w:rPr>
        <w:t xml:space="preserve"> </w:t>
      </w:r>
      <w:r>
        <w:rPr>
          <w:w w:val="115"/>
        </w:rPr>
        <w:t>price</w:t>
      </w:r>
      <w:r>
        <w:rPr>
          <w:spacing w:val="-11"/>
          <w:w w:val="115"/>
        </w:rPr>
        <w:t xml:space="preserve"> </w:t>
      </w:r>
      <w:r>
        <w:rPr>
          <w:w w:val="115"/>
        </w:rPr>
        <w:t>inflation,</w:t>
      </w:r>
      <w:r>
        <w:rPr>
          <w:spacing w:val="-10"/>
          <w:w w:val="115"/>
        </w:rPr>
        <w:t xml:space="preserve"> </w:t>
      </w:r>
      <w:r>
        <w:rPr>
          <w:w w:val="115"/>
        </w:rPr>
        <w:t>labour</w:t>
      </w:r>
      <w:r>
        <w:rPr>
          <w:spacing w:val="-11"/>
          <w:w w:val="115"/>
        </w:rPr>
        <w:t xml:space="preserve"> </w:t>
      </w:r>
      <w:r>
        <w:rPr>
          <w:w w:val="115"/>
        </w:rPr>
        <w:t>shortages</w:t>
      </w:r>
      <w:r>
        <w:rPr>
          <w:spacing w:val="-11"/>
          <w:w w:val="115"/>
        </w:rPr>
        <w:t xml:space="preserve"> </w:t>
      </w:r>
      <w:r>
        <w:rPr>
          <w:w w:val="115"/>
        </w:rPr>
        <w:t>and</w:t>
      </w:r>
      <w:r>
        <w:rPr>
          <w:spacing w:val="-13"/>
          <w:w w:val="115"/>
        </w:rPr>
        <w:t xml:space="preserve"> </w:t>
      </w:r>
      <w:r>
        <w:rPr>
          <w:w w:val="115"/>
        </w:rPr>
        <w:t>cost</w:t>
      </w:r>
      <w:r>
        <w:rPr>
          <w:spacing w:val="-14"/>
          <w:w w:val="115"/>
        </w:rPr>
        <w:t xml:space="preserve"> </w:t>
      </w:r>
      <w:r>
        <w:rPr>
          <w:w w:val="115"/>
        </w:rPr>
        <w:t>of</w:t>
      </w:r>
      <w:r>
        <w:rPr>
          <w:spacing w:val="-11"/>
          <w:w w:val="115"/>
        </w:rPr>
        <w:t xml:space="preserve"> </w:t>
      </w:r>
      <w:r>
        <w:rPr>
          <w:w w:val="115"/>
        </w:rPr>
        <w:t>living</w:t>
      </w:r>
      <w:r>
        <w:rPr>
          <w:spacing w:val="-13"/>
          <w:w w:val="115"/>
        </w:rPr>
        <w:t xml:space="preserve"> </w:t>
      </w:r>
      <w:r>
        <w:rPr>
          <w:w w:val="115"/>
        </w:rPr>
        <w:t xml:space="preserve">pressures continue to affect both demand and supply within the visitor economy, with </w:t>
      </w:r>
      <w:r>
        <w:rPr>
          <w:w w:val="115"/>
        </w:rPr>
        <w:t>particular impact</w:t>
      </w:r>
      <w:r>
        <w:rPr>
          <w:w w:val="115"/>
        </w:rPr>
        <w:t xml:space="preserve"> on pricing, affordability and investment conditions in the accommodation and hospitality</w:t>
      </w:r>
      <w:r>
        <w:rPr>
          <w:spacing w:val="-8"/>
          <w:w w:val="115"/>
        </w:rPr>
        <w:t xml:space="preserve"> </w:t>
      </w:r>
      <w:r>
        <w:rPr>
          <w:w w:val="115"/>
        </w:rPr>
        <w:t>sectors.</w:t>
      </w:r>
    </w:p>
    <w:p w:rsidR="00136D20">
      <w:pPr>
        <w:pStyle w:val="BodyText"/>
        <w:spacing w:before="249" w:line="237" w:lineRule="auto"/>
        <w:ind w:left="23" w:right="16"/>
        <w:jc w:val="both"/>
      </w:pPr>
      <w:r>
        <w:rPr>
          <w:w w:val="115"/>
        </w:rPr>
        <w:t>In</w:t>
      </w:r>
      <w:r>
        <w:rPr>
          <w:spacing w:val="-15"/>
          <w:w w:val="115"/>
        </w:rPr>
        <w:t xml:space="preserve"> </w:t>
      </w:r>
      <w:r>
        <w:rPr>
          <w:w w:val="115"/>
        </w:rPr>
        <w:t>this</w:t>
      </w:r>
      <w:r>
        <w:rPr>
          <w:spacing w:val="-14"/>
          <w:w w:val="115"/>
        </w:rPr>
        <w:t xml:space="preserve"> </w:t>
      </w:r>
      <w:r>
        <w:rPr>
          <w:w w:val="115"/>
        </w:rPr>
        <w:t>context,</w:t>
      </w:r>
      <w:r>
        <w:rPr>
          <w:spacing w:val="-14"/>
          <w:w w:val="115"/>
        </w:rPr>
        <w:t xml:space="preserve"> </w:t>
      </w:r>
      <w:r>
        <w:rPr>
          <w:w w:val="115"/>
        </w:rPr>
        <w:t>home</w:t>
      </w:r>
      <w:r>
        <w:rPr>
          <w:spacing w:val="-15"/>
          <w:w w:val="115"/>
        </w:rPr>
        <w:t xml:space="preserve"> </w:t>
      </w:r>
      <w:r>
        <w:rPr>
          <w:w w:val="115"/>
        </w:rPr>
        <w:t>swapping</w:t>
      </w:r>
      <w:r>
        <w:rPr>
          <w:spacing w:val="-14"/>
          <w:w w:val="115"/>
        </w:rPr>
        <w:t xml:space="preserve"> </w:t>
      </w:r>
      <w:r>
        <w:rPr>
          <w:w w:val="115"/>
        </w:rPr>
        <w:t>has</w:t>
      </w:r>
      <w:r>
        <w:rPr>
          <w:spacing w:val="-14"/>
          <w:w w:val="115"/>
        </w:rPr>
        <w:t xml:space="preserve"> </w:t>
      </w:r>
      <w:r>
        <w:rPr>
          <w:w w:val="115"/>
        </w:rPr>
        <w:t>grown</w:t>
      </w:r>
      <w:r>
        <w:rPr>
          <w:spacing w:val="-15"/>
          <w:w w:val="115"/>
        </w:rPr>
        <w:t xml:space="preserve"> </w:t>
      </w:r>
      <w:r>
        <w:rPr>
          <w:w w:val="115"/>
        </w:rPr>
        <w:t>substantially.</w:t>
      </w:r>
      <w:r>
        <w:rPr>
          <w:spacing w:val="-14"/>
          <w:w w:val="115"/>
        </w:rPr>
        <w:t xml:space="preserve"> </w:t>
      </w:r>
      <w:r>
        <w:rPr>
          <w:w w:val="115"/>
        </w:rPr>
        <w:t>HomeExchange</w:t>
      </w:r>
      <w:r>
        <w:rPr>
          <w:spacing w:val="-14"/>
          <w:w w:val="115"/>
        </w:rPr>
        <w:t xml:space="preserve"> </w:t>
      </w:r>
      <w:r>
        <w:rPr>
          <w:w w:val="115"/>
        </w:rPr>
        <w:t>recorded</w:t>
      </w:r>
      <w:r>
        <w:rPr>
          <w:spacing w:val="-14"/>
          <w:w w:val="115"/>
        </w:rPr>
        <w:t xml:space="preserve"> </w:t>
      </w:r>
      <w:r>
        <w:rPr>
          <w:w w:val="115"/>
        </w:rPr>
        <w:t>a</w:t>
      </w:r>
      <w:r>
        <w:rPr>
          <w:spacing w:val="-15"/>
          <w:w w:val="115"/>
        </w:rPr>
        <w:t xml:space="preserve"> </w:t>
      </w:r>
      <w:r>
        <w:rPr>
          <w:w w:val="115"/>
        </w:rPr>
        <w:t>more than</w:t>
      </w:r>
      <w:r>
        <w:rPr>
          <w:spacing w:val="-8"/>
          <w:w w:val="115"/>
        </w:rPr>
        <w:t xml:space="preserve"> </w:t>
      </w:r>
      <w:r>
        <w:rPr>
          <w:w w:val="115"/>
        </w:rPr>
        <w:t>fourfold</w:t>
      </w:r>
      <w:r>
        <w:rPr>
          <w:spacing w:val="-6"/>
          <w:w w:val="115"/>
        </w:rPr>
        <w:t xml:space="preserve"> </w:t>
      </w:r>
      <w:r>
        <w:rPr>
          <w:w w:val="115"/>
        </w:rPr>
        <w:t>increase</w:t>
      </w:r>
      <w:r>
        <w:rPr>
          <w:spacing w:val="-7"/>
          <w:w w:val="115"/>
        </w:rPr>
        <w:t xml:space="preserve"> </w:t>
      </w:r>
      <w:r>
        <w:rPr>
          <w:w w:val="115"/>
        </w:rPr>
        <w:t>in</w:t>
      </w:r>
      <w:r>
        <w:rPr>
          <w:spacing w:val="-5"/>
          <w:w w:val="115"/>
        </w:rPr>
        <w:t xml:space="preserve"> </w:t>
      </w:r>
      <w:r>
        <w:rPr>
          <w:w w:val="115"/>
        </w:rPr>
        <w:t>exchange</w:t>
      </w:r>
      <w:r>
        <w:rPr>
          <w:spacing w:val="-7"/>
          <w:w w:val="115"/>
        </w:rPr>
        <w:t xml:space="preserve"> </w:t>
      </w:r>
      <w:r>
        <w:rPr>
          <w:w w:val="115"/>
        </w:rPr>
        <w:t>activity</w:t>
      </w:r>
      <w:r>
        <w:rPr>
          <w:spacing w:val="-5"/>
          <w:w w:val="115"/>
        </w:rPr>
        <w:t xml:space="preserve"> </w:t>
      </w:r>
      <w:r>
        <w:rPr>
          <w:w w:val="115"/>
        </w:rPr>
        <w:t>between</w:t>
      </w:r>
      <w:r>
        <w:rPr>
          <w:spacing w:val="-5"/>
          <w:w w:val="115"/>
        </w:rPr>
        <w:t xml:space="preserve"> </w:t>
      </w:r>
      <w:r>
        <w:rPr>
          <w:w w:val="115"/>
        </w:rPr>
        <w:t>2020</w:t>
      </w:r>
      <w:r>
        <w:rPr>
          <w:spacing w:val="-6"/>
          <w:w w:val="115"/>
        </w:rPr>
        <w:t xml:space="preserve"> </w:t>
      </w:r>
      <w:r>
        <w:rPr>
          <w:w w:val="115"/>
        </w:rPr>
        <w:t>and</w:t>
      </w:r>
      <w:r>
        <w:rPr>
          <w:spacing w:val="-5"/>
          <w:w w:val="115"/>
        </w:rPr>
        <w:t xml:space="preserve"> </w:t>
      </w:r>
      <w:r>
        <w:rPr>
          <w:w w:val="115"/>
        </w:rPr>
        <w:t>2026,</w:t>
      </w:r>
      <w:r>
        <w:rPr>
          <w:spacing w:val="-5"/>
          <w:w w:val="115"/>
        </w:rPr>
        <w:t xml:space="preserve"> </w:t>
      </w:r>
      <w:r>
        <w:rPr>
          <w:w w:val="115"/>
        </w:rPr>
        <w:t>reflecting</w:t>
      </w:r>
      <w:r>
        <w:rPr>
          <w:spacing w:val="-6"/>
          <w:w w:val="115"/>
        </w:rPr>
        <w:t xml:space="preserve"> </w:t>
      </w:r>
      <w:r>
        <w:rPr>
          <w:w w:val="115"/>
        </w:rPr>
        <w:t>a</w:t>
      </w:r>
      <w:r>
        <w:rPr>
          <w:spacing w:val="-7"/>
          <w:w w:val="115"/>
        </w:rPr>
        <w:t xml:space="preserve"> </w:t>
      </w:r>
      <w:r>
        <w:rPr>
          <w:w w:val="115"/>
        </w:rPr>
        <w:t>broader structural</w:t>
      </w:r>
      <w:r>
        <w:rPr>
          <w:spacing w:val="-2"/>
          <w:w w:val="115"/>
        </w:rPr>
        <w:t xml:space="preserve"> </w:t>
      </w:r>
      <w:r>
        <w:rPr>
          <w:w w:val="115"/>
        </w:rPr>
        <w:t>shift</w:t>
      </w:r>
      <w:r>
        <w:rPr>
          <w:spacing w:val="-2"/>
          <w:w w:val="115"/>
        </w:rPr>
        <w:t xml:space="preserve"> </w:t>
      </w:r>
      <w:r>
        <w:rPr>
          <w:w w:val="115"/>
        </w:rPr>
        <w:t>in</w:t>
      </w:r>
      <w:r>
        <w:rPr>
          <w:spacing w:val="-3"/>
          <w:w w:val="115"/>
        </w:rPr>
        <w:t xml:space="preserve"> </w:t>
      </w:r>
      <w:r>
        <w:rPr>
          <w:w w:val="115"/>
        </w:rPr>
        <w:t>travel</w:t>
      </w:r>
      <w:r>
        <w:rPr>
          <w:spacing w:val="-2"/>
          <w:w w:val="115"/>
        </w:rPr>
        <w:t xml:space="preserve"> </w:t>
      </w:r>
      <w:r>
        <w:rPr>
          <w:w w:val="115"/>
        </w:rPr>
        <w:t>demand</w:t>
      </w:r>
      <w:r>
        <w:rPr>
          <w:spacing w:val="-3"/>
          <w:w w:val="115"/>
        </w:rPr>
        <w:t xml:space="preserve"> </w:t>
      </w:r>
      <w:r>
        <w:rPr>
          <w:w w:val="115"/>
        </w:rPr>
        <w:t>towards</w:t>
      </w:r>
      <w:r>
        <w:rPr>
          <w:spacing w:val="-3"/>
          <w:w w:val="115"/>
        </w:rPr>
        <w:t xml:space="preserve"> </w:t>
      </w:r>
      <w:r>
        <w:rPr>
          <w:w w:val="115"/>
        </w:rPr>
        <w:t>more</w:t>
      </w:r>
      <w:r>
        <w:rPr>
          <w:spacing w:val="-5"/>
          <w:w w:val="115"/>
        </w:rPr>
        <w:t xml:space="preserve"> </w:t>
      </w:r>
      <w:r>
        <w:rPr>
          <w:w w:val="115"/>
        </w:rPr>
        <w:t>affordable</w:t>
      </w:r>
      <w:r>
        <w:rPr>
          <w:spacing w:val="-3"/>
          <w:w w:val="115"/>
        </w:rPr>
        <w:t xml:space="preserve"> </w:t>
      </w:r>
      <w:r>
        <w:rPr>
          <w:w w:val="115"/>
        </w:rPr>
        <w:t>and</w:t>
      </w:r>
      <w:r>
        <w:rPr>
          <w:spacing w:val="-4"/>
          <w:w w:val="115"/>
        </w:rPr>
        <w:t xml:space="preserve"> </w:t>
      </w:r>
      <w:r>
        <w:rPr>
          <w:w w:val="115"/>
        </w:rPr>
        <w:t>flexible</w:t>
      </w:r>
      <w:r>
        <w:rPr>
          <w:spacing w:val="-5"/>
          <w:w w:val="115"/>
        </w:rPr>
        <w:t xml:space="preserve"> </w:t>
      </w:r>
      <w:r>
        <w:rPr>
          <w:w w:val="115"/>
        </w:rPr>
        <w:t>forms</w:t>
      </w:r>
      <w:r>
        <w:rPr>
          <w:spacing w:val="-3"/>
          <w:w w:val="115"/>
        </w:rPr>
        <w:t xml:space="preserve"> </w:t>
      </w:r>
      <w:r>
        <w:rPr>
          <w:w w:val="115"/>
        </w:rPr>
        <w:t>of</w:t>
      </w:r>
      <w:r>
        <w:rPr>
          <w:spacing w:val="-4"/>
          <w:w w:val="115"/>
        </w:rPr>
        <w:t xml:space="preserve"> </w:t>
      </w:r>
      <w:r>
        <w:rPr>
          <w:w w:val="115"/>
        </w:rPr>
        <w:t>tourism. This growth was achieved without public subsidy, new infrastructure or additional accommodation</w:t>
      </w:r>
      <w:r>
        <w:rPr>
          <w:spacing w:val="-1"/>
          <w:w w:val="115"/>
        </w:rPr>
        <w:t xml:space="preserve"> </w:t>
      </w:r>
      <w:r>
        <w:rPr>
          <w:w w:val="115"/>
        </w:rPr>
        <w:t>development.</w:t>
      </w:r>
      <w:r>
        <w:rPr>
          <w:spacing w:val="-2"/>
          <w:w w:val="115"/>
        </w:rPr>
        <w:t xml:space="preserve"> </w:t>
      </w:r>
      <w:r>
        <w:rPr>
          <w:w w:val="115"/>
        </w:rPr>
        <w:t>It</w:t>
      </w:r>
      <w:r>
        <w:rPr>
          <w:spacing w:val="-1"/>
          <w:w w:val="115"/>
        </w:rPr>
        <w:t xml:space="preserve"> </w:t>
      </w:r>
      <w:r>
        <w:rPr>
          <w:w w:val="115"/>
        </w:rPr>
        <w:t>demonstrates</w:t>
      </w:r>
      <w:r>
        <w:rPr>
          <w:spacing w:val="-2"/>
          <w:w w:val="115"/>
        </w:rPr>
        <w:t xml:space="preserve"> </w:t>
      </w:r>
      <w:r>
        <w:rPr>
          <w:w w:val="115"/>
        </w:rPr>
        <w:t>that</w:t>
      </w:r>
      <w:r>
        <w:rPr>
          <w:spacing w:val="-1"/>
          <w:w w:val="115"/>
        </w:rPr>
        <w:t xml:space="preserve"> </w:t>
      </w:r>
      <w:r>
        <w:rPr>
          <w:w w:val="115"/>
        </w:rPr>
        <w:t>non-commercial</w:t>
      </w:r>
      <w:r>
        <w:rPr>
          <w:spacing w:val="-4"/>
          <w:w w:val="115"/>
        </w:rPr>
        <w:t xml:space="preserve"> </w:t>
      </w:r>
      <w:r>
        <w:rPr>
          <w:w w:val="115"/>
        </w:rPr>
        <w:t>models of</w:t>
      </w:r>
      <w:r>
        <w:rPr>
          <w:spacing w:val="-1"/>
          <w:w w:val="115"/>
        </w:rPr>
        <w:t xml:space="preserve"> </w:t>
      </w:r>
      <w:r>
        <w:rPr>
          <w:w w:val="115"/>
        </w:rPr>
        <w:t>tourism can expand capacity and support resilience within the visitor economy.</w:t>
      </w:r>
    </w:p>
    <w:p w:rsidR="00136D20">
      <w:pPr>
        <w:pStyle w:val="BodyText"/>
      </w:pPr>
    </w:p>
    <w:p w:rsidR="00136D20">
      <w:pPr>
        <w:pStyle w:val="BodyText"/>
        <w:spacing w:before="131"/>
      </w:pPr>
    </w:p>
    <w:p w:rsidR="00136D20">
      <w:pPr>
        <w:pStyle w:val="Heading2"/>
        <w:numPr>
          <w:ilvl w:val="0"/>
          <w:numId w:val="1"/>
        </w:numPr>
        <w:tabs>
          <w:tab w:val="left" w:pos="229"/>
        </w:tabs>
        <w:spacing w:before="1"/>
        <w:ind w:left="229" w:hanging="206"/>
      </w:pPr>
      <w:r>
        <w:rPr>
          <w:spacing w:val="-8"/>
          <w:w w:val="115"/>
          <w:u w:val="single"/>
        </w:rPr>
        <w:t xml:space="preserve"> </w:t>
      </w:r>
      <w:r>
        <w:rPr>
          <w:w w:val="115"/>
          <w:u w:val="single"/>
        </w:rPr>
        <w:t>Domestic</w:t>
      </w:r>
      <w:r>
        <w:rPr>
          <w:spacing w:val="-10"/>
          <w:w w:val="115"/>
          <w:u w:val="single"/>
        </w:rPr>
        <w:t xml:space="preserve"> </w:t>
      </w:r>
      <w:r>
        <w:rPr>
          <w:w w:val="115"/>
          <w:u w:val="single"/>
        </w:rPr>
        <w:t>tourism</w:t>
      </w:r>
      <w:r>
        <w:rPr>
          <w:spacing w:val="-8"/>
          <w:w w:val="115"/>
          <w:u w:val="single"/>
        </w:rPr>
        <w:t xml:space="preserve"> </w:t>
      </w:r>
      <w:r>
        <w:rPr>
          <w:w w:val="115"/>
          <w:u w:val="single"/>
        </w:rPr>
        <w:t>(affordability</w:t>
      </w:r>
      <w:r>
        <w:rPr>
          <w:spacing w:val="-8"/>
          <w:w w:val="115"/>
          <w:u w:val="single"/>
        </w:rPr>
        <w:t xml:space="preserve"> </w:t>
      </w:r>
      <w:r>
        <w:rPr>
          <w:w w:val="115"/>
          <w:u w:val="single"/>
        </w:rPr>
        <w:t>and</w:t>
      </w:r>
      <w:r>
        <w:rPr>
          <w:spacing w:val="-8"/>
          <w:w w:val="115"/>
          <w:u w:val="single"/>
        </w:rPr>
        <w:t xml:space="preserve"> </w:t>
      </w:r>
      <w:r>
        <w:rPr>
          <w:spacing w:val="-2"/>
          <w:w w:val="115"/>
          <w:u w:val="single"/>
        </w:rPr>
        <w:t>demand)</w:t>
      </w:r>
    </w:p>
    <w:p w:rsidR="00136D20">
      <w:pPr>
        <w:pStyle w:val="BodyText"/>
        <w:spacing w:before="235" w:line="242" w:lineRule="auto"/>
        <w:ind w:left="23" w:right="15"/>
      </w:pPr>
      <w:r>
        <w:rPr>
          <w:w w:val="115"/>
        </w:rPr>
        <w:t>Rising</w:t>
      </w:r>
      <w:r>
        <w:rPr>
          <w:spacing w:val="-11"/>
          <w:w w:val="115"/>
        </w:rPr>
        <w:t xml:space="preserve"> </w:t>
      </w:r>
      <w:r>
        <w:rPr>
          <w:w w:val="115"/>
        </w:rPr>
        <w:t>accommodation</w:t>
      </w:r>
      <w:r>
        <w:rPr>
          <w:spacing w:val="-15"/>
          <w:w w:val="115"/>
        </w:rPr>
        <w:t xml:space="preserve"> </w:t>
      </w:r>
      <w:r>
        <w:rPr>
          <w:w w:val="115"/>
        </w:rPr>
        <w:t>costs</w:t>
      </w:r>
      <w:r>
        <w:rPr>
          <w:spacing w:val="-10"/>
          <w:w w:val="115"/>
        </w:rPr>
        <w:t xml:space="preserve"> </w:t>
      </w:r>
      <w:r>
        <w:rPr>
          <w:w w:val="115"/>
        </w:rPr>
        <w:t>and</w:t>
      </w:r>
      <w:r>
        <w:rPr>
          <w:spacing w:val="-10"/>
          <w:w w:val="115"/>
        </w:rPr>
        <w:t xml:space="preserve"> </w:t>
      </w:r>
      <w:r>
        <w:rPr>
          <w:w w:val="115"/>
        </w:rPr>
        <w:t>wider</w:t>
      </w:r>
      <w:r>
        <w:rPr>
          <w:spacing w:val="-13"/>
          <w:w w:val="115"/>
        </w:rPr>
        <w:t xml:space="preserve"> </w:t>
      </w:r>
      <w:r>
        <w:rPr>
          <w:w w:val="115"/>
        </w:rPr>
        <w:t>household</w:t>
      </w:r>
      <w:r>
        <w:rPr>
          <w:spacing w:val="-11"/>
          <w:w w:val="115"/>
        </w:rPr>
        <w:t xml:space="preserve"> </w:t>
      </w:r>
      <w:r>
        <w:rPr>
          <w:w w:val="115"/>
        </w:rPr>
        <w:t>inflation</w:t>
      </w:r>
      <w:r>
        <w:rPr>
          <w:spacing w:val="-13"/>
          <w:w w:val="115"/>
        </w:rPr>
        <w:t xml:space="preserve"> </w:t>
      </w:r>
      <w:r>
        <w:rPr>
          <w:w w:val="115"/>
        </w:rPr>
        <w:t>have</w:t>
      </w:r>
      <w:r>
        <w:rPr>
          <w:spacing w:val="-12"/>
          <w:w w:val="115"/>
        </w:rPr>
        <w:t xml:space="preserve"> </w:t>
      </w:r>
      <w:r>
        <w:rPr>
          <w:w w:val="115"/>
        </w:rPr>
        <w:t>reduced</w:t>
      </w:r>
      <w:r>
        <w:rPr>
          <w:spacing w:val="-11"/>
          <w:w w:val="115"/>
        </w:rPr>
        <w:t xml:space="preserve"> </w:t>
      </w:r>
      <w:r>
        <w:rPr>
          <w:w w:val="115"/>
        </w:rPr>
        <w:t>the affordability of domestic travel.</w:t>
      </w:r>
    </w:p>
    <w:p w:rsidR="00136D20">
      <w:pPr>
        <w:pStyle w:val="BodyText"/>
        <w:spacing w:before="264" w:line="237" w:lineRule="auto"/>
        <w:ind w:left="23"/>
      </w:pPr>
      <w:r>
        <w:rPr>
          <w:w w:val="115"/>
        </w:rPr>
        <w:t>By</w:t>
      </w:r>
      <w:r>
        <w:rPr>
          <w:spacing w:val="-2"/>
          <w:w w:val="115"/>
        </w:rPr>
        <w:t xml:space="preserve"> </w:t>
      </w:r>
      <w:r>
        <w:rPr>
          <w:w w:val="115"/>
        </w:rPr>
        <w:t>reducing</w:t>
      </w:r>
      <w:r>
        <w:rPr>
          <w:spacing w:val="-5"/>
          <w:w w:val="115"/>
        </w:rPr>
        <w:t xml:space="preserve"> </w:t>
      </w:r>
      <w:r>
        <w:rPr>
          <w:w w:val="115"/>
        </w:rPr>
        <w:t>accommodation</w:t>
      </w:r>
      <w:r>
        <w:rPr>
          <w:spacing w:val="-5"/>
          <w:w w:val="115"/>
        </w:rPr>
        <w:t xml:space="preserve"> </w:t>
      </w:r>
      <w:r>
        <w:rPr>
          <w:w w:val="115"/>
        </w:rPr>
        <w:t>costs</w:t>
      </w:r>
      <w:r>
        <w:rPr>
          <w:spacing w:val="-6"/>
          <w:w w:val="115"/>
        </w:rPr>
        <w:t xml:space="preserve"> </w:t>
      </w:r>
      <w:r>
        <w:rPr>
          <w:w w:val="115"/>
        </w:rPr>
        <w:t>to</w:t>
      </w:r>
      <w:r>
        <w:rPr>
          <w:spacing w:val="-4"/>
          <w:w w:val="115"/>
        </w:rPr>
        <w:t xml:space="preserve"> </w:t>
      </w:r>
      <w:r>
        <w:rPr>
          <w:w w:val="115"/>
        </w:rPr>
        <w:t>a</w:t>
      </w:r>
      <w:r>
        <w:rPr>
          <w:spacing w:val="-7"/>
          <w:w w:val="115"/>
        </w:rPr>
        <w:t xml:space="preserve"> </w:t>
      </w:r>
      <w:r>
        <w:rPr>
          <w:w w:val="115"/>
        </w:rPr>
        <w:t>single</w:t>
      </w:r>
      <w:r>
        <w:rPr>
          <w:spacing w:val="-5"/>
          <w:w w:val="115"/>
        </w:rPr>
        <w:t xml:space="preserve"> </w:t>
      </w:r>
      <w:r>
        <w:rPr>
          <w:w w:val="115"/>
        </w:rPr>
        <w:t>annual</w:t>
      </w:r>
      <w:r>
        <w:rPr>
          <w:spacing w:val="-4"/>
          <w:w w:val="115"/>
        </w:rPr>
        <w:t xml:space="preserve"> </w:t>
      </w:r>
      <w:r>
        <w:rPr>
          <w:w w:val="115"/>
        </w:rPr>
        <w:t>membership</w:t>
      </w:r>
      <w:r>
        <w:rPr>
          <w:spacing w:val="-6"/>
          <w:w w:val="115"/>
        </w:rPr>
        <w:t xml:space="preserve"> </w:t>
      </w:r>
      <w:r>
        <w:rPr>
          <w:w w:val="115"/>
        </w:rPr>
        <w:t>fee,</w:t>
      </w:r>
      <w:r>
        <w:rPr>
          <w:spacing w:val="-5"/>
          <w:w w:val="115"/>
        </w:rPr>
        <w:t xml:space="preserve"> </w:t>
      </w:r>
      <w:r>
        <w:rPr>
          <w:w w:val="115"/>
        </w:rPr>
        <w:t>HomeExchange reduces a significant financial barrier to</w:t>
      </w:r>
      <w:r>
        <w:rPr>
          <w:spacing w:val="-2"/>
          <w:w w:val="115"/>
        </w:rPr>
        <w:t xml:space="preserve"> </w:t>
      </w:r>
      <w:r>
        <w:rPr>
          <w:w w:val="115"/>
        </w:rPr>
        <w:t>participation in domestic</w:t>
      </w:r>
      <w:r>
        <w:rPr>
          <w:spacing w:val="-1"/>
          <w:w w:val="115"/>
        </w:rPr>
        <w:t xml:space="preserve"> </w:t>
      </w:r>
      <w:r>
        <w:rPr>
          <w:w w:val="115"/>
        </w:rPr>
        <w:t>tourism. For</w:t>
      </w:r>
      <w:r>
        <w:rPr>
          <w:spacing w:val="-1"/>
          <w:w w:val="115"/>
        </w:rPr>
        <w:t xml:space="preserve"> </w:t>
      </w:r>
      <w:r>
        <w:rPr>
          <w:w w:val="115"/>
        </w:rPr>
        <w:t>many households,</w:t>
      </w:r>
      <w:r>
        <w:rPr>
          <w:spacing w:val="-2"/>
          <w:w w:val="115"/>
        </w:rPr>
        <w:t xml:space="preserve"> </w:t>
      </w:r>
      <w:r>
        <w:rPr>
          <w:w w:val="115"/>
        </w:rPr>
        <w:t>this</w:t>
      </w:r>
      <w:r>
        <w:rPr>
          <w:spacing w:val="-3"/>
          <w:w w:val="115"/>
        </w:rPr>
        <w:t xml:space="preserve"> </w:t>
      </w:r>
      <w:r>
        <w:rPr>
          <w:w w:val="115"/>
        </w:rPr>
        <w:t>represents</w:t>
      </w:r>
      <w:r>
        <w:rPr>
          <w:spacing w:val="-5"/>
          <w:w w:val="115"/>
        </w:rPr>
        <w:t xml:space="preserve"> </w:t>
      </w:r>
      <w:r>
        <w:rPr>
          <w:w w:val="115"/>
        </w:rPr>
        <w:t>the</w:t>
      </w:r>
      <w:r>
        <w:rPr>
          <w:spacing w:val="-3"/>
          <w:w w:val="115"/>
        </w:rPr>
        <w:t xml:space="preserve"> </w:t>
      </w:r>
      <w:r>
        <w:rPr>
          <w:w w:val="115"/>
        </w:rPr>
        <w:t>difference</w:t>
      </w:r>
      <w:r>
        <w:rPr>
          <w:spacing w:val="-4"/>
          <w:w w:val="115"/>
        </w:rPr>
        <w:t xml:space="preserve"> </w:t>
      </w:r>
      <w:r>
        <w:rPr>
          <w:w w:val="115"/>
        </w:rPr>
        <w:t>between</w:t>
      </w:r>
      <w:r>
        <w:rPr>
          <w:spacing w:val="-2"/>
          <w:w w:val="115"/>
        </w:rPr>
        <w:t xml:space="preserve"> </w:t>
      </w:r>
      <w:r>
        <w:rPr>
          <w:w w:val="115"/>
        </w:rPr>
        <w:t>travelling</w:t>
      </w:r>
      <w:r>
        <w:rPr>
          <w:spacing w:val="-4"/>
          <w:w w:val="115"/>
        </w:rPr>
        <w:t xml:space="preserve"> </w:t>
      </w:r>
      <w:r>
        <w:rPr>
          <w:w w:val="115"/>
        </w:rPr>
        <w:t>and</w:t>
      </w:r>
      <w:r>
        <w:rPr>
          <w:spacing w:val="-5"/>
          <w:w w:val="115"/>
        </w:rPr>
        <w:t xml:space="preserve"> </w:t>
      </w:r>
      <w:r>
        <w:rPr>
          <w:w w:val="115"/>
        </w:rPr>
        <w:t>not</w:t>
      </w:r>
      <w:r>
        <w:rPr>
          <w:spacing w:val="-4"/>
          <w:w w:val="115"/>
        </w:rPr>
        <w:t xml:space="preserve"> </w:t>
      </w:r>
      <w:r>
        <w:rPr>
          <w:w w:val="115"/>
        </w:rPr>
        <w:t>travelling</w:t>
      </w:r>
      <w:r>
        <w:rPr>
          <w:spacing w:val="-4"/>
          <w:w w:val="115"/>
        </w:rPr>
        <w:t xml:space="preserve"> </w:t>
      </w:r>
      <w:r>
        <w:rPr>
          <w:w w:val="115"/>
        </w:rPr>
        <w:t>at</w:t>
      </w:r>
      <w:r>
        <w:rPr>
          <w:spacing w:val="-2"/>
          <w:w w:val="115"/>
        </w:rPr>
        <w:t xml:space="preserve"> </w:t>
      </w:r>
      <w:r>
        <w:rPr>
          <w:w w:val="115"/>
        </w:rPr>
        <w:t>all.</w:t>
      </w:r>
    </w:p>
    <w:p w:rsidR="00136D20">
      <w:pPr>
        <w:pStyle w:val="BodyText"/>
        <w:spacing w:line="237" w:lineRule="auto"/>
        <w:sectPr>
          <w:pgSz w:w="11910" w:h="16840"/>
          <w:pgMar w:top="1880" w:right="1417" w:bottom="960" w:left="1417" w:header="716" w:footer="774" w:gutter="0"/>
          <w:cols w:space="720"/>
        </w:sectPr>
      </w:pPr>
    </w:p>
    <w:p w:rsidR="00136D20">
      <w:pPr>
        <w:pStyle w:val="Heading2"/>
        <w:spacing w:before="94" w:line="267" w:lineRule="exact"/>
      </w:pPr>
      <w:r>
        <w:rPr>
          <w:w w:val="115"/>
        </w:rPr>
        <w:t>Domestic</w:t>
      </w:r>
      <w:r>
        <w:rPr>
          <w:spacing w:val="6"/>
          <w:w w:val="115"/>
        </w:rPr>
        <w:t xml:space="preserve"> </w:t>
      </w:r>
      <w:r>
        <w:rPr>
          <w:w w:val="115"/>
        </w:rPr>
        <w:t>exchanges</w:t>
      </w:r>
      <w:r>
        <w:rPr>
          <w:spacing w:val="11"/>
          <w:w w:val="115"/>
        </w:rPr>
        <w:t xml:space="preserve"> </w:t>
      </w:r>
      <w:r>
        <w:rPr>
          <w:w w:val="115"/>
        </w:rPr>
        <w:t>represent</w:t>
      </w:r>
      <w:r>
        <w:rPr>
          <w:spacing w:val="7"/>
          <w:w w:val="115"/>
        </w:rPr>
        <w:t xml:space="preserve"> </w:t>
      </w:r>
      <w:r>
        <w:rPr>
          <w:w w:val="115"/>
        </w:rPr>
        <w:t>19.5%</w:t>
      </w:r>
      <w:r>
        <w:rPr>
          <w:spacing w:val="7"/>
          <w:w w:val="115"/>
        </w:rPr>
        <w:t xml:space="preserve"> </w:t>
      </w:r>
      <w:r>
        <w:rPr>
          <w:w w:val="115"/>
        </w:rPr>
        <w:t>of</w:t>
      </w:r>
      <w:r>
        <w:rPr>
          <w:spacing w:val="9"/>
          <w:w w:val="115"/>
        </w:rPr>
        <w:t xml:space="preserve"> </w:t>
      </w:r>
      <w:r>
        <w:rPr>
          <w:w w:val="115"/>
        </w:rPr>
        <w:t>all</w:t>
      </w:r>
      <w:r>
        <w:rPr>
          <w:spacing w:val="8"/>
          <w:w w:val="115"/>
        </w:rPr>
        <w:t xml:space="preserve"> </w:t>
      </w:r>
      <w:r>
        <w:rPr>
          <w:w w:val="115"/>
        </w:rPr>
        <w:t>HomeExchange</w:t>
      </w:r>
      <w:r>
        <w:rPr>
          <w:spacing w:val="9"/>
          <w:w w:val="115"/>
        </w:rPr>
        <w:t xml:space="preserve"> </w:t>
      </w:r>
      <w:r>
        <w:rPr>
          <w:w w:val="115"/>
        </w:rPr>
        <w:t>activity</w:t>
      </w:r>
      <w:r>
        <w:rPr>
          <w:spacing w:val="6"/>
          <w:w w:val="115"/>
        </w:rPr>
        <w:t xml:space="preserve"> </w:t>
      </w:r>
      <w:r>
        <w:rPr>
          <w:w w:val="115"/>
        </w:rPr>
        <w:t>in</w:t>
      </w:r>
      <w:r>
        <w:rPr>
          <w:spacing w:val="10"/>
          <w:w w:val="115"/>
        </w:rPr>
        <w:t xml:space="preserve"> </w:t>
      </w:r>
      <w:r>
        <w:rPr>
          <w:w w:val="115"/>
        </w:rPr>
        <w:t>the</w:t>
      </w:r>
      <w:r>
        <w:rPr>
          <w:spacing w:val="9"/>
          <w:w w:val="115"/>
        </w:rPr>
        <w:t xml:space="preserve"> </w:t>
      </w:r>
      <w:r>
        <w:rPr>
          <w:spacing w:val="-5"/>
          <w:w w:val="115"/>
        </w:rPr>
        <w:t>UK,</w:t>
      </w:r>
    </w:p>
    <w:p w:rsidR="00136D20">
      <w:pPr>
        <w:pStyle w:val="BodyText"/>
        <w:spacing w:line="267" w:lineRule="exact"/>
        <w:ind w:left="23"/>
      </w:pPr>
      <w:r>
        <w:rPr>
          <w:w w:val="115"/>
        </w:rPr>
        <w:t>reflecting</w:t>
      </w:r>
      <w:r>
        <w:rPr>
          <w:spacing w:val="-11"/>
          <w:w w:val="115"/>
        </w:rPr>
        <w:t xml:space="preserve"> </w:t>
      </w:r>
      <w:r>
        <w:rPr>
          <w:w w:val="115"/>
        </w:rPr>
        <w:t>significant</w:t>
      </w:r>
      <w:r>
        <w:rPr>
          <w:spacing w:val="-9"/>
          <w:w w:val="115"/>
        </w:rPr>
        <w:t xml:space="preserve"> </w:t>
      </w:r>
      <w:r>
        <w:rPr>
          <w:w w:val="115"/>
        </w:rPr>
        <w:t>latent</w:t>
      </w:r>
      <w:r>
        <w:rPr>
          <w:spacing w:val="-7"/>
          <w:w w:val="115"/>
        </w:rPr>
        <w:t xml:space="preserve"> </w:t>
      </w:r>
      <w:r>
        <w:rPr>
          <w:w w:val="115"/>
        </w:rPr>
        <w:t>demand</w:t>
      </w:r>
      <w:r>
        <w:rPr>
          <w:spacing w:val="-10"/>
          <w:w w:val="115"/>
        </w:rPr>
        <w:t xml:space="preserve"> </w:t>
      </w:r>
      <w:r>
        <w:rPr>
          <w:w w:val="115"/>
        </w:rPr>
        <w:t>for</w:t>
      </w:r>
      <w:r>
        <w:rPr>
          <w:spacing w:val="-9"/>
          <w:w w:val="115"/>
        </w:rPr>
        <w:t xml:space="preserve"> </w:t>
      </w:r>
      <w:r>
        <w:rPr>
          <w:w w:val="115"/>
        </w:rPr>
        <w:t>affordable</w:t>
      </w:r>
      <w:r>
        <w:rPr>
          <w:spacing w:val="-11"/>
          <w:w w:val="115"/>
        </w:rPr>
        <w:t xml:space="preserve"> </w:t>
      </w:r>
      <w:r>
        <w:rPr>
          <w:w w:val="115"/>
        </w:rPr>
        <w:t>domestic</w:t>
      </w:r>
      <w:r>
        <w:rPr>
          <w:spacing w:val="-10"/>
          <w:w w:val="115"/>
        </w:rPr>
        <w:t xml:space="preserve"> </w:t>
      </w:r>
      <w:r>
        <w:rPr>
          <w:spacing w:val="-2"/>
          <w:w w:val="115"/>
        </w:rPr>
        <w:t>travel.</w:t>
      </w:r>
    </w:p>
    <w:p w:rsidR="00136D20">
      <w:pPr>
        <w:pStyle w:val="BodyText"/>
        <w:spacing w:before="240" w:line="237" w:lineRule="auto"/>
        <w:ind w:left="23" w:right="17"/>
        <w:jc w:val="both"/>
      </w:pPr>
      <w:r>
        <w:rPr>
          <w:w w:val="115"/>
        </w:rPr>
        <w:t xml:space="preserve">HomeExchange users frequently travel outside peak periods and visit a broad range of destinations beyond established tourism </w:t>
      </w:r>
      <w:r>
        <w:rPr>
          <w:w w:val="115"/>
        </w:rPr>
        <w:t>centres</w:t>
      </w:r>
      <w:r>
        <w:rPr>
          <w:w w:val="115"/>
        </w:rPr>
        <w:t xml:space="preserve">. This supports seasonal balance, </w:t>
      </w:r>
      <w:r>
        <w:rPr>
          <w:w w:val="115"/>
        </w:rPr>
        <w:t>stabilises</w:t>
      </w:r>
      <w:r>
        <w:rPr>
          <w:w w:val="115"/>
        </w:rPr>
        <w:t xml:space="preserve"> year-round domestic demand and benefits lower-profile destinations that are less able to attract visitors during peak season.</w:t>
      </w:r>
    </w:p>
    <w:p w:rsidR="00136D20">
      <w:pPr>
        <w:pStyle w:val="BodyText"/>
      </w:pPr>
    </w:p>
    <w:p w:rsidR="00136D20">
      <w:pPr>
        <w:pStyle w:val="BodyText"/>
        <w:spacing w:before="130"/>
      </w:pPr>
    </w:p>
    <w:p w:rsidR="00136D20">
      <w:pPr>
        <w:pStyle w:val="Heading2"/>
        <w:numPr>
          <w:ilvl w:val="0"/>
          <w:numId w:val="1"/>
        </w:numPr>
        <w:tabs>
          <w:tab w:val="left" w:pos="227"/>
        </w:tabs>
        <w:spacing w:before="1"/>
        <w:ind w:left="227" w:hanging="204"/>
      </w:pPr>
      <w:r>
        <w:rPr>
          <w:spacing w:val="-12"/>
          <w:w w:val="115"/>
          <w:u w:val="single"/>
        </w:rPr>
        <w:t xml:space="preserve"> </w:t>
      </w:r>
      <w:r>
        <w:rPr>
          <w:w w:val="115"/>
          <w:u w:val="single"/>
        </w:rPr>
        <w:t>Regional</w:t>
      </w:r>
      <w:r>
        <w:rPr>
          <w:spacing w:val="-9"/>
          <w:w w:val="115"/>
          <w:u w:val="single"/>
        </w:rPr>
        <w:t xml:space="preserve"> </w:t>
      </w:r>
      <w:r>
        <w:rPr>
          <w:w w:val="115"/>
          <w:u w:val="single"/>
        </w:rPr>
        <w:t>growth</w:t>
      </w:r>
      <w:r>
        <w:rPr>
          <w:spacing w:val="-13"/>
          <w:w w:val="115"/>
          <w:u w:val="single"/>
        </w:rPr>
        <w:t xml:space="preserve"> </w:t>
      </w:r>
      <w:r>
        <w:rPr>
          <w:w w:val="115"/>
          <w:u w:val="single"/>
        </w:rPr>
        <w:t>and</w:t>
      </w:r>
      <w:r>
        <w:rPr>
          <w:spacing w:val="-13"/>
          <w:w w:val="115"/>
          <w:u w:val="single"/>
        </w:rPr>
        <w:t xml:space="preserve"> </w:t>
      </w:r>
      <w:r>
        <w:rPr>
          <w:w w:val="115"/>
          <w:u w:val="single"/>
        </w:rPr>
        <w:t>community</w:t>
      </w:r>
      <w:r>
        <w:rPr>
          <w:spacing w:val="-11"/>
          <w:w w:val="115"/>
          <w:u w:val="single"/>
        </w:rPr>
        <w:t xml:space="preserve"> </w:t>
      </w:r>
      <w:r>
        <w:rPr>
          <w:spacing w:val="-2"/>
          <w:w w:val="115"/>
          <w:u w:val="single"/>
        </w:rPr>
        <w:t>prosperity</w:t>
      </w:r>
    </w:p>
    <w:p w:rsidR="00136D20">
      <w:pPr>
        <w:pStyle w:val="BodyText"/>
        <w:spacing w:before="235"/>
        <w:ind w:left="23" w:right="20"/>
        <w:jc w:val="both"/>
      </w:pPr>
      <w:r>
        <w:rPr>
          <w:w w:val="115"/>
        </w:rPr>
        <w:t xml:space="preserve">Tourism demand remains concentrated in major cities and established destinations, </w:t>
      </w:r>
      <w:r>
        <w:rPr>
          <w:w w:val="110"/>
        </w:rPr>
        <w:t xml:space="preserve">limiting the distribution of economic benefits across other regions of the United Kingdom. </w:t>
      </w:r>
      <w:r>
        <w:rPr>
          <w:w w:val="115"/>
        </w:rPr>
        <w:t>HomeExchange is structurally positioned to address this imbalance.</w:t>
      </w:r>
    </w:p>
    <w:p w:rsidR="00136D20">
      <w:pPr>
        <w:pStyle w:val="BodyText"/>
        <w:spacing w:before="240" w:line="237" w:lineRule="auto"/>
        <w:ind w:left="23" w:right="23"/>
        <w:jc w:val="both"/>
      </w:pPr>
      <w:r>
        <w:rPr>
          <w:w w:val="115"/>
        </w:rPr>
        <w:t>HomeExchange</w:t>
      </w:r>
      <w:r>
        <w:rPr>
          <w:spacing w:val="-10"/>
          <w:w w:val="115"/>
        </w:rPr>
        <w:t xml:space="preserve"> </w:t>
      </w:r>
      <w:r>
        <w:rPr>
          <w:w w:val="115"/>
        </w:rPr>
        <w:t>offers</w:t>
      </w:r>
      <w:r>
        <w:rPr>
          <w:spacing w:val="-13"/>
          <w:w w:val="115"/>
        </w:rPr>
        <w:t xml:space="preserve"> </w:t>
      </w:r>
      <w:r>
        <w:rPr>
          <w:w w:val="115"/>
        </w:rPr>
        <w:t>a</w:t>
      </w:r>
      <w:r>
        <w:rPr>
          <w:spacing w:val="-9"/>
          <w:w w:val="115"/>
        </w:rPr>
        <w:t xml:space="preserve"> </w:t>
      </w:r>
      <w:r>
        <w:rPr>
          <w:w w:val="115"/>
        </w:rPr>
        <w:t>model</w:t>
      </w:r>
      <w:r>
        <w:rPr>
          <w:spacing w:val="-8"/>
          <w:w w:val="115"/>
        </w:rPr>
        <w:t xml:space="preserve"> </w:t>
      </w:r>
      <w:r>
        <w:rPr>
          <w:w w:val="115"/>
        </w:rPr>
        <w:t>of</w:t>
      </w:r>
      <w:r>
        <w:rPr>
          <w:spacing w:val="-9"/>
          <w:w w:val="115"/>
        </w:rPr>
        <w:t xml:space="preserve"> </w:t>
      </w:r>
      <w:r>
        <w:rPr>
          <w:w w:val="115"/>
        </w:rPr>
        <w:t>tourism</w:t>
      </w:r>
      <w:r>
        <w:rPr>
          <w:spacing w:val="-10"/>
          <w:w w:val="115"/>
        </w:rPr>
        <w:t xml:space="preserve"> </w:t>
      </w:r>
      <w:r>
        <w:rPr>
          <w:w w:val="115"/>
        </w:rPr>
        <w:t>that</w:t>
      </w:r>
      <w:r>
        <w:rPr>
          <w:spacing w:val="-11"/>
          <w:w w:val="115"/>
        </w:rPr>
        <w:t xml:space="preserve"> </w:t>
      </w:r>
      <w:r>
        <w:rPr>
          <w:w w:val="115"/>
        </w:rPr>
        <w:t>directly</w:t>
      </w:r>
      <w:r>
        <w:rPr>
          <w:spacing w:val="-10"/>
          <w:w w:val="115"/>
        </w:rPr>
        <w:t xml:space="preserve"> </w:t>
      </w:r>
      <w:r>
        <w:rPr>
          <w:w w:val="115"/>
        </w:rPr>
        <w:t>supports</w:t>
      </w:r>
      <w:r>
        <w:rPr>
          <w:spacing w:val="-8"/>
          <w:w w:val="115"/>
        </w:rPr>
        <w:t xml:space="preserve"> </w:t>
      </w:r>
      <w:r>
        <w:rPr>
          <w:w w:val="115"/>
        </w:rPr>
        <w:t>regional</w:t>
      </w:r>
      <w:r>
        <w:rPr>
          <w:spacing w:val="-8"/>
          <w:w w:val="115"/>
        </w:rPr>
        <w:t xml:space="preserve"> </w:t>
      </w:r>
      <w:r>
        <w:rPr>
          <w:w w:val="115"/>
        </w:rPr>
        <w:t>and</w:t>
      </w:r>
      <w:r>
        <w:rPr>
          <w:spacing w:val="-8"/>
          <w:w w:val="115"/>
        </w:rPr>
        <w:t xml:space="preserve"> </w:t>
      </w:r>
      <w:r>
        <w:rPr>
          <w:w w:val="115"/>
        </w:rPr>
        <w:t xml:space="preserve">community </w:t>
      </w:r>
      <w:r>
        <w:rPr>
          <w:spacing w:val="-2"/>
          <w:w w:val="115"/>
        </w:rPr>
        <w:t>prosperity:</w:t>
      </w:r>
    </w:p>
    <w:p w:rsidR="00136D20">
      <w:pPr>
        <w:pStyle w:val="ListParagraph"/>
        <w:numPr>
          <w:ilvl w:val="1"/>
          <w:numId w:val="1"/>
        </w:numPr>
        <w:tabs>
          <w:tab w:val="left" w:pos="743"/>
        </w:tabs>
        <w:spacing w:before="241" w:line="237" w:lineRule="auto"/>
        <w:ind w:right="41"/>
      </w:pPr>
      <w:r>
        <w:rPr>
          <w:b/>
          <w:w w:val="115"/>
        </w:rPr>
        <w:t>Geographic dispersal</w:t>
      </w:r>
      <w:r>
        <w:rPr>
          <w:w w:val="115"/>
        </w:rPr>
        <w:t xml:space="preserve">: because more than 80% of HomeExchange listings are primary residences, exchanges take place where people </w:t>
      </w:r>
      <w:r>
        <w:rPr>
          <w:w w:val="115"/>
        </w:rPr>
        <w:t>actually live</w:t>
      </w:r>
      <w:r>
        <w:rPr>
          <w:w w:val="115"/>
        </w:rPr>
        <w:t xml:space="preserve">, in residential </w:t>
      </w:r>
      <w:r>
        <w:rPr>
          <w:w w:val="115"/>
        </w:rPr>
        <w:t>neighbourhoods</w:t>
      </w:r>
      <w:r>
        <w:rPr>
          <w:w w:val="115"/>
        </w:rPr>
        <w:t xml:space="preserve"> and local communities, away from</w:t>
      </w:r>
      <w:r>
        <w:rPr>
          <w:spacing w:val="-4"/>
          <w:w w:val="115"/>
        </w:rPr>
        <w:t xml:space="preserve"> </w:t>
      </w:r>
      <w:r>
        <w:rPr>
          <w:w w:val="115"/>
        </w:rPr>
        <w:t>the usual</w:t>
      </w:r>
      <w:r>
        <w:rPr>
          <w:spacing w:val="-2"/>
          <w:w w:val="115"/>
        </w:rPr>
        <w:t xml:space="preserve"> </w:t>
      </w:r>
      <w:r>
        <w:rPr>
          <w:w w:val="115"/>
        </w:rPr>
        <w:t>tourist trail.</w:t>
      </w:r>
      <w:r>
        <w:rPr>
          <w:spacing w:val="-2"/>
          <w:w w:val="115"/>
        </w:rPr>
        <w:t xml:space="preserve"> </w:t>
      </w:r>
      <w:r>
        <w:rPr>
          <w:w w:val="115"/>
        </w:rPr>
        <w:t>Visitors</w:t>
      </w:r>
      <w:r>
        <w:rPr>
          <w:spacing w:val="-2"/>
          <w:w w:val="115"/>
        </w:rPr>
        <w:t xml:space="preserve"> </w:t>
      </w:r>
      <w:r>
        <w:rPr>
          <w:w w:val="115"/>
        </w:rPr>
        <w:t>are</w:t>
      </w:r>
      <w:r>
        <w:rPr>
          <w:spacing w:val="-3"/>
          <w:w w:val="115"/>
        </w:rPr>
        <w:t xml:space="preserve"> </w:t>
      </w:r>
      <w:r>
        <w:rPr>
          <w:w w:val="115"/>
        </w:rPr>
        <w:t>directed</w:t>
      </w:r>
      <w:r>
        <w:rPr>
          <w:spacing w:val="-2"/>
          <w:w w:val="115"/>
        </w:rPr>
        <w:t xml:space="preserve"> </w:t>
      </w:r>
      <w:r>
        <w:rPr>
          <w:w w:val="115"/>
        </w:rPr>
        <w:t>into</w:t>
      </w:r>
      <w:r>
        <w:rPr>
          <w:spacing w:val="-2"/>
          <w:w w:val="115"/>
        </w:rPr>
        <w:t xml:space="preserve"> </w:t>
      </w:r>
      <w:r>
        <w:rPr>
          <w:w w:val="115"/>
        </w:rPr>
        <w:t>the</w:t>
      </w:r>
      <w:r>
        <w:rPr>
          <w:spacing w:val="-2"/>
          <w:w w:val="115"/>
        </w:rPr>
        <w:t xml:space="preserve"> </w:t>
      </w:r>
      <w:r>
        <w:rPr>
          <w:w w:val="115"/>
        </w:rPr>
        <w:t>authentic fabric of</w:t>
      </w:r>
      <w:r>
        <w:rPr>
          <w:spacing w:val="-2"/>
          <w:w w:val="115"/>
        </w:rPr>
        <w:t xml:space="preserve"> </w:t>
      </w:r>
      <w:r>
        <w:rPr>
          <w:w w:val="115"/>
        </w:rPr>
        <w:t>local</w:t>
      </w:r>
      <w:r>
        <w:rPr>
          <w:spacing w:val="-2"/>
          <w:w w:val="115"/>
        </w:rPr>
        <w:t xml:space="preserve"> </w:t>
      </w:r>
      <w:r>
        <w:rPr>
          <w:w w:val="115"/>
        </w:rPr>
        <w:t>life</w:t>
      </w:r>
      <w:r>
        <w:rPr>
          <w:spacing w:val="-3"/>
          <w:w w:val="115"/>
        </w:rPr>
        <w:t xml:space="preserve"> </w:t>
      </w:r>
      <w:r>
        <w:rPr>
          <w:w w:val="115"/>
        </w:rPr>
        <w:t>rather</w:t>
      </w:r>
      <w:r>
        <w:rPr>
          <w:spacing w:val="-5"/>
          <w:w w:val="115"/>
        </w:rPr>
        <w:t xml:space="preserve"> </w:t>
      </w:r>
      <w:r>
        <w:rPr>
          <w:w w:val="115"/>
        </w:rPr>
        <w:t>than concentrated in established tourist zones, distributing footfall and economic activity across a far broader range of destinations. In 2025, 62% of UK</w:t>
      </w:r>
      <w:r>
        <w:rPr>
          <w:spacing w:val="80"/>
          <w:w w:val="115"/>
        </w:rPr>
        <w:t xml:space="preserve"> </w:t>
      </w:r>
      <w:r>
        <w:rPr>
          <w:w w:val="115"/>
        </w:rPr>
        <w:t>exchanges</w:t>
      </w:r>
      <w:r>
        <w:rPr>
          <w:spacing w:val="-10"/>
          <w:w w:val="115"/>
        </w:rPr>
        <w:t xml:space="preserve"> </w:t>
      </w:r>
      <w:r>
        <w:rPr>
          <w:w w:val="115"/>
        </w:rPr>
        <w:t>took</w:t>
      </w:r>
      <w:r>
        <w:rPr>
          <w:spacing w:val="-9"/>
          <w:w w:val="115"/>
        </w:rPr>
        <w:t xml:space="preserve"> </w:t>
      </w:r>
      <w:r>
        <w:rPr>
          <w:w w:val="115"/>
        </w:rPr>
        <w:t>place</w:t>
      </w:r>
      <w:r>
        <w:rPr>
          <w:spacing w:val="-10"/>
          <w:w w:val="115"/>
        </w:rPr>
        <w:t xml:space="preserve"> </w:t>
      </w:r>
      <w:r>
        <w:rPr>
          <w:w w:val="115"/>
        </w:rPr>
        <w:t>outside</w:t>
      </w:r>
      <w:r>
        <w:rPr>
          <w:spacing w:val="-11"/>
          <w:w w:val="115"/>
        </w:rPr>
        <w:t xml:space="preserve"> </w:t>
      </w:r>
      <w:r>
        <w:rPr>
          <w:w w:val="115"/>
        </w:rPr>
        <w:t>London,</w:t>
      </w:r>
      <w:r>
        <w:rPr>
          <w:spacing w:val="-10"/>
          <w:w w:val="115"/>
        </w:rPr>
        <w:t xml:space="preserve"> </w:t>
      </w:r>
      <w:r>
        <w:rPr>
          <w:w w:val="115"/>
        </w:rPr>
        <w:t>reflecting</w:t>
      </w:r>
      <w:r>
        <w:rPr>
          <w:spacing w:val="-11"/>
          <w:w w:val="115"/>
        </w:rPr>
        <w:t xml:space="preserve"> </w:t>
      </w:r>
      <w:r>
        <w:rPr>
          <w:w w:val="115"/>
        </w:rPr>
        <w:t>the</w:t>
      </w:r>
      <w:r>
        <w:rPr>
          <w:spacing w:val="-10"/>
          <w:w w:val="115"/>
        </w:rPr>
        <w:t xml:space="preserve"> </w:t>
      </w:r>
      <w:r>
        <w:rPr>
          <w:w w:val="115"/>
        </w:rPr>
        <w:t>model's</w:t>
      </w:r>
      <w:r>
        <w:rPr>
          <w:spacing w:val="-12"/>
          <w:w w:val="115"/>
        </w:rPr>
        <w:t xml:space="preserve"> </w:t>
      </w:r>
      <w:r>
        <w:rPr>
          <w:w w:val="115"/>
        </w:rPr>
        <w:t>natural</w:t>
      </w:r>
      <w:r>
        <w:rPr>
          <w:spacing w:val="-10"/>
          <w:w w:val="115"/>
        </w:rPr>
        <w:t xml:space="preserve"> </w:t>
      </w:r>
      <w:r>
        <w:rPr>
          <w:w w:val="115"/>
        </w:rPr>
        <w:t>pull</w:t>
      </w:r>
      <w:r>
        <w:rPr>
          <w:spacing w:val="-10"/>
          <w:w w:val="115"/>
        </w:rPr>
        <w:t xml:space="preserve"> </w:t>
      </w:r>
      <w:r>
        <w:rPr>
          <w:w w:val="115"/>
        </w:rPr>
        <w:t>towards lesser-visited parts of the country.</w:t>
      </w:r>
    </w:p>
    <w:p w:rsidR="00136D20">
      <w:pPr>
        <w:pStyle w:val="ListParagraph"/>
        <w:numPr>
          <w:ilvl w:val="1"/>
          <w:numId w:val="1"/>
        </w:numPr>
        <w:tabs>
          <w:tab w:val="left" w:pos="743"/>
        </w:tabs>
        <w:spacing w:before="8" w:line="237" w:lineRule="auto"/>
        <w:ind w:right="72"/>
      </w:pPr>
      <w:r>
        <w:rPr>
          <w:b/>
          <w:w w:val="115"/>
        </w:rPr>
        <w:t>Increased local spending</w:t>
      </w:r>
      <w:r>
        <w:rPr>
          <w:w w:val="115"/>
        </w:rPr>
        <w:t>: members, having saved on accommodation costs, retain</w:t>
      </w:r>
      <w:r>
        <w:rPr>
          <w:spacing w:val="-15"/>
          <w:w w:val="115"/>
        </w:rPr>
        <w:t xml:space="preserve"> </w:t>
      </w:r>
      <w:r>
        <w:rPr>
          <w:w w:val="115"/>
        </w:rPr>
        <w:t>greater</w:t>
      </w:r>
      <w:r>
        <w:rPr>
          <w:spacing w:val="-14"/>
          <w:w w:val="115"/>
        </w:rPr>
        <w:t xml:space="preserve"> </w:t>
      </w:r>
      <w:r>
        <w:rPr>
          <w:w w:val="115"/>
        </w:rPr>
        <w:t>disposable</w:t>
      </w:r>
      <w:r>
        <w:rPr>
          <w:spacing w:val="-14"/>
          <w:w w:val="115"/>
        </w:rPr>
        <w:t xml:space="preserve"> </w:t>
      </w:r>
      <w:r>
        <w:rPr>
          <w:w w:val="115"/>
        </w:rPr>
        <w:t>income</w:t>
      </w:r>
      <w:r>
        <w:rPr>
          <w:spacing w:val="-15"/>
          <w:w w:val="115"/>
        </w:rPr>
        <w:t xml:space="preserve"> </w:t>
      </w:r>
      <w:r>
        <w:rPr>
          <w:w w:val="115"/>
        </w:rPr>
        <w:t>to</w:t>
      </w:r>
      <w:r>
        <w:rPr>
          <w:spacing w:val="-14"/>
          <w:w w:val="115"/>
        </w:rPr>
        <w:t xml:space="preserve"> </w:t>
      </w:r>
      <w:r>
        <w:rPr>
          <w:w w:val="115"/>
        </w:rPr>
        <w:t>spend</w:t>
      </w:r>
      <w:r>
        <w:rPr>
          <w:spacing w:val="-14"/>
          <w:w w:val="115"/>
        </w:rPr>
        <w:t xml:space="preserve"> </w:t>
      </w:r>
      <w:r>
        <w:rPr>
          <w:w w:val="115"/>
        </w:rPr>
        <w:t>on</w:t>
      </w:r>
      <w:r>
        <w:rPr>
          <w:spacing w:val="-15"/>
          <w:w w:val="115"/>
        </w:rPr>
        <w:t xml:space="preserve"> </w:t>
      </w:r>
      <w:r>
        <w:rPr>
          <w:w w:val="115"/>
        </w:rPr>
        <w:t>local</w:t>
      </w:r>
      <w:r>
        <w:rPr>
          <w:spacing w:val="-14"/>
          <w:w w:val="115"/>
        </w:rPr>
        <w:t xml:space="preserve"> </w:t>
      </w:r>
      <w:r>
        <w:rPr>
          <w:w w:val="115"/>
        </w:rPr>
        <w:t>retail,</w:t>
      </w:r>
      <w:r>
        <w:rPr>
          <w:spacing w:val="-14"/>
          <w:w w:val="115"/>
        </w:rPr>
        <w:t xml:space="preserve"> </w:t>
      </w:r>
      <w:r>
        <w:rPr>
          <w:w w:val="115"/>
        </w:rPr>
        <w:t>hospitality</w:t>
      </w:r>
      <w:r>
        <w:rPr>
          <w:spacing w:val="-13"/>
          <w:w w:val="115"/>
        </w:rPr>
        <w:t xml:space="preserve"> </w:t>
      </w:r>
      <w:r>
        <w:rPr>
          <w:w w:val="115"/>
        </w:rPr>
        <w:t>and</w:t>
      </w:r>
      <w:r>
        <w:rPr>
          <w:spacing w:val="-14"/>
          <w:w w:val="115"/>
        </w:rPr>
        <w:t xml:space="preserve"> </w:t>
      </w:r>
      <w:r>
        <w:rPr>
          <w:w w:val="115"/>
        </w:rPr>
        <w:t>services, amplifying the economic benefit to host communities.</w:t>
      </w:r>
    </w:p>
    <w:p w:rsidR="00136D20">
      <w:pPr>
        <w:pStyle w:val="ListParagraph"/>
        <w:numPr>
          <w:ilvl w:val="1"/>
          <w:numId w:val="1"/>
        </w:numPr>
        <w:tabs>
          <w:tab w:val="left" w:pos="743"/>
        </w:tabs>
        <w:spacing w:before="1" w:line="237" w:lineRule="auto"/>
        <w:ind w:right="153"/>
      </w:pPr>
      <w:r>
        <w:rPr>
          <w:b/>
          <w:w w:val="115"/>
        </w:rPr>
        <w:t xml:space="preserve">Longer stays and reduced seasonality: </w:t>
      </w:r>
      <w:r>
        <w:rPr>
          <w:w w:val="115"/>
        </w:rPr>
        <w:t>HomeExchange members stay an average</w:t>
      </w:r>
      <w:r>
        <w:rPr>
          <w:spacing w:val="-12"/>
          <w:w w:val="115"/>
        </w:rPr>
        <w:t xml:space="preserve"> </w:t>
      </w:r>
      <w:r>
        <w:rPr>
          <w:w w:val="115"/>
        </w:rPr>
        <w:t>of</w:t>
      </w:r>
      <w:r>
        <w:rPr>
          <w:spacing w:val="-10"/>
          <w:w w:val="115"/>
        </w:rPr>
        <w:t xml:space="preserve"> </w:t>
      </w:r>
      <w:r>
        <w:rPr>
          <w:w w:val="115"/>
        </w:rPr>
        <w:t>more</w:t>
      </w:r>
      <w:r>
        <w:rPr>
          <w:spacing w:val="-12"/>
          <w:w w:val="115"/>
        </w:rPr>
        <w:t xml:space="preserve"> </w:t>
      </w:r>
      <w:r>
        <w:rPr>
          <w:w w:val="115"/>
        </w:rPr>
        <w:t>than</w:t>
      </w:r>
      <w:r>
        <w:rPr>
          <w:spacing w:val="-10"/>
          <w:w w:val="115"/>
        </w:rPr>
        <w:t xml:space="preserve"> </w:t>
      </w:r>
      <w:r>
        <w:rPr>
          <w:w w:val="115"/>
        </w:rPr>
        <w:t>four</w:t>
      </w:r>
      <w:r>
        <w:rPr>
          <w:spacing w:val="-11"/>
          <w:w w:val="115"/>
        </w:rPr>
        <w:t xml:space="preserve"> </w:t>
      </w:r>
      <w:r>
        <w:rPr>
          <w:w w:val="115"/>
        </w:rPr>
        <w:t>nights</w:t>
      </w:r>
      <w:r>
        <w:rPr>
          <w:spacing w:val="-11"/>
          <w:w w:val="115"/>
        </w:rPr>
        <w:t xml:space="preserve"> </w:t>
      </w:r>
      <w:r>
        <w:rPr>
          <w:w w:val="115"/>
        </w:rPr>
        <w:t>per</w:t>
      </w:r>
      <w:r>
        <w:rPr>
          <w:spacing w:val="-12"/>
          <w:w w:val="115"/>
        </w:rPr>
        <w:t xml:space="preserve"> </w:t>
      </w:r>
      <w:r>
        <w:rPr>
          <w:w w:val="115"/>
        </w:rPr>
        <w:t>exchange</w:t>
      </w:r>
      <w:r>
        <w:rPr>
          <w:spacing w:val="-12"/>
          <w:w w:val="115"/>
        </w:rPr>
        <w:t xml:space="preserve"> </w:t>
      </w:r>
      <w:r>
        <w:rPr>
          <w:w w:val="115"/>
        </w:rPr>
        <w:t>in</w:t>
      </w:r>
      <w:r>
        <w:rPr>
          <w:spacing w:val="-10"/>
          <w:w w:val="115"/>
        </w:rPr>
        <w:t xml:space="preserve"> </w:t>
      </w:r>
      <w:r>
        <w:rPr>
          <w:w w:val="115"/>
        </w:rPr>
        <w:t>the</w:t>
      </w:r>
      <w:r>
        <w:rPr>
          <w:spacing w:val="-11"/>
          <w:w w:val="115"/>
        </w:rPr>
        <w:t xml:space="preserve"> </w:t>
      </w:r>
      <w:r>
        <w:rPr>
          <w:w w:val="115"/>
        </w:rPr>
        <w:t>UK,</w:t>
      </w:r>
      <w:r>
        <w:rPr>
          <w:spacing w:val="-12"/>
          <w:w w:val="115"/>
        </w:rPr>
        <w:t xml:space="preserve"> </w:t>
      </w:r>
      <w:r>
        <w:rPr>
          <w:w w:val="115"/>
        </w:rPr>
        <w:t>supporting</w:t>
      </w:r>
      <w:r>
        <w:rPr>
          <w:spacing w:val="-13"/>
          <w:w w:val="115"/>
        </w:rPr>
        <w:t xml:space="preserve"> </w:t>
      </w:r>
      <w:r>
        <w:rPr>
          <w:w w:val="115"/>
        </w:rPr>
        <w:t>year-round demand and increasing the overall economic value of each visit.</w:t>
      </w:r>
    </w:p>
    <w:p w:rsidR="00136D20">
      <w:pPr>
        <w:pStyle w:val="ListParagraph"/>
        <w:numPr>
          <w:ilvl w:val="1"/>
          <w:numId w:val="1"/>
        </w:numPr>
        <w:tabs>
          <w:tab w:val="left" w:pos="743"/>
        </w:tabs>
        <w:ind w:right="105"/>
      </w:pPr>
      <w:r>
        <w:rPr>
          <w:b/>
          <w:w w:val="115"/>
        </w:rPr>
        <w:t>No</w:t>
      </w:r>
      <w:r>
        <w:rPr>
          <w:b/>
          <w:spacing w:val="-8"/>
          <w:w w:val="115"/>
        </w:rPr>
        <w:t xml:space="preserve"> </w:t>
      </w:r>
      <w:r>
        <w:rPr>
          <w:b/>
          <w:w w:val="115"/>
        </w:rPr>
        <w:t>impact</w:t>
      </w:r>
      <w:r>
        <w:rPr>
          <w:b/>
          <w:spacing w:val="-7"/>
          <w:w w:val="115"/>
        </w:rPr>
        <w:t xml:space="preserve"> </w:t>
      </w:r>
      <w:r>
        <w:rPr>
          <w:b/>
          <w:w w:val="115"/>
        </w:rPr>
        <w:t>on</w:t>
      </w:r>
      <w:r>
        <w:rPr>
          <w:b/>
          <w:spacing w:val="-8"/>
          <w:w w:val="115"/>
        </w:rPr>
        <w:t xml:space="preserve"> </w:t>
      </w:r>
      <w:r>
        <w:rPr>
          <w:b/>
          <w:w w:val="115"/>
        </w:rPr>
        <w:t>housing</w:t>
      </w:r>
      <w:r>
        <w:rPr>
          <w:b/>
          <w:spacing w:val="-8"/>
          <w:w w:val="115"/>
        </w:rPr>
        <w:t xml:space="preserve"> </w:t>
      </w:r>
      <w:r>
        <w:rPr>
          <w:b/>
          <w:w w:val="115"/>
        </w:rPr>
        <w:t>supply</w:t>
      </w:r>
      <w:r>
        <w:rPr>
          <w:w w:val="115"/>
        </w:rPr>
        <w:t>:</w:t>
      </w:r>
      <w:r>
        <w:rPr>
          <w:spacing w:val="-8"/>
          <w:w w:val="115"/>
        </w:rPr>
        <w:t xml:space="preserve"> </w:t>
      </w:r>
      <w:r>
        <w:rPr>
          <w:w w:val="115"/>
        </w:rPr>
        <w:t>HomeExchange</w:t>
      </w:r>
      <w:r>
        <w:rPr>
          <w:spacing w:val="-8"/>
          <w:w w:val="115"/>
        </w:rPr>
        <w:t xml:space="preserve"> </w:t>
      </w:r>
      <w:r>
        <w:rPr>
          <w:w w:val="115"/>
        </w:rPr>
        <w:t>is</w:t>
      </w:r>
      <w:r>
        <w:rPr>
          <w:spacing w:val="-6"/>
          <w:w w:val="115"/>
        </w:rPr>
        <w:t xml:space="preserve"> </w:t>
      </w:r>
      <w:r>
        <w:rPr>
          <w:w w:val="115"/>
        </w:rPr>
        <w:t>built</w:t>
      </w:r>
      <w:r>
        <w:rPr>
          <w:spacing w:val="-5"/>
          <w:w w:val="115"/>
        </w:rPr>
        <w:t xml:space="preserve"> </w:t>
      </w:r>
      <w:r>
        <w:rPr>
          <w:w w:val="115"/>
        </w:rPr>
        <w:t>on</w:t>
      </w:r>
      <w:r>
        <w:rPr>
          <w:spacing w:val="-5"/>
          <w:w w:val="115"/>
        </w:rPr>
        <w:t xml:space="preserve"> </w:t>
      </w:r>
      <w:r>
        <w:rPr>
          <w:w w:val="115"/>
        </w:rPr>
        <w:t>existing</w:t>
      </w:r>
      <w:r>
        <w:rPr>
          <w:spacing w:val="-7"/>
          <w:w w:val="115"/>
        </w:rPr>
        <w:t xml:space="preserve"> </w:t>
      </w:r>
      <w:r>
        <w:rPr>
          <w:w w:val="115"/>
        </w:rPr>
        <w:t>residences</w:t>
      </w:r>
      <w:r>
        <w:rPr>
          <w:spacing w:val="-6"/>
          <w:w w:val="115"/>
        </w:rPr>
        <w:t xml:space="preserve"> </w:t>
      </w:r>
      <w:r>
        <w:rPr>
          <w:w w:val="115"/>
        </w:rPr>
        <w:t xml:space="preserve">and involves no financial transaction. Therefore, it does not remove housing stock from residential markets and generates no speculative pressure on local </w:t>
      </w:r>
      <w:r>
        <w:rPr>
          <w:spacing w:val="-2"/>
          <w:w w:val="115"/>
        </w:rPr>
        <w:t>property.</w:t>
      </w:r>
    </w:p>
    <w:p w:rsidR="00136D20">
      <w:pPr>
        <w:pStyle w:val="BodyText"/>
      </w:pPr>
    </w:p>
    <w:p w:rsidR="00136D20">
      <w:pPr>
        <w:pStyle w:val="BodyText"/>
        <w:spacing w:before="124"/>
      </w:pPr>
    </w:p>
    <w:p w:rsidR="00136D20">
      <w:pPr>
        <w:pStyle w:val="Heading2"/>
        <w:numPr>
          <w:ilvl w:val="0"/>
          <w:numId w:val="1"/>
        </w:numPr>
        <w:tabs>
          <w:tab w:val="left" w:pos="229"/>
        </w:tabs>
        <w:ind w:left="229" w:hanging="206"/>
      </w:pPr>
      <w:r>
        <w:rPr>
          <w:spacing w:val="-4"/>
          <w:w w:val="115"/>
          <w:u w:val="single"/>
        </w:rPr>
        <w:t xml:space="preserve"> </w:t>
      </w:r>
      <w:r>
        <w:rPr>
          <w:w w:val="115"/>
          <w:u w:val="single"/>
        </w:rPr>
        <w:t>Cultural</w:t>
      </w:r>
      <w:r>
        <w:rPr>
          <w:spacing w:val="-4"/>
          <w:w w:val="115"/>
          <w:u w:val="single"/>
        </w:rPr>
        <w:t xml:space="preserve"> </w:t>
      </w:r>
      <w:r>
        <w:rPr>
          <w:w w:val="115"/>
          <w:u w:val="single"/>
        </w:rPr>
        <w:t>heritage</w:t>
      </w:r>
      <w:r>
        <w:rPr>
          <w:spacing w:val="-4"/>
          <w:w w:val="115"/>
          <w:u w:val="single"/>
        </w:rPr>
        <w:t xml:space="preserve"> </w:t>
      </w:r>
      <w:r>
        <w:rPr>
          <w:w w:val="115"/>
          <w:u w:val="single"/>
        </w:rPr>
        <w:t>and</w:t>
      </w:r>
      <w:r>
        <w:rPr>
          <w:spacing w:val="-4"/>
          <w:w w:val="115"/>
          <w:u w:val="single"/>
        </w:rPr>
        <w:t xml:space="preserve"> </w:t>
      </w:r>
      <w:r>
        <w:rPr>
          <w:w w:val="115"/>
          <w:u w:val="single"/>
        </w:rPr>
        <w:t>creative</w:t>
      </w:r>
      <w:r>
        <w:rPr>
          <w:spacing w:val="-2"/>
          <w:w w:val="115"/>
          <w:u w:val="single"/>
        </w:rPr>
        <w:t xml:space="preserve"> industries</w:t>
      </w:r>
    </w:p>
    <w:p w:rsidR="00136D20">
      <w:pPr>
        <w:pStyle w:val="BodyText"/>
        <w:spacing w:before="233"/>
        <w:ind w:left="23" w:right="24"/>
        <w:jc w:val="both"/>
      </w:pPr>
      <w:r>
        <w:rPr>
          <w:w w:val="115"/>
        </w:rPr>
        <w:t>Cultural</w:t>
      </w:r>
      <w:r>
        <w:rPr>
          <w:spacing w:val="-8"/>
          <w:w w:val="115"/>
        </w:rPr>
        <w:t xml:space="preserve"> </w:t>
      </w:r>
      <w:r>
        <w:rPr>
          <w:w w:val="115"/>
        </w:rPr>
        <w:t>tourism</w:t>
      </w:r>
      <w:r>
        <w:rPr>
          <w:spacing w:val="-11"/>
          <w:w w:val="115"/>
        </w:rPr>
        <w:t xml:space="preserve"> </w:t>
      </w:r>
      <w:r>
        <w:rPr>
          <w:w w:val="115"/>
        </w:rPr>
        <w:t>is</w:t>
      </w:r>
      <w:r>
        <w:rPr>
          <w:spacing w:val="-8"/>
          <w:w w:val="115"/>
        </w:rPr>
        <w:t xml:space="preserve"> </w:t>
      </w:r>
      <w:r>
        <w:rPr>
          <w:w w:val="115"/>
        </w:rPr>
        <w:t>a</w:t>
      </w:r>
      <w:r>
        <w:rPr>
          <w:spacing w:val="-9"/>
          <w:w w:val="115"/>
        </w:rPr>
        <w:t xml:space="preserve"> </w:t>
      </w:r>
      <w:r>
        <w:rPr>
          <w:w w:val="115"/>
        </w:rPr>
        <w:t>central</w:t>
      </w:r>
      <w:r>
        <w:rPr>
          <w:spacing w:val="-8"/>
          <w:w w:val="115"/>
        </w:rPr>
        <w:t xml:space="preserve"> </w:t>
      </w:r>
      <w:r>
        <w:rPr>
          <w:w w:val="115"/>
        </w:rPr>
        <w:t>component</w:t>
      </w:r>
      <w:r>
        <w:rPr>
          <w:spacing w:val="-7"/>
          <w:w w:val="115"/>
        </w:rPr>
        <w:t xml:space="preserve"> </w:t>
      </w:r>
      <w:r>
        <w:rPr>
          <w:w w:val="115"/>
        </w:rPr>
        <w:t>of</w:t>
      </w:r>
      <w:r>
        <w:rPr>
          <w:spacing w:val="-7"/>
          <w:w w:val="115"/>
        </w:rPr>
        <w:t xml:space="preserve"> </w:t>
      </w:r>
      <w:r>
        <w:rPr>
          <w:w w:val="115"/>
        </w:rPr>
        <w:t>the</w:t>
      </w:r>
      <w:r>
        <w:rPr>
          <w:spacing w:val="-11"/>
          <w:w w:val="115"/>
        </w:rPr>
        <w:t xml:space="preserve"> </w:t>
      </w:r>
      <w:r>
        <w:rPr>
          <w:w w:val="115"/>
        </w:rPr>
        <w:t>United</w:t>
      </w:r>
      <w:r>
        <w:rPr>
          <w:spacing w:val="-10"/>
          <w:w w:val="115"/>
        </w:rPr>
        <w:t xml:space="preserve"> </w:t>
      </w:r>
      <w:r>
        <w:rPr>
          <w:w w:val="115"/>
        </w:rPr>
        <w:t>Kingdom</w:t>
      </w:r>
      <w:r>
        <w:rPr>
          <w:spacing w:val="-11"/>
          <w:w w:val="115"/>
        </w:rPr>
        <w:t xml:space="preserve"> </w:t>
      </w:r>
      <w:r>
        <w:rPr>
          <w:w w:val="115"/>
        </w:rPr>
        <w:t>visitor</w:t>
      </w:r>
      <w:r>
        <w:rPr>
          <w:spacing w:val="-13"/>
          <w:w w:val="115"/>
        </w:rPr>
        <w:t xml:space="preserve"> </w:t>
      </w:r>
      <w:r>
        <w:rPr>
          <w:w w:val="115"/>
        </w:rPr>
        <w:t>economy.</w:t>
      </w:r>
      <w:r>
        <w:rPr>
          <w:spacing w:val="-8"/>
          <w:w w:val="115"/>
        </w:rPr>
        <w:t xml:space="preserve"> </w:t>
      </w:r>
      <w:r>
        <w:rPr>
          <w:w w:val="115"/>
        </w:rPr>
        <w:t>Cultural institutions,</w:t>
      </w:r>
      <w:r>
        <w:rPr>
          <w:spacing w:val="-7"/>
          <w:w w:val="115"/>
        </w:rPr>
        <w:t xml:space="preserve"> </w:t>
      </w:r>
      <w:r>
        <w:rPr>
          <w:w w:val="115"/>
        </w:rPr>
        <w:t>heritage</w:t>
      </w:r>
      <w:r>
        <w:rPr>
          <w:spacing w:val="-5"/>
          <w:w w:val="115"/>
        </w:rPr>
        <w:t xml:space="preserve"> </w:t>
      </w:r>
      <w:r>
        <w:rPr>
          <w:w w:val="115"/>
        </w:rPr>
        <w:t>assets</w:t>
      </w:r>
      <w:r>
        <w:rPr>
          <w:spacing w:val="-4"/>
          <w:w w:val="115"/>
        </w:rPr>
        <w:t xml:space="preserve"> </w:t>
      </w:r>
      <w:r>
        <w:rPr>
          <w:w w:val="115"/>
        </w:rPr>
        <w:t>and</w:t>
      </w:r>
      <w:r>
        <w:rPr>
          <w:spacing w:val="-6"/>
          <w:w w:val="115"/>
        </w:rPr>
        <w:t xml:space="preserve"> </w:t>
      </w:r>
      <w:r>
        <w:rPr>
          <w:w w:val="115"/>
        </w:rPr>
        <w:t>creative</w:t>
      </w:r>
      <w:r>
        <w:rPr>
          <w:spacing w:val="-5"/>
          <w:w w:val="115"/>
        </w:rPr>
        <w:t xml:space="preserve"> </w:t>
      </w:r>
      <w:r>
        <w:rPr>
          <w:w w:val="115"/>
        </w:rPr>
        <w:t>industries</w:t>
      </w:r>
      <w:r>
        <w:rPr>
          <w:spacing w:val="-4"/>
          <w:w w:val="115"/>
        </w:rPr>
        <w:t xml:space="preserve"> </w:t>
      </w:r>
      <w:r>
        <w:rPr>
          <w:w w:val="115"/>
        </w:rPr>
        <w:t>are</w:t>
      </w:r>
      <w:r>
        <w:rPr>
          <w:spacing w:val="-5"/>
          <w:w w:val="115"/>
        </w:rPr>
        <w:t xml:space="preserve"> </w:t>
      </w:r>
      <w:r>
        <w:rPr>
          <w:w w:val="115"/>
        </w:rPr>
        <w:t>key</w:t>
      </w:r>
      <w:r>
        <w:rPr>
          <w:spacing w:val="-5"/>
          <w:w w:val="115"/>
        </w:rPr>
        <w:t xml:space="preserve"> </w:t>
      </w:r>
      <w:r>
        <w:rPr>
          <w:w w:val="115"/>
        </w:rPr>
        <w:t>drivers</w:t>
      </w:r>
      <w:r>
        <w:rPr>
          <w:spacing w:val="-5"/>
          <w:w w:val="115"/>
        </w:rPr>
        <w:t xml:space="preserve"> </w:t>
      </w:r>
      <w:r>
        <w:rPr>
          <w:w w:val="115"/>
        </w:rPr>
        <w:t>of</w:t>
      </w:r>
      <w:r>
        <w:rPr>
          <w:spacing w:val="-3"/>
          <w:w w:val="115"/>
        </w:rPr>
        <w:t xml:space="preserve"> </w:t>
      </w:r>
      <w:r>
        <w:rPr>
          <w:w w:val="115"/>
        </w:rPr>
        <w:t>both</w:t>
      </w:r>
      <w:r>
        <w:rPr>
          <w:spacing w:val="-5"/>
          <w:w w:val="115"/>
        </w:rPr>
        <w:t xml:space="preserve"> </w:t>
      </w:r>
      <w:r>
        <w:rPr>
          <w:w w:val="115"/>
        </w:rPr>
        <w:t>domestic</w:t>
      </w:r>
      <w:r>
        <w:rPr>
          <w:spacing w:val="-3"/>
          <w:w w:val="115"/>
        </w:rPr>
        <w:t xml:space="preserve"> </w:t>
      </w:r>
      <w:r>
        <w:rPr>
          <w:w w:val="115"/>
        </w:rPr>
        <w:t>and international tourism demand.</w:t>
      </w:r>
    </w:p>
    <w:p w:rsidR="00136D20">
      <w:pPr>
        <w:pStyle w:val="Heading2"/>
        <w:spacing w:before="241" w:line="237" w:lineRule="auto"/>
        <w:ind w:right="18"/>
        <w:jc w:val="both"/>
      </w:pPr>
      <w:r>
        <w:rPr>
          <w:w w:val="115"/>
        </w:rPr>
        <w:t>HomeExchange users are frequently motivated by cultural engagement and local experience. The model actively encourages immersive, community-based travel rather than transient visits to headline attractions.</w:t>
      </w:r>
    </w:p>
    <w:p w:rsidR="00136D20">
      <w:pPr>
        <w:pStyle w:val="BodyText"/>
        <w:spacing w:before="242" w:line="237" w:lineRule="auto"/>
        <w:ind w:left="23" w:right="21"/>
        <w:jc w:val="both"/>
      </w:pPr>
      <w:r>
        <w:rPr>
          <w:w w:val="115"/>
        </w:rPr>
        <w:t>Longer stays facilitated by HomeExchange enable greater participation in cultural institutions,</w:t>
      </w:r>
      <w:r>
        <w:rPr>
          <w:spacing w:val="-3"/>
          <w:w w:val="115"/>
        </w:rPr>
        <w:t xml:space="preserve"> </w:t>
      </w:r>
      <w:r>
        <w:rPr>
          <w:w w:val="115"/>
        </w:rPr>
        <w:t>heritage</w:t>
      </w:r>
      <w:r>
        <w:rPr>
          <w:spacing w:val="-3"/>
          <w:w w:val="115"/>
        </w:rPr>
        <w:t xml:space="preserve"> </w:t>
      </w:r>
      <w:r>
        <w:rPr>
          <w:w w:val="115"/>
        </w:rPr>
        <w:t>sites</w:t>
      </w:r>
      <w:r>
        <w:rPr>
          <w:spacing w:val="-2"/>
          <w:w w:val="115"/>
        </w:rPr>
        <w:t xml:space="preserve"> </w:t>
      </w:r>
      <w:r>
        <w:rPr>
          <w:w w:val="115"/>
        </w:rPr>
        <w:t>and</w:t>
      </w:r>
      <w:r>
        <w:rPr>
          <w:spacing w:val="-1"/>
          <w:w w:val="115"/>
        </w:rPr>
        <w:t xml:space="preserve"> </w:t>
      </w:r>
      <w:r>
        <w:rPr>
          <w:w w:val="115"/>
        </w:rPr>
        <w:t>local</w:t>
      </w:r>
      <w:r>
        <w:rPr>
          <w:spacing w:val="-3"/>
          <w:w w:val="115"/>
        </w:rPr>
        <w:t xml:space="preserve"> </w:t>
      </w:r>
      <w:r>
        <w:rPr>
          <w:w w:val="115"/>
        </w:rPr>
        <w:t>events.</w:t>
      </w:r>
      <w:r>
        <w:rPr>
          <w:spacing w:val="-3"/>
          <w:w w:val="115"/>
        </w:rPr>
        <w:t xml:space="preserve"> </w:t>
      </w:r>
      <w:r>
        <w:rPr>
          <w:w w:val="115"/>
        </w:rPr>
        <w:t>This</w:t>
      </w:r>
      <w:r>
        <w:rPr>
          <w:spacing w:val="-2"/>
          <w:w w:val="115"/>
        </w:rPr>
        <w:t xml:space="preserve"> </w:t>
      </w:r>
      <w:r>
        <w:rPr>
          <w:w w:val="115"/>
        </w:rPr>
        <w:t>increases</w:t>
      </w:r>
      <w:r>
        <w:rPr>
          <w:spacing w:val="-4"/>
          <w:w w:val="115"/>
        </w:rPr>
        <w:t xml:space="preserve"> </w:t>
      </w:r>
      <w:r>
        <w:rPr>
          <w:w w:val="115"/>
        </w:rPr>
        <w:t>the</w:t>
      </w:r>
      <w:r>
        <w:rPr>
          <w:spacing w:val="-1"/>
          <w:w w:val="115"/>
        </w:rPr>
        <w:t xml:space="preserve"> </w:t>
      </w:r>
      <w:r>
        <w:rPr>
          <w:w w:val="115"/>
        </w:rPr>
        <w:t>economic</w:t>
      </w:r>
      <w:r>
        <w:rPr>
          <w:spacing w:val="-2"/>
          <w:w w:val="115"/>
        </w:rPr>
        <w:t xml:space="preserve"> </w:t>
      </w:r>
      <w:r>
        <w:rPr>
          <w:w w:val="115"/>
        </w:rPr>
        <w:t>contribution</w:t>
      </w:r>
      <w:r>
        <w:rPr>
          <w:spacing w:val="-4"/>
          <w:w w:val="115"/>
        </w:rPr>
        <w:t xml:space="preserve"> </w:t>
      </w:r>
      <w:r>
        <w:rPr>
          <w:spacing w:val="-5"/>
          <w:w w:val="115"/>
        </w:rPr>
        <w:t>of</w:t>
      </w:r>
    </w:p>
    <w:p w:rsidR="00136D20">
      <w:pPr>
        <w:pStyle w:val="BodyText"/>
        <w:spacing w:line="237" w:lineRule="auto"/>
        <w:jc w:val="both"/>
        <w:sectPr>
          <w:pgSz w:w="11910" w:h="16840"/>
          <w:pgMar w:top="1880" w:right="1417" w:bottom="960" w:left="1417" w:header="716" w:footer="774" w:gutter="0"/>
          <w:cols w:space="720"/>
        </w:sectPr>
      </w:pPr>
    </w:p>
    <w:p w:rsidR="00136D20">
      <w:pPr>
        <w:pStyle w:val="BodyText"/>
        <w:spacing w:before="96" w:line="237" w:lineRule="auto"/>
        <w:ind w:left="23" w:right="22"/>
        <w:jc w:val="both"/>
      </w:pPr>
      <w:r>
        <w:rPr>
          <w:w w:val="115"/>
        </w:rPr>
        <w:t xml:space="preserve">cultural assets, </w:t>
      </w:r>
      <w:r>
        <w:rPr>
          <w:w w:val="115"/>
        </w:rPr>
        <w:t>supports</w:t>
      </w:r>
      <w:r>
        <w:rPr>
          <w:w w:val="115"/>
        </w:rPr>
        <w:t xml:space="preserve"> a wider geographic distribution of cultural spending and </w:t>
      </w:r>
      <w:r>
        <w:rPr>
          <w:w w:val="110"/>
        </w:rPr>
        <w:t>strengthens</w:t>
      </w:r>
      <w:r>
        <w:rPr>
          <w:spacing w:val="18"/>
          <w:w w:val="110"/>
        </w:rPr>
        <w:t xml:space="preserve"> </w:t>
      </w:r>
      <w:r>
        <w:rPr>
          <w:w w:val="110"/>
        </w:rPr>
        <w:t>engagement</w:t>
      </w:r>
      <w:r>
        <w:rPr>
          <w:spacing w:val="20"/>
          <w:w w:val="110"/>
        </w:rPr>
        <w:t xml:space="preserve"> </w:t>
      </w:r>
      <w:r>
        <w:rPr>
          <w:w w:val="110"/>
        </w:rPr>
        <w:t>with</w:t>
      </w:r>
      <w:r>
        <w:rPr>
          <w:spacing w:val="19"/>
          <w:w w:val="110"/>
        </w:rPr>
        <w:t xml:space="preserve"> </w:t>
      </w:r>
      <w:r>
        <w:rPr>
          <w:w w:val="110"/>
        </w:rPr>
        <w:t>cultural</w:t>
      </w:r>
      <w:r>
        <w:rPr>
          <w:spacing w:val="16"/>
          <w:w w:val="110"/>
        </w:rPr>
        <w:t xml:space="preserve"> </w:t>
      </w:r>
      <w:r>
        <w:rPr>
          <w:w w:val="110"/>
        </w:rPr>
        <w:t>infrastructure</w:t>
      </w:r>
      <w:r>
        <w:rPr>
          <w:spacing w:val="15"/>
          <w:w w:val="110"/>
        </w:rPr>
        <w:t xml:space="preserve"> </w:t>
      </w:r>
      <w:r>
        <w:rPr>
          <w:w w:val="110"/>
        </w:rPr>
        <w:t>beyond</w:t>
      </w:r>
      <w:r>
        <w:rPr>
          <w:spacing w:val="16"/>
          <w:w w:val="110"/>
        </w:rPr>
        <w:t xml:space="preserve"> </w:t>
      </w:r>
      <w:r>
        <w:rPr>
          <w:w w:val="110"/>
        </w:rPr>
        <w:t>major</w:t>
      </w:r>
      <w:r>
        <w:rPr>
          <w:spacing w:val="15"/>
          <w:w w:val="110"/>
        </w:rPr>
        <w:t xml:space="preserve"> </w:t>
      </w:r>
      <w:r>
        <w:rPr>
          <w:w w:val="110"/>
        </w:rPr>
        <w:t>metropolitan</w:t>
      </w:r>
      <w:r>
        <w:rPr>
          <w:spacing w:val="18"/>
          <w:w w:val="110"/>
        </w:rPr>
        <w:t xml:space="preserve"> </w:t>
      </w:r>
      <w:r>
        <w:rPr>
          <w:spacing w:val="-2"/>
          <w:w w:val="110"/>
        </w:rPr>
        <w:t>centres</w:t>
      </w:r>
      <w:r>
        <w:rPr>
          <w:spacing w:val="-2"/>
          <w:w w:val="110"/>
        </w:rPr>
        <w:t>.</w:t>
      </w:r>
    </w:p>
    <w:p w:rsidR="00136D20">
      <w:pPr>
        <w:pStyle w:val="BodyText"/>
      </w:pPr>
    </w:p>
    <w:p w:rsidR="00136D20">
      <w:pPr>
        <w:pStyle w:val="BodyText"/>
        <w:spacing w:before="210"/>
      </w:pPr>
    </w:p>
    <w:p w:rsidR="00136D20">
      <w:pPr>
        <w:spacing w:line="237" w:lineRule="auto"/>
        <w:ind w:left="23" w:right="19"/>
        <w:jc w:val="both"/>
        <w:rPr>
          <w:b/>
        </w:rPr>
      </w:pPr>
      <w:r>
        <w:rPr>
          <w:w w:val="115"/>
        </w:rPr>
        <w:t>Taken together, HomeExchange addresses a substantial number of the challenges of tourism in the UK: affordability, competitiveness, regional</w:t>
      </w:r>
      <w:r>
        <w:rPr>
          <w:w w:val="115"/>
        </w:rPr>
        <w:t xml:space="preserve"> distribution, housing market pressure, seasonality and sustainable growth. </w:t>
      </w:r>
      <w:r>
        <w:rPr>
          <w:b/>
          <w:w w:val="115"/>
        </w:rPr>
        <w:t>HomeExchange stands ready to support the Committee's work and to contribute further evidence as required.</w:t>
      </w:r>
    </w:p>
    <w:sectPr>
      <w:pgSz w:w="11910" w:h="16840"/>
      <w:pgMar w:top="1880" w:right="1417" w:bottom="960" w:left="1417" w:header="716" w:footer="77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D20">
    <w:pPr>
      <w:pStyle w:val="BodyText"/>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36D20">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7A859F3"/>
    <w:multiLevelType w:val="hybridMultilevel"/>
    <w:tmpl w:val="0DCA5B50"/>
    <w:lvl w:ilvl="0">
      <w:start w:val="0"/>
      <w:numFmt w:val="bullet"/>
      <w:lvlText w:val="●"/>
      <w:lvlJc w:val="left"/>
      <w:pPr>
        <w:ind w:left="853" w:hanging="360"/>
      </w:pPr>
      <w:rPr>
        <w:rFonts w:ascii="Calibri" w:eastAsia="Calibri" w:hAnsi="Calibri" w:cs="Calibri" w:hint="default"/>
        <w:spacing w:val="0"/>
        <w:w w:val="100"/>
        <w:lang w:val="en-US" w:eastAsia="en-US" w:bidi="ar-SA"/>
      </w:rPr>
    </w:lvl>
    <w:lvl w:ilvl="1">
      <w:start w:val="0"/>
      <w:numFmt w:val="bullet"/>
      <w:lvlText w:val="•"/>
      <w:lvlJc w:val="left"/>
      <w:pPr>
        <w:ind w:left="1681" w:hanging="360"/>
      </w:pPr>
      <w:rPr>
        <w:rFonts w:hint="default"/>
        <w:lang w:val="en-US" w:eastAsia="en-US" w:bidi="ar-SA"/>
      </w:rPr>
    </w:lvl>
    <w:lvl w:ilvl="2">
      <w:start w:val="0"/>
      <w:numFmt w:val="bullet"/>
      <w:lvlText w:val="•"/>
      <w:lvlJc w:val="left"/>
      <w:pPr>
        <w:ind w:left="2502" w:hanging="360"/>
      </w:pPr>
      <w:rPr>
        <w:rFonts w:hint="default"/>
        <w:lang w:val="en-US" w:eastAsia="en-US" w:bidi="ar-SA"/>
      </w:rPr>
    </w:lvl>
    <w:lvl w:ilvl="3">
      <w:start w:val="0"/>
      <w:numFmt w:val="bullet"/>
      <w:lvlText w:val="•"/>
      <w:lvlJc w:val="left"/>
      <w:pPr>
        <w:ind w:left="3323" w:hanging="360"/>
      </w:pPr>
      <w:rPr>
        <w:rFonts w:hint="default"/>
        <w:lang w:val="en-US" w:eastAsia="en-US" w:bidi="ar-SA"/>
      </w:rPr>
    </w:lvl>
    <w:lvl w:ilvl="4">
      <w:start w:val="0"/>
      <w:numFmt w:val="bullet"/>
      <w:lvlText w:val="•"/>
      <w:lvlJc w:val="left"/>
      <w:pPr>
        <w:ind w:left="4144" w:hanging="360"/>
      </w:pPr>
      <w:rPr>
        <w:rFonts w:hint="default"/>
        <w:lang w:val="en-US" w:eastAsia="en-US" w:bidi="ar-SA"/>
      </w:rPr>
    </w:lvl>
    <w:lvl w:ilvl="5">
      <w:start w:val="0"/>
      <w:numFmt w:val="bullet"/>
      <w:lvlText w:val="•"/>
      <w:lvlJc w:val="left"/>
      <w:pPr>
        <w:ind w:left="4966" w:hanging="360"/>
      </w:pPr>
      <w:rPr>
        <w:rFonts w:hint="default"/>
        <w:lang w:val="en-US" w:eastAsia="en-US" w:bidi="ar-SA"/>
      </w:rPr>
    </w:lvl>
    <w:lvl w:ilvl="6">
      <w:start w:val="0"/>
      <w:numFmt w:val="bullet"/>
      <w:lvlText w:val="•"/>
      <w:lvlJc w:val="left"/>
      <w:pPr>
        <w:ind w:left="5787" w:hanging="360"/>
      </w:pPr>
      <w:rPr>
        <w:rFonts w:hint="default"/>
        <w:lang w:val="en-US" w:eastAsia="en-US" w:bidi="ar-SA"/>
      </w:rPr>
    </w:lvl>
    <w:lvl w:ilvl="7">
      <w:start w:val="0"/>
      <w:numFmt w:val="bullet"/>
      <w:lvlText w:val="•"/>
      <w:lvlJc w:val="left"/>
      <w:pPr>
        <w:ind w:left="6608" w:hanging="360"/>
      </w:pPr>
      <w:rPr>
        <w:rFonts w:hint="default"/>
        <w:lang w:val="en-US" w:eastAsia="en-US" w:bidi="ar-SA"/>
      </w:rPr>
    </w:lvl>
    <w:lvl w:ilvl="8">
      <w:start w:val="0"/>
      <w:numFmt w:val="bullet"/>
      <w:lvlText w:val="•"/>
      <w:lvlJc w:val="left"/>
      <w:pPr>
        <w:ind w:left="7429" w:hanging="360"/>
      </w:pPr>
      <w:rPr>
        <w:rFonts w:hint="default"/>
        <w:lang w:val="en-US" w:eastAsia="en-US" w:bidi="ar-SA"/>
      </w:rPr>
    </w:lvl>
  </w:abstractNum>
  <w:abstractNum w:abstractNumId="1">
    <w:nsid w:val="7F6F2248"/>
    <w:multiLevelType w:val="hybridMultilevel"/>
    <w:tmpl w:val="ACF47854"/>
    <w:lvl w:ilvl="0">
      <w:start w:val="1"/>
      <w:numFmt w:val="decimal"/>
      <w:lvlText w:val="%1."/>
      <w:lvlJc w:val="left"/>
      <w:pPr>
        <w:ind w:left="236" w:hanging="214"/>
        <w:jc w:val="left"/>
      </w:pPr>
      <w:rPr>
        <w:rFonts w:ascii="Calibri" w:eastAsia="Calibri" w:hAnsi="Calibri" w:cs="Calibri" w:hint="default"/>
        <w:b/>
        <w:bCs/>
        <w:i w:val="0"/>
        <w:iCs w:val="0"/>
        <w:spacing w:val="0"/>
        <w:w w:val="86"/>
        <w:sz w:val="22"/>
        <w:szCs w:val="22"/>
        <w:u w:val="single" w:color="000000"/>
        <w:lang w:val="en-US" w:eastAsia="en-US" w:bidi="ar-SA"/>
      </w:rPr>
    </w:lvl>
    <w:lvl w:ilvl="1">
      <w:start w:val="0"/>
      <w:numFmt w:val="bullet"/>
      <w:lvlText w:val="●"/>
      <w:lvlJc w:val="left"/>
      <w:pPr>
        <w:ind w:left="743"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0"/>
      <w:numFmt w:val="bullet"/>
      <w:lvlText w:val="•"/>
      <w:lvlJc w:val="left"/>
      <w:pPr>
        <w:ind w:left="1665" w:hanging="360"/>
      </w:pPr>
      <w:rPr>
        <w:rFonts w:hint="default"/>
        <w:lang w:val="en-US" w:eastAsia="en-US" w:bidi="ar-SA"/>
      </w:rPr>
    </w:lvl>
    <w:lvl w:ilvl="3">
      <w:start w:val="0"/>
      <w:numFmt w:val="bullet"/>
      <w:lvlText w:val="•"/>
      <w:lvlJc w:val="left"/>
      <w:pPr>
        <w:ind w:left="2591" w:hanging="360"/>
      </w:pPr>
      <w:rPr>
        <w:rFonts w:hint="default"/>
        <w:lang w:val="en-US" w:eastAsia="en-US" w:bidi="ar-SA"/>
      </w:rPr>
    </w:lvl>
    <w:lvl w:ilvl="4">
      <w:start w:val="0"/>
      <w:numFmt w:val="bullet"/>
      <w:lvlText w:val="•"/>
      <w:lvlJc w:val="left"/>
      <w:pPr>
        <w:ind w:left="3517" w:hanging="360"/>
      </w:pPr>
      <w:rPr>
        <w:rFonts w:hint="default"/>
        <w:lang w:val="en-US" w:eastAsia="en-US" w:bidi="ar-SA"/>
      </w:rPr>
    </w:lvl>
    <w:lvl w:ilvl="5">
      <w:start w:val="0"/>
      <w:numFmt w:val="bullet"/>
      <w:lvlText w:val="•"/>
      <w:lvlJc w:val="left"/>
      <w:pPr>
        <w:ind w:left="4443" w:hanging="360"/>
      </w:pPr>
      <w:rPr>
        <w:rFonts w:hint="default"/>
        <w:lang w:val="en-US" w:eastAsia="en-US" w:bidi="ar-SA"/>
      </w:rPr>
    </w:lvl>
    <w:lvl w:ilvl="6">
      <w:start w:val="0"/>
      <w:numFmt w:val="bullet"/>
      <w:lvlText w:val="•"/>
      <w:lvlJc w:val="left"/>
      <w:pPr>
        <w:ind w:left="5369" w:hanging="360"/>
      </w:pPr>
      <w:rPr>
        <w:rFonts w:hint="default"/>
        <w:lang w:val="en-US" w:eastAsia="en-US" w:bidi="ar-SA"/>
      </w:rPr>
    </w:lvl>
    <w:lvl w:ilvl="7">
      <w:start w:val="0"/>
      <w:numFmt w:val="bullet"/>
      <w:lvlText w:val="•"/>
      <w:lvlJc w:val="left"/>
      <w:pPr>
        <w:ind w:left="6294" w:hanging="360"/>
      </w:pPr>
      <w:rPr>
        <w:rFonts w:hint="default"/>
        <w:lang w:val="en-US" w:eastAsia="en-US" w:bidi="ar-SA"/>
      </w:rPr>
    </w:lvl>
    <w:lvl w:ilvl="8">
      <w:start w:val="0"/>
      <w:numFmt w:val="bullet"/>
      <w:lvlText w:val="•"/>
      <w:lvlJc w:val="left"/>
      <w:pPr>
        <w:ind w:left="7220" w:hanging="36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drawingGridHorizontalSpacing w:val="110"/>
  <w:displayHorizontalDrawingGridEvery w:val="2"/>
  <w:characterSpacingControl w:val="doNotCompress"/>
  <w:compat>
    <w:ulTrailSpace/>
    <w:shapeLayoutLikeWW8/>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94"/>
      <w:ind w:left="1341" w:hanging="819"/>
      <w:outlineLvl w:val="0"/>
    </w:pPr>
    <w:rPr>
      <w:b/>
      <w:bCs/>
      <w:sz w:val="28"/>
      <w:szCs w:val="28"/>
    </w:rPr>
  </w:style>
  <w:style w:type="paragraph" w:styleId="Heading2">
    <w:name w:val="heading 2"/>
    <w:basedOn w:val="Normal"/>
    <w:uiPriority w:val="9"/>
    <w:unhideWhenUsed/>
    <w:qFormat/>
    <w:pPr>
      <w:ind w:left="23"/>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43"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377E6"/>
    <w:pPr>
      <w:tabs>
        <w:tab w:val="center" w:pos="4513"/>
        <w:tab w:val="right" w:pos="9026"/>
      </w:tabs>
    </w:pPr>
  </w:style>
  <w:style w:type="character" w:customStyle="1" w:styleId="HeaderChar">
    <w:name w:val="Header Char"/>
    <w:basedOn w:val="DefaultParagraphFont"/>
    <w:link w:val="Header"/>
    <w:uiPriority w:val="99"/>
    <w:rsid w:val="003377E6"/>
    <w:rPr>
      <w:rFonts w:ascii="Calibri" w:eastAsia="Calibri" w:hAnsi="Calibri" w:cs="Calibri"/>
    </w:rPr>
  </w:style>
  <w:style w:type="paragraph" w:styleId="Footer">
    <w:name w:val="footer"/>
    <w:basedOn w:val="Normal"/>
    <w:link w:val="FooterChar"/>
    <w:uiPriority w:val="99"/>
    <w:unhideWhenUsed/>
    <w:rsid w:val="003377E6"/>
    <w:pPr>
      <w:tabs>
        <w:tab w:val="center" w:pos="4513"/>
        <w:tab w:val="right" w:pos="9026"/>
      </w:tabs>
    </w:pPr>
  </w:style>
  <w:style w:type="character" w:customStyle="1" w:styleId="FooterChar">
    <w:name w:val="Footer Char"/>
    <w:basedOn w:val="DefaultParagraphFont"/>
    <w:link w:val="Footer"/>
    <w:uiPriority w:val="99"/>
    <w:rsid w:val="003377E6"/>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TOU0116</dc:title>
  <cp:revision>0</cp:revision>
</cp:coreProperties>
</file>