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08EB" w:rsidP="00261286">
      <w:pPr>
        <w:spacing w:after="160"/>
        <w:jc w:val="center"/>
        <w:rPr>
          <w:rFonts w:ascii="Calibri" w:hAnsi="Calibri" w:cs="Calibri"/>
          <w:b/>
          <w:bCs/>
          <w:sz w:val="20"/>
          <w:szCs w:val="20"/>
        </w:rPr>
      </w:pPr>
      <w:r>
        <w:rPr>
          <w:rFonts w:ascii="Calibri" w:hAnsi="Calibri" w:cs="Calibri"/>
          <w:b/>
          <w:bCs/>
          <w:sz w:val="20"/>
          <w:szCs w:val="20"/>
        </w:rPr>
        <w:t>Written evidence from Name Withheld</w:t>
      </w:r>
      <w:r w:rsidR="00261286">
        <w:rPr>
          <w:rFonts w:ascii="Calibri" w:hAnsi="Calibri" w:cs="Calibri"/>
          <w:b/>
          <w:bCs/>
          <w:sz w:val="20"/>
          <w:szCs w:val="20"/>
        </w:rPr>
        <w:t xml:space="preserve"> [COM00</w:t>
      </w:r>
      <w:r w:rsidR="00576052">
        <w:rPr>
          <w:rFonts w:ascii="Calibri" w:hAnsi="Calibri" w:cs="Calibri"/>
          <w:b/>
          <w:bCs/>
          <w:sz w:val="20"/>
          <w:szCs w:val="20"/>
        </w:rPr>
        <w:t>2</w:t>
      </w:r>
      <w:r w:rsidR="00261286">
        <w:rPr>
          <w:rFonts w:ascii="Calibri" w:hAnsi="Calibri" w:cs="Calibri"/>
          <w:b/>
          <w:bCs/>
          <w:sz w:val="20"/>
          <w:szCs w:val="20"/>
        </w:rPr>
        <w:t>]</w:t>
      </w:r>
    </w:p>
    <w:p w:rsidR="000508EB" w:rsidP="009B6547">
      <w:pPr>
        <w:spacing w:after="160"/>
        <w:rPr>
          <w:rFonts w:ascii="Calibri" w:hAnsi="Calibri" w:cs="Calibri"/>
          <w:b/>
          <w:bCs/>
          <w:sz w:val="20"/>
          <w:szCs w:val="20"/>
        </w:rPr>
      </w:pPr>
    </w:p>
    <w:p w:rsidR="000508EB" w:rsidP="009B6547">
      <w:pPr>
        <w:spacing w:after="160"/>
      </w:pPr>
      <w:r>
        <w:rPr>
          <w:rFonts w:ascii="Calibri" w:hAnsi="Calibri" w:cs="Calibri"/>
          <w:b/>
          <w:bCs/>
          <w:sz w:val="20"/>
          <w:szCs w:val="20"/>
        </w:rPr>
        <w:t>Written Evidence: Experiences of Women in Live Comedy</w:t>
      </w:r>
    </w:p>
    <w:p w:rsidR="000508EB" w:rsidP="009B6547">
      <w:pPr>
        <w:spacing w:after="160"/>
      </w:pPr>
      <w:r>
        <w:rPr>
          <w:rFonts w:ascii="Calibri" w:hAnsi="Calibri" w:cs="Calibri"/>
          <w:b/>
          <w:bCs/>
          <w:sz w:val="20"/>
          <w:szCs w:val="20"/>
        </w:rPr>
        <w:t>1. Professional background</w:t>
      </w:r>
    </w:p>
    <w:p w:rsidR="000508EB" w:rsidP="009B6547">
      <w:pPr>
        <w:spacing w:after="160"/>
      </w:pPr>
      <w:r>
        <w:rPr>
          <w:rFonts w:ascii="Calibri" w:hAnsi="Calibri" w:cs="Calibri"/>
          <w:sz w:val="20"/>
          <w:szCs w:val="20"/>
        </w:rPr>
        <w:t>I have worked in stand-up comedy for over 2 decades. Over this time, I have worked extensively as a stand-up comedian, MC, solo performer, writer and producer of my own shows. I regularly perform at comedy clubs, fringe festivals, and nerd culture conventions, and I also perform at disability-focused, mental health-focused, and women-in-comedy events. I am self-employed and freelance. I have performed thousands of shows worldwide and nationally.</w:t>
      </w:r>
    </w:p>
    <w:p w:rsidR="000508EB" w:rsidP="009B6547">
      <w:pPr>
        <w:spacing w:after="160"/>
      </w:pPr>
      <w:r>
        <w:rPr>
          <w:rFonts w:ascii="Calibri" w:hAnsi="Calibri" w:cs="Calibri"/>
          <w:b/>
          <w:bCs/>
          <w:sz w:val="20"/>
          <w:szCs w:val="20"/>
        </w:rPr>
        <w:t>2. Overall experience as a woman in live comedy</w:t>
      </w:r>
    </w:p>
    <w:p w:rsidR="000508EB" w:rsidP="009B6547">
      <w:pPr>
        <w:spacing w:after="160"/>
      </w:pPr>
      <w:r>
        <w:rPr>
          <w:rFonts w:ascii="Calibri" w:hAnsi="Calibri" w:cs="Calibri"/>
          <w:sz w:val="20"/>
          <w:szCs w:val="20"/>
        </w:rPr>
        <w:t>My experience as a woman working in live comedy has been consistently shaped by exclusionary culture, inequality, and at times, unsafe working environments. While there are supportive individuals and spaces within the industry, the wider environment is often hostile, cliquey, and shaped by a “lad culture” dynamic. I have frequently felt I need to adapt myself culturally in order to be accepted or booked.</w:t>
      </w:r>
    </w:p>
    <w:p w:rsidR="000508EB" w:rsidP="009B6547">
      <w:pPr>
        <w:spacing w:after="160"/>
      </w:pPr>
      <w:r>
        <w:rPr>
          <w:rFonts w:ascii="Calibri" w:hAnsi="Calibri" w:cs="Calibri"/>
          <w:sz w:val="20"/>
          <w:szCs w:val="20"/>
        </w:rPr>
        <w:t>There is also a persistent double standard in how men and women are treated professionally, particularly in relation to performance quality, career development after failure, and expectations around professionalism and appearance.</w:t>
      </w:r>
    </w:p>
    <w:p w:rsidR="000508EB" w:rsidP="009B6547">
      <w:pPr>
        <w:spacing w:after="160"/>
      </w:pPr>
      <w:r>
        <w:rPr>
          <w:rFonts w:ascii="Calibri" w:hAnsi="Calibri" w:cs="Calibri"/>
          <w:b/>
          <w:bCs/>
          <w:sz w:val="20"/>
          <w:szCs w:val="20"/>
        </w:rPr>
        <w:t>3. Early career barriers and exclusion</w:t>
      </w:r>
    </w:p>
    <w:p w:rsidR="000508EB" w:rsidP="009B6547">
      <w:pPr>
        <w:spacing w:after="160"/>
      </w:pPr>
      <w:r>
        <w:rPr>
          <w:rFonts w:ascii="Calibri" w:hAnsi="Calibri" w:cs="Calibri"/>
          <w:sz w:val="20"/>
          <w:szCs w:val="20"/>
        </w:rPr>
        <w:t>From early in my career, I experienced significant barriers including exclusion from informal professional networks and backstage environments dominated by established male comedians. I encountered cliquey behaviour that made it difficult for newer performers, particularly women, to feel welcomed or included.</w:t>
      </w:r>
    </w:p>
    <w:p w:rsidR="000508EB" w:rsidP="009B6547">
      <w:pPr>
        <w:spacing w:after="160"/>
      </w:pPr>
      <w:r>
        <w:rPr>
          <w:rFonts w:ascii="Calibri" w:hAnsi="Calibri" w:cs="Calibri"/>
          <w:sz w:val="20"/>
          <w:szCs w:val="20"/>
        </w:rPr>
        <w:t>I have also experienced inappropriate sexualised behaviour from more established male comedians, including unsolicited sexual messaging and behaviour which created discomfort and professional power imbalance. In one instance, a senior industry figure suggested that staying at his home could benefit my career, which I did not accept.</w:t>
      </w:r>
    </w:p>
    <w:p w:rsidR="000508EB" w:rsidP="009B6547">
      <w:pPr>
        <w:spacing w:after="160"/>
      </w:pPr>
      <w:r>
        <w:rPr>
          <w:rFonts w:ascii="Calibri" w:hAnsi="Calibri" w:cs="Calibri"/>
          <w:sz w:val="20"/>
          <w:szCs w:val="20"/>
        </w:rPr>
        <w:t>There is also a pattern of women not receiving equivalent recognition or constructive feedback compared to male peers. Despite strong audience and critical responses to my solo work, I have frequently received minimal or no feedback when rejected for bookings.</w:t>
      </w:r>
    </w:p>
    <w:p w:rsidR="000508EB" w:rsidP="009B6547">
      <w:pPr>
        <w:spacing w:after="160"/>
      </w:pPr>
      <w:r>
        <w:rPr>
          <w:rFonts w:ascii="Calibri" w:hAnsi="Calibri" w:cs="Calibri"/>
          <w:b/>
          <w:bCs/>
          <w:sz w:val="20"/>
          <w:szCs w:val="20"/>
        </w:rPr>
        <w:t>4. Industry gatekeeping, tokenism and pay inequality</w:t>
      </w:r>
    </w:p>
    <w:p w:rsidR="000508EB" w:rsidP="009B6547">
      <w:pPr>
        <w:spacing w:after="160"/>
      </w:pPr>
      <w:r>
        <w:rPr>
          <w:rFonts w:ascii="Calibri" w:hAnsi="Calibri" w:cs="Calibri"/>
          <w:sz w:val="20"/>
          <w:szCs w:val="20"/>
        </w:rPr>
        <w:t>I have experienced tokenism and limited access to opportunities despite strong performance track records and positive reviews. Opportunities at both grassroots and higher industry levels often appear restricted, with fewer sustained career pathways for women compared to men.</w:t>
      </w:r>
    </w:p>
    <w:p w:rsidR="000508EB" w:rsidP="009B6547">
      <w:pPr>
        <w:spacing w:after="160"/>
      </w:pPr>
      <w:r>
        <w:rPr>
          <w:rFonts w:ascii="Calibri" w:hAnsi="Calibri" w:cs="Calibri"/>
          <w:sz w:val="20"/>
          <w:szCs w:val="20"/>
        </w:rPr>
        <w:t>I am aware of and have personally experienced pay inequality within comedy bookings, including being paid significantly less than male counterparts for comparable work. Attempts to raise concerns or negotiate fairer pay have often gone unanswered.</w:t>
      </w:r>
    </w:p>
    <w:p w:rsidR="000508EB" w:rsidP="009B6547">
      <w:pPr>
        <w:spacing w:after="160"/>
      </w:pPr>
      <w:r>
        <w:rPr>
          <w:rFonts w:ascii="Calibri" w:hAnsi="Calibri" w:cs="Calibri"/>
          <w:b/>
          <w:bCs/>
          <w:sz w:val="20"/>
          <w:szCs w:val="20"/>
        </w:rPr>
        <w:t>5. Safety, harassment and informal power structures</w:t>
      </w:r>
    </w:p>
    <w:p w:rsidR="000508EB" w:rsidP="009B6547">
      <w:pPr>
        <w:spacing w:after="160"/>
      </w:pPr>
      <w:r>
        <w:rPr>
          <w:rFonts w:ascii="Calibri" w:hAnsi="Calibri" w:cs="Calibri"/>
          <w:sz w:val="20"/>
          <w:szCs w:val="20"/>
        </w:rPr>
        <w:t>I have regularly felt unsafe backstage, at venues, and while travelling to and from gigs. As a result, I often bring a partner with me to ensure personal safety.</w:t>
      </w:r>
    </w:p>
    <w:p w:rsidR="000508EB" w:rsidP="009B6547">
      <w:pPr>
        <w:spacing w:after="160"/>
      </w:pPr>
      <w:r>
        <w:rPr>
          <w:rFonts w:ascii="Calibri" w:hAnsi="Calibri" w:cs="Calibri"/>
          <w:sz w:val="20"/>
          <w:szCs w:val="20"/>
        </w:rPr>
        <w:t>Women in comedy frequently share informal warnings with one another about specific individuals, venues, or situations, indicating a reliance on informal safeguarding networks rather than formal protections.</w:t>
      </w:r>
    </w:p>
    <w:p w:rsidR="000508EB" w:rsidP="009B6547">
      <w:pPr>
        <w:spacing w:after="160"/>
      </w:pPr>
      <w:r>
        <w:rPr>
          <w:rFonts w:ascii="Calibri" w:hAnsi="Calibri" w:cs="Calibri"/>
          <w:sz w:val="20"/>
          <w:szCs w:val="20"/>
        </w:rPr>
        <w:t>I have avoided after-parties and late-night networking events due to safety concerns, particularly where alcohol is involved and where certain individuals are present. This has limited my ability to network and progress professionally, as informal networking often plays a significant role in career development.</w:t>
      </w:r>
    </w:p>
    <w:p w:rsidR="000508EB" w:rsidP="009B6547">
      <w:pPr>
        <w:spacing w:after="160"/>
      </w:pPr>
      <w:r>
        <w:rPr>
          <w:rFonts w:ascii="Calibri" w:hAnsi="Calibri" w:cs="Calibri"/>
          <w:sz w:val="20"/>
          <w:szCs w:val="20"/>
        </w:rPr>
        <w:t>I have also left gigs early due to inappropriate behaviour, which can be misinterpreted professionally as a lack of commitment or reliability.</w:t>
      </w:r>
    </w:p>
    <w:p w:rsidR="000508EB" w:rsidP="009B6547">
      <w:pPr>
        <w:spacing w:after="160"/>
      </w:pPr>
      <w:r>
        <w:rPr>
          <w:rFonts w:ascii="Calibri" w:hAnsi="Calibri" w:cs="Calibri"/>
          <w:b/>
          <w:bCs/>
          <w:sz w:val="20"/>
          <w:szCs w:val="20"/>
        </w:rPr>
        <w:t>6. Reporting, accountability and consequences</w:t>
      </w:r>
    </w:p>
    <w:p w:rsidR="000508EB" w:rsidP="009B6547">
      <w:pPr>
        <w:spacing w:after="160"/>
      </w:pPr>
      <w:r>
        <w:rPr>
          <w:rFonts w:ascii="Calibri" w:hAnsi="Calibri" w:cs="Calibri"/>
          <w:sz w:val="20"/>
          <w:szCs w:val="20"/>
        </w:rPr>
        <w:t>In my experience, when concerns or complaints are raised about inappropriate behaviour, they are often ignored, minimised, or treated as gossip rather than serious safeguarding issues. There is a strong perception that reporting misconduct carries professional risk, including reduced future bookings or being labelled as “difficult” or “oversensitive”.</w:t>
      </w:r>
    </w:p>
    <w:p w:rsidR="000508EB" w:rsidP="009B6547">
      <w:pPr>
        <w:spacing w:after="160"/>
      </w:pPr>
      <w:r>
        <w:rPr>
          <w:rFonts w:ascii="Calibri" w:hAnsi="Calibri" w:cs="Calibri"/>
          <w:sz w:val="20"/>
          <w:szCs w:val="20"/>
        </w:rPr>
        <w:t>I have also observed individuals who have engaged in inappropriate or sexualised behaviour continuing to progress professionally and gain positions of influence within the industry. This creates a perception of impunity for powerful individuals.</w:t>
      </w:r>
    </w:p>
    <w:p w:rsidR="000508EB" w:rsidP="009B6547">
      <w:pPr>
        <w:spacing w:after="160"/>
      </w:pPr>
      <w:r>
        <w:rPr>
          <w:rFonts w:ascii="Calibri" w:hAnsi="Calibri" w:cs="Calibri"/>
          <w:b/>
          <w:bCs/>
          <w:sz w:val="20"/>
          <w:szCs w:val="20"/>
        </w:rPr>
        <w:t>7. Audience behaviour and online abuse</w:t>
      </w:r>
    </w:p>
    <w:p w:rsidR="000508EB" w:rsidP="009B6547">
      <w:pPr>
        <w:spacing w:after="160"/>
      </w:pPr>
      <w:r>
        <w:rPr>
          <w:rFonts w:ascii="Calibri" w:hAnsi="Calibri" w:cs="Calibri"/>
          <w:sz w:val="20"/>
          <w:szCs w:val="20"/>
        </w:rPr>
        <w:t>I have experienced repeated instances of misogynistic and sexualised audience behaviour, including sexualised heckling and inappropriate comments regarding my appearance, professionalism, and career progression.</w:t>
      </w:r>
    </w:p>
    <w:p w:rsidR="000508EB" w:rsidP="009B6547">
      <w:pPr>
        <w:spacing w:after="160"/>
      </w:pPr>
      <w:r>
        <w:rPr>
          <w:rFonts w:ascii="Calibri" w:hAnsi="Calibri" w:cs="Calibri"/>
          <w:sz w:val="20"/>
          <w:szCs w:val="20"/>
        </w:rPr>
        <w:t>I have also experienced online abuse, including misogynistic harassment and graphic threats via social media platforms. This has included sustained trolling, abusive language, and targeted hostility, which has impacted my willingness to use certain platforms professionally.</w:t>
      </w:r>
    </w:p>
    <w:p w:rsidR="000508EB" w:rsidP="009B6547">
      <w:pPr>
        <w:spacing w:after="160"/>
      </w:pPr>
      <w:r>
        <w:rPr>
          <w:rFonts w:ascii="Calibri" w:hAnsi="Calibri" w:cs="Calibri"/>
          <w:sz w:val="20"/>
          <w:szCs w:val="20"/>
        </w:rPr>
        <w:t>Additionally, I have experienced comments undermining my professional legitimacy, including assumptions that my success is due to sexual relationships rather than merit.</w:t>
      </w:r>
    </w:p>
    <w:p w:rsidR="000508EB" w:rsidP="009B6547">
      <w:pPr>
        <w:spacing w:after="160"/>
      </w:pPr>
      <w:r>
        <w:rPr>
          <w:rFonts w:ascii="Calibri" w:hAnsi="Calibri" w:cs="Calibri"/>
          <w:b/>
          <w:bCs/>
          <w:sz w:val="20"/>
          <w:szCs w:val="20"/>
        </w:rPr>
        <w:t>8. Impact on confidence, wellbeing and career sustainability</w:t>
      </w:r>
    </w:p>
    <w:p w:rsidR="000508EB" w:rsidP="009B6547">
      <w:pPr>
        <w:spacing w:after="160"/>
      </w:pPr>
      <w:r>
        <w:rPr>
          <w:rFonts w:ascii="Calibri" w:hAnsi="Calibri" w:cs="Calibri"/>
          <w:sz w:val="20"/>
          <w:szCs w:val="20"/>
        </w:rPr>
        <w:t>The cumulative impact of these experiences has significantly affected my confidence and sense of professional safety. I perform at my best in supportive environments where performers are valued and encouraged; however, such environments are not consistently present within mainstream comedy circuits.</w:t>
      </w:r>
    </w:p>
    <w:p w:rsidR="000508EB" w:rsidP="009B6547">
      <w:pPr>
        <w:spacing w:after="160"/>
      </w:pPr>
      <w:r>
        <w:rPr>
          <w:rFonts w:ascii="Calibri" w:hAnsi="Calibri" w:cs="Calibri"/>
          <w:sz w:val="20"/>
          <w:szCs w:val="20"/>
        </w:rPr>
        <w:t>I have also experienced significant periods of poor physical and mental health, which have been exacerbated by the lack of structural support within a freelance industry with no formal sick pay or protections. Returning to work after illness has required substantial resilience and personal effort, which is rarely formally acknowledged or supported.</w:t>
      </w:r>
    </w:p>
    <w:p w:rsidR="000508EB" w:rsidP="009B6547">
      <w:pPr>
        <w:spacing w:after="160"/>
      </w:pPr>
      <w:r>
        <w:rPr>
          <w:rFonts w:ascii="Calibri" w:hAnsi="Calibri" w:cs="Calibri"/>
          <w:b/>
          <w:bCs/>
          <w:sz w:val="20"/>
          <w:szCs w:val="20"/>
        </w:rPr>
        <w:t>9. Work–life impact and financial precarity</w:t>
      </w:r>
    </w:p>
    <w:p w:rsidR="000508EB" w:rsidP="009B6547">
      <w:pPr>
        <w:spacing w:after="160"/>
      </w:pPr>
      <w:r>
        <w:rPr>
          <w:rFonts w:ascii="Calibri" w:hAnsi="Calibri" w:cs="Calibri"/>
          <w:sz w:val="20"/>
          <w:szCs w:val="20"/>
        </w:rPr>
        <w:t>The demands of sustaining a freelance comedy career have required extreme levels of work, often seven days a week, with persistent financial and professional insecurity. I have repeatedly prioritised my career over personal life, relationships, and long-term stability, including housing and family planning considerations.</w:t>
      </w:r>
    </w:p>
    <w:p w:rsidR="000508EB" w:rsidP="009B6547">
      <w:pPr>
        <w:spacing w:after="160"/>
      </w:pPr>
      <w:r>
        <w:rPr>
          <w:rFonts w:ascii="Calibri" w:hAnsi="Calibri" w:cs="Calibri"/>
          <w:sz w:val="20"/>
          <w:szCs w:val="20"/>
        </w:rPr>
        <w:t>Despite this level of commitment, opportunities remain inconsistent, and progression is often unpredictable. This creates long-term emotional and financial strain.</w:t>
      </w:r>
    </w:p>
    <w:p w:rsidR="000508EB" w:rsidP="009B6547">
      <w:pPr>
        <w:spacing w:after="160"/>
      </w:pPr>
      <w:r>
        <w:rPr>
          <w:rFonts w:ascii="Calibri" w:hAnsi="Calibri" w:cs="Calibri"/>
          <w:b/>
          <w:bCs/>
          <w:sz w:val="20"/>
          <w:szCs w:val="20"/>
        </w:rPr>
        <w:t>10. Intersectional factors: disability, neurodivergence and health</w:t>
      </w:r>
    </w:p>
    <w:p w:rsidR="000508EB" w:rsidP="009B6547">
      <w:pPr>
        <w:spacing w:after="160"/>
      </w:pPr>
      <w:r>
        <w:rPr>
          <w:rFonts w:ascii="Calibri" w:hAnsi="Calibri" w:cs="Calibri"/>
          <w:sz w:val="20"/>
          <w:szCs w:val="20"/>
        </w:rPr>
        <w:t>As a neurodivergent performer with long-term mental health conditions and chronic health challenges, I have found the live comedy environment particularly difficult to sustain. The demands of travel, late-night work, sensory environments, and inconsistent scheduling can exacerbate health conditions.</w:t>
      </w:r>
    </w:p>
    <w:p w:rsidR="000508EB" w:rsidP="009B6547">
      <w:pPr>
        <w:spacing w:after="160"/>
      </w:pPr>
      <w:r>
        <w:rPr>
          <w:rFonts w:ascii="Calibri" w:hAnsi="Calibri" w:cs="Calibri"/>
          <w:sz w:val="20"/>
          <w:szCs w:val="20"/>
        </w:rPr>
        <w:t>There is limited structural accommodation for disabled or neurodivergent performers, and disclosure of health conditions can carry stigma or risk of reduced opportunities. This contributes to pressure to mask difficulties and continue working despite health impacts.</w:t>
      </w:r>
    </w:p>
    <w:p w:rsidR="000508EB" w:rsidP="009B6547">
      <w:pPr>
        <w:spacing w:after="160"/>
      </w:pPr>
      <w:r>
        <w:rPr>
          <w:rFonts w:ascii="Calibri" w:hAnsi="Calibri" w:cs="Calibri"/>
          <w:b/>
          <w:bCs/>
          <w:sz w:val="20"/>
          <w:szCs w:val="20"/>
        </w:rPr>
        <w:t>11. Structural issues in the industry</w:t>
      </w:r>
    </w:p>
    <w:p w:rsidR="000508EB" w:rsidP="009B6547">
      <w:pPr>
        <w:spacing w:after="160"/>
      </w:pPr>
      <w:r>
        <w:rPr>
          <w:rFonts w:ascii="Calibri" w:hAnsi="Calibri" w:cs="Calibri"/>
          <w:sz w:val="20"/>
          <w:szCs w:val="20"/>
        </w:rPr>
        <w:t>Across my experience, there appear to be systemic issues within live comedy including:</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informal and opaque booking systems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lack of accountability for inappropriate behaviour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gendered disparities in pay and opportunity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reliance on informal networking in unsafe environments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lack of formal safeguarding or reporting mechanisms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cultural normalisation of misogynistic behaviour </w:t>
      </w:r>
    </w:p>
    <w:p w:rsidR="000508EB" w:rsidP="009B6547">
      <w:pPr>
        <w:numPr>
          <w:ilvl w:val="0"/>
          <w:numId w:val="1"/>
        </w:numPr>
        <w:spacing w:after="160"/>
        <w:rPr>
          <w:rFonts w:eastAsia="Times New Roman"/>
        </w:rPr>
      </w:pPr>
      <w:r>
        <w:rPr>
          <w:rFonts w:ascii="Calibri" w:eastAsia="Times New Roman" w:hAnsi="Calibri" w:cs="Calibri"/>
          <w:sz w:val="20"/>
          <w:szCs w:val="20"/>
        </w:rPr>
        <w:t xml:space="preserve">inconsistent support for freelancers experiencing harm or illness </w:t>
      </w:r>
    </w:p>
    <w:p w:rsidR="000508EB" w:rsidP="009B6547">
      <w:pPr>
        <w:spacing w:after="160"/>
      </w:pPr>
      <w:r>
        <w:rPr>
          <w:rFonts w:ascii="Calibri" w:hAnsi="Calibri" w:cs="Calibri"/>
          <w:b/>
          <w:bCs/>
          <w:sz w:val="20"/>
          <w:szCs w:val="20"/>
        </w:rPr>
        <w:t>12. Conclusion</w:t>
      </w:r>
    </w:p>
    <w:p w:rsidR="000508EB" w:rsidP="009B6547">
      <w:pPr>
        <w:spacing w:after="160"/>
      </w:pPr>
      <w:r>
        <w:rPr>
          <w:rFonts w:ascii="Calibri" w:hAnsi="Calibri" w:cs="Calibri"/>
          <w:sz w:val="20"/>
          <w:szCs w:val="20"/>
        </w:rPr>
        <w:t>The live comedy industry often operates in ways that disadvantage women, particularly in relation to safety, career progression, pay equity, and professional recognition. While there are supportive individuals and spaces, these are not yet consistent or systemic.</w:t>
      </w:r>
    </w:p>
    <w:p w:rsidR="000508EB" w:rsidP="009B6547">
      <w:pPr>
        <w:spacing w:after="160"/>
        <w:rPr>
          <w:rFonts w:ascii="Calibri" w:hAnsi="Calibri" w:cs="Calibri"/>
          <w:sz w:val="20"/>
          <w:szCs w:val="20"/>
        </w:rPr>
      </w:pPr>
      <w:r>
        <w:rPr>
          <w:rFonts w:ascii="Calibri" w:hAnsi="Calibri" w:cs="Calibri"/>
          <w:sz w:val="20"/>
          <w:szCs w:val="20"/>
        </w:rPr>
        <w:t xml:space="preserve">The cumulative effect of these conditions is that women are required to navigate additional layers of risk, labour, and emotional burden </w:t>
      </w:r>
      <w:r>
        <w:rPr>
          <w:rFonts w:ascii="Calibri" w:hAnsi="Calibri" w:cs="Calibri"/>
          <w:sz w:val="20"/>
          <w:szCs w:val="20"/>
        </w:rPr>
        <w:t>in order to</w:t>
      </w:r>
      <w:r>
        <w:rPr>
          <w:rFonts w:ascii="Calibri" w:hAnsi="Calibri" w:cs="Calibri"/>
          <w:sz w:val="20"/>
          <w:szCs w:val="20"/>
        </w:rPr>
        <w:t xml:space="preserve"> sustain a career in live comedy, often without adequate protection or accountability structures in place.</w:t>
      </w:r>
    </w:p>
    <w:p w:rsidR="00261286" w:rsidP="009B6547">
      <w:pPr>
        <w:spacing w:after="160"/>
        <w:rPr>
          <w:rFonts w:ascii="Calibri" w:hAnsi="Calibri" w:cs="Calibri"/>
          <w:sz w:val="20"/>
          <w:szCs w:val="20"/>
        </w:rPr>
      </w:pPr>
    </w:p>
    <w:p w:rsidR="00261286" w:rsidRPr="00261286" w:rsidP="009B6547">
      <w:pPr>
        <w:spacing w:after="160"/>
        <w:rPr>
          <w:b/>
          <w:bCs/>
          <w:i/>
          <w:iCs/>
        </w:rPr>
      </w:pPr>
      <w:r w:rsidRPr="00261286">
        <w:rPr>
          <w:rFonts w:ascii="Calibri" w:hAnsi="Calibri" w:cs="Calibri"/>
          <w:b/>
          <w:bCs/>
          <w:i/>
          <w:iCs/>
          <w:sz w:val="20"/>
          <w:szCs w:val="20"/>
        </w:rPr>
        <w:t>July 2026</w:t>
      </w:r>
    </w:p>
    <w:p w:rsidR="000508EB" w:rsidP="009B6547">
      <w:r>
        <w:rPr>
          <w:rFonts w:ascii="Calibri" w:hAnsi="Calibri" w:cs="Calibri"/>
          <w:sz w:val="20"/>
          <w:szCs w:val="20"/>
        </w:rPr>
        <w:t> </w:t>
      </w:r>
    </w:p>
    <w:p w:rsidR="000508EB" w:rsidP="009B6547"/>
    <w:p w:rsidR="000508EB"/>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2C4205"/>
    <w:multiLevelType w:val="multilevel"/>
    <w:tmpl w:val="5A6C51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6547"/>
    <w:pPr>
      <w:spacing w:after="0" w:line="240" w:lineRule="auto"/>
    </w:pPr>
    <w:rPr>
      <w:rFonts w:ascii="Aptos" w:hAnsi="Aptos" w:cs="Aptos"/>
      <w:kern w:val="0"/>
      <w:sz w:val="24"/>
      <w:szCs w:val="24"/>
      <w:lang w:eastAsia="en-GB"/>
    </w:rPr>
  </w:style>
  <w:style w:type="paragraph" w:styleId="Heading1">
    <w:name w:val="heading 1"/>
    <w:basedOn w:val="Normal"/>
    <w:next w:val="Normal"/>
    <w:link w:val="Heading1Char"/>
    <w:uiPriority w:val="9"/>
    <w:qFormat/>
    <w:rsid w:val="009B6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5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5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5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5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547"/>
    <w:rPr>
      <w:rFonts w:eastAsiaTheme="majorEastAsia" w:cstheme="majorBidi"/>
      <w:color w:val="272727" w:themeColor="text1" w:themeTint="D8"/>
    </w:rPr>
  </w:style>
  <w:style w:type="paragraph" w:styleId="Title">
    <w:name w:val="Title"/>
    <w:basedOn w:val="Normal"/>
    <w:next w:val="Normal"/>
    <w:link w:val="TitleChar"/>
    <w:uiPriority w:val="10"/>
    <w:qFormat/>
    <w:rsid w:val="009B65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547"/>
    <w:pPr>
      <w:spacing w:before="160"/>
      <w:jc w:val="center"/>
    </w:pPr>
    <w:rPr>
      <w:i/>
      <w:iCs/>
      <w:color w:val="404040" w:themeColor="text1" w:themeTint="BF"/>
    </w:rPr>
  </w:style>
  <w:style w:type="character" w:customStyle="1" w:styleId="QuoteChar">
    <w:name w:val="Quote Char"/>
    <w:basedOn w:val="DefaultParagraphFont"/>
    <w:link w:val="Quote"/>
    <w:uiPriority w:val="29"/>
    <w:rsid w:val="009B6547"/>
    <w:rPr>
      <w:i/>
      <w:iCs/>
      <w:color w:val="404040" w:themeColor="text1" w:themeTint="BF"/>
    </w:rPr>
  </w:style>
  <w:style w:type="paragraph" w:styleId="ListParagraph">
    <w:name w:val="List Paragraph"/>
    <w:basedOn w:val="Normal"/>
    <w:uiPriority w:val="34"/>
    <w:qFormat/>
    <w:rsid w:val="009B6547"/>
    <w:pPr>
      <w:ind w:left="720"/>
      <w:contextualSpacing/>
    </w:pPr>
  </w:style>
  <w:style w:type="character" w:styleId="IntenseEmphasis">
    <w:name w:val="Intense Emphasis"/>
    <w:basedOn w:val="DefaultParagraphFont"/>
    <w:uiPriority w:val="21"/>
    <w:qFormat/>
    <w:rsid w:val="009B6547"/>
    <w:rPr>
      <w:i/>
      <w:iCs/>
      <w:color w:val="0F4761" w:themeColor="accent1" w:themeShade="BF"/>
    </w:rPr>
  </w:style>
  <w:style w:type="paragraph" w:styleId="IntenseQuote">
    <w:name w:val="Intense Quote"/>
    <w:basedOn w:val="Normal"/>
    <w:next w:val="Normal"/>
    <w:link w:val="IntenseQuoteChar"/>
    <w:uiPriority w:val="30"/>
    <w:qFormat/>
    <w:rsid w:val="009B6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547"/>
    <w:rPr>
      <w:i/>
      <w:iCs/>
      <w:color w:val="0F4761" w:themeColor="accent1" w:themeShade="BF"/>
    </w:rPr>
  </w:style>
  <w:style w:type="character" w:styleId="IntenseReference">
    <w:name w:val="Intense Reference"/>
    <w:basedOn w:val="DefaultParagraphFont"/>
    <w:uiPriority w:val="32"/>
    <w:qFormat/>
    <w:rsid w:val="009B65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COM0002</dc:title>
  <cp:revision>0</cp:revision>
</cp:coreProperties>
</file>