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E3FBB" w:rsidRPr="00FE3FBB" w:rsidP="00531FC0">
      <w:pPr>
        <w:rPr>
          <w:rFonts w:ascii="Verdana" w:hAnsi="Verdana" w:cstheme="minorHAnsi"/>
          <w:b/>
          <w:bCs/>
          <w:sz w:val="28"/>
          <w:szCs w:val="28"/>
        </w:rPr>
      </w:pPr>
      <w:r w:rsidRPr="00FE3FBB">
        <w:rPr>
          <w:rFonts w:ascii="Verdana" w:hAnsi="Verdana" w:cstheme="minorHAnsi"/>
          <w:b/>
          <w:bCs/>
          <w:sz w:val="28"/>
          <w:szCs w:val="28"/>
        </w:rPr>
        <w:t>National Numeracy – Written Evidence (NUM006</w:t>
      </w:r>
      <w:r w:rsidR="00531FC0">
        <w:rPr>
          <w:rFonts w:ascii="Verdana" w:hAnsi="Verdana" w:cstheme="minorHAnsi"/>
          <w:b/>
          <w:bCs/>
          <w:sz w:val="28"/>
          <w:szCs w:val="28"/>
        </w:rPr>
        <w:t>5</w:t>
      </w:r>
      <w:r w:rsidRPr="00FE3FBB">
        <w:rPr>
          <w:rFonts w:ascii="Verdana" w:hAnsi="Verdana" w:cstheme="minorHAnsi"/>
          <w:b/>
          <w:bCs/>
          <w:sz w:val="28"/>
          <w:szCs w:val="28"/>
        </w:rPr>
        <w:t>)</w:t>
      </w:r>
    </w:p>
    <w:p w:rsidR="00531FC0" w:rsidP="00531FC0">
      <w:pPr>
        <w:rPr>
          <w:rFonts w:ascii="Verdana" w:hAnsi="Verdana" w:cstheme="minorHAnsi"/>
          <w:sz w:val="24"/>
          <w:szCs w:val="24"/>
        </w:rPr>
      </w:pPr>
    </w:p>
    <w:p w:rsidR="00CF4D3C" w:rsidRPr="00FE3FBB" w:rsidP="00531FC0">
      <w:pPr>
        <w:rPr>
          <w:rFonts w:ascii="Verdana" w:hAnsi="Verdana" w:cstheme="minorHAnsi"/>
          <w:sz w:val="24"/>
          <w:szCs w:val="24"/>
        </w:rPr>
      </w:pPr>
      <w:r w:rsidRPr="00FE3FBB">
        <w:rPr>
          <w:rFonts w:ascii="Verdana" w:hAnsi="Verdana" w:cstheme="minorHAnsi"/>
          <w:sz w:val="24"/>
          <w:szCs w:val="24"/>
        </w:rPr>
        <w:t xml:space="preserve">WRITTEN EVIDENCE SUBMITTED BY SAM SIMS, </w:t>
      </w:r>
      <w:r w:rsidRPr="00FE3FBB" w:rsidR="002F6940">
        <w:rPr>
          <w:rFonts w:ascii="Verdana" w:hAnsi="Verdana" w:cstheme="minorHAnsi"/>
          <w:sz w:val="24"/>
          <w:szCs w:val="24"/>
        </w:rPr>
        <w:t>CHIEF EXECUTIVE OF NATIONAL NUMERACY, ON BEHALF OF NATIONAL NUMERACY</w:t>
      </w:r>
      <w:r w:rsidRPr="00FE3FBB" w:rsidR="006D13FF">
        <w:rPr>
          <w:rFonts w:ascii="Verdana" w:hAnsi="Verdana" w:cstheme="minorHAnsi"/>
          <w:sz w:val="24"/>
          <w:szCs w:val="24"/>
        </w:rPr>
        <w:t>.</w:t>
      </w:r>
    </w:p>
    <w:p w:rsidR="006D13FF" w:rsidRPr="00FE3FBB" w:rsidP="00531FC0">
      <w:pPr>
        <w:rPr>
          <w:rFonts w:ascii="Verdana" w:hAnsi="Verdana" w:cstheme="minorHAnsi"/>
          <w:sz w:val="24"/>
          <w:szCs w:val="24"/>
        </w:rPr>
      </w:pPr>
      <w:r w:rsidRPr="00FE3FBB">
        <w:rPr>
          <w:rFonts w:ascii="Verdana" w:hAnsi="Verdana" w:cstheme="minorHAnsi"/>
          <w:sz w:val="24"/>
          <w:szCs w:val="24"/>
        </w:rPr>
        <w:t>Lords Select Committee: Numeracy for Life Committee</w:t>
      </w:r>
    </w:p>
    <w:p w:rsidR="00BC7D2D" w:rsidRPr="00FE3FBB" w:rsidP="00531FC0">
      <w:pPr>
        <w:rPr>
          <w:rFonts w:ascii="Verdana" w:hAnsi="Verdana" w:cstheme="minorHAnsi"/>
          <w:sz w:val="24"/>
          <w:szCs w:val="24"/>
        </w:rPr>
      </w:pPr>
      <w:r w:rsidRPr="00FE3FBB">
        <w:rPr>
          <w:rFonts w:ascii="Verdana" w:hAnsi="Verdana" w:cstheme="minorHAnsi"/>
          <w:sz w:val="24"/>
          <w:szCs w:val="24"/>
        </w:rPr>
        <w:t xml:space="preserve">Call for evidence </w:t>
      </w:r>
      <w:r w:rsidRPr="00FE3FBB" w:rsidR="00532D2D">
        <w:rPr>
          <w:rFonts w:ascii="Verdana" w:hAnsi="Verdana" w:cstheme="minorHAnsi"/>
          <w:sz w:val="24"/>
          <w:szCs w:val="24"/>
        </w:rPr>
        <w:t>of 27</w:t>
      </w:r>
      <w:r w:rsidRPr="00FE3FBB" w:rsidR="00532D2D">
        <w:rPr>
          <w:rFonts w:ascii="Verdana" w:hAnsi="Verdana" w:cstheme="minorHAnsi"/>
          <w:sz w:val="24"/>
          <w:szCs w:val="24"/>
          <w:vertAlign w:val="superscript"/>
        </w:rPr>
        <w:t>th</w:t>
      </w:r>
      <w:r w:rsidRPr="00FE3FBB" w:rsidR="00532D2D">
        <w:rPr>
          <w:rFonts w:ascii="Verdana" w:hAnsi="Verdana" w:cstheme="minorHAnsi"/>
          <w:sz w:val="24"/>
          <w:szCs w:val="24"/>
        </w:rPr>
        <w:t xml:space="preserve"> January 2026 on opportunities, challenges and barriers, success stories and practical examples, and prospects for the future</w:t>
      </w:r>
      <w:r w:rsidRPr="00FE3FBB" w:rsidR="003B1351">
        <w:rPr>
          <w:rFonts w:ascii="Verdana" w:hAnsi="Verdana" w:cstheme="minorHAnsi"/>
          <w:sz w:val="24"/>
          <w:szCs w:val="24"/>
        </w:rPr>
        <w:t>.</w:t>
      </w:r>
    </w:p>
    <w:p w:rsidR="00F9591A" w:rsidRPr="00FE3FBB" w:rsidP="00531FC0">
      <w:pPr>
        <w:rPr>
          <w:rFonts w:ascii="Verdana" w:hAnsi="Verdana" w:cstheme="minorHAnsi"/>
          <w:b/>
          <w:bCs/>
          <w:sz w:val="24"/>
          <w:szCs w:val="24"/>
        </w:rPr>
      </w:pPr>
      <w:r w:rsidRPr="00FE3FBB">
        <w:rPr>
          <w:rFonts w:ascii="Verdana" w:hAnsi="Verdana" w:cstheme="minorHAnsi"/>
          <w:b/>
          <w:bCs/>
          <w:sz w:val="24"/>
          <w:szCs w:val="24"/>
        </w:rPr>
        <w:t xml:space="preserve">Summary (AI generated </w:t>
      </w:r>
      <w:r w:rsidRPr="00FE3FBB" w:rsidR="00FD05F9">
        <w:rPr>
          <w:rFonts w:ascii="Verdana" w:hAnsi="Verdana" w:cstheme="minorHAnsi"/>
          <w:b/>
          <w:bCs/>
          <w:sz w:val="24"/>
          <w:szCs w:val="24"/>
        </w:rPr>
        <w:t xml:space="preserve">from full response </w:t>
      </w:r>
      <w:r w:rsidRPr="00FE3FBB">
        <w:rPr>
          <w:rFonts w:ascii="Verdana" w:hAnsi="Verdana" w:cstheme="minorHAnsi"/>
          <w:b/>
          <w:bCs/>
          <w:sz w:val="24"/>
          <w:szCs w:val="24"/>
        </w:rPr>
        <w:t>and checked by National Numeracy)</w:t>
      </w:r>
    </w:p>
    <w:p w:rsidR="00F9591A" w:rsidRPr="00FE3FBB" w:rsidP="00531FC0">
      <w:pPr>
        <w:rPr>
          <w:rFonts w:ascii="Verdana" w:hAnsi="Verdana" w:cstheme="minorHAnsi"/>
          <w:sz w:val="24"/>
          <w:szCs w:val="24"/>
        </w:rPr>
      </w:pPr>
      <w:r w:rsidRPr="00FE3FBB">
        <w:rPr>
          <w:rFonts w:ascii="Verdana" w:hAnsi="Verdana" w:cstheme="minorHAnsi"/>
          <w:sz w:val="24"/>
          <w:szCs w:val="24"/>
        </w:rPr>
        <w:t>Low numeracy is one of the UK’s biggest barriers to social mobility, financial wellbeing and economic participation. Around half of working-age adults have numeracy skills no higher than those expected of a primary school child, while millions lack confidence with numbers in everyday life. The issue is not simply about mathematical ability; many people develop the belief that they are “not a maths person”, often due to negative school experiences, low confidence and the perception that maths has little relevance to real life. This mindset prevents engagement with learning and improvement.</w:t>
      </w:r>
    </w:p>
    <w:p w:rsidR="00F9591A" w:rsidRPr="00FE3FBB" w:rsidP="00531FC0">
      <w:pPr>
        <w:rPr>
          <w:rFonts w:ascii="Verdana" w:hAnsi="Verdana" w:cstheme="minorHAnsi"/>
          <w:sz w:val="24"/>
          <w:szCs w:val="24"/>
        </w:rPr>
      </w:pPr>
      <w:r w:rsidRPr="00FE3FBB">
        <w:rPr>
          <w:rFonts w:ascii="Verdana" w:hAnsi="Verdana" w:cstheme="minorHAnsi"/>
          <w:sz w:val="24"/>
          <w:szCs w:val="24"/>
        </w:rPr>
        <w:t>Our evidence shows that confidence is often the key to improving skills. Adults with low numeracy frequently associate maths with fear, embarrassment or failure, meaning traditional classroom-style approaches can reinforce disengagement. Successful interventions therefore focus first on rebuilding confidence, demonstrating the real-world value of numeracy, and enabling people to experience success through practical, relatable learning.</w:t>
      </w:r>
    </w:p>
    <w:p w:rsidR="00F9591A" w:rsidRPr="00FE3FBB" w:rsidP="00531FC0">
      <w:pPr>
        <w:rPr>
          <w:rFonts w:ascii="Verdana" w:hAnsi="Verdana" w:cstheme="minorHAnsi"/>
          <w:sz w:val="24"/>
          <w:szCs w:val="24"/>
        </w:rPr>
      </w:pPr>
      <w:r w:rsidRPr="00FE3FBB">
        <w:rPr>
          <w:rFonts w:ascii="Verdana" w:hAnsi="Verdana" w:cstheme="minorHAnsi"/>
          <w:sz w:val="24"/>
          <w:szCs w:val="24"/>
        </w:rPr>
        <w:t>The effects of low numeracy are wide-ranging. Poor numeracy limits employment opportunities, earnings, financial capability and health understanding, while also reducing people’s confidence in daily life. It contributes to intergenerational disadvantage, as children’s attitudes towards maths are strongly shaped by parents, carers and educators. Research cited in the submission shows that children are significantly more likely to be confident with numbers if adults around them speak positively about maths and demonstrate confidence themselves.</w:t>
      </w:r>
    </w:p>
    <w:p w:rsidR="00F9591A" w:rsidRPr="00FE3FBB" w:rsidP="00531FC0">
      <w:pPr>
        <w:rPr>
          <w:rFonts w:ascii="Verdana" w:hAnsi="Verdana" w:cstheme="minorHAnsi"/>
          <w:sz w:val="24"/>
          <w:szCs w:val="24"/>
        </w:rPr>
      </w:pPr>
      <w:r w:rsidRPr="00FE3FBB">
        <w:rPr>
          <w:rFonts w:ascii="Verdana" w:hAnsi="Verdana" w:cstheme="minorHAnsi"/>
          <w:sz w:val="24"/>
          <w:szCs w:val="24"/>
        </w:rPr>
        <w:t xml:space="preserve">Our submission argues that the current education system leaves too many young people behind. Around one-third of pupils do not achieve grade 4 in GCSE Maths, and many leave education believing they have “failed” at maths. While GCSE Maths remains appropriate for pupils progressing to higher mathematics, it is not ensuring that every young person leaves school with the practical numeracy needed for life and work. National Numeracy therefore advocates greater emphasis on real-world numeracy, stronger foundations in primary education, and earlier </w:t>
      </w:r>
      <w:r w:rsidRPr="00FE3FBB">
        <w:rPr>
          <w:rFonts w:ascii="Verdana" w:hAnsi="Verdana" w:cstheme="minorHAnsi"/>
          <w:sz w:val="24"/>
          <w:szCs w:val="24"/>
        </w:rPr>
        <w:t>“stepping-stone” qualifications focused on securing core numeracy skills and confidence before GCSE failure occurs.</w:t>
      </w:r>
    </w:p>
    <w:p w:rsidR="00F9591A" w:rsidRPr="00FE3FBB" w:rsidP="00531FC0">
      <w:pPr>
        <w:rPr>
          <w:rFonts w:ascii="Verdana" w:hAnsi="Verdana" w:cstheme="minorHAnsi"/>
          <w:sz w:val="24"/>
          <w:szCs w:val="24"/>
        </w:rPr>
      </w:pPr>
      <w:r w:rsidRPr="00FE3FBB">
        <w:rPr>
          <w:rFonts w:ascii="Verdana" w:hAnsi="Verdana" w:cstheme="minorHAnsi"/>
          <w:sz w:val="24"/>
          <w:szCs w:val="24"/>
        </w:rPr>
        <w:t>Our submission also highlights that numeracy will become even more important in the age of AI. Skills such as interpreting data, assessing reliability, estimating, understanding probability and applying critical thinking overlap strongly with the capabilities needed to use AI effectively. Numeracy should therefore be viewed as an increasingly essential life and work skill.</w:t>
      </w:r>
    </w:p>
    <w:p w:rsidR="00F9591A" w:rsidRPr="00FE3FBB" w:rsidP="00531FC0">
      <w:pPr>
        <w:rPr>
          <w:rFonts w:ascii="Verdana" w:hAnsi="Verdana" w:cstheme="minorHAnsi"/>
          <w:sz w:val="24"/>
          <w:szCs w:val="24"/>
        </w:rPr>
      </w:pPr>
      <w:r w:rsidRPr="00FE3FBB">
        <w:rPr>
          <w:rFonts w:ascii="Verdana" w:hAnsi="Verdana" w:cstheme="minorHAnsi"/>
          <w:sz w:val="24"/>
          <w:szCs w:val="24"/>
        </w:rPr>
        <w:t>For adults, the key challenge is not a lack of formal courses, but a lack of demand caused by anxiety, low confidence and negative perceptions of maths. Effective adult provision works by helping people rebuild their relationship with maths first, using flexible, bite-sized and highly relatable learning opportunities that fit around everyday life. National Numeracy’s own programmes, including the National Numeracy Challenge and Numeracy Champions network, are presented as examples of approaches that successfully improve both confidence and skills.</w:t>
      </w:r>
    </w:p>
    <w:p w:rsidR="00F9591A" w:rsidRPr="00FE3FBB" w:rsidP="00531FC0">
      <w:pPr>
        <w:rPr>
          <w:rFonts w:ascii="Verdana" w:hAnsi="Verdana" w:cstheme="minorHAnsi"/>
          <w:sz w:val="24"/>
          <w:szCs w:val="24"/>
        </w:rPr>
      </w:pPr>
      <w:r w:rsidRPr="00FE3FBB">
        <w:rPr>
          <w:rFonts w:ascii="Verdana" w:hAnsi="Verdana" w:cstheme="minorHAnsi"/>
          <w:sz w:val="24"/>
          <w:szCs w:val="24"/>
        </w:rPr>
        <w:t>Overall, the submission argues for a national shift in how numeracy is understood and promoted. It calls for a stronger focus on practical numeracy, confidence-building, family and community influence, and lifelong learning opportunities. The central message is that improving numeracy is not just an education issue, but a critical social and economic priority linked to productivity, financial inclusion, equality and opportunity across the UK.</w:t>
      </w: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How does the commonly experienced mindset - a level of acceptance, across the UK, but particularly among girls and women, of being “unable to do maths” - impact attaining the necessary numeracy skills?</w:t>
      </w:r>
    </w:p>
    <w:p w:rsidR="0037298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Millions of people struggle with the numbers and everyday maths needed </w:t>
      </w:r>
      <w:r w:rsidRPr="00FE3FBB" w:rsidR="00D358FA">
        <w:rPr>
          <w:rFonts w:ascii="Verdana" w:hAnsi="Verdana" w:cstheme="minorHAnsi"/>
          <w:sz w:val="24"/>
          <w:szCs w:val="24"/>
        </w:rPr>
        <w:t>across their lives</w:t>
      </w:r>
      <w:r w:rsidRPr="00FE3FBB" w:rsidR="006911E5">
        <w:rPr>
          <w:rFonts w:ascii="Verdana" w:hAnsi="Verdana" w:cstheme="minorHAnsi"/>
          <w:sz w:val="24"/>
          <w:szCs w:val="24"/>
        </w:rPr>
        <w:t xml:space="preserve">, with as many as half of all working age people in the UK having the numeracy level expected of </w:t>
      </w:r>
      <w:r w:rsidRPr="00FE3FBB" w:rsidR="00B66E43">
        <w:rPr>
          <w:rFonts w:ascii="Verdana" w:hAnsi="Verdana" w:cstheme="minorHAnsi"/>
          <w:sz w:val="24"/>
          <w:szCs w:val="24"/>
        </w:rPr>
        <w:t xml:space="preserve">a </w:t>
      </w:r>
      <w:r w:rsidRPr="00FE3FBB" w:rsidR="006911E5">
        <w:rPr>
          <w:rFonts w:ascii="Verdana" w:hAnsi="Verdana" w:cstheme="minorHAnsi"/>
          <w:sz w:val="24"/>
          <w:szCs w:val="24"/>
        </w:rPr>
        <w:t>primary school child</w:t>
      </w:r>
      <w:r w:rsidRPr="00FE3FBB" w:rsidR="00D358FA">
        <w:rPr>
          <w:rFonts w:ascii="Verdana" w:hAnsi="Verdana" w:cstheme="minorHAnsi"/>
          <w:sz w:val="24"/>
          <w:szCs w:val="24"/>
        </w:rPr>
        <w:t xml:space="preserve">. </w:t>
      </w:r>
      <w:r w:rsidRPr="00FE3FBB" w:rsidR="00C87DEC">
        <w:rPr>
          <w:rFonts w:ascii="Verdana" w:hAnsi="Verdana" w:cstheme="minorHAnsi"/>
          <w:sz w:val="24"/>
          <w:szCs w:val="24"/>
        </w:rPr>
        <w:t xml:space="preserve">At National Numeracy, </w:t>
      </w:r>
      <w:r w:rsidRPr="00FE3FBB" w:rsidR="006C0444">
        <w:rPr>
          <w:rFonts w:ascii="Verdana" w:hAnsi="Verdana" w:cstheme="minorHAnsi"/>
          <w:sz w:val="24"/>
          <w:szCs w:val="24"/>
        </w:rPr>
        <w:t xml:space="preserve">we work with thousands of adults </w:t>
      </w:r>
      <w:r w:rsidRPr="00FE3FBB" w:rsidR="00E63106">
        <w:rPr>
          <w:rFonts w:ascii="Verdana" w:hAnsi="Verdana" w:cstheme="minorHAnsi"/>
          <w:sz w:val="24"/>
          <w:szCs w:val="24"/>
        </w:rPr>
        <w:t xml:space="preserve">whose experiences have led them to believe that they are </w:t>
      </w:r>
      <w:r w:rsidRPr="00FE3FBB" w:rsidR="00616D71">
        <w:rPr>
          <w:rFonts w:ascii="Verdana" w:hAnsi="Verdana" w:cstheme="minorHAnsi"/>
          <w:sz w:val="24"/>
          <w:szCs w:val="24"/>
        </w:rPr>
        <w:t>‘</w:t>
      </w:r>
      <w:r w:rsidRPr="00FE3FBB" w:rsidR="00E63106">
        <w:rPr>
          <w:rFonts w:ascii="Verdana" w:hAnsi="Verdana" w:cstheme="minorHAnsi"/>
          <w:sz w:val="24"/>
          <w:szCs w:val="24"/>
        </w:rPr>
        <w:t>not a maths person</w:t>
      </w:r>
      <w:r w:rsidRPr="00FE3FBB" w:rsidR="00616D71">
        <w:rPr>
          <w:rFonts w:ascii="Verdana" w:hAnsi="Verdana" w:cstheme="minorHAnsi"/>
          <w:sz w:val="24"/>
          <w:szCs w:val="24"/>
        </w:rPr>
        <w:t>’</w:t>
      </w:r>
      <w:r w:rsidRPr="00FE3FBB" w:rsidR="00E63106">
        <w:rPr>
          <w:rFonts w:ascii="Verdana" w:hAnsi="Verdana" w:cstheme="minorHAnsi"/>
          <w:sz w:val="24"/>
          <w:szCs w:val="24"/>
        </w:rPr>
        <w:t xml:space="preserve"> or </w:t>
      </w:r>
      <w:r w:rsidRPr="00FE3FBB" w:rsidR="00616D71">
        <w:rPr>
          <w:rFonts w:ascii="Verdana" w:hAnsi="Verdana" w:cstheme="minorHAnsi"/>
          <w:sz w:val="24"/>
          <w:szCs w:val="24"/>
        </w:rPr>
        <w:t>‘</w:t>
      </w:r>
      <w:r w:rsidRPr="00FE3FBB" w:rsidR="00E63106">
        <w:rPr>
          <w:rFonts w:ascii="Verdana" w:hAnsi="Verdana" w:cstheme="minorHAnsi"/>
          <w:sz w:val="24"/>
          <w:szCs w:val="24"/>
        </w:rPr>
        <w:t>can’t do maths</w:t>
      </w:r>
      <w:r w:rsidRPr="00FE3FBB" w:rsidR="00616D71">
        <w:rPr>
          <w:rFonts w:ascii="Verdana" w:hAnsi="Verdana" w:cstheme="minorHAnsi"/>
          <w:sz w:val="24"/>
          <w:szCs w:val="24"/>
        </w:rPr>
        <w:t>’</w:t>
      </w:r>
      <w:r w:rsidRPr="00FE3FBB" w:rsidR="00AA30BC">
        <w:rPr>
          <w:rFonts w:ascii="Verdana" w:hAnsi="Verdana" w:cstheme="minorHAnsi"/>
          <w:sz w:val="24"/>
          <w:szCs w:val="24"/>
        </w:rPr>
        <w:t xml:space="preserve"> and this </w:t>
      </w:r>
      <w:r w:rsidRPr="00FE3FBB" w:rsidR="004F39F6">
        <w:rPr>
          <w:rFonts w:ascii="Verdana" w:hAnsi="Verdana" w:cstheme="minorHAnsi"/>
          <w:sz w:val="24"/>
          <w:szCs w:val="24"/>
        </w:rPr>
        <w:t xml:space="preserve">greatly reduces their likelihood of </w:t>
      </w:r>
      <w:r w:rsidRPr="00FE3FBB" w:rsidR="00800552">
        <w:rPr>
          <w:rFonts w:ascii="Verdana" w:hAnsi="Verdana" w:cstheme="minorHAnsi"/>
          <w:sz w:val="24"/>
          <w:szCs w:val="24"/>
        </w:rPr>
        <w:t>en</w:t>
      </w:r>
      <w:r w:rsidRPr="00FE3FBB" w:rsidR="001127CF">
        <w:rPr>
          <w:rFonts w:ascii="Verdana" w:hAnsi="Verdana" w:cstheme="minorHAnsi"/>
          <w:sz w:val="24"/>
          <w:szCs w:val="24"/>
        </w:rPr>
        <w:t>g</w:t>
      </w:r>
      <w:r w:rsidRPr="00FE3FBB" w:rsidR="00800552">
        <w:rPr>
          <w:rFonts w:ascii="Verdana" w:hAnsi="Verdana" w:cstheme="minorHAnsi"/>
          <w:sz w:val="24"/>
          <w:szCs w:val="24"/>
        </w:rPr>
        <w:t>aging with</w:t>
      </w:r>
      <w:r w:rsidRPr="00FE3FBB" w:rsidR="001127CF">
        <w:rPr>
          <w:rFonts w:ascii="Verdana" w:hAnsi="Verdana" w:cstheme="minorHAnsi"/>
          <w:sz w:val="24"/>
          <w:szCs w:val="24"/>
        </w:rPr>
        <w:t xml:space="preserve"> improving their skills. </w:t>
      </w:r>
      <w:r w:rsidRPr="00FE3FBB" w:rsidR="00800552">
        <w:rPr>
          <w:rFonts w:ascii="Verdana" w:hAnsi="Verdana" w:cstheme="minorHAnsi"/>
          <w:sz w:val="24"/>
          <w:szCs w:val="24"/>
        </w:rPr>
        <w:t xml:space="preserve"> </w:t>
      </w:r>
    </w:p>
    <w:p w:rsidR="0037298C" w:rsidRPr="00FE3FBB" w:rsidP="00531FC0">
      <w:pPr>
        <w:pStyle w:val="ListParagraph"/>
        <w:ind w:left="0"/>
        <w:rPr>
          <w:rFonts w:ascii="Verdana" w:hAnsi="Verdana" w:cstheme="minorHAnsi"/>
          <w:sz w:val="24"/>
          <w:szCs w:val="24"/>
        </w:rPr>
      </w:pPr>
    </w:p>
    <w:p w:rsidR="0037298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In our </w:t>
      </w:r>
      <w:r w:rsidRPr="00FE3FBB" w:rsidR="00D73588">
        <w:rPr>
          <w:rFonts w:ascii="Verdana" w:hAnsi="Verdana" w:cstheme="minorHAnsi"/>
          <w:sz w:val="24"/>
          <w:szCs w:val="24"/>
        </w:rPr>
        <w:t xml:space="preserve">most recent </w:t>
      </w:r>
      <w:r w:rsidRPr="00FE3FBB">
        <w:rPr>
          <w:rFonts w:ascii="Verdana" w:hAnsi="Verdana" w:cstheme="minorHAnsi"/>
          <w:sz w:val="24"/>
          <w:szCs w:val="24"/>
        </w:rPr>
        <w:t>national survey (</w:t>
      </w:r>
      <w:r w:rsidRPr="00FE3FBB" w:rsidR="00D73588">
        <w:rPr>
          <w:rFonts w:ascii="Verdana" w:hAnsi="Verdana" w:cstheme="minorHAnsi"/>
          <w:sz w:val="24"/>
          <w:szCs w:val="24"/>
        </w:rPr>
        <w:t xml:space="preserve">Dec </w:t>
      </w:r>
      <w:r w:rsidRPr="00FE3FBB">
        <w:rPr>
          <w:rFonts w:ascii="Verdana" w:hAnsi="Verdana" w:cstheme="minorHAnsi"/>
          <w:sz w:val="24"/>
          <w:szCs w:val="24"/>
        </w:rPr>
        <w:t>2024)</w:t>
      </w:r>
      <w:r w:rsidRPr="00FE3FBB" w:rsidR="00271C18">
        <w:rPr>
          <w:rFonts w:ascii="Verdana" w:hAnsi="Verdana" w:cstheme="minorHAnsi"/>
          <w:sz w:val="24"/>
          <w:szCs w:val="24"/>
        </w:rPr>
        <w:t xml:space="preserve"> we </w:t>
      </w:r>
      <w:r w:rsidRPr="00FE3FBB" w:rsidR="005358AA">
        <w:rPr>
          <w:rFonts w:ascii="Verdana" w:hAnsi="Verdana" w:cstheme="minorHAnsi"/>
          <w:sz w:val="24"/>
          <w:szCs w:val="24"/>
        </w:rPr>
        <w:t>found that 5</w:t>
      </w:r>
      <w:r w:rsidRPr="00FE3FBB" w:rsidR="00271C18">
        <w:rPr>
          <w:rFonts w:ascii="Verdana" w:hAnsi="Verdana" w:cstheme="minorHAnsi"/>
          <w:sz w:val="24"/>
          <w:szCs w:val="24"/>
        </w:rPr>
        <w:t>1</w:t>
      </w:r>
      <w:r w:rsidRPr="00FE3FBB" w:rsidR="005358AA">
        <w:rPr>
          <w:rFonts w:ascii="Verdana" w:hAnsi="Verdana" w:cstheme="minorHAnsi"/>
          <w:sz w:val="24"/>
          <w:szCs w:val="24"/>
        </w:rPr>
        <w:t>% of adults do not want to improve their numeracy skills</w:t>
      </w:r>
      <w:r w:rsidRPr="00FE3FBB" w:rsidR="00271C18">
        <w:rPr>
          <w:rFonts w:ascii="Verdana" w:hAnsi="Verdana" w:cstheme="minorHAnsi"/>
          <w:sz w:val="24"/>
          <w:szCs w:val="24"/>
        </w:rPr>
        <w:t xml:space="preserve">. </w:t>
      </w:r>
      <w:r w:rsidRPr="00FE3FBB" w:rsidR="007C7713">
        <w:rPr>
          <w:rFonts w:ascii="Verdana" w:hAnsi="Verdana" w:cstheme="minorHAnsi"/>
          <w:sz w:val="24"/>
          <w:szCs w:val="24"/>
        </w:rPr>
        <w:t xml:space="preserve">Of those, </w:t>
      </w:r>
      <w:r w:rsidRPr="00FE3FBB" w:rsidR="005358AA">
        <w:rPr>
          <w:rFonts w:ascii="Verdana" w:hAnsi="Verdana" w:cstheme="minorHAnsi"/>
          <w:sz w:val="24"/>
          <w:szCs w:val="24"/>
        </w:rPr>
        <w:t>5</w:t>
      </w:r>
      <w:r w:rsidRPr="00FE3FBB" w:rsidR="007C7713">
        <w:rPr>
          <w:rFonts w:ascii="Verdana" w:hAnsi="Verdana" w:cstheme="minorHAnsi"/>
          <w:sz w:val="24"/>
          <w:szCs w:val="24"/>
        </w:rPr>
        <w:t>5</w:t>
      </w:r>
      <w:r w:rsidRPr="00FE3FBB" w:rsidR="005358AA">
        <w:rPr>
          <w:rFonts w:ascii="Verdana" w:hAnsi="Verdana" w:cstheme="minorHAnsi"/>
          <w:sz w:val="24"/>
          <w:szCs w:val="24"/>
        </w:rPr>
        <w:t>% say they don’t think they need to</w:t>
      </w:r>
      <w:r w:rsidRPr="00FE3FBB" w:rsidR="007C7713">
        <w:rPr>
          <w:rFonts w:ascii="Verdana" w:hAnsi="Verdana" w:cstheme="minorHAnsi"/>
          <w:sz w:val="24"/>
          <w:szCs w:val="24"/>
        </w:rPr>
        <w:t xml:space="preserve"> (</w:t>
      </w:r>
      <w:r w:rsidRPr="00FE3FBB" w:rsidR="00006DFB">
        <w:rPr>
          <w:rFonts w:ascii="Verdana" w:hAnsi="Verdana" w:cstheme="minorHAnsi"/>
          <w:sz w:val="24"/>
          <w:szCs w:val="24"/>
        </w:rPr>
        <w:t xml:space="preserve">including </w:t>
      </w:r>
      <w:r w:rsidRPr="00FE3FBB" w:rsidR="00E25B68">
        <w:rPr>
          <w:rFonts w:ascii="Verdana" w:hAnsi="Verdana" w:cstheme="minorHAnsi"/>
          <w:sz w:val="24"/>
          <w:szCs w:val="24"/>
        </w:rPr>
        <w:t>39</w:t>
      </w:r>
      <w:r w:rsidRPr="00FE3FBB" w:rsidR="00237646">
        <w:rPr>
          <w:rFonts w:ascii="Verdana" w:hAnsi="Verdana" w:cstheme="minorHAnsi"/>
          <w:sz w:val="24"/>
          <w:szCs w:val="24"/>
        </w:rPr>
        <w:t xml:space="preserve">% of all respondents who are </w:t>
      </w:r>
      <w:r w:rsidRPr="00FE3FBB" w:rsidR="00006DFB">
        <w:rPr>
          <w:rFonts w:ascii="Verdana" w:hAnsi="Verdana" w:cstheme="minorHAnsi"/>
          <w:sz w:val="24"/>
          <w:szCs w:val="24"/>
        </w:rPr>
        <w:t>working below a Level 2 in numeracy</w:t>
      </w:r>
      <w:r w:rsidRPr="00FE3FBB" w:rsidR="007C7713">
        <w:rPr>
          <w:rFonts w:ascii="Verdana" w:hAnsi="Verdana" w:cstheme="minorHAnsi"/>
          <w:sz w:val="24"/>
          <w:szCs w:val="24"/>
        </w:rPr>
        <w:t>)</w:t>
      </w:r>
      <w:r w:rsidRPr="00FE3FBB" w:rsidR="005358AA">
        <w:rPr>
          <w:rFonts w:ascii="Verdana" w:hAnsi="Verdana" w:cstheme="minorHAnsi"/>
          <w:sz w:val="24"/>
          <w:szCs w:val="24"/>
        </w:rPr>
        <w:t>, and 36% say they don’t see how it would benefit them.</w:t>
      </w:r>
      <w:r w:rsidRPr="00FE3FBB" w:rsidR="00612F95">
        <w:rPr>
          <w:rFonts w:ascii="Verdana" w:hAnsi="Verdana" w:cstheme="minorHAnsi"/>
          <w:sz w:val="24"/>
          <w:szCs w:val="24"/>
        </w:rPr>
        <w:t xml:space="preserve"> In addition, 18% of people said </w:t>
      </w:r>
      <w:r w:rsidRPr="00FE3FBB" w:rsidR="004F752C">
        <w:rPr>
          <w:rFonts w:ascii="Verdana" w:hAnsi="Verdana" w:cstheme="minorHAnsi"/>
          <w:sz w:val="24"/>
          <w:szCs w:val="24"/>
        </w:rPr>
        <w:t>that they don't want to go back to school/college.</w:t>
      </w:r>
    </w:p>
    <w:p w:rsidR="0037298C" w:rsidRPr="00FE3FBB" w:rsidP="00531FC0">
      <w:pPr>
        <w:pStyle w:val="ListParagraph"/>
        <w:rPr>
          <w:rFonts w:ascii="Verdana" w:hAnsi="Verdana" w:cstheme="minorHAnsi"/>
          <w:sz w:val="24"/>
          <w:szCs w:val="24"/>
        </w:rPr>
      </w:pPr>
    </w:p>
    <w:p w:rsidR="0037298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What this reveals is that most people tend not to equate the abstract maths they learn or learnt at school, with how they apply it in the real world.</w:t>
      </w:r>
    </w:p>
    <w:p w:rsidR="0037298C" w:rsidRPr="00FE3FBB" w:rsidP="00531FC0">
      <w:pPr>
        <w:pStyle w:val="ListParagraph"/>
        <w:rPr>
          <w:rFonts w:ascii="Verdana" w:hAnsi="Verdana" w:cstheme="minorHAnsi"/>
          <w:sz w:val="24"/>
          <w:szCs w:val="24"/>
        </w:rPr>
      </w:pPr>
    </w:p>
    <w:p w:rsidR="0037298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These factors are compounded and complicated by a lack of number confidence, often </w:t>
      </w:r>
      <w:r w:rsidRPr="00FE3FBB" w:rsidR="00EA4502">
        <w:rPr>
          <w:rFonts w:ascii="Verdana" w:hAnsi="Verdana" w:cstheme="minorHAnsi"/>
          <w:sz w:val="24"/>
          <w:szCs w:val="24"/>
        </w:rPr>
        <w:t>alongside a lack of self-confidence</w:t>
      </w:r>
      <w:r w:rsidRPr="00FE3FBB" w:rsidR="000724E6">
        <w:rPr>
          <w:rFonts w:ascii="Verdana" w:hAnsi="Verdana" w:cstheme="minorHAnsi"/>
          <w:sz w:val="24"/>
          <w:szCs w:val="24"/>
        </w:rPr>
        <w:t>, which</w:t>
      </w:r>
      <w:r w:rsidRPr="00FE3FBB" w:rsidR="00517FEC">
        <w:rPr>
          <w:rFonts w:ascii="Verdana" w:hAnsi="Verdana" w:cstheme="minorHAnsi"/>
          <w:sz w:val="24"/>
          <w:szCs w:val="24"/>
        </w:rPr>
        <w:t xml:space="preserve"> prevents people from even starting to </w:t>
      </w:r>
      <w:r w:rsidRPr="00FE3FBB" w:rsidR="00D128B0">
        <w:rPr>
          <w:rFonts w:ascii="Verdana" w:hAnsi="Verdana" w:cstheme="minorHAnsi"/>
          <w:sz w:val="24"/>
          <w:szCs w:val="24"/>
        </w:rPr>
        <w:t>try and attain the necessary numeracy skills required for everyday life</w:t>
      </w:r>
      <w:r w:rsidRPr="00FE3FBB" w:rsidR="00115818">
        <w:rPr>
          <w:rFonts w:ascii="Verdana" w:hAnsi="Verdana" w:cstheme="minorHAnsi"/>
          <w:sz w:val="24"/>
          <w:szCs w:val="24"/>
        </w:rPr>
        <w:t>.</w:t>
      </w:r>
      <w:r w:rsidRPr="00FE3FBB" w:rsidR="007175D6">
        <w:rPr>
          <w:rFonts w:ascii="Verdana" w:hAnsi="Verdana" w:cstheme="minorHAnsi"/>
          <w:sz w:val="24"/>
          <w:szCs w:val="24"/>
        </w:rPr>
        <w:t xml:space="preserve"> </w:t>
      </w:r>
    </w:p>
    <w:p w:rsidR="0037298C" w:rsidRPr="00FE3FBB" w:rsidP="00531FC0">
      <w:pPr>
        <w:pStyle w:val="ListParagraph"/>
        <w:rPr>
          <w:rFonts w:ascii="Verdana" w:hAnsi="Verdana" w:cstheme="minorHAnsi"/>
          <w:sz w:val="24"/>
          <w:szCs w:val="24"/>
        </w:rPr>
      </w:pPr>
    </w:p>
    <w:p w:rsidR="00257D30"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In short, </w:t>
      </w:r>
      <w:r w:rsidRPr="00FE3FBB" w:rsidR="00A91CFB">
        <w:rPr>
          <w:rFonts w:ascii="Verdana" w:hAnsi="Verdana" w:cstheme="minorHAnsi"/>
          <w:sz w:val="24"/>
          <w:szCs w:val="24"/>
        </w:rPr>
        <w:t xml:space="preserve">many </w:t>
      </w:r>
      <w:r w:rsidRPr="00FE3FBB">
        <w:rPr>
          <w:rFonts w:ascii="Verdana" w:hAnsi="Verdana" w:cstheme="minorHAnsi"/>
          <w:sz w:val="24"/>
          <w:szCs w:val="24"/>
        </w:rPr>
        <w:t>p</w:t>
      </w:r>
      <w:r w:rsidRPr="00FE3FBB" w:rsidR="007175D6">
        <w:rPr>
          <w:rFonts w:ascii="Verdana" w:hAnsi="Verdana" w:cstheme="minorHAnsi"/>
          <w:sz w:val="24"/>
          <w:szCs w:val="24"/>
        </w:rPr>
        <w:t>eople either think they don’t need to improve, or don’t see the point of improving, or don’t want to improve because they are fearful, often due to a negative experience of maths at school.</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needs and can be done to change this mindset, and how might this be implemented?</w:t>
      </w:r>
    </w:p>
    <w:p w:rsidR="0037298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Changing </w:t>
      </w:r>
      <w:r w:rsidRPr="00FE3FBB" w:rsidR="008D7F92">
        <w:rPr>
          <w:rFonts w:ascii="Verdana" w:hAnsi="Verdana" w:cstheme="minorHAnsi"/>
          <w:sz w:val="24"/>
          <w:szCs w:val="24"/>
        </w:rPr>
        <w:t xml:space="preserve">this mindset is key to unlocking numeracy skills improvement, and it is important to understand </w:t>
      </w:r>
      <w:r w:rsidRPr="00FE3FBB" w:rsidR="00B73DE7">
        <w:rPr>
          <w:rFonts w:ascii="Verdana" w:hAnsi="Verdana" w:cstheme="minorHAnsi"/>
          <w:sz w:val="24"/>
          <w:szCs w:val="24"/>
        </w:rPr>
        <w:t xml:space="preserve">how this mindset has come about </w:t>
      </w:r>
      <w:r w:rsidRPr="00FE3FBB" w:rsidR="00A91CFB">
        <w:rPr>
          <w:rFonts w:ascii="Verdana" w:hAnsi="Verdana" w:cstheme="minorHAnsi"/>
          <w:sz w:val="24"/>
          <w:szCs w:val="24"/>
        </w:rPr>
        <w:t>for</w:t>
      </w:r>
      <w:r w:rsidRPr="00FE3FBB" w:rsidR="00B73DE7">
        <w:rPr>
          <w:rFonts w:ascii="Verdana" w:hAnsi="Verdana" w:cstheme="minorHAnsi"/>
          <w:sz w:val="24"/>
          <w:szCs w:val="24"/>
        </w:rPr>
        <w:t xml:space="preserve"> us to be able to address it effectively.</w:t>
      </w:r>
    </w:p>
    <w:p w:rsidR="0037298C" w:rsidRPr="00FE3FBB" w:rsidP="00531FC0">
      <w:pPr>
        <w:pStyle w:val="ListParagraph"/>
        <w:ind w:left="0"/>
        <w:rPr>
          <w:rFonts w:ascii="Verdana" w:hAnsi="Verdana" w:cstheme="minorHAnsi"/>
          <w:sz w:val="24"/>
          <w:szCs w:val="24"/>
        </w:rPr>
      </w:pPr>
    </w:p>
    <w:p w:rsidR="00041C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At National Numeracy, we have supported hundreds of thousands of adults who initially believe they are </w:t>
      </w:r>
      <w:r w:rsidRPr="00FE3FBB" w:rsidR="00C83C54">
        <w:rPr>
          <w:rFonts w:ascii="Verdana" w:hAnsi="Verdana" w:cstheme="minorHAnsi"/>
          <w:sz w:val="24"/>
          <w:szCs w:val="24"/>
        </w:rPr>
        <w:t>‘</w:t>
      </w:r>
      <w:r w:rsidRPr="00FE3FBB">
        <w:rPr>
          <w:rFonts w:ascii="Verdana" w:hAnsi="Verdana" w:cstheme="minorHAnsi"/>
          <w:sz w:val="24"/>
          <w:szCs w:val="24"/>
        </w:rPr>
        <w:t>unable to do maths</w:t>
      </w:r>
      <w:r w:rsidRPr="00FE3FBB" w:rsidR="00C83C54">
        <w:rPr>
          <w:rFonts w:ascii="Verdana" w:hAnsi="Verdana" w:cstheme="minorHAnsi"/>
          <w:sz w:val="24"/>
          <w:szCs w:val="24"/>
        </w:rPr>
        <w:t>’</w:t>
      </w:r>
      <w:r w:rsidRPr="00FE3FBB">
        <w:rPr>
          <w:rFonts w:ascii="Verdana" w:hAnsi="Verdana" w:cstheme="minorHAnsi"/>
          <w:sz w:val="24"/>
          <w:szCs w:val="24"/>
        </w:rPr>
        <w:t xml:space="preserve"> to make progress and understand that everyone can be a maths person.</w:t>
      </w:r>
    </w:p>
    <w:p w:rsidR="00B73DE7" w:rsidRPr="00FE3FBB" w:rsidP="00531FC0">
      <w:pPr>
        <w:pStyle w:val="ListParagraph"/>
        <w:ind w:left="0"/>
        <w:rPr>
          <w:rFonts w:ascii="Verdana" w:hAnsi="Verdana" w:cstheme="minorHAnsi"/>
          <w:sz w:val="24"/>
          <w:szCs w:val="24"/>
        </w:rPr>
      </w:pPr>
      <w:r w:rsidRPr="00FE3FBB">
        <w:rPr>
          <w:rFonts w:ascii="Verdana" w:hAnsi="Verdana" w:cstheme="minorHAnsi"/>
          <w:sz w:val="24"/>
          <w:szCs w:val="24"/>
        </w:rPr>
        <w:t xml:space="preserve"> </w:t>
      </w:r>
    </w:p>
    <w:p w:rsidR="002B2B41" w:rsidRPr="00FE3FBB" w:rsidP="00531FC0">
      <w:pPr>
        <w:pStyle w:val="ListParagraph"/>
        <w:numPr>
          <w:ilvl w:val="0"/>
          <w:numId w:val="15"/>
        </w:numPr>
        <w:rPr>
          <w:rFonts w:ascii="Verdana" w:hAnsi="Verdana" w:cstheme="minorHAnsi"/>
          <w:sz w:val="24"/>
          <w:szCs w:val="24"/>
        </w:rPr>
      </w:pPr>
      <w:r w:rsidRPr="00FE3FBB">
        <w:rPr>
          <w:rFonts w:ascii="Verdana" w:hAnsi="Verdana" w:cstheme="minorHAnsi"/>
          <w:sz w:val="24"/>
          <w:szCs w:val="24"/>
        </w:rPr>
        <w:t>Helping people to see the value of good numeracy</w:t>
      </w:r>
      <w:r w:rsidRPr="00FE3FBB" w:rsidR="006D4AA5">
        <w:rPr>
          <w:rFonts w:ascii="Verdana" w:hAnsi="Verdana" w:cstheme="minorHAnsi"/>
          <w:sz w:val="24"/>
          <w:szCs w:val="24"/>
        </w:rPr>
        <w:t>:</w:t>
      </w:r>
    </w:p>
    <w:p w:rsidR="00041C31" w:rsidRPr="00FE3FBB" w:rsidP="00531FC0">
      <w:pPr>
        <w:pStyle w:val="ListParagraph"/>
        <w:rPr>
          <w:rFonts w:ascii="Verdana" w:hAnsi="Verdana" w:cstheme="minorHAnsi"/>
          <w:b/>
          <w:bCs/>
          <w:sz w:val="24"/>
          <w:szCs w:val="24"/>
        </w:rPr>
      </w:pPr>
    </w:p>
    <w:p w:rsidR="00041C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We do this by enabling people to see the value of numeracy to our everyday lives </w:t>
      </w:r>
      <w:r w:rsidRPr="00FE3FBB" w:rsidR="000C3E48">
        <w:rPr>
          <w:rFonts w:ascii="Verdana" w:hAnsi="Verdana" w:cstheme="minorHAnsi"/>
          <w:sz w:val="24"/>
          <w:szCs w:val="24"/>
        </w:rPr>
        <w:t>through relatable exemplification</w:t>
      </w:r>
      <w:r w:rsidRPr="00FE3FBB" w:rsidR="00853DF6">
        <w:rPr>
          <w:rFonts w:ascii="Verdana" w:hAnsi="Verdana" w:cstheme="minorHAnsi"/>
          <w:sz w:val="24"/>
          <w:szCs w:val="24"/>
        </w:rPr>
        <w:t xml:space="preserve"> and role models</w:t>
      </w:r>
      <w:r w:rsidRPr="00FE3FBB" w:rsidR="00B52A22">
        <w:rPr>
          <w:rFonts w:ascii="Verdana" w:hAnsi="Verdana" w:cstheme="minorHAnsi"/>
          <w:sz w:val="24"/>
          <w:szCs w:val="24"/>
        </w:rPr>
        <w:t>,</w:t>
      </w:r>
      <w:r w:rsidRPr="00FE3FBB" w:rsidR="000C3E48">
        <w:rPr>
          <w:rFonts w:ascii="Verdana" w:hAnsi="Verdana" w:cstheme="minorHAnsi"/>
          <w:sz w:val="24"/>
          <w:szCs w:val="24"/>
        </w:rPr>
        <w:t xml:space="preserve"> </w:t>
      </w:r>
      <w:r w:rsidRPr="00FE3FBB">
        <w:rPr>
          <w:rFonts w:ascii="Verdana" w:hAnsi="Verdana" w:cstheme="minorHAnsi"/>
          <w:sz w:val="24"/>
          <w:szCs w:val="24"/>
        </w:rPr>
        <w:t>and quickly experience success</w:t>
      </w:r>
      <w:r w:rsidRPr="00FE3FBB" w:rsidR="0000319E">
        <w:rPr>
          <w:rFonts w:ascii="Verdana" w:hAnsi="Verdana" w:cstheme="minorHAnsi"/>
          <w:sz w:val="24"/>
          <w:szCs w:val="24"/>
        </w:rPr>
        <w:t xml:space="preserve"> through bitesize learning</w:t>
      </w:r>
      <w:r w:rsidRPr="00FE3FBB">
        <w:rPr>
          <w:rFonts w:ascii="Verdana" w:hAnsi="Verdana" w:cstheme="minorHAnsi"/>
          <w:sz w:val="24"/>
          <w:szCs w:val="24"/>
        </w:rPr>
        <w:t xml:space="preserve">, which in turn helps build confidence and a growth mindset.   </w:t>
      </w:r>
    </w:p>
    <w:p w:rsidR="00041C31" w:rsidRPr="00FE3FBB" w:rsidP="00531FC0">
      <w:pPr>
        <w:pStyle w:val="ListParagraph"/>
        <w:ind w:left="0"/>
        <w:rPr>
          <w:rFonts w:ascii="Verdana" w:hAnsi="Verdana" w:cstheme="minorHAnsi"/>
          <w:sz w:val="24"/>
          <w:szCs w:val="24"/>
        </w:rPr>
      </w:pPr>
    </w:p>
    <w:p w:rsidR="00041C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In order to ensure that this mindset proliferates, we </w:t>
      </w:r>
      <w:r w:rsidRPr="00FE3FBB" w:rsidR="007C582D">
        <w:rPr>
          <w:rFonts w:ascii="Verdana" w:hAnsi="Verdana" w:cstheme="minorHAnsi"/>
          <w:sz w:val="24"/>
          <w:szCs w:val="24"/>
        </w:rPr>
        <w:t xml:space="preserve">must ensure that </w:t>
      </w:r>
      <w:r w:rsidRPr="00FE3FBB" w:rsidR="00CA2026">
        <w:rPr>
          <w:rFonts w:ascii="Verdana" w:hAnsi="Verdana" w:cstheme="minorHAnsi"/>
          <w:sz w:val="24"/>
          <w:szCs w:val="24"/>
        </w:rPr>
        <w:t xml:space="preserve">all </w:t>
      </w:r>
      <w:r w:rsidRPr="00FE3FBB" w:rsidR="007C582D">
        <w:rPr>
          <w:rFonts w:ascii="Verdana" w:hAnsi="Verdana" w:cstheme="minorHAnsi"/>
          <w:sz w:val="24"/>
          <w:szCs w:val="24"/>
        </w:rPr>
        <w:t xml:space="preserve">young people understand and internalise </w:t>
      </w:r>
      <w:r w:rsidRPr="00FE3FBB" w:rsidR="00AD33CA">
        <w:rPr>
          <w:rFonts w:ascii="Verdana" w:hAnsi="Verdana" w:cstheme="minorHAnsi"/>
          <w:sz w:val="24"/>
          <w:szCs w:val="24"/>
        </w:rPr>
        <w:t>the value that maths can bring to their lives, rather than being an abstract subject, which for far too many ends up being something to be endured.</w:t>
      </w:r>
    </w:p>
    <w:p w:rsidR="00041C31" w:rsidRPr="00FE3FBB" w:rsidP="00531FC0">
      <w:pPr>
        <w:pStyle w:val="ListParagraph"/>
        <w:ind w:left="0"/>
        <w:rPr>
          <w:rFonts w:ascii="Verdana" w:hAnsi="Verdana" w:cstheme="minorHAnsi"/>
          <w:sz w:val="24"/>
          <w:szCs w:val="24"/>
        </w:rPr>
      </w:pPr>
    </w:p>
    <w:p w:rsidR="006D4AA5" w:rsidRPr="00FE3FBB" w:rsidP="00531FC0">
      <w:pPr>
        <w:pStyle w:val="ListParagraph"/>
        <w:numPr>
          <w:ilvl w:val="0"/>
          <w:numId w:val="15"/>
        </w:numPr>
        <w:rPr>
          <w:rFonts w:ascii="Verdana" w:hAnsi="Verdana" w:cstheme="minorHAnsi"/>
          <w:sz w:val="24"/>
          <w:szCs w:val="24"/>
        </w:rPr>
      </w:pPr>
      <w:r w:rsidRPr="00FE3FBB">
        <w:rPr>
          <w:rFonts w:ascii="Verdana" w:hAnsi="Verdana" w:cstheme="minorHAnsi"/>
          <w:sz w:val="24"/>
          <w:szCs w:val="24"/>
        </w:rPr>
        <w:t>Understanding motivations for wanting to improve</w:t>
      </w:r>
      <w:r w:rsidRPr="00FE3FBB">
        <w:rPr>
          <w:rFonts w:ascii="Verdana" w:hAnsi="Verdana" w:cstheme="minorHAnsi"/>
          <w:sz w:val="24"/>
          <w:szCs w:val="24"/>
        </w:rPr>
        <w:t>:</w:t>
      </w:r>
    </w:p>
    <w:p w:rsidR="006D4AA5" w:rsidRPr="00FE3FBB" w:rsidP="00531FC0">
      <w:pPr>
        <w:pStyle w:val="ListParagraph"/>
        <w:rPr>
          <w:rFonts w:ascii="Verdana" w:hAnsi="Verdana" w:cstheme="minorHAnsi"/>
          <w:sz w:val="24"/>
          <w:szCs w:val="24"/>
        </w:rPr>
      </w:pPr>
    </w:p>
    <w:p w:rsidR="00096AE4"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In our most recent national survey (Dec 2024)</w:t>
      </w:r>
      <w:r w:rsidRPr="00FE3FBB" w:rsidR="00914628">
        <w:rPr>
          <w:rFonts w:ascii="Verdana" w:hAnsi="Verdana" w:cstheme="minorHAnsi"/>
          <w:sz w:val="24"/>
          <w:szCs w:val="24"/>
        </w:rPr>
        <w:t xml:space="preserve">, 40% of people said they would like to improve their </w:t>
      </w:r>
      <w:r w:rsidRPr="00FE3FBB" w:rsidR="006756D0">
        <w:rPr>
          <w:rFonts w:ascii="Verdana" w:hAnsi="Verdana" w:cstheme="minorHAnsi"/>
          <w:sz w:val="24"/>
          <w:szCs w:val="24"/>
        </w:rPr>
        <w:t>numeracy skills</w:t>
      </w:r>
      <w:r w:rsidRPr="00FE3FBB" w:rsidR="0058339E">
        <w:rPr>
          <w:rFonts w:ascii="Verdana" w:hAnsi="Verdana" w:cstheme="minorHAnsi"/>
          <w:sz w:val="24"/>
          <w:szCs w:val="24"/>
        </w:rPr>
        <w:t xml:space="preserve">, with </w:t>
      </w:r>
      <w:r w:rsidRPr="00FE3FBB" w:rsidR="006756D0">
        <w:rPr>
          <w:rFonts w:ascii="Verdana" w:hAnsi="Verdana" w:cstheme="minorHAnsi"/>
          <w:sz w:val="24"/>
          <w:szCs w:val="24"/>
        </w:rPr>
        <w:t xml:space="preserve">70% </w:t>
      </w:r>
      <w:r w:rsidRPr="00FE3FBB" w:rsidR="0058339E">
        <w:rPr>
          <w:rFonts w:ascii="Verdana" w:hAnsi="Verdana" w:cstheme="minorHAnsi"/>
          <w:sz w:val="24"/>
          <w:szCs w:val="24"/>
        </w:rPr>
        <w:t xml:space="preserve">stating it was </w:t>
      </w:r>
      <w:r w:rsidRPr="00FE3FBB" w:rsidR="006756D0">
        <w:rPr>
          <w:rFonts w:ascii="Verdana" w:hAnsi="Verdana" w:cstheme="minorHAnsi"/>
          <w:sz w:val="24"/>
          <w:szCs w:val="24"/>
        </w:rPr>
        <w:t xml:space="preserve">for </w:t>
      </w:r>
      <w:r w:rsidRPr="00FE3FBB" w:rsidR="006E56E7">
        <w:rPr>
          <w:rFonts w:ascii="Verdana" w:hAnsi="Verdana" w:cstheme="minorHAnsi"/>
          <w:sz w:val="24"/>
          <w:szCs w:val="24"/>
        </w:rPr>
        <w:t xml:space="preserve">their own personal development, </w:t>
      </w:r>
      <w:r w:rsidRPr="00FE3FBB" w:rsidR="006756D0">
        <w:rPr>
          <w:rFonts w:ascii="Verdana" w:hAnsi="Verdana" w:cstheme="minorHAnsi"/>
          <w:sz w:val="24"/>
          <w:szCs w:val="24"/>
        </w:rPr>
        <w:t>32%</w:t>
      </w:r>
      <w:r w:rsidRPr="00FE3FBB" w:rsidR="006E56E7">
        <w:rPr>
          <w:rFonts w:ascii="Verdana" w:hAnsi="Verdana" w:cstheme="minorHAnsi"/>
          <w:sz w:val="24"/>
          <w:szCs w:val="24"/>
        </w:rPr>
        <w:t xml:space="preserve"> to better manage their money, 21% to help their children</w:t>
      </w:r>
      <w:r w:rsidRPr="00FE3FBB" w:rsidR="006B31FF">
        <w:rPr>
          <w:rFonts w:ascii="Verdana" w:hAnsi="Verdana" w:cstheme="minorHAnsi"/>
          <w:sz w:val="24"/>
          <w:szCs w:val="24"/>
        </w:rPr>
        <w:t xml:space="preserve"> with maths homework, 16% to get a qualification, 21% to find a job / get on at work, </w:t>
      </w:r>
      <w:r w:rsidRPr="00FE3FBB" w:rsidR="00DF5C38">
        <w:rPr>
          <w:rFonts w:ascii="Verdana" w:hAnsi="Verdana" w:cstheme="minorHAnsi"/>
          <w:sz w:val="24"/>
          <w:szCs w:val="24"/>
        </w:rPr>
        <w:t>23% to become better at day-to-day activities, 22% to better understand statistics in the media</w:t>
      </w:r>
      <w:r w:rsidRPr="00FE3FBB" w:rsidR="00A40DCF">
        <w:rPr>
          <w:rFonts w:ascii="Verdana" w:hAnsi="Verdana" w:cstheme="minorHAnsi"/>
          <w:sz w:val="24"/>
          <w:szCs w:val="24"/>
        </w:rPr>
        <w:t xml:space="preserve"> and 12% to better manage their health. These percentages vary </w:t>
      </w:r>
      <w:r w:rsidRPr="00FE3FBB" w:rsidR="00A40DCF">
        <w:rPr>
          <w:rFonts w:ascii="Verdana" w:hAnsi="Verdana" w:cstheme="minorHAnsi"/>
          <w:sz w:val="24"/>
          <w:szCs w:val="24"/>
        </w:rPr>
        <w:t>according to gender and age</w:t>
      </w:r>
      <w:r w:rsidRPr="00FE3FBB" w:rsidR="00DE5696">
        <w:rPr>
          <w:rFonts w:ascii="Verdana" w:hAnsi="Verdana" w:cstheme="minorHAnsi"/>
          <w:sz w:val="24"/>
          <w:szCs w:val="24"/>
        </w:rPr>
        <w:t xml:space="preserve">, and so tapping into life moments is key to engaging people </w:t>
      </w:r>
      <w:r w:rsidRPr="00FE3FBB" w:rsidR="002B2B41">
        <w:rPr>
          <w:rFonts w:ascii="Verdana" w:hAnsi="Verdana" w:cstheme="minorHAnsi"/>
          <w:sz w:val="24"/>
          <w:szCs w:val="24"/>
        </w:rPr>
        <w:t>at the right time and place.</w:t>
      </w:r>
    </w:p>
    <w:p w:rsidR="00B557BC" w:rsidRPr="00FE3FBB" w:rsidP="00531FC0">
      <w:pPr>
        <w:pStyle w:val="ListParagraph"/>
        <w:ind w:left="0"/>
        <w:rPr>
          <w:rFonts w:ascii="Verdana" w:hAnsi="Verdana" w:cstheme="minorHAnsi"/>
          <w:sz w:val="24"/>
          <w:szCs w:val="24"/>
        </w:rPr>
      </w:pPr>
    </w:p>
    <w:p w:rsidR="00867254"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For example, a</w:t>
      </w:r>
      <w:r w:rsidRPr="00FE3FBB" w:rsidR="00CF000C">
        <w:rPr>
          <w:rFonts w:ascii="Verdana" w:hAnsi="Verdana" w:cstheme="minorHAnsi"/>
          <w:sz w:val="24"/>
          <w:szCs w:val="24"/>
        </w:rPr>
        <w:t xml:space="preserve">t National Numeracy, our Schools &amp; Families programme works with </w:t>
      </w:r>
      <w:r w:rsidRPr="00FE3FBB" w:rsidR="003318FE">
        <w:rPr>
          <w:rFonts w:ascii="Verdana" w:hAnsi="Verdana" w:cstheme="minorHAnsi"/>
          <w:sz w:val="24"/>
          <w:szCs w:val="24"/>
        </w:rPr>
        <w:t xml:space="preserve">over 600 primary schools across the UK to help build maths-positive and maths-confident school communities by working with </w:t>
      </w:r>
      <w:r w:rsidRPr="00FE3FBB" w:rsidR="00CA1BED">
        <w:rPr>
          <w:rFonts w:ascii="Verdana" w:hAnsi="Verdana" w:cstheme="minorHAnsi"/>
          <w:sz w:val="24"/>
          <w:szCs w:val="24"/>
        </w:rPr>
        <w:t>educators, support staff, parents, carers and children to reinforce the importance of positive atti</w:t>
      </w:r>
      <w:r w:rsidRPr="00FE3FBB" w:rsidR="00F03EAA">
        <w:rPr>
          <w:rFonts w:ascii="Verdana" w:hAnsi="Verdana" w:cstheme="minorHAnsi"/>
          <w:sz w:val="24"/>
          <w:szCs w:val="24"/>
        </w:rPr>
        <w:t xml:space="preserve">tudes towards maths, as well as supporting adults and children to build both their confidence and skills. </w:t>
      </w:r>
      <w:r w:rsidRPr="00FE3FBB" w:rsidR="00D22D55">
        <w:rPr>
          <w:rFonts w:ascii="Verdana" w:hAnsi="Verdana" w:cstheme="minorHAnsi"/>
          <w:sz w:val="24"/>
          <w:szCs w:val="24"/>
        </w:rPr>
        <w:t>81% of partner schools have reported improved maths attainment and 89% of parents/carers are more likely to engage in their child's maths learning in the future.</w:t>
      </w:r>
    </w:p>
    <w:p w:rsidR="00B557BC" w:rsidRPr="00FE3FBB" w:rsidP="00531FC0">
      <w:pPr>
        <w:pStyle w:val="ListParagraph"/>
        <w:ind w:left="0"/>
        <w:rPr>
          <w:rFonts w:ascii="Verdana" w:hAnsi="Verdana" w:cstheme="minorHAnsi"/>
          <w:sz w:val="24"/>
          <w:szCs w:val="24"/>
        </w:rPr>
      </w:pPr>
    </w:p>
    <w:p w:rsidR="00867254" w:rsidRPr="00FE3FBB" w:rsidP="00531FC0">
      <w:pPr>
        <w:pStyle w:val="ListParagraph"/>
        <w:numPr>
          <w:ilvl w:val="0"/>
          <w:numId w:val="15"/>
        </w:numPr>
        <w:rPr>
          <w:rFonts w:ascii="Verdana" w:hAnsi="Verdana" w:cstheme="minorHAnsi"/>
          <w:sz w:val="24"/>
          <w:szCs w:val="24"/>
        </w:rPr>
      </w:pPr>
      <w:r w:rsidRPr="00FE3FBB">
        <w:rPr>
          <w:rFonts w:ascii="Verdana" w:hAnsi="Verdana" w:cstheme="minorHAnsi"/>
          <w:sz w:val="24"/>
          <w:szCs w:val="24"/>
        </w:rPr>
        <w:t>Addressing number confidence issues first</w:t>
      </w:r>
      <w:r w:rsidRPr="00FE3FBB" w:rsidR="00B557BC">
        <w:rPr>
          <w:rFonts w:ascii="Verdana" w:hAnsi="Verdana" w:cstheme="minorHAnsi"/>
          <w:sz w:val="24"/>
          <w:szCs w:val="24"/>
        </w:rPr>
        <w:t>:</w:t>
      </w:r>
    </w:p>
    <w:p w:rsidR="00B557BC" w:rsidRPr="00FE3FBB" w:rsidP="00531FC0">
      <w:pPr>
        <w:pStyle w:val="ListParagraph"/>
        <w:rPr>
          <w:rFonts w:ascii="Verdana" w:hAnsi="Verdana" w:cstheme="minorHAnsi"/>
          <w:sz w:val="24"/>
          <w:szCs w:val="24"/>
        </w:rPr>
      </w:pPr>
    </w:p>
    <w:p w:rsidR="00867254"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We know from our work </w:t>
      </w:r>
      <w:r w:rsidRPr="00FE3FBB" w:rsidR="000F7A78">
        <w:rPr>
          <w:rFonts w:ascii="Verdana" w:hAnsi="Verdana" w:cstheme="minorHAnsi"/>
          <w:sz w:val="24"/>
          <w:szCs w:val="24"/>
        </w:rPr>
        <w:t>with adults</w:t>
      </w:r>
      <w:r w:rsidRPr="00FE3FBB">
        <w:rPr>
          <w:rFonts w:ascii="Verdana" w:hAnsi="Verdana" w:cstheme="minorHAnsi"/>
          <w:sz w:val="24"/>
          <w:szCs w:val="24"/>
        </w:rPr>
        <w:t xml:space="preserve"> and working with parents and teachers that confidence is the first thing we must talk about. We now start all of our interventions with the question</w:t>
      </w:r>
      <w:r w:rsidRPr="00FE3FBB" w:rsidR="00ED76E1">
        <w:rPr>
          <w:rFonts w:ascii="Verdana" w:hAnsi="Verdana" w:cstheme="minorHAnsi"/>
          <w:sz w:val="24"/>
          <w:szCs w:val="24"/>
        </w:rPr>
        <w:t>s</w:t>
      </w:r>
      <w:r w:rsidRPr="00FE3FBB">
        <w:rPr>
          <w:rFonts w:ascii="Verdana" w:hAnsi="Verdana" w:cstheme="minorHAnsi"/>
          <w:sz w:val="24"/>
          <w:szCs w:val="24"/>
        </w:rPr>
        <w:t xml:space="preserve"> “How confident </w:t>
      </w:r>
      <w:r w:rsidRPr="00FE3FBB" w:rsidR="005806FE">
        <w:rPr>
          <w:rFonts w:ascii="Verdana" w:hAnsi="Verdana" w:cstheme="minorHAnsi"/>
          <w:sz w:val="24"/>
          <w:szCs w:val="24"/>
        </w:rPr>
        <w:t xml:space="preserve">do </w:t>
      </w:r>
      <w:r w:rsidRPr="00FE3FBB">
        <w:rPr>
          <w:rFonts w:ascii="Verdana" w:hAnsi="Verdana" w:cstheme="minorHAnsi"/>
          <w:sz w:val="24"/>
          <w:szCs w:val="24"/>
        </w:rPr>
        <w:t>you feel working with numbers in everyday life?” and “How do you feel about maths</w:t>
      </w:r>
      <w:r w:rsidRPr="00FE3FBB" w:rsidR="000B5211">
        <w:rPr>
          <w:rFonts w:ascii="Verdana" w:hAnsi="Verdana" w:cstheme="minorHAnsi"/>
          <w:sz w:val="24"/>
          <w:szCs w:val="24"/>
        </w:rPr>
        <w:t>.</w:t>
      </w:r>
      <w:r w:rsidRPr="00FE3FBB">
        <w:rPr>
          <w:rFonts w:ascii="Verdana" w:hAnsi="Verdana" w:cstheme="minorHAnsi"/>
          <w:sz w:val="24"/>
          <w:szCs w:val="24"/>
        </w:rPr>
        <w:t>” Because it’s only by starting with those conversations that we can</w:t>
      </w:r>
      <w:r w:rsidRPr="00FE3FBB" w:rsidR="005F39CB">
        <w:rPr>
          <w:rFonts w:ascii="Verdana" w:hAnsi="Verdana" w:cstheme="minorHAnsi"/>
          <w:sz w:val="24"/>
          <w:szCs w:val="24"/>
        </w:rPr>
        <w:t xml:space="preserve"> meet people where they are and</w:t>
      </w:r>
      <w:r w:rsidRPr="00FE3FBB">
        <w:rPr>
          <w:rFonts w:ascii="Verdana" w:hAnsi="Verdana" w:cstheme="minorHAnsi"/>
          <w:sz w:val="24"/>
          <w:szCs w:val="24"/>
        </w:rPr>
        <w:t xml:space="preserve"> start to unlock skills improvement</w:t>
      </w:r>
      <w:r w:rsidRPr="00FE3FBB" w:rsidR="00C83C54">
        <w:rPr>
          <w:rFonts w:ascii="Verdana" w:hAnsi="Verdana" w:cstheme="minorHAnsi"/>
          <w:sz w:val="24"/>
          <w:szCs w:val="24"/>
        </w:rPr>
        <w:t>,</w:t>
      </w:r>
      <w:r w:rsidRPr="00FE3FBB">
        <w:rPr>
          <w:rFonts w:ascii="Verdana" w:hAnsi="Verdana" w:cstheme="minorHAnsi"/>
          <w:sz w:val="24"/>
          <w:szCs w:val="24"/>
        </w:rPr>
        <w:t xml:space="preserve"> rather than starting with a textbook or a math</w:t>
      </w:r>
      <w:r w:rsidRPr="00FE3FBB" w:rsidR="008A37F9">
        <w:rPr>
          <w:rFonts w:ascii="Verdana" w:hAnsi="Verdana" w:cstheme="minorHAnsi"/>
          <w:sz w:val="24"/>
          <w:szCs w:val="24"/>
        </w:rPr>
        <w:t>s</w:t>
      </w:r>
      <w:r w:rsidRPr="00FE3FBB">
        <w:rPr>
          <w:rFonts w:ascii="Verdana" w:hAnsi="Verdana" w:cstheme="minorHAnsi"/>
          <w:sz w:val="24"/>
          <w:szCs w:val="24"/>
        </w:rPr>
        <w:t xml:space="preserve"> tes</w:t>
      </w:r>
      <w:r w:rsidRPr="00FE3FBB" w:rsidR="00ED76E1">
        <w:rPr>
          <w:rFonts w:ascii="Verdana" w:hAnsi="Verdana" w:cstheme="minorHAnsi"/>
          <w:sz w:val="24"/>
          <w:szCs w:val="24"/>
        </w:rPr>
        <w:t>t</w:t>
      </w:r>
      <w:r w:rsidRPr="00FE3FBB" w:rsidR="00C83C54">
        <w:rPr>
          <w:rFonts w:ascii="Verdana" w:hAnsi="Verdana" w:cstheme="minorHAnsi"/>
          <w:sz w:val="24"/>
          <w:szCs w:val="24"/>
        </w:rPr>
        <w:t>.</w:t>
      </w:r>
    </w:p>
    <w:p w:rsidR="00B557BC" w:rsidRPr="00FE3FBB" w:rsidP="00531FC0">
      <w:pPr>
        <w:pStyle w:val="ListParagraph"/>
        <w:ind w:left="0"/>
        <w:rPr>
          <w:rFonts w:ascii="Verdana" w:hAnsi="Verdana" w:cstheme="minorHAnsi"/>
          <w:sz w:val="24"/>
          <w:szCs w:val="24"/>
        </w:rPr>
      </w:pPr>
    </w:p>
    <w:p w:rsidR="00150435" w:rsidRPr="00FE3FBB" w:rsidP="00531FC0">
      <w:pPr>
        <w:pStyle w:val="ListParagraph"/>
        <w:numPr>
          <w:ilvl w:val="0"/>
          <w:numId w:val="15"/>
        </w:numPr>
        <w:rPr>
          <w:rFonts w:ascii="Verdana" w:hAnsi="Verdana" w:cstheme="minorHAnsi"/>
          <w:sz w:val="24"/>
          <w:szCs w:val="24"/>
        </w:rPr>
      </w:pPr>
      <w:r w:rsidRPr="00FE3FBB">
        <w:rPr>
          <w:rFonts w:ascii="Verdana" w:hAnsi="Verdana" w:cstheme="minorHAnsi"/>
          <w:sz w:val="24"/>
          <w:szCs w:val="24"/>
        </w:rPr>
        <w:t>Negative school experience</w:t>
      </w:r>
    </w:p>
    <w:p w:rsidR="00B557BC" w:rsidRPr="00FE3FBB" w:rsidP="00531FC0">
      <w:pPr>
        <w:pStyle w:val="ListParagraph"/>
        <w:rPr>
          <w:rFonts w:ascii="Verdana" w:hAnsi="Verdana" w:cstheme="minorHAnsi"/>
          <w:sz w:val="24"/>
          <w:szCs w:val="24"/>
        </w:rPr>
      </w:pPr>
    </w:p>
    <w:p w:rsidR="00B557B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For adults with low number skills and/or confidence</w:t>
      </w:r>
      <w:r w:rsidRPr="00FE3FBB" w:rsidR="00C83C54">
        <w:rPr>
          <w:rFonts w:ascii="Verdana" w:hAnsi="Verdana" w:cstheme="minorHAnsi"/>
          <w:sz w:val="24"/>
          <w:szCs w:val="24"/>
        </w:rPr>
        <w:t>,</w:t>
      </w:r>
      <w:r w:rsidRPr="00FE3FBB">
        <w:rPr>
          <w:rFonts w:ascii="Verdana" w:hAnsi="Verdana" w:cstheme="minorHAnsi"/>
          <w:sz w:val="24"/>
          <w:szCs w:val="24"/>
        </w:rPr>
        <w:t xml:space="preserve"> </w:t>
      </w:r>
      <w:r w:rsidRPr="00FE3FBB" w:rsidR="00433F09">
        <w:rPr>
          <w:rFonts w:ascii="Verdana" w:hAnsi="Verdana" w:cstheme="minorHAnsi"/>
          <w:sz w:val="24"/>
          <w:szCs w:val="24"/>
        </w:rPr>
        <w:t xml:space="preserve">it is highly likely that they may have had a negative experience of maths at school. It is therefore imperative that </w:t>
      </w:r>
      <w:r w:rsidRPr="00FE3FBB" w:rsidR="00EB33CD">
        <w:rPr>
          <w:rFonts w:ascii="Verdana" w:hAnsi="Verdana" w:cstheme="minorHAnsi"/>
          <w:sz w:val="24"/>
          <w:szCs w:val="24"/>
        </w:rPr>
        <w:t>any intervention addresses this by being adult-friendly and not reminiscent of school</w:t>
      </w:r>
      <w:r w:rsidRPr="00FE3FBB" w:rsidR="00453FBE">
        <w:rPr>
          <w:rFonts w:ascii="Verdana" w:hAnsi="Verdana" w:cstheme="minorHAnsi"/>
          <w:sz w:val="24"/>
          <w:szCs w:val="24"/>
        </w:rPr>
        <w:t xml:space="preserve"> in any way.</w:t>
      </w:r>
    </w:p>
    <w:p w:rsidR="00B557BC" w:rsidRPr="00FE3FBB" w:rsidP="00531FC0">
      <w:pPr>
        <w:pStyle w:val="ListParagraph"/>
        <w:ind w:left="0"/>
        <w:rPr>
          <w:rFonts w:ascii="Verdana" w:hAnsi="Verdana" w:cstheme="minorHAnsi"/>
          <w:sz w:val="24"/>
          <w:szCs w:val="24"/>
        </w:rPr>
      </w:pPr>
    </w:p>
    <w:p w:rsidR="00347474"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We must also pay far greater attention to how and where mindsets – negative and positive – are developed. A positive maths culture requires a whole-community approach that recognises and harnesses the intergenerational nature of how we develop beliefs about ourselves. </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are the essential numeracy skills and knowledge needed throughout life?</w:t>
      </w:r>
    </w:p>
    <w:p w:rsidR="0022094D"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Back in 2013, National Numeracy defined </w:t>
      </w:r>
      <w:r>
        <w:fldChar w:fldCharType="begin"/>
      </w:r>
      <w:r>
        <w:instrText xml:space="preserve"> HYPERLINK "https://www.nationalnumeracy.org.uk/what-numeracy/essentials-numeracy" </w:instrText>
      </w:r>
      <w:r>
        <w:fldChar w:fldCharType="separate"/>
      </w:r>
      <w:r w:rsidRPr="00FE3FBB">
        <w:rPr>
          <w:rStyle w:val="Hyperlink"/>
          <w:rFonts w:ascii="Verdana" w:hAnsi="Verdana" w:cstheme="minorHAnsi"/>
          <w:sz w:val="24"/>
          <w:szCs w:val="24"/>
        </w:rPr>
        <w:t>The Essentials of Numeracy</w:t>
      </w:r>
      <w:r>
        <w:fldChar w:fldCharType="end"/>
      </w:r>
      <w:r w:rsidRPr="00FE3FBB">
        <w:rPr>
          <w:rFonts w:ascii="Verdana" w:hAnsi="Verdana" w:cstheme="minorHAnsi"/>
          <w:sz w:val="24"/>
          <w:szCs w:val="24"/>
        </w:rPr>
        <w:t xml:space="preserve">, to map out the skills and attitudes that everyone needs to use numbers and data to make good decisions at work and at home. </w:t>
      </w:r>
      <w:r w:rsidRPr="00FE3FBB">
        <w:rPr>
          <w:rFonts w:ascii="Verdana" w:hAnsi="Verdana" w:cstheme="minorHAnsi"/>
          <w:sz w:val="24"/>
          <w:szCs w:val="24"/>
        </w:rPr>
        <w:t>That means, for example, being able to understand percentages to get the best-buy deals, mak</w:t>
      </w:r>
      <w:r w:rsidRPr="00FE3FBB" w:rsidR="0059397F">
        <w:rPr>
          <w:rFonts w:ascii="Verdana" w:hAnsi="Verdana" w:cstheme="minorHAnsi"/>
          <w:sz w:val="24"/>
          <w:szCs w:val="24"/>
        </w:rPr>
        <w:t>ing</w:t>
      </w:r>
      <w:r w:rsidRPr="00FE3FBB">
        <w:rPr>
          <w:rFonts w:ascii="Verdana" w:hAnsi="Verdana" w:cstheme="minorHAnsi"/>
          <w:sz w:val="24"/>
          <w:szCs w:val="24"/>
        </w:rPr>
        <w:t xml:space="preserve"> sense of statistics in the news and manag</w:t>
      </w:r>
      <w:r w:rsidRPr="00FE3FBB" w:rsidR="002E2172">
        <w:rPr>
          <w:rFonts w:ascii="Verdana" w:hAnsi="Verdana" w:cstheme="minorHAnsi"/>
          <w:sz w:val="24"/>
          <w:szCs w:val="24"/>
        </w:rPr>
        <w:t>ing</w:t>
      </w:r>
      <w:r w:rsidRPr="00FE3FBB">
        <w:rPr>
          <w:rFonts w:ascii="Verdana" w:hAnsi="Verdana" w:cstheme="minorHAnsi"/>
          <w:sz w:val="24"/>
          <w:szCs w:val="24"/>
        </w:rPr>
        <w:t xml:space="preserve"> your money. It doesn’t mean doing algebra and trigonometry, memorising formulae and working out equations removed from a real-life context.</w:t>
      </w:r>
    </w:p>
    <w:p w:rsidR="00B557BC" w:rsidRPr="00FE3FBB" w:rsidP="00531FC0">
      <w:pPr>
        <w:pStyle w:val="ListParagraph"/>
        <w:ind w:left="0"/>
        <w:rPr>
          <w:rFonts w:ascii="Verdana" w:hAnsi="Verdana" w:cstheme="minorHAnsi"/>
          <w:sz w:val="24"/>
          <w:szCs w:val="24"/>
        </w:rPr>
      </w:pPr>
    </w:p>
    <w:p w:rsidR="00CE3A9F"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We used this as the basis for our online learning platform for adults, The National Numeracy Challenge. In 2017, we worked with Cambridge Mathematics to ratify the content and to check that it was appropriate for secondary school children.</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are the effects of low numeracy throughout life on 1) individuals, including their career, financial and health outcomes, 2) the economy, and 3) society?</w:t>
      </w:r>
    </w:p>
    <w:p w:rsidR="00B557B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When it comes to social mobility, low numeracy holds millions of people back from fulfilling their potential. </w:t>
      </w:r>
    </w:p>
    <w:p w:rsidR="00B557BC" w:rsidRPr="00FE3FBB" w:rsidP="00531FC0">
      <w:pPr>
        <w:pStyle w:val="ListParagraph"/>
        <w:ind w:left="0"/>
        <w:rPr>
          <w:rFonts w:ascii="Verdana" w:hAnsi="Verdana" w:cstheme="minorHAnsi"/>
          <w:sz w:val="24"/>
          <w:szCs w:val="24"/>
        </w:rPr>
      </w:pPr>
    </w:p>
    <w:p w:rsidR="00B557B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As much as 30% of young people fail to gain a maths qualification at age 16</w:t>
      </w:r>
      <w:r w:rsidRPr="00FE3FBB" w:rsidR="007E0F49">
        <w:rPr>
          <w:rFonts w:ascii="Verdana" w:hAnsi="Verdana" w:cstheme="minorHAnsi"/>
          <w:sz w:val="24"/>
          <w:szCs w:val="24"/>
        </w:rPr>
        <w:t xml:space="preserve">. </w:t>
      </w:r>
      <w:r w:rsidRPr="00FE3FBB" w:rsidR="00D509AE">
        <w:rPr>
          <w:rFonts w:ascii="Verdana" w:hAnsi="Verdana" w:cstheme="minorHAnsi"/>
          <w:sz w:val="24"/>
          <w:szCs w:val="24"/>
        </w:rPr>
        <w:t xml:space="preserve">This rises to more than half </w:t>
      </w:r>
      <w:r w:rsidRPr="00FE3FBB" w:rsidR="00AB5C86">
        <w:rPr>
          <w:rFonts w:ascii="Verdana" w:hAnsi="Verdana" w:cstheme="minorHAnsi"/>
          <w:sz w:val="24"/>
          <w:szCs w:val="24"/>
        </w:rPr>
        <w:t xml:space="preserve">of pupils </w:t>
      </w:r>
      <w:r w:rsidRPr="00FE3FBB" w:rsidR="00D509AE">
        <w:rPr>
          <w:rFonts w:ascii="Verdana" w:hAnsi="Verdana" w:cstheme="minorHAnsi"/>
          <w:sz w:val="24"/>
          <w:szCs w:val="24"/>
        </w:rPr>
        <w:t xml:space="preserve">who are </w:t>
      </w:r>
      <w:r w:rsidRPr="00FE3FBB" w:rsidR="00AB5C86">
        <w:rPr>
          <w:rFonts w:ascii="Verdana" w:hAnsi="Verdana" w:cstheme="minorHAnsi"/>
          <w:sz w:val="24"/>
          <w:szCs w:val="24"/>
        </w:rPr>
        <w:t>eligible for free school meals</w:t>
      </w:r>
      <w:r w:rsidRPr="00FE3FBB" w:rsidR="00D509AE">
        <w:rPr>
          <w:rFonts w:ascii="Verdana" w:hAnsi="Verdana" w:cstheme="minorHAnsi"/>
          <w:sz w:val="24"/>
          <w:szCs w:val="24"/>
        </w:rPr>
        <w:t>. This</w:t>
      </w:r>
      <w:r w:rsidRPr="00FE3FBB">
        <w:rPr>
          <w:rFonts w:ascii="Verdana" w:hAnsi="Verdana" w:cstheme="minorHAnsi"/>
          <w:sz w:val="24"/>
          <w:szCs w:val="24"/>
        </w:rPr>
        <w:t xml:space="preserve"> contributes to around 17</w:t>
      </w:r>
      <w:r w:rsidRPr="00FE3FBB" w:rsidR="00C83C54">
        <w:rPr>
          <w:rFonts w:ascii="Verdana" w:hAnsi="Verdana" w:cstheme="minorHAnsi"/>
          <w:sz w:val="24"/>
          <w:szCs w:val="24"/>
        </w:rPr>
        <w:t xml:space="preserve"> million</w:t>
      </w:r>
      <w:r w:rsidRPr="00FE3FBB">
        <w:rPr>
          <w:rFonts w:ascii="Verdana" w:hAnsi="Verdana" w:cstheme="minorHAnsi"/>
          <w:sz w:val="24"/>
          <w:szCs w:val="24"/>
        </w:rPr>
        <w:t xml:space="preserve"> adults in the UK not having a nationally recognised maths qualification. This has real world implications, as 35% of people say that having to do maths in everyday situations </w:t>
      </w:r>
      <w:r w:rsidRPr="00FE3FBB" w:rsidR="00D858BF">
        <w:rPr>
          <w:rFonts w:ascii="Verdana" w:hAnsi="Verdana" w:cstheme="minorHAnsi"/>
          <w:sz w:val="24"/>
          <w:szCs w:val="24"/>
        </w:rPr>
        <w:t xml:space="preserve">makes them </w:t>
      </w:r>
      <w:r w:rsidRPr="00FE3FBB">
        <w:rPr>
          <w:rFonts w:ascii="Verdana" w:hAnsi="Verdana" w:cstheme="minorHAnsi"/>
          <w:sz w:val="24"/>
          <w:szCs w:val="24"/>
        </w:rPr>
        <w:t xml:space="preserve">feel anxious, rising to 60% for younger adults aged under 34. </w:t>
      </w:r>
    </w:p>
    <w:p w:rsidR="00B557BC" w:rsidRPr="00FE3FBB" w:rsidP="00531FC0">
      <w:pPr>
        <w:pStyle w:val="ListParagraph"/>
        <w:rPr>
          <w:rFonts w:ascii="Verdana" w:hAnsi="Verdana" w:cstheme="minorHAnsi"/>
          <w:sz w:val="24"/>
          <w:szCs w:val="24"/>
        </w:rPr>
      </w:pPr>
    </w:p>
    <w:p w:rsidR="00B557B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Poor numeracy limits learning opportunities and career choices: More than a third of adults and more than half of younger adults say they would be put off a job where the specification states a requirement for </w:t>
      </w:r>
      <w:r w:rsidRPr="00FE3FBB" w:rsidR="00503069">
        <w:rPr>
          <w:rFonts w:ascii="Verdana" w:hAnsi="Verdana" w:cstheme="minorHAnsi"/>
          <w:sz w:val="24"/>
          <w:szCs w:val="24"/>
        </w:rPr>
        <w:t>numbers and data</w:t>
      </w:r>
      <w:r w:rsidRPr="00FE3FBB">
        <w:rPr>
          <w:rFonts w:ascii="Verdana" w:hAnsi="Verdana" w:cstheme="minorHAnsi"/>
          <w:sz w:val="24"/>
          <w:szCs w:val="24"/>
        </w:rPr>
        <w:t>, which throws up a significant, potentially lifelong barrier to social mobility.</w:t>
      </w:r>
    </w:p>
    <w:p w:rsidR="00B557BC" w:rsidRPr="00FE3FBB" w:rsidP="00531FC0">
      <w:pPr>
        <w:pStyle w:val="ListParagraph"/>
        <w:rPr>
          <w:rFonts w:ascii="Verdana" w:hAnsi="Verdana" w:cstheme="minorHAnsi"/>
          <w:sz w:val="24"/>
          <w:szCs w:val="24"/>
        </w:rPr>
      </w:pPr>
    </w:p>
    <w:p w:rsidR="00B557B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Lower attainment and number confidence are linked to a greater negative career impact (earnings, career choices and progression), which is a fundamental barrier to social mobility.</w:t>
      </w:r>
    </w:p>
    <w:p w:rsidR="00B557BC" w:rsidRPr="00FE3FBB" w:rsidP="00531FC0">
      <w:pPr>
        <w:pStyle w:val="ListParagraph"/>
        <w:rPr>
          <w:rFonts w:ascii="Verdana" w:hAnsi="Verdana" w:cstheme="minorHAnsi"/>
          <w:sz w:val="24"/>
          <w:szCs w:val="24"/>
        </w:rPr>
      </w:pPr>
    </w:p>
    <w:p w:rsidR="00B557B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In fact, our research – using the UK’s largest dataset on adult numeracy levels – shows that the strongest predictor of a person’s numeracy level in the UK is their socio-economic background.</w:t>
      </w:r>
    </w:p>
    <w:p w:rsidR="00B557BC" w:rsidRPr="00FE3FBB" w:rsidP="00531FC0">
      <w:pPr>
        <w:pStyle w:val="ListParagraph"/>
        <w:rPr>
          <w:rFonts w:ascii="Verdana" w:hAnsi="Verdana" w:cstheme="minorHAnsi"/>
          <w:sz w:val="24"/>
          <w:szCs w:val="24"/>
        </w:rPr>
      </w:pPr>
    </w:p>
    <w:p w:rsidR="00B557B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Too many young people leave school lacking confidence with the basic maths that they are going to need in life. This creates a real separation of people's fortunes and what we see play out is a numeracy gap developing between people from lower socio-economic backgrounds and their wealthier peers, indeed a gap that is experienced more acutely, in general, by women and girls.</w:t>
      </w:r>
    </w:p>
    <w:p w:rsidR="00B557BC"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National Numeracy research shows that women – </w:t>
      </w:r>
      <w:r w:rsidRPr="00FE3FBB" w:rsidR="00C83C54">
        <w:rPr>
          <w:rFonts w:ascii="Verdana" w:hAnsi="Verdana" w:cstheme="minorHAnsi"/>
          <w:sz w:val="24"/>
          <w:szCs w:val="24"/>
        </w:rPr>
        <w:t>ov</w:t>
      </w:r>
      <w:r w:rsidRPr="00FE3FBB" w:rsidR="00A572FD">
        <w:rPr>
          <w:rFonts w:ascii="Verdana" w:hAnsi="Verdana" w:cstheme="minorHAnsi"/>
          <w:sz w:val="24"/>
          <w:szCs w:val="24"/>
        </w:rPr>
        <w:t xml:space="preserve">erall and </w:t>
      </w:r>
      <w:r w:rsidRPr="00FE3FBB">
        <w:rPr>
          <w:rFonts w:ascii="Verdana" w:hAnsi="Verdana" w:cstheme="minorHAnsi"/>
          <w:sz w:val="24"/>
          <w:szCs w:val="24"/>
        </w:rPr>
        <w:t xml:space="preserve">in general - are significantly less confident with numbers than men and are disproportionally affected by negative experiences of maths at school.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G</w:t>
      </w:r>
      <w:r w:rsidRPr="00FE3FBB" w:rsidR="00F77320">
        <w:rPr>
          <w:rFonts w:ascii="Verdana" w:hAnsi="Verdana" w:cstheme="minorHAnsi"/>
          <w:sz w:val="24"/>
          <w:szCs w:val="24"/>
        </w:rPr>
        <w:t xml:space="preserve">aps </w:t>
      </w:r>
      <w:r w:rsidRPr="00FE3FBB">
        <w:rPr>
          <w:rFonts w:ascii="Verdana" w:hAnsi="Verdana" w:cstheme="minorHAnsi"/>
          <w:sz w:val="24"/>
          <w:szCs w:val="24"/>
        </w:rPr>
        <w:t xml:space="preserve">related to socio-economic disadvantage </w:t>
      </w:r>
      <w:r w:rsidRPr="00FE3FBB" w:rsidR="00F77320">
        <w:rPr>
          <w:rFonts w:ascii="Verdana" w:hAnsi="Verdana" w:cstheme="minorHAnsi"/>
          <w:sz w:val="24"/>
          <w:szCs w:val="24"/>
        </w:rPr>
        <w:t xml:space="preserve">tend to open in the Early Years, </w:t>
      </w:r>
      <w:r w:rsidRPr="00FE3FBB" w:rsidR="00AF34CC">
        <w:rPr>
          <w:rFonts w:ascii="Verdana" w:hAnsi="Verdana" w:cstheme="minorHAnsi"/>
          <w:sz w:val="24"/>
          <w:szCs w:val="24"/>
        </w:rPr>
        <w:t>then</w:t>
      </w:r>
      <w:r w:rsidRPr="00FE3FBB" w:rsidR="0071271E">
        <w:rPr>
          <w:rFonts w:ascii="Verdana" w:hAnsi="Verdana" w:cstheme="minorHAnsi"/>
          <w:sz w:val="24"/>
          <w:szCs w:val="24"/>
        </w:rPr>
        <w:t xml:space="preserve"> </w:t>
      </w:r>
      <w:r w:rsidRPr="00FE3FBB" w:rsidR="00F77320">
        <w:rPr>
          <w:rFonts w:ascii="Verdana" w:hAnsi="Verdana" w:cstheme="minorHAnsi"/>
          <w:sz w:val="24"/>
          <w:szCs w:val="24"/>
        </w:rPr>
        <w:t xml:space="preserve">grow through primary school, and </w:t>
      </w:r>
      <w:r w:rsidRPr="00FE3FBB" w:rsidR="00AF34CC">
        <w:rPr>
          <w:rFonts w:ascii="Verdana" w:hAnsi="Verdana" w:cstheme="minorHAnsi"/>
          <w:sz w:val="24"/>
          <w:szCs w:val="24"/>
        </w:rPr>
        <w:t>are</w:t>
      </w:r>
      <w:r w:rsidRPr="00FE3FBB" w:rsidR="00F77320">
        <w:rPr>
          <w:rFonts w:ascii="Verdana" w:hAnsi="Verdana" w:cstheme="minorHAnsi"/>
          <w:sz w:val="24"/>
          <w:szCs w:val="24"/>
        </w:rPr>
        <w:t xml:space="preserve"> often exacerbated by experiences in secondary school, where maths can quickly become more abstract.</w:t>
      </w:r>
      <w:r w:rsidRPr="00FE3FBB" w:rsidR="000C3BDE">
        <w:rPr>
          <w:rFonts w:ascii="Verdana" w:hAnsi="Verdana" w:cstheme="minorHAnsi"/>
          <w:sz w:val="24"/>
          <w:szCs w:val="24"/>
        </w:rPr>
        <w:t xml:space="preserve"> Our research shows that gaps related to gender appear </w:t>
      </w:r>
      <w:r w:rsidRPr="00FE3FBB" w:rsidR="006715C0">
        <w:rPr>
          <w:rFonts w:ascii="Verdana" w:hAnsi="Verdana" w:cstheme="minorHAnsi"/>
          <w:sz w:val="24"/>
          <w:szCs w:val="24"/>
        </w:rPr>
        <w:t>during lower secondary school.</w:t>
      </w:r>
      <w:r w:rsidRPr="00FE3FBB" w:rsidR="000C3BDE">
        <w:rPr>
          <w:rFonts w:ascii="Verdana" w:hAnsi="Verdana" w:cstheme="minorHAnsi"/>
          <w:sz w:val="24"/>
          <w:szCs w:val="24"/>
        </w:rPr>
        <w:t xml:space="preserve">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Furthermore, a child's feelings about maths are significantly influenced by the adults around them. Yet many educators, school staff, parents &amp; carers</w:t>
      </w:r>
      <w:r w:rsidRPr="00FE3FBB" w:rsidR="008824A7">
        <w:rPr>
          <w:rFonts w:ascii="Verdana" w:hAnsi="Verdana" w:cstheme="minorHAnsi"/>
          <w:sz w:val="24"/>
          <w:szCs w:val="24"/>
        </w:rPr>
        <w:t>,</w:t>
      </w:r>
      <w:r w:rsidRPr="00FE3FBB">
        <w:rPr>
          <w:rFonts w:ascii="Verdana" w:hAnsi="Verdana" w:cstheme="minorHAnsi"/>
          <w:sz w:val="24"/>
          <w:szCs w:val="24"/>
        </w:rPr>
        <w:t xml:space="preserve"> don't feel confident themselves with maths. This can create a cycle - a lack of confidence and negative attitudes towards numbers and maths </w:t>
      </w:r>
      <w:r w:rsidRPr="00FE3FBB" w:rsidR="00A572FD">
        <w:rPr>
          <w:rFonts w:ascii="Verdana" w:hAnsi="Verdana" w:cstheme="minorHAnsi"/>
          <w:sz w:val="24"/>
          <w:szCs w:val="24"/>
        </w:rPr>
        <w:t xml:space="preserve">- </w:t>
      </w:r>
      <w:r w:rsidRPr="00FE3FBB">
        <w:rPr>
          <w:rFonts w:ascii="Verdana" w:hAnsi="Verdana" w:cstheme="minorHAnsi"/>
          <w:sz w:val="24"/>
          <w:szCs w:val="24"/>
        </w:rPr>
        <w:t>which needs to be broken, if we are going to change our relationship with maths as a nation.</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We have found that 43% of trainee teachers (from a sample of 11,000) have either low confidence, low skills or both low skills and confidence with numbers and a third chose a negative word to describe how they feel about maths, either nervous, anxious, worried, confused, panic, stupid, defeated, terrified or sick.</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Furthermore, 23% of parents and carers in the UK say that having to help with their child’s maths homework makes them feel anxious.</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The impact of low numeracy is equally important when it comes to financial outcomes. Indeed, a range of research shows that low numeracy increases vulnerability to debt, fraud and financial exclusion, and it contributes to up to £25 billion each year in lost earnings</w:t>
      </w:r>
      <w:r w:rsidRPr="00FE3FBB" w:rsidR="003168E4">
        <w:rPr>
          <w:rFonts w:ascii="Verdana" w:hAnsi="Verdana" w:cstheme="minorHAnsi"/>
          <w:sz w:val="24"/>
          <w:szCs w:val="24"/>
        </w:rPr>
        <w:t xml:space="preserve"> across the UK</w:t>
      </w:r>
      <w:r w:rsidRPr="00FE3FBB">
        <w:rPr>
          <w:rFonts w:ascii="Verdana" w:hAnsi="Verdana" w:cstheme="minorHAnsi"/>
          <w:sz w:val="24"/>
          <w:szCs w:val="24"/>
        </w:rPr>
        <w:t xml:space="preserve">.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Low numeracy is one of the greatest barriers to financial inclusion and has been described by the UK Financial Conduct Authority as the largest consumer vulnerability affecting the nation.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National Numeracy’s research with the Money &amp; Pensions Service shows that the higher an adult's level of numeracy, the better their Financial Capability Mindset (self-confidence, self-control and attitudes to better managing money) </w:t>
      </w:r>
      <w:r w:rsidRPr="00FE3FBB" w:rsidR="0062243E">
        <w:rPr>
          <w:rFonts w:ascii="Verdana" w:hAnsi="Verdana" w:cstheme="minorHAnsi"/>
          <w:sz w:val="24"/>
          <w:szCs w:val="24"/>
        </w:rPr>
        <w:t xml:space="preserve">is </w:t>
      </w:r>
      <w:r w:rsidRPr="00FE3FBB">
        <w:rPr>
          <w:rFonts w:ascii="Verdana" w:hAnsi="Verdana" w:cstheme="minorHAnsi"/>
          <w:sz w:val="24"/>
          <w:szCs w:val="24"/>
        </w:rPr>
        <w:t>likely to be.</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Numeracy level is </w:t>
      </w:r>
      <w:r w:rsidRPr="00FE3FBB" w:rsidR="00AD48F2">
        <w:rPr>
          <w:rFonts w:ascii="Verdana" w:hAnsi="Verdana" w:cstheme="minorHAnsi"/>
          <w:sz w:val="24"/>
          <w:szCs w:val="24"/>
        </w:rPr>
        <w:t>the</w:t>
      </w:r>
      <w:r w:rsidRPr="00FE3FBB">
        <w:rPr>
          <w:rFonts w:ascii="Verdana" w:hAnsi="Verdana" w:cstheme="minorHAnsi"/>
          <w:sz w:val="24"/>
          <w:szCs w:val="24"/>
        </w:rPr>
        <w:t xml:space="preserve"> strongest predictor of financial literacy and there is </w:t>
      </w:r>
      <w:r w:rsidRPr="00FE3FBB" w:rsidR="00536236">
        <w:rPr>
          <w:rFonts w:ascii="Verdana" w:hAnsi="Verdana" w:cstheme="minorHAnsi"/>
          <w:sz w:val="24"/>
          <w:szCs w:val="24"/>
        </w:rPr>
        <w:t xml:space="preserve">a </w:t>
      </w:r>
      <w:r w:rsidRPr="00FE3FBB">
        <w:rPr>
          <w:rFonts w:ascii="Verdana" w:hAnsi="Verdana" w:cstheme="minorHAnsi"/>
          <w:sz w:val="24"/>
          <w:szCs w:val="24"/>
        </w:rPr>
        <w:t xml:space="preserve">good amount of empirical evidence demonstrating its strong and positive link to improved financial behaviour, for example, financial market participation, credit management, frequency and value of savings and retirement planning.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However, 34% of all adults are reported to have either low or poor levels of numeracy involving financial concepts and of the over nine million people who say they lack confidence working with numbers in </w:t>
      </w:r>
      <w:r w:rsidRPr="00FE3FBB">
        <w:rPr>
          <w:rFonts w:ascii="Verdana" w:hAnsi="Verdana" w:cstheme="minorHAnsi"/>
          <w:sz w:val="24"/>
          <w:szCs w:val="24"/>
        </w:rPr>
        <w:t>everyday life, 60% say they lack confidence managing their money and 86% rate their knowledge about financial matters as low.</w:t>
      </w:r>
    </w:p>
    <w:p w:rsidR="002B4E91" w:rsidRPr="00FE3FBB" w:rsidP="00531FC0">
      <w:pPr>
        <w:pStyle w:val="ListParagraph"/>
        <w:rPr>
          <w:rFonts w:ascii="Verdana" w:hAnsi="Verdana" w:cstheme="minorHAnsi"/>
          <w:sz w:val="24"/>
          <w:szCs w:val="24"/>
        </w:rPr>
      </w:pPr>
    </w:p>
    <w:p w:rsidR="00F77320"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To frame this differently, addressing the widespread issue of low numeracy – just ensuring everyone has the basic everyday numeracy they need - the data shows, could boost financial confidence, literacy and capability, access to jobs, sustainable careers, as well as boosting earnings and productivity, all while fuelling social mobility. </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How is numeracy likely to change in the future, in particular as a result of technological developments such as AI? How can the curriculum, teaching and maintenance of numeracy skills through life keep pace?</w:t>
      </w: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The National Numeracy Leadership Council is currently working with Policy Connect and KPMG on research to understand the UK’s numeracy needs in the age of AI. Interim findings will be published on 20</w:t>
      </w:r>
      <w:r w:rsidRPr="00FE3FBB">
        <w:rPr>
          <w:rFonts w:ascii="Verdana" w:hAnsi="Verdana" w:cstheme="minorHAnsi"/>
          <w:sz w:val="24"/>
          <w:szCs w:val="24"/>
          <w:vertAlign w:val="superscript"/>
        </w:rPr>
        <w:t>th</w:t>
      </w:r>
      <w:r w:rsidRPr="00FE3FBB">
        <w:rPr>
          <w:rFonts w:ascii="Verdana" w:hAnsi="Verdana" w:cstheme="minorHAnsi"/>
          <w:sz w:val="24"/>
          <w:szCs w:val="24"/>
        </w:rPr>
        <w:t xml:space="preserve"> May to coincide with National Numeracy Day </w:t>
      </w:r>
      <w:r w:rsidRPr="00FE3FBB" w:rsidR="00B90EC3">
        <w:rPr>
          <w:rFonts w:ascii="Verdana" w:hAnsi="Verdana" w:cstheme="minorHAnsi"/>
          <w:sz w:val="24"/>
          <w:szCs w:val="24"/>
        </w:rPr>
        <w:t>and the full report will be published in July.</w:t>
      </w:r>
    </w:p>
    <w:p w:rsidR="002B4E91" w:rsidRPr="00FE3FBB" w:rsidP="00531FC0">
      <w:pPr>
        <w:pStyle w:val="ListParagraph"/>
        <w:ind w:left="0"/>
        <w:rPr>
          <w:rFonts w:ascii="Verdana" w:hAnsi="Verdana" w:cstheme="minorHAnsi"/>
          <w:sz w:val="24"/>
          <w:szCs w:val="24"/>
        </w:rPr>
      </w:pPr>
    </w:p>
    <w:p w:rsidR="00B10CAE"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The research will demonstrate that there is a </w:t>
      </w:r>
      <w:r w:rsidRPr="00FE3FBB" w:rsidR="003B1594">
        <w:rPr>
          <w:rFonts w:ascii="Verdana" w:hAnsi="Verdana" w:cstheme="minorHAnsi"/>
          <w:sz w:val="24"/>
          <w:szCs w:val="24"/>
        </w:rPr>
        <w:t xml:space="preserve">large overlap between the skills </w:t>
      </w:r>
      <w:r w:rsidRPr="00FE3FBB" w:rsidR="004837E8">
        <w:rPr>
          <w:rFonts w:ascii="Verdana" w:hAnsi="Verdana" w:cstheme="minorHAnsi"/>
          <w:sz w:val="24"/>
          <w:szCs w:val="24"/>
        </w:rPr>
        <w:t xml:space="preserve">required to use AI effectively and the skills </w:t>
      </w:r>
      <w:r w:rsidRPr="00FE3FBB" w:rsidR="00027685">
        <w:rPr>
          <w:rFonts w:ascii="Verdana" w:hAnsi="Verdana" w:cstheme="minorHAnsi"/>
          <w:sz w:val="24"/>
          <w:szCs w:val="24"/>
        </w:rPr>
        <w:t xml:space="preserve">required for </w:t>
      </w:r>
      <w:r w:rsidRPr="00FE3FBB" w:rsidR="00726807">
        <w:rPr>
          <w:rFonts w:ascii="Verdana" w:hAnsi="Verdana" w:cstheme="minorHAnsi"/>
          <w:sz w:val="24"/>
          <w:szCs w:val="24"/>
        </w:rPr>
        <w:t xml:space="preserve">good numeracy; namely </w:t>
      </w:r>
      <w:r w:rsidRPr="00FE3FBB">
        <w:rPr>
          <w:rFonts w:ascii="Verdana" w:hAnsi="Verdana" w:cstheme="minorHAnsi"/>
          <w:sz w:val="24"/>
          <w:szCs w:val="24"/>
        </w:rPr>
        <w:t>interpreting outputs, assessing reliability, applying results to a decision</w:t>
      </w:r>
      <w:r w:rsidRPr="00FE3FBB" w:rsidR="00F00462">
        <w:rPr>
          <w:rFonts w:ascii="Verdana" w:hAnsi="Verdana" w:cstheme="minorHAnsi"/>
          <w:sz w:val="24"/>
          <w:szCs w:val="24"/>
        </w:rPr>
        <w:t xml:space="preserve">, estimating, </w:t>
      </w:r>
      <w:r w:rsidRPr="00FE3FBB" w:rsidR="00A21AC0">
        <w:rPr>
          <w:rFonts w:ascii="Verdana" w:hAnsi="Verdana" w:cstheme="minorHAnsi"/>
          <w:sz w:val="24"/>
          <w:szCs w:val="24"/>
        </w:rPr>
        <w:t>understanding</w:t>
      </w:r>
      <w:r w:rsidRPr="00FE3FBB" w:rsidR="00DA25AC">
        <w:rPr>
          <w:rFonts w:ascii="Verdana" w:hAnsi="Verdana" w:cstheme="minorHAnsi"/>
          <w:sz w:val="24"/>
          <w:szCs w:val="24"/>
        </w:rPr>
        <w:t xml:space="preserve"> probability </w:t>
      </w:r>
      <w:r w:rsidRPr="00FE3FBB" w:rsidR="008F5E16">
        <w:rPr>
          <w:rFonts w:ascii="Verdana" w:hAnsi="Verdana" w:cstheme="minorHAnsi"/>
          <w:sz w:val="24"/>
          <w:szCs w:val="24"/>
        </w:rPr>
        <w:t>and critical thinking skills</w:t>
      </w:r>
      <w:r w:rsidRPr="00FE3FBB" w:rsidR="0016076D">
        <w:rPr>
          <w:rFonts w:ascii="Verdana" w:hAnsi="Verdana" w:cstheme="minorHAnsi"/>
          <w:sz w:val="24"/>
          <w:szCs w:val="24"/>
        </w:rPr>
        <w:t>,</w:t>
      </w:r>
      <w:r w:rsidRPr="00FE3FBB" w:rsidR="008F5E16">
        <w:rPr>
          <w:rFonts w:ascii="Verdana" w:hAnsi="Verdana" w:cstheme="minorHAnsi"/>
          <w:sz w:val="24"/>
          <w:szCs w:val="24"/>
        </w:rPr>
        <w:t xml:space="preserve"> to name but a few. In other words, </w:t>
      </w:r>
      <w:r w:rsidRPr="00FE3FBB" w:rsidR="00AB5D19">
        <w:rPr>
          <w:rFonts w:ascii="Verdana" w:hAnsi="Verdana" w:cstheme="minorHAnsi"/>
          <w:sz w:val="24"/>
          <w:szCs w:val="24"/>
        </w:rPr>
        <w:t xml:space="preserve">numeracy skills </w:t>
      </w:r>
      <w:r w:rsidRPr="00FE3FBB" w:rsidR="00534D8C">
        <w:rPr>
          <w:rFonts w:ascii="Verdana" w:hAnsi="Verdana" w:cstheme="minorHAnsi"/>
          <w:sz w:val="24"/>
          <w:szCs w:val="24"/>
        </w:rPr>
        <w:t>will be required more than ever in the emerging world of AI.</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are the greatest challenges to gaining and retaining numeracy skills, and how can these be addressed?</w:t>
      </w: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Key to </w:t>
      </w:r>
      <w:r w:rsidRPr="00FE3FBB" w:rsidR="00C001FE">
        <w:rPr>
          <w:rFonts w:ascii="Verdana" w:hAnsi="Verdana" w:cstheme="minorHAnsi"/>
          <w:sz w:val="24"/>
          <w:szCs w:val="24"/>
        </w:rPr>
        <w:t xml:space="preserve">gaining and retaining numeracy skills is understanding the value and utility they have to our everyday lives. At National Numeracy, </w:t>
      </w:r>
      <w:r w:rsidRPr="00FE3FBB" w:rsidR="00AF41D8">
        <w:rPr>
          <w:rFonts w:ascii="Verdana" w:hAnsi="Verdana" w:cstheme="minorHAnsi"/>
          <w:sz w:val="24"/>
          <w:szCs w:val="24"/>
        </w:rPr>
        <w:t xml:space="preserve">we </w:t>
      </w:r>
      <w:r w:rsidRPr="00FE3FBB" w:rsidR="00C03D83">
        <w:rPr>
          <w:rFonts w:ascii="Verdana" w:hAnsi="Verdana" w:cstheme="minorHAnsi"/>
          <w:sz w:val="24"/>
          <w:szCs w:val="24"/>
        </w:rPr>
        <w:t>periodically</w:t>
      </w:r>
      <w:r w:rsidRPr="00FE3FBB" w:rsidR="00AF41D8">
        <w:rPr>
          <w:rFonts w:ascii="Verdana" w:hAnsi="Verdana" w:cstheme="minorHAnsi"/>
          <w:sz w:val="24"/>
          <w:szCs w:val="24"/>
        </w:rPr>
        <w:t xml:space="preserve"> conduct nationally representative sample surveys </w:t>
      </w:r>
      <w:r w:rsidRPr="00FE3FBB" w:rsidR="00490141">
        <w:rPr>
          <w:rFonts w:ascii="Verdana" w:hAnsi="Verdana" w:cstheme="minorHAnsi"/>
          <w:sz w:val="24"/>
          <w:szCs w:val="24"/>
        </w:rPr>
        <w:t xml:space="preserve">through which the majority of people tell us they do not use any maths in their </w:t>
      </w:r>
      <w:r w:rsidRPr="00FE3FBB" w:rsidR="00E0419C">
        <w:rPr>
          <w:rFonts w:ascii="Verdana" w:hAnsi="Verdana" w:cstheme="minorHAnsi"/>
          <w:sz w:val="24"/>
          <w:szCs w:val="24"/>
        </w:rPr>
        <w:t xml:space="preserve">everyday lives. This trend is reversed when we prompt respondents with examples of how we all use basic maths in our everyday lives, for example </w:t>
      </w:r>
      <w:r w:rsidRPr="00FE3FBB" w:rsidR="008952B9">
        <w:rPr>
          <w:rFonts w:ascii="Verdana" w:hAnsi="Verdana" w:cstheme="minorHAnsi"/>
          <w:sz w:val="24"/>
          <w:szCs w:val="24"/>
        </w:rPr>
        <w:t>when trave</w:t>
      </w:r>
      <w:r w:rsidRPr="00FE3FBB" w:rsidR="00BC00A5">
        <w:rPr>
          <w:rFonts w:ascii="Verdana" w:hAnsi="Verdana" w:cstheme="minorHAnsi"/>
          <w:sz w:val="24"/>
          <w:szCs w:val="24"/>
        </w:rPr>
        <w:t>l</w:t>
      </w:r>
      <w:r w:rsidRPr="00FE3FBB" w:rsidR="008952B9">
        <w:rPr>
          <w:rFonts w:ascii="Verdana" w:hAnsi="Verdana" w:cstheme="minorHAnsi"/>
          <w:sz w:val="24"/>
          <w:szCs w:val="24"/>
        </w:rPr>
        <w:t xml:space="preserve">ling, baking, understanding </w:t>
      </w:r>
      <w:r w:rsidRPr="00FE3FBB" w:rsidR="00DB1885">
        <w:rPr>
          <w:rFonts w:ascii="Verdana" w:hAnsi="Verdana" w:cstheme="minorHAnsi"/>
          <w:sz w:val="24"/>
          <w:szCs w:val="24"/>
        </w:rPr>
        <w:t xml:space="preserve">our finances and budgeting. </w:t>
      </w:r>
    </w:p>
    <w:p w:rsidR="002B4E91" w:rsidRPr="00FE3FBB" w:rsidP="00531FC0">
      <w:pPr>
        <w:pStyle w:val="ListParagraph"/>
        <w:ind w:left="0"/>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We have found that 57% of adults do not want to improve their numeracy skills (56% of whom say they don’t think they need to, and 36% say they don’t see how it would benefit them).</w:t>
      </w:r>
      <w:r w:rsidRPr="00FE3FBB" w:rsidR="006D3592">
        <w:rPr>
          <w:rFonts w:ascii="Verdana" w:hAnsi="Verdana" w:cstheme="minorHAnsi"/>
          <w:sz w:val="24"/>
          <w:szCs w:val="24"/>
        </w:rPr>
        <w:t xml:space="preserve"> Only 45% of adults (less than half of adults) say they would feel embarrassed to tell someone they were no good with numbers and maths, compared with 62% for </w:t>
      </w:r>
      <w:r w:rsidRPr="00FE3FBB" w:rsidR="006D3592">
        <w:rPr>
          <w:rFonts w:ascii="Verdana" w:hAnsi="Verdana" w:cstheme="minorHAnsi"/>
          <w:sz w:val="24"/>
          <w:szCs w:val="24"/>
        </w:rPr>
        <w:t>‘reading and writing’.</w:t>
      </w:r>
      <w:r w:rsidRPr="00FE3FBB" w:rsidR="00B7681F">
        <w:rPr>
          <w:rFonts w:ascii="Verdana" w:hAnsi="Verdana" w:cstheme="minorHAnsi"/>
          <w:sz w:val="24"/>
          <w:szCs w:val="24"/>
        </w:rPr>
        <w:t xml:space="preserve"> Furthermore, </w:t>
      </w:r>
      <w:r w:rsidRPr="00FE3FBB" w:rsidR="00F74457">
        <w:rPr>
          <w:rFonts w:ascii="Verdana" w:hAnsi="Verdana" w:cstheme="minorHAnsi"/>
          <w:sz w:val="24"/>
          <w:szCs w:val="24"/>
        </w:rPr>
        <w:t xml:space="preserve">our research has found, for example, that </w:t>
      </w:r>
      <w:r w:rsidRPr="00FE3FBB" w:rsidR="00B7681F">
        <w:rPr>
          <w:rFonts w:ascii="Verdana" w:hAnsi="Verdana" w:cstheme="minorHAnsi"/>
          <w:sz w:val="24"/>
          <w:szCs w:val="24"/>
        </w:rPr>
        <w:t>56% of people sa</w:t>
      </w:r>
      <w:r w:rsidRPr="00FE3FBB" w:rsidR="00F74457">
        <w:rPr>
          <w:rFonts w:ascii="Verdana" w:hAnsi="Verdana" w:cstheme="minorHAnsi"/>
          <w:sz w:val="24"/>
          <w:szCs w:val="24"/>
        </w:rPr>
        <w:t>y</w:t>
      </w:r>
      <w:r w:rsidRPr="00FE3FBB" w:rsidR="00B7681F">
        <w:rPr>
          <w:rFonts w:ascii="Verdana" w:hAnsi="Verdana" w:cstheme="minorHAnsi"/>
          <w:sz w:val="24"/>
          <w:szCs w:val="24"/>
        </w:rPr>
        <w:t xml:space="preserve"> that a social media influencer would never or hardly ever use numeracy in their day-to-day job. </w:t>
      </w:r>
      <w:r w:rsidRPr="00FE3FBB" w:rsidR="00DB1CEE">
        <w:rPr>
          <w:rFonts w:ascii="Verdana" w:hAnsi="Verdana" w:cstheme="minorHAnsi"/>
          <w:sz w:val="24"/>
          <w:szCs w:val="24"/>
        </w:rPr>
        <w:t>For a d</w:t>
      </w:r>
      <w:r w:rsidRPr="00FE3FBB" w:rsidR="00B7681F">
        <w:rPr>
          <w:rFonts w:ascii="Verdana" w:hAnsi="Verdana" w:cstheme="minorHAnsi"/>
          <w:sz w:val="24"/>
          <w:szCs w:val="24"/>
        </w:rPr>
        <w:t xml:space="preserve">elivery driver </w:t>
      </w:r>
      <w:r w:rsidRPr="00FE3FBB" w:rsidR="00DB1CEE">
        <w:rPr>
          <w:rFonts w:ascii="Verdana" w:hAnsi="Verdana" w:cstheme="minorHAnsi"/>
          <w:sz w:val="24"/>
          <w:szCs w:val="24"/>
        </w:rPr>
        <w:t xml:space="preserve">this is </w:t>
      </w:r>
      <w:r w:rsidRPr="00FE3FBB" w:rsidR="00B7681F">
        <w:rPr>
          <w:rFonts w:ascii="Verdana" w:hAnsi="Verdana" w:cstheme="minorHAnsi"/>
          <w:sz w:val="24"/>
          <w:szCs w:val="24"/>
        </w:rPr>
        <w:t>2</w:t>
      </w:r>
      <w:r w:rsidRPr="00FE3FBB" w:rsidR="00DB1CEE">
        <w:rPr>
          <w:rFonts w:ascii="Verdana" w:hAnsi="Verdana" w:cstheme="minorHAnsi"/>
          <w:sz w:val="24"/>
          <w:szCs w:val="24"/>
        </w:rPr>
        <w:t>4%</w:t>
      </w:r>
      <w:r w:rsidRPr="00FE3FBB" w:rsidR="00B7681F">
        <w:rPr>
          <w:rFonts w:ascii="Verdana" w:hAnsi="Verdana" w:cstheme="minorHAnsi"/>
          <w:sz w:val="24"/>
          <w:szCs w:val="24"/>
        </w:rPr>
        <w:t xml:space="preserve">, </w:t>
      </w:r>
      <w:r w:rsidRPr="00FE3FBB" w:rsidR="00DB1CEE">
        <w:rPr>
          <w:rFonts w:ascii="Verdana" w:hAnsi="Verdana" w:cstheme="minorHAnsi"/>
          <w:sz w:val="24"/>
          <w:szCs w:val="24"/>
        </w:rPr>
        <w:t>p</w:t>
      </w:r>
      <w:r w:rsidRPr="00FE3FBB" w:rsidR="00B7681F">
        <w:rPr>
          <w:rFonts w:ascii="Verdana" w:hAnsi="Verdana" w:cstheme="minorHAnsi"/>
          <w:sz w:val="24"/>
          <w:szCs w:val="24"/>
        </w:rPr>
        <w:t>olice officer 20%</w:t>
      </w:r>
      <w:r w:rsidRPr="00FE3FBB" w:rsidR="00DB1CEE">
        <w:rPr>
          <w:rFonts w:ascii="Verdana" w:hAnsi="Verdana" w:cstheme="minorHAnsi"/>
          <w:sz w:val="24"/>
          <w:szCs w:val="24"/>
        </w:rPr>
        <w:t xml:space="preserve"> and t</w:t>
      </w:r>
      <w:r w:rsidRPr="00FE3FBB" w:rsidR="00B7681F">
        <w:rPr>
          <w:rFonts w:ascii="Verdana" w:hAnsi="Verdana" w:cstheme="minorHAnsi"/>
          <w:sz w:val="24"/>
          <w:szCs w:val="24"/>
        </w:rPr>
        <w:t xml:space="preserve">rain </w:t>
      </w:r>
      <w:r w:rsidRPr="00FE3FBB" w:rsidR="00FD39F3">
        <w:rPr>
          <w:rFonts w:ascii="Verdana" w:hAnsi="Verdana" w:cstheme="minorHAnsi"/>
          <w:sz w:val="24"/>
          <w:szCs w:val="24"/>
        </w:rPr>
        <w:t>d</w:t>
      </w:r>
      <w:r w:rsidRPr="00FE3FBB" w:rsidR="00B7681F">
        <w:rPr>
          <w:rFonts w:ascii="Verdana" w:hAnsi="Verdana" w:cstheme="minorHAnsi"/>
          <w:sz w:val="24"/>
          <w:szCs w:val="24"/>
        </w:rPr>
        <w:t xml:space="preserve">river </w:t>
      </w:r>
      <w:r w:rsidRPr="00FE3FBB" w:rsidR="00DB1CEE">
        <w:rPr>
          <w:rFonts w:ascii="Verdana" w:hAnsi="Verdana" w:cstheme="minorHAnsi"/>
          <w:sz w:val="24"/>
          <w:szCs w:val="24"/>
        </w:rPr>
        <w:t>20%.</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What this reveals is that most </w:t>
      </w:r>
      <w:r w:rsidRPr="00FE3FBB" w:rsidR="00D61866">
        <w:rPr>
          <w:rFonts w:ascii="Verdana" w:hAnsi="Verdana" w:cstheme="minorHAnsi"/>
          <w:sz w:val="24"/>
          <w:szCs w:val="24"/>
        </w:rPr>
        <w:t xml:space="preserve">people </w:t>
      </w:r>
      <w:r w:rsidRPr="00FE3FBB">
        <w:rPr>
          <w:rFonts w:ascii="Verdana" w:hAnsi="Verdana" w:cstheme="minorHAnsi"/>
          <w:sz w:val="24"/>
          <w:szCs w:val="24"/>
        </w:rPr>
        <w:t xml:space="preserve">tend not to equate the </w:t>
      </w:r>
      <w:r w:rsidRPr="00FE3FBB" w:rsidR="00D61866">
        <w:rPr>
          <w:rFonts w:ascii="Verdana" w:hAnsi="Verdana" w:cstheme="minorHAnsi"/>
          <w:sz w:val="24"/>
          <w:szCs w:val="24"/>
        </w:rPr>
        <w:t xml:space="preserve">abstract maths they learn or learnt at school, </w:t>
      </w:r>
      <w:r w:rsidRPr="00FE3FBB" w:rsidR="00836F10">
        <w:rPr>
          <w:rFonts w:ascii="Verdana" w:hAnsi="Verdana" w:cstheme="minorHAnsi"/>
          <w:sz w:val="24"/>
          <w:szCs w:val="24"/>
        </w:rPr>
        <w:t xml:space="preserve">with how they apply it in the real world. </w:t>
      </w:r>
      <w:r w:rsidRPr="00FE3FBB" w:rsidR="00096C9A">
        <w:rPr>
          <w:rFonts w:ascii="Verdana" w:hAnsi="Verdana" w:cstheme="minorHAnsi"/>
          <w:sz w:val="24"/>
          <w:szCs w:val="24"/>
        </w:rPr>
        <w:t xml:space="preserve">This challenge is amplified by the fact that many people have developed an </w:t>
      </w:r>
      <w:r w:rsidRPr="00FE3FBB" w:rsidR="00AB5BC2">
        <w:rPr>
          <w:rFonts w:ascii="Verdana" w:hAnsi="Verdana" w:cstheme="minorHAnsi"/>
          <w:sz w:val="24"/>
          <w:szCs w:val="24"/>
        </w:rPr>
        <w:t xml:space="preserve">aversion or anxiety </w:t>
      </w:r>
      <w:r w:rsidRPr="00FE3FBB" w:rsidR="00885B90">
        <w:rPr>
          <w:rFonts w:ascii="Verdana" w:hAnsi="Verdana" w:cstheme="minorHAnsi"/>
          <w:sz w:val="24"/>
          <w:szCs w:val="24"/>
        </w:rPr>
        <w:t>when it comes to doing or even thinking about maths</w:t>
      </w:r>
      <w:r w:rsidRPr="00FE3FBB" w:rsidR="001012D7">
        <w:rPr>
          <w:rFonts w:ascii="Verdana" w:hAnsi="Verdana" w:cstheme="minorHAnsi"/>
          <w:sz w:val="24"/>
          <w:szCs w:val="24"/>
        </w:rPr>
        <w:t xml:space="preserve"> as a result of their experiences at school.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A further important challenge is our system’s focus on assessment and exams</w:t>
      </w:r>
      <w:r w:rsidRPr="00FE3FBB" w:rsidR="000332E5">
        <w:rPr>
          <w:rFonts w:ascii="Verdana" w:hAnsi="Verdana" w:cstheme="minorHAnsi"/>
          <w:sz w:val="24"/>
          <w:szCs w:val="24"/>
        </w:rPr>
        <w:t>. In 2018, 15 year-old</w:t>
      </w:r>
      <w:r w:rsidRPr="00FE3FBB" w:rsidR="00A57AE9">
        <w:rPr>
          <w:rFonts w:ascii="Verdana" w:hAnsi="Verdana" w:cstheme="minorHAnsi"/>
          <w:sz w:val="24"/>
          <w:szCs w:val="24"/>
        </w:rPr>
        <w:t>s</w:t>
      </w:r>
      <w:r w:rsidRPr="00FE3FBB" w:rsidR="000332E5">
        <w:rPr>
          <w:rFonts w:ascii="Verdana" w:hAnsi="Verdana" w:cstheme="minorHAnsi"/>
          <w:sz w:val="24"/>
          <w:szCs w:val="24"/>
        </w:rPr>
        <w:t xml:space="preserve"> in the UK reported the third highest rate of saying they ‘learnt maths by heart’ out of 64 jurisdictions internationally</w:t>
      </w:r>
      <w:r w:rsidRPr="00FE3FBB" w:rsidR="00A57AE9">
        <w:rPr>
          <w:rFonts w:ascii="Verdana" w:hAnsi="Verdana" w:cstheme="minorHAnsi"/>
          <w:sz w:val="24"/>
          <w:szCs w:val="24"/>
        </w:rPr>
        <w:t>.</w:t>
      </w:r>
      <w:r w:rsidRPr="00FE3FBB" w:rsidR="000332E5">
        <w:rPr>
          <w:rFonts w:ascii="Verdana" w:hAnsi="Verdana" w:cstheme="minorHAnsi"/>
          <w:sz w:val="24"/>
          <w:szCs w:val="24"/>
        </w:rPr>
        <w:t xml:space="preserve"> Research shows the less </w:t>
      </w:r>
      <w:r w:rsidRPr="00FE3FBB" w:rsidR="00A57AE9">
        <w:rPr>
          <w:rFonts w:ascii="Verdana" w:hAnsi="Verdana" w:cstheme="minorHAnsi"/>
          <w:sz w:val="24"/>
          <w:szCs w:val="24"/>
        </w:rPr>
        <w:t>people</w:t>
      </w:r>
      <w:r w:rsidRPr="00FE3FBB" w:rsidR="000332E5">
        <w:rPr>
          <w:rFonts w:ascii="Verdana" w:hAnsi="Verdana" w:cstheme="minorHAnsi"/>
          <w:sz w:val="24"/>
          <w:szCs w:val="24"/>
        </w:rPr>
        <w:t xml:space="preserve"> rely on memorisation, </w:t>
      </w:r>
      <w:r w:rsidRPr="00FE3FBB" w:rsidR="00A57AE9">
        <w:rPr>
          <w:rFonts w:ascii="Verdana" w:hAnsi="Verdana" w:cstheme="minorHAnsi"/>
          <w:sz w:val="24"/>
          <w:szCs w:val="24"/>
        </w:rPr>
        <w:t xml:space="preserve">the </w:t>
      </w:r>
      <w:r w:rsidRPr="00FE3FBB" w:rsidR="000332E5">
        <w:rPr>
          <w:rFonts w:ascii="Verdana" w:hAnsi="Verdana" w:cstheme="minorHAnsi"/>
          <w:sz w:val="24"/>
          <w:szCs w:val="24"/>
        </w:rPr>
        <w:t xml:space="preserve">more likely </w:t>
      </w:r>
      <w:r w:rsidRPr="00FE3FBB" w:rsidR="00A57AE9">
        <w:rPr>
          <w:rFonts w:ascii="Verdana" w:hAnsi="Verdana" w:cstheme="minorHAnsi"/>
          <w:sz w:val="24"/>
          <w:szCs w:val="24"/>
        </w:rPr>
        <w:t xml:space="preserve">they are </w:t>
      </w:r>
      <w:r w:rsidRPr="00FE3FBB" w:rsidR="000332E5">
        <w:rPr>
          <w:rFonts w:ascii="Verdana" w:hAnsi="Verdana" w:cstheme="minorHAnsi"/>
          <w:sz w:val="24"/>
          <w:szCs w:val="24"/>
        </w:rPr>
        <w:t>to report self-efficacy and positive attitudes towards maths.</w:t>
      </w:r>
      <w:r w:rsidRPr="00FE3FBB">
        <w:rPr>
          <w:rFonts w:ascii="Verdana" w:hAnsi="Verdana" w:cstheme="minorHAnsi"/>
          <w:sz w:val="24"/>
          <w:szCs w:val="24"/>
        </w:rPr>
        <w:t xml:space="preserve">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In terms of addressing these challenges, </w:t>
      </w:r>
      <w:r w:rsidRPr="00FE3FBB" w:rsidR="005B0BCA">
        <w:rPr>
          <w:rFonts w:ascii="Verdana" w:hAnsi="Verdana" w:cstheme="minorHAnsi"/>
          <w:sz w:val="24"/>
          <w:szCs w:val="24"/>
        </w:rPr>
        <w:t xml:space="preserve">whether it is at school or at any other stage in life, we need to ensure that every one of us understands the value </w:t>
      </w:r>
      <w:r w:rsidRPr="00FE3FBB" w:rsidR="00851C27">
        <w:rPr>
          <w:rFonts w:ascii="Verdana" w:hAnsi="Verdana" w:cstheme="minorHAnsi"/>
          <w:sz w:val="24"/>
          <w:szCs w:val="24"/>
        </w:rPr>
        <w:t xml:space="preserve">of numeracy to our everyday lives </w:t>
      </w:r>
      <w:r w:rsidRPr="00FE3FBB" w:rsidR="002E02AC">
        <w:rPr>
          <w:rFonts w:ascii="Verdana" w:hAnsi="Verdana" w:cstheme="minorHAnsi"/>
          <w:sz w:val="24"/>
          <w:szCs w:val="24"/>
        </w:rPr>
        <w:t xml:space="preserve">(this leads to motivation to improve) </w:t>
      </w:r>
      <w:r w:rsidRPr="00FE3FBB" w:rsidR="00851C27">
        <w:rPr>
          <w:rFonts w:ascii="Verdana" w:hAnsi="Verdana" w:cstheme="minorHAnsi"/>
          <w:sz w:val="24"/>
          <w:szCs w:val="24"/>
        </w:rPr>
        <w:t>and believes that</w:t>
      </w:r>
      <w:r w:rsidRPr="00FE3FBB" w:rsidR="00855F0B">
        <w:rPr>
          <w:rFonts w:ascii="Verdana" w:hAnsi="Verdana" w:cstheme="minorHAnsi"/>
          <w:sz w:val="24"/>
          <w:szCs w:val="24"/>
        </w:rPr>
        <w:t>,</w:t>
      </w:r>
      <w:r w:rsidRPr="00FE3FBB" w:rsidR="00851C27">
        <w:rPr>
          <w:rFonts w:ascii="Verdana" w:hAnsi="Verdana" w:cstheme="minorHAnsi"/>
          <w:sz w:val="24"/>
          <w:szCs w:val="24"/>
        </w:rPr>
        <w:t xml:space="preserve"> </w:t>
      </w:r>
      <w:r w:rsidRPr="00FE3FBB" w:rsidR="00855F0B">
        <w:rPr>
          <w:rFonts w:ascii="Verdana" w:hAnsi="Verdana" w:cstheme="minorHAnsi"/>
          <w:sz w:val="24"/>
          <w:szCs w:val="24"/>
        </w:rPr>
        <w:t>through persistence</w:t>
      </w:r>
      <w:r w:rsidRPr="00FE3FBB" w:rsidR="00EB616F">
        <w:rPr>
          <w:rFonts w:ascii="Verdana" w:hAnsi="Verdana" w:cstheme="minorHAnsi"/>
          <w:sz w:val="24"/>
          <w:szCs w:val="24"/>
        </w:rPr>
        <w:t xml:space="preserve"> </w:t>
      </w:r>
      <w:r w:rsidRPr="00FE3FBB" w:rsidR="00745C42">
        <w:rPr>
          <w:rFonts w:ascii="Verdana" w:hAnsi="Verdana" w:cstheme="minorHAnsi"/>
          <w:sz w:val="24"/>
          <w:szCs w:val="24"/>
        </w:rPr>
        <w:t>(this is understanding that struggling is part of the learning process)</w:t>
      </w:r>
      <w:r w:rsidRPr="00FE3FBB" w:rsidR="00855F0B">
        <w:rPr>
          <w:rFonts w:ascii="Verdana" w:hAnsi="Verdana" w:cstheme="minorHAnsi"/>
          <w:sz w:val="24"/>
          <w:szCs w:val="24"/>
        </w:rPr>
        <w:t>, we are all able to improve our maths skills</w:t>
      </w:r>
      <w:r w:rsidRPr="00FE3FBB" w:rsidR="00127C1F">
        <w:rPr>
          <w:rFonts w:ascii="Verdana" w:hAnsi="Verdana" w:cstheme="minorHAnsi"/>
          <w:sz w:val="24"/>
          <w:szCs w:val="24"/>
        </w:rPr>
        <w:t xml:space="preserve"> (</w:t>
      </w:r>
      <w:r w:rsidRPr="00FE3FBB" w:rsidR="00745C42">
        <w:rPr>
          <w:rFonts w:ascii="Verdana" w:hAnsi="Verdana" w:cstheme="minorHAnsi"/>
          <w:sz w:val="24"/>
          <w:szCs w:val="24"/>
        </w:rPr>
        <w:t>this is recognising that ability is not fixed and having a can-do attitude)</w:t>
      </w:r>
      <w:r w:rsidRPr="00FE3FBB" w:rsidR="00855F0B">
        <w:rPr>
          <w:rFonts w:ascii="Verdana" w:hAnsi="Verdana" w:cstheme="minorHAnsi"/>
          <w:sz w:val="24"/>
          <w:szCs w:val="24"/>
        </w:rPr>
        <w:t xml:space="preserve">. At </w:t>
      </w:r>
      <w:r w:rsidRPr="00FE3FBB" w:rsidR="00371FF3">
        <w:rPr>
          <w:rFonts w:ascii="Verdana" w:hAnsi="Verdana" w:cstheme="minorHAnsi"/>
          <w:sz w:val="24"/>
          <w:szCs w:val="24"/>
        </w:rPr>
        <w:t xml:space="preserve">National Numeracy, we call the </w:t>
      </w:r>
      <w:r w:rsidRPr="00FE3FBB" w:rsidR="00EB616F">
        <w:rPr>
          <w:rFonts w:ascii="Verdana" w:hAnsi="Verdana" w:cstheme="minorHAnsi"/>
          <w:sz w:val="24"/>
          <w:szCs w:val="24"/>
        </w:rPr>
        <w:t>fra</w:t>
      </w:r>
      <w:r w:rsidRPr="00FE3FBB" w:rsidR="00941AB0">
        <w:rPr>
          <w:rFonts w:ascii="Verdana" w:hAnsi="Verdana" w:cstheme="minorHAnsi"/>
          <w:sz w:val="24"/>
          <w:szCs w:val="24"/>
        </w:rPr>
        <w:t>mework</w:t>
      </w:r>
      <w:r w:rsidRPr="00FE3FBB" w:rsidR="00371FF3">
        <w:rPr>
          <w:rFonts w:ascii="Verdana" w:hAnsi="Verdana" w:cstheme="minorHAnsi"/>
          <w:sz w:val="24"/>
          <w:szCs w:val="24"/>
        </w:rPr>
        <w:t xml:space="preserve"> </w:t>
      </w:r>
      <w:r w:rsidRPr="00FE3FBB" w:rsidR="009F095F">
        <w:rPr>
          <w:rFonts w:ascii="Verdana" w:hAnsi="Verdana" w:cstheme="minorHAnsi"/>
          <w:sz w:val="24"/>
          <w:szCs w:val="24"/>
        </w:rPr>
        <w:t>‘</w:t>
      </w:r>
      <w:r w:rsidRPr="00FE3FBB" w:rsidR="00371FF3">
        <w:rPr>
          <w:rFonts w:ascii="Verdana" w:hAnsi="Verdana" w:cstheme="minorHAnsi"/>
          <w:sz w:val="24"/>
          <w:szCs w:val="24"/>
        </w:rPr>
        <w:t>value, belief</w:t>
      </w:r>
      <w:r w:rsidRPr="00FE3FBB" w:rsidR="00941AB0">
        <w:rPr>
          <w:rFonts w:ascii="Verdana" w:hAnsi="Verdana" w:cstheme="minorHAnsi"/>
          <w:sz w:val="24"/>
          <w:szCs w:val="24"/>
        </w:rPr>
        <w:t>,</w:t>
      </w:r>
      <w:r w:rsidRPr="00FE3FBB" w:rsidR="00371FF3">
        <w:rPr>
          <w:rFonts w:ascii="Verdana" w:hAnsi="Verdana" w:cstheme="minorHAnsi"/>
          <w:sz w:val="24"/>
          <w:szCs w:val="24"/>
        </w:rPr>
        <w:t xml:space="preserve"> persistence</w:t>
      </w:r>
      <w:r w:rsidRPr="00FE3FBB" w:rsidR="009F095F">
        <w:rPr>
          <w:rFonts w:ascii="Verdana" w:hAnsi="Verdana" w:cstheme="minorHAnsi"/>
          <w:sz w:val="24"/>
          <w:szCs w:val="24"/>
        </w:rPr>
        <w:t>’</w:t>
      </w:r>
      <w:r w:rsidRPr="00FE3FBB" w:rsidR="00941AB0">
        <w:rPr>
          <w:rFonts w:ascii="Verdana" w:hAnsi="Verdana" w:cstheme="minorHAnsi"/>
          <w:sz w:val="24"/>
          <w:szCs w:val="24"/>
        </w:rPr>
        <w:t xml:space="preserve"> and it is central to our work to build </w:t>
      </w:r>
      <w:r>
        <w:fldChar w:fldCharType="begin"/>
      </w:r>
      <w:r>
        <w:instrText xml:space="preserve"> HYPERLINK "https://www.nationalnumeracy.org.uk/sites/default/files/documents/Supporting-Positive-Mindsets.pdf" </w:instrText>
      </w:r>
      <w:r>
        <w:fldChar w:fldCharType="separate"/>
      </w:r>
      <w:r w:rsidRPr="00FE3FBB" w:rsidR="00941AB0">
        <w:rPr>
          <w:rStyle w:val="Hyperlink"/>
          <w:rFonts w:ascii="Verdana" w:hAnsi="Verdana" w:cstheme="minorHAnsi"/>
          <w:sz w:val="24"/>
          <w:szCs w:val="24"/>
        </w:rPr>
        <w:t>positive maths mindsets</w:t>
      </w:r>
      <w:r>
        <w:fldChar w:fldCharType="end"/>
      </w:r>
      <w:r w:rsidRPr="00FE3FBB" w:rsidR="00941AB0">
        <w:rPr>
          <w:rFonts w:ascii="Verdana" w:hAnsi="Verdana" w:cstheme="minorHAnsi"/>
          <w:sz w:val="24"/>
          <w:szCs w:val="24"/>
        </w:rPr>
        <w:t>.</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When it comes to the education system, we need to ensure that every single young person, regardless of </w:t>
      </w:r>
      <w:r w:rsidRPr="00FE3FBB" w:rsidR="009F398C">
        <w:rPr>
          <w:rFonts w:ascii="Verdana" w:hAnsi="Verdana" w:cstheme="minorHAnsi"/>
          <w:sz w:val="24"/>
          <w:szCs w:val="24"/>
        </w:rPr>
        <w:t xml:space="preserve">their attainment level, leaves school </w:t>
      </w:r>
      <w:r w:rsidRPr="00FE3FBB" w:rsidR="001377A5">
        <w:rPr>
          <w:rFonts w:ascii="Verdana" w:hAnsi="Verdana" w:cstheme="minorHAnsi"/>
          <w:sz w:val="24"/>
          <w:szCs w:val="24"/>
        </w:rPr>
        <w:t xml:space="preserve">with this framework in place, and with the </w:t>
      </w:r>
      <w:r w:rsidRPr="00FE3FBB" w:rsidR="00E37C07">
        <w:rPr>
          <w:rFonts w:ascii="Verdana" w:hAnsi="Verdana" w:cstheme="minorHAnsi"/>
          <w:sz w:val="24"/>
          <w:szCs w:val="24"/>
        </w:rPr>
        <w:t xml:space="preserve">motivation and confidence to build the numeracy skills they </w:t>
      </w:r>
      <w:r w:rsidRPr="00FE3FBB" w:rsidR="009C25A2">
        <w:rPr>
          <w:rFonts w:ascii="Verdana" w:hAnsi="Verdana" w:cstheme="minorHAnsi"/>
          <w:sz w:val="24"/>
          <w:szCs w:val="24"/>
        </w:rPr>
        <w:t xml:space="preserve">need </w:t>
      </w:r>
      <w:r w:rsidRPr="00FE3FBB" w:rsidR="00E37C07">
        <w:rPr>
          <w:rFonts w:ascii="Verdana" w:hAnsi="Verdana" w:cstheme="minorHAnsi"/>
          <w:sz w:val="24"/>
          <w:szCs w:val="24"/>
        </w:rPr>
        <w:t xml:space="preserve">in life at any point in the future. </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Finally, when it comes to learning </w:t>
      </w:r>
      <w:r w:rsidRPr="00FE3FBB" w:rsidR="000B6E8B">
        <w:rPr>
          <w:rFonts w:ascii="Verdana" w:hAnsi="Verdana" w:cstheme="minorHAnsi"/>
          <w:sz w:val="24"/>
          <w:szCs w:val="24"/>
        </w:rPr>
        <w:t xml:space="preserve">opportunities </w:t>
      </w:r>
      <w:r w:rsidRPr="00FE3FBB">
        <w:rPr>
          <w:rFonts w:ascii="Verdana" w:hAnsi="Verdana" w:cstheme="minorHAnsi"/>
          <w:sz w:val="24"/>
          <w:szCs w:val="24"/>
        </w:rPr>
        <w:t xml:space="preserve">for the millions of adults </w:t>
      </w:r>
      <w:r w:rsidRPr="00FE3FBB" w:rsidR="000B6E8B">
        <w:rPr>
          <w:rFonts w:ascii="Verdana" w:hAnsi="Verdana" w:cstheme="minorHAnsi"/>
          <w:sz w:val="24"/>
          <w:szCs w:val="24"/>
        </w:rPr>
        <w:t xml:space="preserve">who lack number confidence or have maths anxiety, </w:t>
      </w:r>
      <w:r w:rsidRPr="00FE3FBB" w:rsidR="0002495A">
        <w:rPr>
          <w:rFonts w:ascii="Verdana" w:hAnsi="Verdana" w:cstheme="minorHAnsi"/>
          <w:sz w:val="24"/>
          <w:szCs w:val="24"/>
        </w:rPr>
        <w:t xml:space="preserve">we must </w:t>
      </w:r>
      <w:r w:rsidRPr="00FE3FBB" w:rsidR="00F25D4A">
        <w:rPr>
          <w:rFonts w:ascii="Verdana" w:hAnsi="Verdana" w:cstheme="minorHAnsi"/>
          <w:sz w:val="24"/>
          <w:szCs w:val="24"/>
        </w:rPr>
        <w:t xml:space="preserve">put in place stepping stones </w:t>
      </w:r>
      <w:r w:rsidRPr="00FE3FBB" w:rsidR="000442EE">
        <w:rPr>
          <w:rFonts w:ascii="Verdana" w:hAnsi="Verdana" w:cstheme="minorHAnsi"/>
          <w:sz w:val="24"/>
          <w:szCs w:val="24"/>
        </w:rPr>
        <w:t xml:space="preserve">before expecting people to undertake the </w:t>
      </w:r>
      <w:r w:rsidRPr="00FE3FBB" w:rsidR="0002495A">
        <w:rPr>
          <w:rFonts w:ascii="Verdana" w:hAnsi="Verdana" w:cstheme="minorHAnsi"/>
          <w:sz w:val="24"/>
          <w:szCs w:val="24"/>
        </w:rPr>
        <w:t>formal maths courses and qualifications</w:t>
      </w:r>
      <w:r w:rsidRPr="00FE3FBB" w:rsidR="00835ABC">
        <w:rPr>
          <w:rFonts w:ascii="Verdana" w:hAnsi="Verdana" w:cstheme="minorHAnsi"/>
          <w:sz w:val="24"/>
          <w:szCs w:val="24"/>
        </w:rPr>
        <w:t xml:space="preserve">. </w:t>
      </w:r>
    </w:p>
    <w:p w:rsidR="002B4E91" w:rsidRPr="00FE3FBB" w:rsidP="00531FC0">
      <w:pPr>
        <w:pStyle w:val="ListParagraph"/>
        <w:rPr>
          <w:rFonts w:ascii="Verdana" w:hAnsi="Verdana" w:cstheme="minorHAnsi"/>
          <w:sz w:val="24"/>
          <w:szCs w:val="24"/>
        </w:rPr>
      </w:pPr>
    </w:p>
    <w:p w:rsidR="00E05830"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At National Numeracy, we have found that </w:t>
      </w:r>
      <w:r w:rsidRPr="00FE3FBB" w:rsidR="00467B8A">
        <w:rPr>
          <w:rFonts w:ascii="Verdana" w:hAnsi="Verdana" w:cstheme="minorHAnsi"/>
          <w:sz w:val="24"/>
          <w:szCs w:val="24"/>
        </w:rPr>
        <w:t xml:space="preserve">the first step to getting people started with </w:t>
      </w:r>
      <w:r w:rsidRPr="00FE3FBB" w:rsidR="00D2724F">
        <w:rPr>
          <w:rFonts w:ascii="Verdana" w:hAnsi="Verdana" w:cstheme="minorHAnsi"/>
          <w:sz w:val="24"/>
          <w:szCs w:val="24"/>
        </w:rPr>
        <w:t xml:space="preserve">engaging with improving their numeracy is </w:t>
      </w:r>
      <w:r w:rsidRPr="00FE3FBB" w:rsidR="003717AA">
        <w:rPr>
          <w:rFonts w:ascii="Verdana" w:hAnsi="Verdana" w:cstheme="minorHAnsi"/>
          <w:sz w:val="24"/>
          <w:szCs w:val="24"/>
        </w:rPr>
        <w:t xml:space="preserve">to </w:t>
      </w:r>
      <w:r w:rsidRPr="00FE3FBB" w:rsidR="00906517">
        <w:rPr>
          <w:rFonts w:ascii="Verdana" w:hAnsi="Verdana" w:cstheme="minorHAnsi"/>
          <w:sz w:val="24"/>
          <w:szCs w:val="24"/>
        </w:rPr>
        <w:t xml:space="preserve">encourage them to talk openly about their feelings about maths with others. </w:t>
      </w:r>
      <w:r w:rsidRPr="00FE3FBB" w:rsidR="005736E8">
        <w:rPr>
          <w:rFonts w:ascii="Verdana" w:hAnsi="Verdana" w:cstheme="minorHAnsi"/>
          <w:sz w:val="24"/>
          <w:szCs w:val="24"/>
        </w:rPr>
        <w:t>W</w:t>
      </w:r>
      <w:r w:rsidRPr="00FE3FBB" w:rsidR="00B31CB0">
        <w:rPr>
          <w:rFonts w:ascii="Verdana" w:hAnsi="Verdana" w:cstheme="minorHAnsi"/>
          <w:sz w:val="24"/>
          <w:szCs w:val="24"/>
        </w:rPr>
        <w:t>e</w:t>
      </w:r>
      <w:r w:rsidRPr="00FE3FBB" w:rsidR="005736E8">
        <w:rPr>
          <w:rFonts w:ascii="Verdana" w:hAnsi="Verdana" w:cstheme="minorHAnsi"/>
          <w:sz w:val="24"/>
          <w:szCs w:val="24"/>
        </w:rPr>
        <w:t xml:space="preserve"> see instances of t</w:t>
      </w:r>
      <w:r w:rsidRPr="00FE3FBB" w:rsidR="00906517">
        <w:rPr>
          <w:rFonts w:ascii="Verdana" w:hAnsi="Verdana" w:cstheme="minorHAnsi"/>
          <w:sz w:val="24"/>
          <w:szCs w:val="24"/>
        </w:rPr>
        <w:t xml:space="preserve">his </w:t>
      </w:r>
      <w:r w:rsidRPr="00FE3FBB" w:rsidR="00233B66">
        <w:rPr>
          <w:rFonts w:ascii="Verdana" w:hAnsi="Verdana" w:cstheme="minorHAnsi"/>
          <w:sz w:val="24"/>
          <w:szCs w:val="24"/>
        </w:rPr>
        <w:t>enabl</w:t>
      </w:r>
      <w:r w:rsidRPr="00FE3FBB" w:rsidR="005736E8">
        <w:rPr>
          <w:rFonts w:ascii="Verdana" w:hAnsi="Verdana" w:cstheme="minorHAnsi"/>
          <w:sz w:val="24"/>
          <w:szCs w:val="24"/>
        </w:rPr>
        <w:t xml:space="preserve">ing </w:t>
      </w:r>
      <w:r w:rsidRPr="00FE3FBB" w:rsidR="00B31CB0">
        <w:rPr>
          <w:rFonts w:ascii="Verdana" w:hAnsi="Verdana" w:cstheme="minorHAnsi"/>
          <w:sz w:val="24"/>
          <w:szCs w:val="24"/>
        </w:rPr>
        <w:t xml:space="preserve">a ‘light-bulb moment’ as </w:t>
      </w:r>
      <w:r w:rsidRPr="00FE3FBB" w:rsidR="00E805EE">
        <w:rPr>
          <w:rFonts w:ascii="Verdana" w:hAnsi="Verdana" w:cstheme="minorHAnsi"/>
          <w:sz w:val="24"/>
          <w:szCs w:val="24"/>
        </w:rPr>
        <w:t xml:space="preserve">adults with low confidence </w:t>
      </w:r>
      <w:r w:rsidRPr="00FE3FBB" w:rsidR="00DD1029">
        <w:rPr>
          <w:rFonts w:ascii="Verdana" w:hAnsi="Verdana" w:cstheme="minorHAnsi"/>
          <w:sz w:val="24"/>
          <w:szCs w:val="24"/>
        </w:rPr>
        <w:t>with numbers realise that they are not alone</w:t>
      </w:r>
      <w:r w:rsidRPr="00FE3FBB" w:rsidR="004D33DD">
        <w:rPr>
          <w:rFonts w:ascii="Verdana" w:hAnsi="Verdana" w:cstheme="minorHAnsi"/>
          <w:sz w:val="24"/>
          <w:szCs w:val="24"/>
        </w:rPr>
        <w:t xml:space="preserve">, there are </w:t>
      </w:r>
      <w:r w:rsidRPr="00FE3FBB" w:rsidR="004E7FE7">
        <w:rPr>
          <w:rFonts w:ascii="Verdana" w:hAnsi="Verdana" w:cstheme="minorHAnsi"/>
          <w:sz w:val="24"/>
          <w:szCs w:val="24"/>
        </w:rPr>
        <w:t>many others who feel the same way.</w:t>
      </w:r>
      <w:r w:rsidRPr="00FE3FBB" w:rsidR="008D2D39">
        <w:rPr>
          <w:rFonts w:ascii="Verdana" w:hAnsi="Verdana" w:cstheme="minorHAnsi"/>
          <w:sz w:val="24"/>
          <w:szCs w:val="24"/>
        </w:rPr>
        <w:t xml:space="preserve"> Success stories can then be shared</w:t>
      </w:r>
      <w:r w:rsidRPr="00FE3FBB" w:rsidR="00CE78B7">
        <w:rPr>
          <w:rFonts w:ascii="Verdana" w:hAnsi="Verdana" w:cstheme="minorHAnsi"/>
          <w:sz w:val="24"/>
          <w:szCs w:val="24"/>
        </w:rPr>
        <w:t xml:space="preserve">, </w:t>
      </w:r>
      <w:r w:rsidRPr="00FE3FBB" w:rsidR="000D2BED">
        <w:rPr>
          <w:rFonts w:ascii="Verdana" w:hAnsi="Verdana" w:cstheme="minorHAnsi"/>
          <w:sz w:val="24"/>
          <w:szCs w:val="24"/>
        </w:rPr>
        <w:t xml:space="preserve">allowing </w:t>
      </w:r>
      <w:r w:rsidRPr="00FE3FBB" w:rsidR="00CA6428">
        <w:rPr>
          <w:rFonts w:ascii="Verdana" w:hAnsi="Verdana" w:cstheme="minorHAnsi"/>
          <w:sz w:val="24"/>
          <w:szCs w:val="24"/>
        </w:rPr>
        <w:t>individuals</w:t>
      </w:r>
      <w:r w:rsidRPr="00FE3FBB" w:rsidR="000D2BED">
        <w:rPr>
          <w:rFonts w:ascii="Verdana" w:hAnsi="Verdana" w:cstheme="minorHAnsi"/>
          <w:sz w:val="24"/>
          <w:szCs w:val="24"/>
        </w:rPr>
        <w:t xml:space="preserve"> to </w:t>
      </w:r>
      <w:r w:rsidRPr="00FE3FBB" w:rsidR="00662D32">
        <w:rPr>
          <w:rFonts w:ascii="Verdana" w:hAnsi="Verdana" w:cstheme="minorHAnsi"/>
          <w:sz w:val="24"/>
          <w:szCs w:val="24"/>
        </w:rPr>
        <w:t>start believing that</w:t>
      </w:r>
      <w:r w:rsidRPr="00FE3FBB" w:rsidR="00CA6428">
        <w:rPr>
          <w:rFonts w:ascii="Verdana" w:hAnsi="Verdana" w:cstheme="minorHAnsi"/>
          <w:sz w:val="24"/>
          <w:szCs w:val="24"/>
        </w:rPr>
        <w:t xml:space="preserve"> they can improve</w:t>
      </w:r>
      <w:r w:rsidRPr="00FE3FBB" w:rsidR="00F0219A">
        <w:rPr>
          <w:rFonts w:ascii="Verdana" w:hAnsi="Verdana" w:cstheme="minorHAnsi"/>
          <w:sz w:val="24"/>
          <w:szCs w:val="24"/>
        </w:rPr>
        <w:t>.</w:t>
      </w:r>
      <w:r w:rsidRPr="00FE3FBB" w:rsidR="0052441D">
        <w:rPr>
          <w:rFonts w:ascii="Verdana" w:hAnsi="Verdana" w:cstheme="minorHAnsi"/>
          <w:sz w:val="24"/>
          <w:szCs w:val="24"/>
        </w:rPr>
        <w:t xml:space="preserve"> </w:t>
      </w:r>
      <w:r w:rsidRPr="00FE3FBB" w:rsidR="0052441D">
        <w:rPr>
          <w:rFonts w:ascii="Verdana" w:hAnsi="Verdana" w:cstheme="minorHAnsi"/>
          <w:sz w:val="24"/>
          <w:szCs w:val="24"/>
        </w:rPr>
        <w:t>Adults can learn to drive or dance or play a musical instrument, and adults can improve their maths.</w:t>
      </w:r>
      <w:r w:rsidRPr="00FE3FBB" w:rsidR="00662D32">
        <w:rPr>
          <w:rFonts w:ascii="Verdana" w:hAnsi="Verdana" w:cstheme="minorHAnsi"/>
          <w:sz w:val="24"/>
          <w:szCs w:val="24"/>
        </w:rPr>
        <w:t xml:space="preserve"> </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sz w:val="24"/>
          <w:szCs w:val="24"/>
        </w:rPr>
      </w:pPr>
      <w:r w:rsidRPr="00FE3FBB">
        <w:rPr>
          <w:rFonts w:ascii="Verdana" w:hAnsi="Verdana" w:cstheme="minorHAnsi"/>
          <w:sz w:val="24"/>
          <w:szCs w:val="24"/>
        </w:rPr>
        <w:t xml:space="preserve"> </w:t>
      </w:r>
      <w:r w:rsidRPr="00FE3FBB">
        <w:rPr>
          <w:rFonts w:ascii="Verdana" w:hAnsi="Verdana" w:cstheme="minorHAnsi"/>
          <w:b/>
          <w:bCs/>
          <w:i/>
          <w:iCs/>
          <w:sz w:val="24"/>
          <w:szCs w:val="24"/>
        </w:rPr>
        <w:t>Given the importance of the 0-5 years in a child’s development and future trajectory, what role might the family environment, parental influence, early years providers and pre-school activities play in the foundation of numeracy skills and confidence? What is the role for government, if any, in supporting the development of numeracy skills in the early years pre-school?</w:t>
      </w:r>
    </w:p>
    <w:p w:rsidR="002B4E9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In the first five years of their lives, children are learning behaviourally, cognitively, physically, and socially at a faster rate than at any other time in their lives (OECD, 2020). Pre-school has a positive and long-term impact on children’s attainment, progress and socio-behavioural development. (EPPSE, 2015). Children’s understanding of number during preschool is associated with their mathematical achievement in primary and secondary school, which in turn is found to be the strongest predictor of children’s overall school achievement and their success in entering the workforce (EIF, 2018).</w:t>
      </w:r>
    </w:p>
    <w:p w:rsidR="002B4E91" w:rsidRPr="00FE3FBB" w:rsidP="00531FC0">
      <w:pPr>
        <w:pStyle w:val="ListParagraph"/>
        <w:ind w:left="0"/>
        <w:rPr>
          <w:rFonts w:ascii="Verdana" w:hAnsi="Verdana" w:cstheme="minorHAnsi"/>
          <w:sz w:val="24"/>
          <w:szCs w:val="24"/>
        </w:rPr>
      </w:pPr>
    </w:p>
    <w:p w:rsidR="00232EE9"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At National Numeracy, our research </w:t>
      </w:r>
      <w:r w:rsidRPr="00FE3FBB" w:rsidR="00B53F7A">
        <w:rPr>
          <w:rFonts w:ascii="Verdana" w:hAnsi="Verdana" w:cstheme="minorHAnsi"/>
          <w:sz w:val="24"/>
          <w:szCs w:val="24"/>
        </w:rPr>
        <w:t xml:space="preserve">with partners has underscored both the influence and opportunities associated with </w:t>
      </w:r>
      <w:r w:rsidRPr="00FE3FBB" w:rsidR="00120DB9">
        <w:rPr>
          <w:rFonts w:ascii="Verdana" w:hAnsi="Verdana" w:cstheme="minorHAnsi"/>
          <w:sz w:val="24"/>
          <w:szCs w:val="24"/>
        </w:rPr>
        <w:t xml:space="preserve">parental and carer engagement, as well as family learning. Indeed, our </w:t>
      </w:r>
      <w:r>
        <w:fldChar w:fldCharType="begin"/>
      </w:r>
      <w:r>
        <w:instrText xml:space="preserve"> HYPERLINK "https://www.nationalnumeracy.org.uk/news/parents-pass-fear-maths-their-children-new-mumsnet-research-suggests" </w:instrText>
      </w:r>
      <w:r>
        <w:fldChar w:fldCharType="separate"/>
      </w:r>
      <w:r w:rsidRPr="00FE3FBB" w:rsidR="00120DB9">
        <w:rPr>
          <w:rStyle w:val="Hyperlink"/>
          <w:rFonts w:ascii="Verdana" w:hAnsi="Verdana" w:cstheme="minorHAnsi"/>
          <w:sz w:val="24"/>
          <w:szCs w:val="24"/>
        </w:rPr>
        <w:t>research with Mumsnet</w:t>
      </w:r>
      <w:r>
        <w:fldChar w:fldCharType="end"/>
      </w:r>
      <w:r w:rsidRPr="00FE3FBB" w:rsidR="00120DB9">
        <w:rPr>
          <w:rFonts w:ascii="Verdana" w:hAnsi="Verdana" w:cstheme="minorHAnsi"/>
          <w:sz w:val="24"/>
          <w:szCs w:val="24"/>
        </w:rPr>
        <w:t xml:space="preserve"> in 2024 showed that children who are confident with numbers are significantly more likely to have heard positive messaging about numbers from their parents. </w:t>
      </w:r>
      <w:r w:rsidRPr="00FE3FBB" w:rsidR="005C69C3">
        <w:rPr>
          <w:rFonts w:ascii="Verdana" w:hAnsi="Verdana" w:cstheme="minorHAnsi"/>
          <w:sz w:val="24"/>
          <w:szCs w:val="24"/>
        </w:rPr>
        <w:t xml:space="preserve">Furthermore, such findings have been </w:t>
      </w:r>
      <w:r w:rsidRPr="00FE3FBB" w:rsidR="003D5053">
        <w:rPr>
          <w:rFonts w:ascii="Verdana" w:hAnsi="Verdana" w:cstheme="minorHAnsi"/>
          <w:sz w:val="24"/>
          <w:szCs w:val="24"/>
        </w:rPr>
        <w:t xml:space="preserve">significantly </w:t>
      </w:r>
      <w:r w:rsidRPr="00FE3FBB" w:rsidR="00C5550F">
        <w:rPr>
          <w:rFonts w:ascii="Verdana" w:hAnsi="Verdana" w:cstheme="minorHAnsi"/>
          <w:sz w:val="24"/>
          <w:szCs w:val="24"/>
        </w:rPr>
        <w:t>strengthened by recent research</w:t>
      </w:r>
      <w:r w:rsidRPr="00FE3FBB" w:rsidR="00DF4E72">
        <w:rPr>
          <w:rFonts w:ascii="Verdana" w:hAnsi="Verdana" w:cstheme="minorHAnsi"/>
          <w:sz w:val="24"/>
          <w:szCs w:val="24"/>
        </w:rPr>
        <w:t xml:space="preserve">, </w:t>
      </w:r>
      <w:r w:rsidRPr="00FE3FBB" w:rsidR="009F095F">
        <w:rPr>
          <w:rFonts w:ascii="Verdana" w:hAnsi="Verdana" w:cstheme="minorHAnsi"/>
          <w:sz w:val="24"/>
          <w:szCs w:val="24"/>
        </w:rPr>
        <w:t>‘</w:t>
      </w:r>
      <w:r>
        <w:fldChar w:fldCharType="begin"/>
      </w:r>
      <w:r>
        <w:instrText xml:space="preserve"> HYPERLINK "https://www.nationalnumeracy.org.uk/sites/default/files/documents/Nurturing-number-confidence.pdf" </w:instrText>
      </w:r>
      <w:r>
        <w:fldChar w:fldCharType="separate"/>
      </w:r>
      <w:r w:rsidRPr="00FE3FBB" w:rsidR="00DF4E72">
        <w:rPr>
          <w:rStyle w:val="Hyperlink"/>
          <w:rFonts w:ascii="Verdana" w:hAnsi="Verdana" w:cstheme="minorHAnsi"/>
          <w:sz w:val="24"/>
          <w:szCs w:val="24"/>
        </w:rPr>
        <w:t>Nurturing Number Confidence</w:t>
      </w:r>
      <w:r>
        <w:fldChar w:fldCharType="end"/>
      </w:r>
      <w:r w:rsidRPr="00FE3FBB" w:rsidR="009F095F">
        <w:rPr>
          <w:rFonts w:ascii="Verdana" w:hAnsi="Verdana" w:cstheme="minorHAnsi"/>
          <w:sz w:val="24"/>
          <w:szCs w:val="24"/>
        </w:rPr>
        <w:t>’</w:t>
      </w:r>
      <w:r w:rsidRPr="00FE3FBB" w:rsidR="00DF4E72">
        <w:rPr>
          <w:rFonts w:ascii="Verdana" w:hAnsi="Verdana" w:cstheme="minorHAnsi"/>
          <w:sz w:val="24"/>
          <w:szCs w:val="24"/>
        </w:rPr>
        <w:t xml:space="preserve">, commissioned by Barclays, which </w:t>
      </w:r>
      <w:r w:rsidRPr="00FE3FBB" w:rsidR="00707FD2">
        <w:rPr>
          <w:rFonts w:ascii="Verdana" w:hAnsi="Verdana" w:cstheme="minorHAnsi"/>
          <w:sz w:val="24"/>
          <w:szCs w:val="24"/>
        </w:rPr>
        <w:t xml:space="preserve">revealed that </w:t>
      </w:r>
      <w:r w:rsidRPr="00FE3FBB" w:rsidR="00120DB9">
        <w:rPr>
          <w:rFonts w:ascii="Verdana" w:hAnsi="Verdana" w:cstheme="minorHAnsi"/>
          <w:sz w:val="24"/>
          <w:szCs w:val="24"/>
        </w:rPr>
        <w:t>over 55% of number-confident children have heard “I like working with numbers” from their parent, compared to just over 30% for children with low number confidence</w:t>
      </w:r>
      <w:r w:rsidRPr="00FE3FBB" w:rsidR="00CC7F96">
        <w:rPr>
          <w:rFonts w:ascii="Verdana" w:hAnsi="Verdana" w:cstheme="minorHAnsi"/>
          <w:sz w:val="24"/>
          <w:szCs w:val="24"/>
        </w:rPr>
        <w:t>. The research showed that t</w:t>
      </w:r>
      <w:r w:rsidRPr="00FE3FBB">
        <w:rPr>
          <w:rFonts w:ascii="Verdana" w:hAnsi="Verdana" w:cstheme="minorHAnsi"/>
          <w:sz w:val="24"/>
          <w:szCs w:val="24"/>
        </w:rPr>
        <w:t xml:space="preserve">here is a correlation between parents’ confidence with numbers and that of their children, and this correlation grows stronger as a child </w:t>
      </w:r>
      <w:r w:rsidRPr="00FE3FBB" w:rsidR="00CC7F96">
        <w:rPr>
          <w:rFonts w:ascii="Verdana" w:hAnsi="Verdana" w:cstheme="minorHAnsi"/>
          <w:sz w:val="24"/>
          <w:szCs w:val="24"/>
        </w:rPr>
        <w:t>gets older. I</w:t>
      </w:r>
      <w:r w:rsidRPr="00FE3FBB" w:rsidR="009C1EBA">
        <w:rPr>
          <w:rFonts w:ascii="Verdana" w:hAnsi="Verdana" w:cstheme="minorHAnsi"/>
          <w:sz w:val="24"/>
          <w:szCs w:val="24"/>
        </w:rPr>
        <w:t>mportantly</w:t>
      </w:r>
      <w:r w:rsidRPr="00FE3FBB">
        <w:rPr>
          <w:rFonts w:ascii="Verdana" w:hAnsi="Verdana" w:cstheme="minorHAnsi"/>
          <w:sz w:val="24"/>
          <w:szCs w:val="24"/>
        </w:rPr>
        <w:t xml:space="preserve">, </w:t>
      </w:r>
      <w:r w:rsidRPr="00FE3FBB" w:rsidR="009C1EBA">
        <w:rPr>
          <w:rFonts w:ascii="Verdana" w:hAnsi="Verdana" w:cstheme="minorHAnsi"/>
          <w:sz w:val="24"/>
          <w:szCs w:val="24"/>
        </w:rPr>
        <w:t xml:space="preserve">the findings of the research </w:t>
      </w:r>
      <w:r w:rsidRPr="00FE3FBB">
        <w:rPr>
          <w:rFonts w:ascii="Verdana" w:hAnsi="Verdana" w:cstheme="minorHAnsi"/>
          <w:sz w:val="24"/>
          <w:szCs w:val="24"/>
        </w:rPr>
        <w:t xml:space="preserve">reinforce the notion that parents encouraging independent thinking and problem-solving with their child can have a positive effect on </w:t>
      </w:r>
      <w:r w:rsidRPr="00FE3FBB" w:rsidR="009C1EBA">
        <w:rPr>
          <w:rFonts w:ascii="Verdana" w:hAnsi="Verdana" w:cstheme="minorHAnsi"/>
          <w:sz w:val="24"/>
          <w:szCs w:val="24"/>
        </w:rPr>
        <w:t>both</w:t>
      </w:r>
      <w:r w:rsidRPr="00FE3FBB">
        <w:rPr>
          <w:rFonts w:ascii="Verdana" w:hAnsi="Verdana" w:cstheme="minorHAnsi"/>
          <w:sz w:val="24"/>
          <w:szCs w:val="24"/>
        </w:rPr>
        <w:t xml:space="preserve"> the child’s </w:t>
      </w:r>
      <w:r w:rsidRPr="00FE3FBB" w:rsidR="009C1EBA">
        <w:rPr>
          <w:rFonts w:ascii="Verdana" w:hAnsi="Verdana" w:cstheme="minorHAnsi"/>
          <w:sz w:val="24"/>
          <w:szCs w:val="24"/>
        </w:rPr>
        <w:t>and</w:t>
      </w:r>
      <w:r w:rsidRPr="00FE3FBB">
        <w:rPr>
          <w:rFonts w:ascii="Verdana" w:hAnsi="Verdana" w:cstheme="minorHAnsi"/>
          <w:sz w:val="24"/>
          <w:szCs w:val="24"/>
        </w:rPr>
        <w:t xml:space="preserve"> the parent’s confidence</w:t>
      </w:r>
      <w:r w:rsidRPr="00FE3FBB" w:rsidR="00663DE6">
        <w:rPr>
          <w:rFonts w:ascii="Verdana" w:hAnsi="Verdana" w:cstheme="minorHAnsi"/>
          <w:sz w:val="24"/>
          <w:szCs w:val="24"/>
        </w:rPr>
        <w:t xml:space="preserve"> with numbers</w:t>
      </w:r>
      <w:r w:rsidRPr="00FE3FBB">
        <w:rPr>
          <w:rFonts w:ascii="Verdana" w:hAnsi="Verdana" w:cstheme="minorHAnsi"/>
          <w:sz w:val="24"/>
          <w:szCs w:val="24"/>
        </w:rPr>
        <w:t xml:space="preserve">. </w:t>
      </w:r>
    </w:p>
    <w:p w:rsidR="002B4E91" w:rsidRPr="00FE3FBB" w:rsidP="00531FC0">
      <w:pPr>
        <w:pStyle w:val="ListParagraph"/>
        <w:ind w:left="0"/>
        <w:rPr>
          <w:rFonts w:ascii="Verdana" w:hAnsi="Verdana" w:cstheme="minorHAnsi"/>
          <w:sz w:val="24"/>
          <w:szCs w:val="24"/>
        </w:rPr>
      </w:pPr>
    </w:p>
    <w:p w:rsidR="002B4E91" w:rsidRPr="00FE3FBB" w:rsidP="00531FC0">
      <w:pPr>
        <w:pStyle w:val="ListParagraph"/>
        <w:numPr>
          <w:ilvl w:val="0"/>
          <w:numId w:val="16"/>
        </w:numPr>
        <w:rPr>
          <w:rFonts w:ascii="Verdana" w:hAnsi="Verdana" w:cstheme="minorHAnsi"/>
          <w:i/>
          <w:iCs/>
          <w:sz w:val="24"/>
          <w:szCs w:val="24"/>
        </w:rPr>
      </w:pPr>
      <w:r w:rsidRPr="00FE3FBB">
        <w:rPr>
          <w:rFonts w:ascii="Verdana" w:hAnsi="Verdana" w:cstheme="minorHAnsi"/>
          <w:i/>
          <w:iCs/>
          <w:sz w:val="24"/>
          <w:szCs w:val="24"/>
        </w:rPr>
        <w:t>Addressing socio-economic inequality</w:t>
      </w:r>
    </w:p>
    <w:p w:rsidR="002B4E91" w:rsidRPr="00FE3FBB" w:rsidP="00531FC0">
      <w:pPr>
        <w:pStyle w:val="ListParagraph"/>
        <w:rPr>
          <w:rFonts w:ascii="Verdana" w:hAnsi="Verdana" w:cstheme="minorHAnsi"/>
          <w:i/>
          <w:iCs/>
          <w:sz w:val="24"/>
          <w:szCs w:val="24"/>
        </w:rPr>
      </w:pPr>
    </w:p>
    <w:p w:rsidR="002B4E91" w:rsidRPr="00FE3FBB" w:rsidP="00531FC0">
      <w:pPr>
        <w:pStyle w:val="ListParagraph"/>
        <w:numPr>
          <w:ilvl w:val="0"/>
          <w:numId w:val="14"/>
        </w:numPr>
        <w:ind w:left="0"/>
        <w:rPr>
          <w:rFonts w:ascii="Verdana" w:hAnsi="Verdana" w:cstheme="minorHAnsi"/>
          <w:i/>
          <w:iCs/>
          <w:sz w:val="24"/>
          <w:szCs w:val="24"/>
        </w:rPr>
      </w:pPr>
      <w:r w:rsidRPr="00FE3FBB">
        <w:rPr>
          <w:rFonts w:ascii="Verdana" w:hAnsi="Verdana" w:cstheme="minorHAnsi"/>
          <w:sz w:val="24"/>
          <w:szCs w:val="24"/>
        </w:rPr>
        <w:t>Income-related differences in children’s counting abilities have been identified by age four and increase throughout primary and secondary school. The ages of three to five are considered an ideal time to rectify income-related learning gaps (EIF, 2018).</w:t>
      </w:r>
      <w:r w:rsidRPr="00FE3FBB">
        <w:rPr>
          <w:rFonts w:ascii="Verdana" w:hAnsi="Verdana" w:cstheme="minorHAnsi"/>
          <w:i/>
          <w:iCs/>
          <w:sz w:val="24"/>
          <w:szCs w:val="24"/>
        </w:rPr>
        <w:t xml:space="preserve"> </w:t>
      </w:r>
      <w:r w:rsidRPr="00FE3FBB">
        <w:rPr>
          <w:rFonts w:ascii="Verdana" w:hAnsi="Verdana" w:cstheme="minorHAnsi"/>
          <w:sz w:val="24"/>
          <w:szCs w:val="24"/>
        </w:rPr>
        <w:t xml:space="preserve">Disadvantaged children are on average 4.6 months behind their peers by the end of reception year, age </w:t>
      </w:r>
      <w:r w:rsidRPr="00FE3FBB">
        <w:rPr>
          <w:rFonts w:ascii="Verdana" w:hAnsi="Verdana" w:cstheme="minorHAnsi"/>
          <w:sz w:val="24"/>
          <w:szCs w:val="24"/>
        </w:rPr>
        <w:t>5. (EPI, 2024)</w:t>
      </w:r>
      <w:r w:rsidRPr="00FE3FBB">
        <w:rPr>
          <w:rFonts w:ascii="Verdana" w:hAnsi="Verdana" w:cstheme="minorHAnsi"/>
          <w:i/>
          <w:iCs/>
          <w:sz w:val="24"/>
          <w:szCs w:val="24"/>
        </w:rPr>
        <w:t xml:space="preserve">. </w:t>
      </w:r>
      <w:r w:rsidRPr="00FE3FBB">
        <w:rPr>
          <w:rFonts w:ascii="Verdana" w:hAnsi="Verdana" w:cstheme="minorHAnsi"/>
          <w:sz w:val="24"/>
          <w:szCs w:val="24"/>
        </w:rPr>
        <w:t>Effective early numeracy approaches can, on average, provide seven months of additional progress (EEF, 2024)</w:t>
      </w:r>
      <w:r w:rsidRPr="00FE3FBB">
        <w:rPr>
          <w:rFonts w:ascii="Verdana" w:hAnsi="Verdana" w:cstheme="minorHAnsi"/>
          <w:sz w:val="24"/>
          <w:szCs w:val="24"/>
        </w:rPr>
        <w:t>.</w:t>
      </w:r>
    </w:p>
    <w:p w:rsidR="002B4E91" w:rsidRPr="00FE3FBB" w:rsidP="00531FC0">
      <w:pPr>
        <w:pStyle w:val="ListParagraph"/>
        <w:ind w:left="0"/>
        <w:rPr>
          <w:rFonts w:ascii="Verdana" w:hAnsi="Verdana" w:cstheme="minorHAnsi"/>
          <w:i/>
          <w:iCs/>
          <w:sz w:val="24"/>
          <w:szCs w:val="24"/>
        </w:rPr>
      </w:pPr>
    </w:p>
    <w:p w:rsidR="002B4E91" w:rsidRPr="00FE3FBB" w:rsidP="00531FC0">
      <w:pPr>
        <w:pStyle w:val="ListParagraph"/>
        <w:numPr>
          <w:ilvl w:val="0"/>
          <w:numId w:val="14"/>
        </w:numPr>
        <w:ind w:left="0"/>
        <w:rPr>
          <w:rFonts w:ascii="Verdana" w:hAnsi="Verdana" w:cstheme="minorHAnsi"/>
          <w:i/>
          <w:iCs/>
          <w:sz w:val="24"/>
          <w:szCs w:val="24"/>
        </w:rPr>
      </w:pPr>
      <w:r w:rsidRPr="00FE3FBB">
        <w:rPr>
          <w:rFonts w:ascii="Verdana" w:hAnsi="Verdana" w:cstheme="minorHAnsi"/>
          <w:sz w:val="24"/>
          <w:szCs w:val="24"/>
        </w:rPr>
        <w:t xml:space="preserve">Early years educators with appropriate skills, knowledge and qualifications significantly contribute to children’s early learning and development, particularly for </w:t>
      </w:r>
      <w:r w:rsidRPr="00FE3FBB" w:rsidR="002F71DC">
        <w:rPr>
          <w:rFonts w:ascii="Verdana" w:hAnsi="Verdana" w:cstheme="minorHAnsi"/>
          <w:sz w:val="24"/>
          <w:szCs w:val="24"/>
        </w:rPr>
        <w:t xml:space="preserve">those </w:t>
      </w:r>
      <w:r w:rsidRPr="00FE3FBB">
        <w:rPr>
          <w:rFonts w:ascii="Verdana" w:hAnsi="Verdana" w:cstheme="minorHAnsi"/>
          <w:sz w:val="24"/>
          <w:szCs w:val="24"/>
        </w:rPr>
        <w:t>from low income and at-risk families (Sutton Trust, 2024). Disadvantaged children gain significantly from high quality pre-school. It enhances the maths outcomes for disadvantaged children and for those of low qualified parents throughout primary school (EPPSE, 2015).</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i/>
          <w:iCs/>
          <w:sz w:val="24"/>
          <w:szCs w:val="24"/>
        </w:rPr>
      </w:pPr>
      <w:r w:rsidRPr="00FE3FBB">
        <w:rPr>
          <w:rFonts w:ascii="Verdana" w:hAnsi="Verdana" w:cstheme="minorHAnsi"/>
          <w:sz w:val="24"/>
          <w:szCs w:val="24"/>
        </w:rPr>
        <w:t>It is estimated that the sector will need 27,500 more early years professionals by 2028 (Nesta, 2023).</w:t>
      </w:r>
      <w:r w:rsidRPr="00FE3FBB" w:rsidR="00344B59">
        <w:rPr>
          <w:rFonts w:ascii="Verdana" w:hAnsi="Verdana" w:cstheme="minorHAnsi"/>
          <w:sz w:val="24"/>
          <w:szCs w:val="24"/>
        </w:rPr>
        <w:t xml:space="preserve"> </w:t>
      </w:r>
      <w:r w:rsidRPr="00FE3FBB">
        <w:rPr>
          <w:rFonts w:ascii="Verdana" w:hAnsi="Verdana" w:cstheme="minorHAnsi"/>
          <w:sz w:val="24"/>
          <w:szCs w:val="24"/>
        </w:rPr>
        <w:t>Low pay, limited career progression and perceived low status all make recruiting and retaining staff difficult. 57% of staff are considering leaving the early years sector altogether (Early Education and Childcare Coalition, 2023)</w:t>
      </w:r>
      <w:r w:rsidRPr="00FE3FBB" w:rsidR="009F095F">
        <w:rPr>
          <w:rFonts w:ascii="Verdana" w:hAnsi="Verdana" w:cstheme="minorHAnsi"/>
          <w:sz w:val="24"/>
          <w:szCs w:val="24"/>
        </w:rPr>
        <w:t>.</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i/>
          <w:iCs/>
          <w:sz w:val="24"/>
          <w:szCs w:val="24"/>
        </w:rPr>
      </w:pPr>
      <w:r w:rsidRPr="00FE3FBB">
        <w:rPr>
          <w:rFonts w:ascii="Verdana" w:hAnsi="Verdana" w:cstheme="minorHAnsi"/>
          <w:sz w:val="24"/>
          <w:szCs w:val="24"/>
        </w:rPr>
        <w:t>To support recruitment and retention, there were significant changes to the Statutory Framework for EYFS: Group and School Providers effective from January 2024. Level 3 practitioners are no longer required to hold a level 2 maths qualification. Managers must have achieved a suitable level 2 qualification in maths or must do so within two years of starting in the position.</w:t>
      </w:r>
    </w:p>
    <w:p w:rsidR="002B4E91" w:rsidRPr="00FE3FBB" w:rsidP="00531FC0">
      <w:pPr>
        <w:pStyle w:val="ListParagraph"/>
        <w:rPr>
          <w:rFonts w:ascii="Verdana" w:hAnsi="Verdana" w:cstheme="minorHAnsi"/>
          <w:sz w:val="24"/>
          <w:szCs w:val="24"/>
        </w:rPr>
      </w:pPr>
    </w:p>
    <w:p w:rsidR="002B4E91" w:rsidRPr="00FE3FBB" w:rsidP="00531FC0">
      <w:pPr>
        <w:pStyle w:val="ListParagraph"/>
        <w:numPr>
          <w:ilvl w:val="0"/>
          <w:numId w:val="14"/>
        </w:numPr>
        <w:ind w:left="0"/>
        <w:rPr>
          <w:rFonts w:ascii="Verdana" w:hAnsi="Verdana" w:cstheme="minorHAnsi"/>
          <w:i/>
          <w:iCs/>
          <w:sz w:val="24"/>
          <w:szCs w:val="24"/>
        </w:rPr>
      </w:pPr>
      <w:r w:rsidRPr="00FE3FBB">
        <w:rPr>
          <w:rFonts w:ascii="Verdana" w:hAnsi="Verdana" w:cstheme="minorHAnsi"/>
          <w:sz w:val="24"/>
          <w:szCs w:val="24"/>
        </w:rPr>
        <w:t>There is a relative lack of mathematics professional development opportunities in the Early Years (ECMG, 2024).</w:t>
      </w:r>
      <w:r w:rsidRPr="00FE3FBB" w:rsidR="00344B59">
        <w:rPr>
          <w:rFonts w:ascii="Verdana" w:hAnsi="Verdana" w:cstheme="minorHAnsi"/>
          <w:sz w:val="24"/>
          <w:szCs w:val="24"/>
        </w:rPr>
        <w:t xml:space="preserve"> </w:t>
      </w:r>
      <w:r w:rsidRPr="00FE3FBB">
        <w:rPr>
          <w:rFonts w:ascii="Verdana" w:hAnsi="Verdana" w:cstheme="minorHAnsi"/>
          <w:sz w:val="24"/>
          <w:szCs w:val="24"/>
        </w:rPr>
        <w:t xml:space="preserve">The </w:t>
      </w:r>
      <w:r w:rsidRPr="00FE3FBB" w:rsidR="00344B59">
        <w:rPr>
          <w:rFonts w:ascii="Verdana" w:hAnsi="Verdana" w:cstheme="minorHAnsi"/>
          <w:sz w:val="24"/>
          <w:szCs w:val="24"/>
        </w:rPr>
        <w:t xml:space="preserve">excellent and highly effective </w:t>
      </w:r>
      <w:r w:rsidRPr="00FE3FBB">
        <w:rPr>
          <w:rFonts w:ascii="Verdana" w:hAnsi="Verdana" w:cstheme="minorHAnsi"/>
          <w:sz w:val="24"/>
          <w:szCs w:val="24"/>
        </w:rPr>
        <w:t>mathematics professional development opportunities available are focused on developing mathematics pedagogy and improving children’s outcomes</w:t>
      </w:r>
      <w:r w:rsidRPr="00FE3FBB" w:rsidR="004B75C8">
        <w:rPr>
          <w:rFonts w:ascii="Verdana" w:hAnsi="Verdana" w:cstheme="minorHAnsi"/>
          <w:sz w:val="24"/>
          <w:szCs w:val="24"/>
        </w:rPr>
        <w:t xml:space="preserve">, rather than </w:t>
      </w:r>
      <w:r w:rsidRPr="00FE3FBB" w:rsidR="00B36C6C">
        <w:rPr>
          <w:rFonts w:ascii="Verdana" w:hAnsi="Verdana" w:cstheme="minorHAnsi"/>
          <w:sz w:val="24"/>
          <w:szCs w:val="24"/>
        </w:rPr>
        <w:t xml:space="preserve">improving </w:t>
      </w:r>
      <w:r w:rsidRPr="00FE3FBB" w:rsidR="003D4212">
        <w:rPr>
          <w:rFonts w:ascii="Verdana" w:hAnsi="Verdana" w:cstheme="minorHAnsi"/>
          <w:sz w:val="24"/>
          <w:szCs w:val="24"/>
        </w:rPr>
        <w:t xml:space="preserve">the </w:t>
      </w:r>
      <w:r w:rsidRPr="00FE3FBB" w:rsidR="00C24593">
        <w:rPr>
          <w:rFonts w:ascii="Verdana" w:hAnsi="Verdana" w:cstheme="minorHAnsi"/>
          <w:sz w:val="24"/>
          <w:szCs w:val="24"/>
        </w:rPr>
        <w:t xml:space="preserve">confidence and numeracy of the </w:t>
      </w:r>
      <w:r w:rsidRPr="00FE3FBB" w:rsidR="00501C7D">
        <w:rPr>
          <w:rFonts w:ascii="Verdana" w:hAnsi="Verdana" w:cstheme="minorHAnsi"/>
          <w:sz w:val="24"/>
          <w:szCs w:val="24"/>
        </w:rPr>
        <w:t>practitioners themselves.</w:t>
      </w:r>
    </w:p>
    <w:p w:rsidR="002B4E91" w:rsidRPr="00FE3FBB" w:rsidP="00531FC0">
      <w:pPr>
        <w:pStyle w:val="ListParagraph"/>
        <w:rPr>
          <w:rFonts w:ascii="Verdana" w:hAnsi="Verdana" w:cstheme="minorHAnsi"/>
          <w:sz w:val="24"/>
          <w:szCs w:val="24"/>
        </w:rPr>
      </w:pPr>
    </w:p>
    <w:p w:rsidR="00E00912" w:rsidRPr="00FE3FBB" w:rsidP="00531FC0">
      <w:pPr>
        <w:pStyle w:val="ListParagraph"/>
        <w:numPr>
          <w:ilvl w:val="0"/>
          <w:numId w:val="14"/>
        </w:numPr>
        <w:ind w:left="0"/>
        <w:rPr>
          <w:rFonts w:ascii="Verdana" w:hAnsi="Verdana" w:cstheme="minorHAnsi"/>
          <w:i/>
          <w:iCs/>
          <w:sz w:val="24"/>
          <w:szCs w:val="24"/>
        </w:rPr>
      </w:pPr>
      <w:r w:rsidRPr="00FE3FBB">
        <w:rPr>
          <w:rFonts w:ascii="Verdana" w:hAnsi="Verdana" w:cstheme="minorHAnsi"/>
          <w:sz w:val="24"/>
          <w:szCs w:val="24"/>
        </w:rPr>
        <w:t xml:space="preserve">At </w:t>
      </w:r>
      <w:r w:rsidRPr="00FE3FBB" w:rsidR="00344B59">
        <w:rPr>
          <w:rFonts w:ascii="Verdana" w:hAnsi="Verdana" w:cstheme="minorHAnsi"/>
          <w:sz w:val="24"/>
          <w:szCs w:val="24"/>
        </w:rPr>
        <w:t xml:space="preserve">National Numeracy, we believe </w:t>
      </w:r>
      <w:r w:rsidRPr="00FE3FBB" w:rsidR="00663DE6">
        <w:rPr>
          <w:rFonts w:ascii="Verdana" w:hAnsi="Verdana" w:cstheme="minorHAnsi"/>
          <w:sz w:val="24"/>
          <w:szCs w:val="24"/>
        </w:rPr>
        <w:t xml:space="preserve">there is a strong need </w:t>
      </w:r>
      <w:r w:rsidRPr="00FE3FBB" w:rsidR="001A6AE3">
        <w:rPr>
          <w:rFonts w:ascii="Verdana" w:hAnsi="Verdana" w:cstheme="minorHAnsi"/>
          <w:sz w:val="24"/>
          <w:szCs w:val="24"/>
        </w:rPr>
        <w:t xml:space="preserve">for support </w:t>
      </w:r>
      <w:r w:rsidRPr="00FE3FBB" w:rsidR="00445D49">
        <w:rPr>
          <w:rFonts w:ascii="Verdana" w:hAnsi="Verdana" w:cstheme="minorHAnsi"/>
          <w:sz w:val="24"/>
          <w:szCs w:val="24"/>
        </w:rPr>
        <w:t xml:space="preserve">to build </w:t>
      </w:r>
      <w:r w:rsidRPr="00FE3FBB" w:rsidR="00635903">
        <w:rPr>
          <w:rFonts w:ascii="Verdana" w:hAnsi="Verdana" w:cstheme="minorHAnsi"/>
          <w:sz w:val="24"/>
          <w:szCs w:val="24"/>
        </w:rPr>
        <w:t xml:space="preserve">the </w:t>
      </w:r>
      <w:r w:rsidRPr="00FE3FBB" w:rsidR="00445D49">
        <w:rPr>
          <w:rFonts w:ascii="Verdana" w:hAnsi="Verdana" w:cstheme="minorHAnsi"/>
          <w:sz w:val="24"/>
          <w:szCs w:val="24"/>
        </w:rPr>
        <w:t>number confidence</w:t>
      </w:r>
      <w:r w:rsidRPr="00FE3FBB">
        <w:rPr>
          <w:rFonts w:ascii="Verdana" w:hAnsi="Verdana" w:cstheme="minorHAnsi"/>
          <w:sz w:val="24"/>
          <w:szCs w:val="24"/>
        </w:rPr>
        <w:t xml:space="preserve"> of Early Practitioners</w:t>
      </w:r>
      <w:r w:rsidRPr="00FE3FBB" w:rsidR="00635903">
        <w:rPr>
          <w:rFonts w:ascii="Verdana" w:hAnsi="Verdana" w:cstheme="minorHAnsi"/>
          <w:sz w:val="24"/>
          <w:szCs w:val="24"/>
        </w:rPr>
        <w:t xml:space="preserve">. </w:t>
      </w:r>
      <w:r w:rsidRPr="00FE3FBB" w:rsidR="00EF1FF3">
        <w:rPr>
          <w:rFonts w:ascii="Verdana" w:hAnsi="Verdana" w:cstheme="minorHAnsi"/>
          <w:sz w:val="24"/>
          <w:szCs w:val="24"/>
        </w:rPr>
        <w:t>There is an opportunity</w:t>
      </w:r>
      <w:r w:rsidRPr="00FE3FBB" w:rsidR="001A6AE3">
        <w:rPr>
          <w:rFonts w:ascii="Verdana" w:hAnsi="Verdana" w:cstheme="minorHAnsi"/>
          <w:sz w:val="24"/>
          <w:szCs w:val="24"/>
        </w:rPr>
        <w:t xml:space="preserve"> </w:t>
      </w:r>
      <w:r w:rsidRPr="00FE3FBB" w:rsidR="009C1CDB">
        <w:rPr>
          <w:rFonts w:ascii="Verdana" w:hAnsi="Verdana" w:cstheme="minorHAnsi"/>
          <w:sz w:val="24"/>
          <w:szCs w:val="24"/>
        </w:rPr>
        <w:t xml:space="preserve">to </w:t>
      </w:r>
      <w:r w:rsidRPr="00FE3FBB" w:rsidR="00E66444">
        <w:rPr>
          <w:rFonts w:ascii="Verdana" w:hAnsi="Verdana" w:cstheme="minorHAnsi"/>
          <w:sz w:val="24"/>
          <w:szCs w:val="24"/>
        </w:rPr>
        <w:t xml:space="preserve">boost low confidence and </w:t>
      </w:r>
      <w:r w:rsidRPr="00FE3FBB" w:rsidR="009C1CDB">
        <w:rPr>
          <w:rFonts w:ascii="Verdana" w:hAnsi="Verdana" w:cstheme="minorHAnsi"/>
          <w:sz w:val="24"/>
          <w:szCs w:val="24"/>
        </w:rPr>
        <w:t xml:space="preserve">avoid this </w:t>
      </w:r>
      <w:r w:rsidRPr="00FE3FBB" w:rsidR="0087017A">
        <w:rPr>
          <w:rFonts w:ascii="Verdana" w:hAnsi="Verdana" w:cstheme="minorHAnsi"/>
          <w:sz w:val="24"/>
          <w:szCs w:val="24"/>
        </w:rPr>
        <w:t>hold</w:t>
      </w:r>
      <w:r w:rsidRPr="00FE3FBB" w:rsidR="008F30EC">
        <w:rPr>
          <w:rFonts w:ascii="Verdana" w:hAnsi="Verdana" w:cstheme="minorHAnsi"/>
          <w:sz w:val="24"/>
          <w:szCs w:val="24"/>
        </w:rPr>
        <w:t>ing</w:t>
      </w:r>
      <w:r w:rsidRPr="00FE3FBB" w:rsidR="0087017A">
        <w:rPr>
          <w:rFonts w:ascii="Verdana" w:hAnsi="Verdana" w:cstheme="minorHAnsi"/>
          <w:sz w:val="24"/>
          <w:szCs w:val="24"/>
        </w:rPr>
        <w:t xml:space="preserve"> back adults and the children in their care</w:t>
      </w:r>
      <w:r w:rsidRPr="00FE3FBB" w:rsidR="00781EB9">
        <w:rPr>
          <w:rFonts w:ascii="Verdana" w:hAnsi="Verdana" w:cstheme="minorHAnsi"/>
          <w:sz w:val="24"/>
          <w:szCs w:val="24"/>
        </w:rPr>
        <w:t xml:space="preserve"> during these vital years of a child’s development.</w:t>
      </w:r>
      <w:r w:rsidRPr="00FE3FBB" w:rsidR="00AC573D">
        <w:rPr>
          <w:rFonts w:ascii="Verdana" w:hAnsi="Verdana" w:cstheme="minorHAnsi"/>
          <w:sz w:val="24"/>
          <w:szCs w:val="24"/>
        </w:rPr>
        <w:t xml:space="preserve"> This is particularly pertinent when </w:t>
      </w:r>
      <w:r w:rsidRPr="00FE3FBB" w:rsidR="0075482E">
        <w:rPr>
          <w:rFonts w:ascii="Verdana" w:hAnsi="Verdana" w:cstheme="minorHAnsi"/>
          <w:sz w:val="24"/>
          <w:szCs w:val="24"/>
        </w:rPr>
        <w:t xml:space="preserve">you consider </w:t>
      </w:r>
      <w:r w:rsidRPr="00FE3FBB" w:rsidR="00DA618F">
        <w:rPr>
          <w:rFonts w:ascii="Verdana" w:hAnsi="Verdana" w:cstheme="minorHAnsi"/>
          <w:sz w:val="24"/>
          <w:szCs w:val="24"/>
        </w:rPr>
        <w:t xml:space="preserve">the gender divide in numeracy </w:t>
      </w:r>
      <w:r w:rsidRPr="00FE3FBB" w:rsidR="006A4348">
        <w:rPr>
          <w:rFonts w:ascii="Verdana" w:hAnsi="Verdana" w:cstheme="minorHAnsi"/>
          <w:sz w:val="24"/>
          <w:szCs w:val="24"/>
        </w:rPr>
        <w:t xml:space="preserve">and that </w:t>
      </w:r>
      <w:r w:rsidRPr="00FE3FBB" w:rsidR="008E0629">
        <w:rPr>
          <w:rFonts w:ascii="Verdana" w:hAnsi="Verdana" w:cstheme="minorHAnsi"/>
          <w:sz w:val="24"/>
          <w:szCs w:val="24"/>
        </w:rPr>
        <w:t>a</w:t>
      </w:r>
      <w:r w:rsidRPr="00FE3FBB" w:rsidR="00E46E30">
        <w:rPr>
          <w:rFonts w:ascii="Verdana" w:hAnsi="Verdana" w:cstheme="minorHAnsi"/>
          <w:sz w:val="24"/>
          <w:szCs w:val="24"/>
        </w:rPr>
        <w:t xml:space="preserve">round </w:t>
      </w:r>
      <w:r w:rsidRPr="00FE3FBB" w:rsidR="003B56A2">
        <w:rPr>
          <w:rFonts w:ascii="Verdana" w:hAnsi="Verdana" w:cstheme="minorHAnsi"/>
          <w:sz w:val="24"/>
          <w:szCs w:val="24"/>
        </w:rPr>
        <w:t>9</w:t>
      </w:r>
      <w:r w:rsidRPr="00FE3FBB" w:rsidR="00E46E30">
        <w:rPr>
          <w:rFonts w:ascii="Verdana" w:hAnsi="Verdana" w:cstheme="minorHAnsi"/>
          <w:sz w:val="24"/>
          <w:szCs w:val="24"/>
        </w:rPr>
        <w:t>6</w:t>
      </w:r>
      <w:r w:rsidRPr="00FE3FBB" w:rsidR="006A4348">
        <w:rPr>
          <w:rFonts w:ascii="Verdana" w:hAnsi="Verdana" w:cstheme="minorHAnsi"/>
          <w:sz w:val="24"/>
          <w:szCs w:val="24"/>
        </w:rPr>
        <w:t>% of early years practitioners are female</w:t>
      </w:r>
      <w:r w:rsidRPr="00FE3FBB" w:rsidR="00F46AF9">
        <w:rPr>
          <w:rFonts w:ascii="Verdana" w:hAnsi="Verdana" w:cstheme="minorHAnsi"/>
          <w:sz w:val="24"/>
          <w:szCs w:val="24"/>
        </w:rPr>
        <w:t>.</w:t>
      </w:r>
      <w:r w:rsidRPr="00FE3FBB" w:rsidR="00BA7533">
        <w:rPr>
          <w:rFonts w:ascii="Verdana" w:hAnsi="Verdana" w:cstheme="minorHAnsi"/>
          <w:sz w:val="24"/>
          <w:szCs w:val="24"/>
        </w:rPr>
        <w:t xml:space="preserve"> In addition, research has shown that </w:t>
      </w:r>
      <w:r w:rsidRPr="00FE3FBB" w:rsidR="00F53AB4">
        <w:rPr>
          <w:rFonts w:ascii="Verdana" w:hAnsi="Verdana" w:cstheme="minorHAnsi"/>
          <w:sz w:val="24"/>
          <w:szCs w:val="24"/>
        </w:rPr>
        <w:t xml:space="preserve">women are </w:t>
      </w:r>
      <w:r w:rsidRPr="00FE3FBB" w:rsidR="00CA58DA">
        <w:rPr>
          <w:rFonts w:ascii="Verdana" w:hAnsi="Verdana" w:cstheme="minorHAnsi"/>
          <w:sz w:val="24"/>
          <w:szCs w:val="24"/>
        </w:rPr>
        <w:t xml:space="preserve">far more likely </w:t>
      </w:r>
      <w:r w:rsidRPr="00FE3FBB" w:rsidR="00D47816">
        <w:rPr>
          <w:rFonts w:ascii="Verdana" w:hAnsi="Verdana" w:cstheme="minorHAnsi"/>
          <w:sz w:val="24"/>
          <w:szCs w:val="24"/>
        </w:rPr>
        <w:t xml:space="preserve">than men </w:t>
      </w:r>
      <w:r w:rsidRPr="00FE3FBB" w:rsidR="00CA58DA">
        <w:rPr>
          <w:rFonts w:ascii="Verdana" w:hAnsi="Verdana" w:cstheme="minorHAnsi"/>
          <w:sz w:val="24"/>
          <w:szCs w:val="24"/>
        </w:rPr>
        <w:t>to be the ones supporting children with their maths at home</w:t>
      </w:r>
      <w:r w:rsidRPr="00FE3FBB" w:rsidR="00D47816">
        <w:rPr>
          <w:rFonts w:ascii="Verdana" w:hAnsi="Verdana" w:cstheme="minorHAnsi"/>
          <w:sz w:val="24"/>
          <w:szCs w:val="24"/>
        </w:rPr>
        <w:t>.</w:t>
      </w:r>
    </w:p>
    <w:p w:rsidR="00065FE4" w:rsidRPr="00FE3FBB" w:rsidP="00531FC0">
      <w:pPr>
        <w:pStyle w:val="ListParagraph"/>
        <w:rPr>
          <w:rFonts w:ascii="Verdana" w:hAnsi="Verdana" w:cstheme="minorHAnsi"/>
          <w:i/>
          <w:iCs/>
          <w:sz w:val="24"/>
          <w:szCs w:val="24"/>
        </w:rPr>
      </w:pPr>
    </w:p>
    <w:p w:rsidR="00065FE4" w:rsidRPr="00FE3FBB" w:rsidP="00531FC0">
      <w:pPr>
        <w:pStyle w:val="ListParagraph"/>
        <w:ind w:left="0"/>
        <w:rPr>
          <w:rFonts w:ascii="Verdana" w:hAnsi="Verdana" w:cstheme="minorHAnsi"/>
          <w:i/>
          <w:iCs/>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How effective is the maths education system, both in terms of curriculum and teaching, in providing students with numeracy skills? What are the key barriers to gaining a strong foundation in numeracy at school?</w:t>
      </w:r>
    </w:p>
    <w:p w:rsidR="006D67B4" w:rsidRPr="00FE3FBB" w:rsidP="00531FC0">
      <w:pPr>
        <w:pStyle w:val="ListParagraph"/>
        <w:numPr>
          <w:ilvl w:val="0"/>
          <w:numId w:val="17"/>
        </w:numPr>
        <w:rPr>
          <w:rFonts w:ascii="Verdana" w:hAnsi="Verdana" w:cstheme="minorHAnsi"/>
          <w:sz w:val="24"/>
          <w:szCs w:val="24"/>
        </w:rPr>
      </w:pPr>
      <w:r w:rsidRPr="00FE3FBB">
        <w:rPr>
          <w:rFonts w:ascii="Verdana" w:hAnsi="Verdana" w:cstheme="minorHAnsi"/>
          <w:sz w:val="24"/>
          <w:szCs w:val="24"/>
        </w:rPr>
        <w:t>Primary education</w:t>
      </w:r>
    </w:p>
    <w:p w:rsidR="006D67B4" w:rsidRPr="00FE3FBB" w:rsidP="00531FC0">
      <w:pPr>
        <w:pStyle w:val="ListParagraph"/>
        <w:rPr>
          <w:rFonts w:ascii="Verdana" w:hAnsi="Verdana" w:cstheme="minorHAnsi"/>
          <w:sz w:val="24"/>
          <w:szCs w:val="24"/>
        </w:rPr>
      </w:pPr>
    </w:p>
    <w:p w:rsidR="00154A32"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We are trapped in a pernicious generational cycle of widespread poor numeracy in the UK, with a resultant annual cost of up to £25bn in lost productivity to the UK economy (</w:t>
      </w:r>
      <w:r>
        <w:fldChar w:fldCharType="begin"/>
      </w:r>
      <w:r>
        <w:instrText xml:space="preserve"> HYPERLINK "http://www.nationalnumeracy.org.uk/sites/default/files/documents/Counting-on-the-Recovery.pdf)" </w:instrText>
      </w:r>
      <w:r>
        <w:fldChar w:fldCharType="separate"/>
      </w:r>
      <w:r w:rsidRPr="00FE3FBB">
        <w:rPr>
          <w:rStyle w:val="Hyperlink"/>
          <w:rFonts w:ascii="Verdana" w:hAnsi="Verdana" w:cstheme="minorHAnsi"/>
          <w:sz w:val="24"/>
          <w:szCs w:val="24"/>
        </w:rPr>
        <w:t>Pro Bono Economics 2021</w:t>
      </w:r>
      <w:r>
        <w:fldChar w:fldCharType="end"/>
      </w:r>
      <w:r w:rsidRPr="00FE3FBB">
        <w:rPr>
          <w:rFonts w:ascii="Verdana" w:hAnsi="Verdana" w:cstheme="minorHAnsi"/>
          <w:sz w:val="24"/>
          <w:szCs w:val="24"/>
        </w:rPr>
        <w:t>).</w:t>
      </w:r>
    </w:p>
    <w:p w:rsidR="00154A32" w:rsidRPr="00FE3FBB" w:rsidP="00531FC0">
      <w:pPr>
        <w:pStyle w:val="ListParagraph"/>
        <w:ind w:left="0"/>
        <w:rPr>
          <w:rFonts w:ascii="Verdana" w:hAnsi="Verdana" w:cstheme="minorHAnsi"/>
          <w:sz w:val="24"/>
          <w:szCs w:val="24"/>
        </w:rPr>
      </w:pPr>
    </w:p>
    <w:p w:rsidR="00154A32"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This cycle begins in the Early Years, continues through Primary and Secondary schooling, and into adulthood, when teachers, parents and carers then support each new generation of children. </w:t>
      </w:r>
    </w:p>
    <w:p w:rsidR="00154A32" w:rsidRPr="00FE3FBB" w:rsidP="00531FC0">
      <w:pPr>
        <w:pStyle w:val="ListParagraph"/>
        <w:rPr>
          <w:rFonts w:ascii="Verdana" w:hAnsi="Verdana" w:cstheme="minorHAnsi"/>
          <w:sz w:val="24"/>
          <w:szCs w:val="24"/>
        </w:rPr>
      </w:pPr>
    </w:p>
    <w:p w:rsidR="00154A32"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A child’s relationship with maths is grounded by the attitudes of the adults around them. Yet, many parents and carers say that having to help with their child’s maths homework makes them feel anxious and 43% of trainee teachers lack maths confidence, or skills, or both</w:t>
      </w:r>
      <w:r w:rsidRPr="00FE3FBB">
        <w:rPr>
          <w:rFonts w:ascii="Verdana" w:hAnsi="Verdana" w:cstheme="minorHAnsi"/>
          <w:sz w:val="24"/>
          <w:szCs w:val="24"/>
        </w:rPr>
        <w:t>.</w:t>
      </w:r>
    </w:p>
    <w:p w:rsidR="00154A32" w:rsidRPr="00FE3FBB" w:rsidP="00531FC0">
      <w:pPr>
        <w:pStyle w:val="ListParagraph"/>
        <w:rPr>
          <w:rFonts w:ascii="Verdana" w:hAnsi="Verdana" w:cstheme="minorHAnsi"/>
          <w:sz w:val="24"/>
          <w:szCs w:val="24"/>
        </w:rPr>
      </w:pPr>
    </w:p>
    <w:p w:rsidR="00154A32"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49% of the disadvantage gap between richest and poorest at age 11 is due to parental education, attitudes and behaviours (Joseph Rountree Foundation report ‘Poorer children’s educational attainment: how important are attitudes and behaviour?’</w:t>
      </w:r>
      <w:r w:rsidRPr="00FE3FBB" w:rsidR="009B2CC6">
        <w:rPr>
          <w:rFonts w:ascii="Verdana" w:hAnsi="Verdana" w:cstheme="minorHAnsi"/>
          <w:sz w:val="24"/>
          <w:szCs w:val="24"/>
        </w:rPr>
        <w:t>)</w:t>
      </w:r>
      <w:r w:rsidRPr="00FE3FBB">
        <w:rPr>
          <w:rFonts w:ascii="Verdana" w:hAnsi="Verdana" w:cstheme="minorHAnsi"/>
          <w:sz w:val="24"/>
          <w:szCs w:val="24"/>
        </w:rPr>
        <w:t xml:space="preserve">. Negative attitudes, and a lack of understood value for mathematics are passed on from parents, carers and teachers to children. This results in further generations of school leavers who have low numeracy skills, lack confidence with numbers, and feel negative about maths. </w:t>
      </w:r>
      <w:r w:rsidRPr="00FE3FBB" w:rsidR="00964ED5">
        <w:rPr>
          <w:rFonts w:ascii="Verdana" w:hAnsi="Verdana" w:cstheme="minorHAnsi"/>
          <w:sz w:val="24"/>
          <w:szCs w:val="24"/>
        </w:rPr>
        <w:t>A significant proportion of</w:t>
      </w:r>
      <w:r w:rsidRPr="00FE3FBB">
        <w:rPr>
          <w:rFonts w:ascii="Verdana" w:hAnsi="Verdana" w:cstheme="minorHAnsi"/>
          <w:sz w:val="24"/>
          <w:szCs w:val="24"/>
        </w:rPr>
        <w:t xml:space="preserve"> these adults later become parents</w:t>
      </w:r>
      <w:r w:rsidRPr="00FE3FBB" w:rsidR="00964ED5">
        <w:rPr>
          <w:rFonts w:ascii="Verdana" w:hAnsi="Verdana" w:cstheme="minorHAnsi"/>
          <w:sz w:val="24"/>
          <w:szCs w:val="24"/>
        </w:rPr>
        <w:t xml:space="preserve"> or carers</w:t>
      </w:r>
      <w:r w:rsidRPr="00FE3FBB">
        <w:rPr>
          <w:rFonts w:ascii="Verdana" w:hAnsi="Verdana" w:cstheme="minorHAnsi"/>
          <w:sz w:val="24"/>
          <w:szCs w:val="24"/>
        </w:rPr>
        <w:t xml:space="preserve">, and so the generational cycle </w:t>
      </w:r>
      <w:r w:rsidRPr="00FE3FBB" w:rsidR="00964ED5">
        <w:rPr>
          <w:rFonts w:ascii="Verdana" w:hAnsi="Verdana" w:cstheme="minorHAnsi"/>
          <w:sz w:val="24"/>
          <w:szCs w:val="24"/>
        </w:rPr>
        <w:t xml:space="preserve">is likely to </w:t>
      </w:r>
      <w:r w:rsidRPr="00FE3FBB">
        <w:rPr>
          <w:rFonts w:ascii="Verdana" w:hAnsi="Verdana" w:cstheme="minorHAnsi"/>
          <w:sz w:val="24"/>
          <w:szCs w:val="24"/>
        </w:rPr>
        <w:t>continue.</w:t>
      </w:r>
    </w:p>
    <w:p w:rsidR="00154A32" w:rsidRPr="00FE3FBB" w:rsidP="00531FC0">
      <w:pPr>
        <w:pStyle w:val="ListParagraph"/>
        <w:rPr>
          <w:rFonts w:ascii="Verdana" w:hAnsi="Verdana" w:cstheme="minorHAnsi"/>
          <w:sz w:val="24"/>
          <w:szCs w:val="24"/>
        </w:rPr>
      </w:pPr>
    </w:p>
    <w:p w:rsidR="00154A32"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In order to break this cycle, we need to take action in Early Years settings, Primary and Secondary schools, and with adults. National Numeracy’s work around supporting children has led to three key pieces of advice for adults supporting Primary School children with numeracy:</w:t>
      </w:r>
    </w:p>
    <w:p w:rsidR="00154A32" w:rsidRPr="00FE3FBB" w:rsidP="00531FC0">
      <w:pPr>
        <w:pStyle w:val="ListParagraph"/>
        <w:numPr>
          <w:ilvl w:val="0"/>
          <w:numId w:val="18"/>
        </w:numPr>
        <w:rPr>
          <w:rFonts w:ascii="Verdana" w:hAnsi="Verdana" w:cstheme="minorHAnsi"/>
          <w:sz w:val="24"/>
          <w:szCs w:val="24"/>
        </w:rPr>
      </w:pPr>
      <w:r w:rsidRPr="00FE3FBB">
        <w:rPr>
          <w:rFonts w:ascii="Verdana" w:hAnsi="Verdana" w:cstheme="minorHAnsi"/>
          <w:sz w:val="24"/>
          <w:szCs w:val="24"/>
        </w:rPr>
        <w:t>Point out maths in the real world – this helps lay the foundations of maths being valuable outside of the classroom.</w:t>
      </w:r>
    </w:p>
    <w:p w:rsidR="00154A32" w:rsidRPr="00FE3FBB" w:rsidP="00531FC0">
      <w:pPr>
        <w:pStyle w:val="ListParagraph"/>
        <w:numPr>
          <w:ilvl w:val="0"/>
          <w:numId w:val="18"/>
        </w:numPr>
        <w:rPr>
          <w:rFonts w:ascii="Verdana" w:hAnsi="Verdana" w:cstheme="minorHAnsi"/>
          <w:sz w:val="24"/>
          <w:szCs w:val="24"/>
        </w:rPr>
      </w:pPr>
      <w:r w:rsidRPr="00FE3FBB">
        <w:rPr>
          <w:rFonts w:ascii="Verdana" w:hAnsi="Verdana" w:cstheme="minorHAnsi"/>
          <w:sz w:val="24"/>
          <w:szCs w:val="24"/>
        </w:rPr>
        <w:t>T</w:t>
      </w:r>
      <w:r w:rsidRPr="00FE3FBB" w:rsidR="00806812">
        <w:rPr>
          <w:rFonts w:ascii="Verdana" w:hAnsi="Verdana" w:cstheme="minorHAnsi"/>
          <w:sz w:val="24"/>
          <w:szCs w:val="24"/>
        </w:rPr>
        <w:t>alk positively about maths – to help children avoid the negative feelings which can later restrict their progress.</w:t>
      </w:r>
    </w:p>
    <w:p w:rsidR="00494BBA" w:rsidRPr="00FE3FBB" w:rsidP="00531FC0">
      <w:pPr>
        <w:pStyle w:val="ListParagraph"/>
        <w:numPr>
          <w:ilvl w:val="0"/>
          <w:numId w:val="18"/>
        </w:numPr>
        <w:rPr>
          <w:rFonts w:ascii="Verdana" w:hAnsi="Verdana" w:cstheme="minorHAnsi"/>
          <w:sz w:val="24"/>
          <w:szCs w:val="24"/>
        </w:rPr>
      </w:pPr>
      <w:r w:rsidRPr="00FE3FBB">
        <w:rPr>
          <w:rFonts w:ascii="Verdana" w:hAnsi="Verdana" w:cstheme="minorHAnsi"/>
          <w:sz w:val="24"/>
          <w:szCs w:val="24"/>
        </w:rPr>
        <w:t xml:space="preserve">Improve your own maths confidence – so that you feel able to engage and support children with developing their skills. </w:t>
      </w:r>
    </w:p>
    <w:p w:rsidR="00494BBA" w:rsidRPr="00FE3FBB" w:rsidP="00531FC0">
      <w:pPr>
        <w:pStyle w:val="ListParagraph"/>
        <w:rPr>
          <w:rFonts w:ascii="Verdana" w:hAnsi="Verdana" w:cstheme="minorHAnsi"/>
          <w:sz w:val="24"/>
          <w:szCs w:val="24"/>
        </w:rPr>
      </w:pPr>
    </w:p>
    <w:p w:rsidR="00806812"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National Numeracy therefore recommends that in Primary Schools:</w:t>
      </w:r>
    </w:p>
    <w:p w:rsidR="00D76F46" w:rsidRPr="00FE3FBB" w:rsidP="00531FC0">
      <w:pPr>
        <w:pStyle w:val="ListParagraph"/>
        <w:numPr>
          <w:ilvl w:val="0"/>
          <w:numId w:val="18"/>
        </w:numPr>
        <w:rPr>
          <w:rFonts w:ascii="Verdana" w:hAnsi="Verdana" w:cstheme="minorHAnsi"/>
          <w:sz w:val="24"/>
          <w:szCs w:val="24"/>
        </w:rPr>
      </w:pPr>
      <w:r w:rsidRPr="00FE3FBB">
        <w:rPr>
          <w:rFonts w:ascii="Verdana" w:hAnsi="Verdana" w:cstheme="minorHAnsi"/>
          <w:sz w:val="24"/>
          <w:szCs w:val="24"/>
        </w:rPr>
        <w:t>Building an appreciation of how maths is used in the real world with a far greater focus on relatable contextualisation across all maths learning, a focus on building positive attitudes to maths through greater contextualisation so that young people understand the value of maths, and establishing a growth mindset, are added to the maths curriculum.</w:t>
      </w:r>
    </w:p>
    <w:p w:rsidR="00D76F46" w:rsidRPr="00FE3FBB" w:rsidP="00531FC0">
      <w:pPr>
        <w:pStyle w:val="ListParagraph"/>
        <w:numPr>
          <w:ilvl w:val="0"/>
          <w:numId w:val="18"/>
        </w:numPr>
        <w:rPr>
          <w:rFonts w:ascii="Verdana" w:hAnsi="Verdana" w:cstheme="minorHAnsi"/>
          <w:sz w:val="24"/>
          <w:szCs w:val="24"/>
        </w:rPr>
      </w:pPr>
      <w:r w:rsidRPr="00FE3FBB">
        <w:rPr>
          <w:rFonts w:ascii="Verdana" w:hAnsi="Verdana" w:cstheme="minorHAnsi"/>
          <w:sz w:val="24"/>
          <w:szCs w:val="24"/>
        </w:rPr>
        <w:t xml:space="preserve">Greater emphasis is placed on the importance of family learning, such as using National Numeracy’s Family Maths Toolkit, which </w:t>
      </w:r>
      <w:r w:rsidRPr="00FE3FBB">
        <w:rPr>
          <w:rFonts w:ascii="Verdana" w:hAnsi="Verdana" w:cstheme="minorHAnsi"/>
          <w:sz w:val="24"/>
          <w:szCs w:val="24"/>
        </w:rPr>
        <w:t xml:space="preserve">complements the curriculum by providing numeracy activities for the whole family to undertake together. </w:t>
      </w:r>
    </w:p>
    <w:p w:rsidR="00806812" w:rsidRPr="00FE3FBB" w:rsidP="00531FC0">
      <w:pPr>
        <w:pStyle w:val="ListParagraph"/>
        <w:numPr>
          <w:ilvl w:val="0"/>
          <w:numId w:val="18"/>
        </w:numPr>
        <w:rPr>
          <w:rFonts w:ascii="Verdana" w:hAnsi="Verdana" w:cstheme="minorHAnsi"/>
          <w:sz w:val="24"/>
          <w:szCs w:val="24"/>
        </w:rPr>
      </w:pPr>
      <w:r w:rsidRPr="00FE3FBB">
        <w:rPr>
          <w:rFonts w:ascii="Verdana" w:hAnsi="Verdana" w:cstheme="minorHAnsi"/>
          <w:sz w:val="24"/>
          <w:szCs w:val="24"/>
        </w:rPr>
        <w:t>Teachers, Teaching Assistants, other school staff, and parents &amp; carers are all supported and encouraged to improve their own numeracy, and to understand the positive language that will help children to understand the benefits of numeracy, and to feel better about maths.</w:t>
      </w:r>
    </w:p>
    <w:p w:rsidR="00D76F46" w:rsidRPr="00FE3FBB" w:rsidP="00531FC0">
      <w:pPr>
        <w:pStyle w:val="ListParagraph"/>
        <w:rPr>
          <w:rFonts w:ascii="Verdana" w:hAnsi="Verdana" w:cstheme="minorHAnsi"/>
          <w:sz w:val="24"/>
          <w:szCs w:val="24"/>
        </w:rPr>
      </w:pPr>
    </w:p>
    <w:p w:rsidR="00806812" w:rsidRPr="00FE3FBB" w:rsidP="00531FC0">
      <w:pPr>
        <w:pStyle w:val="ListParagraph"/>
        <w:numPr>
          <w:ilvl w:val="0"/>
          <w:numId w:val="17"/>
        </w:numPr>
        <w:spacing w:after="0" w:line="240" w:lineRule="auto"/>
        <w:rPr>
          <w:rFonts w:ascii="Verdana" w:hAnsi="Verdana" w:cstheme="minorHAnsi"/>
          <w:sz w:val="24"/>
          <w:szCs w:val="24"/>
        </w:rPr>
      </w:pPr>
      <w:r w:rsidRPr="00FE3FBB">
        <w:rPr>
          <w:rFonts w:ascii="Verdana" w:hAnsi="Verdana" w:cstheme="minorHAnsi"/>
          <w:sz w:val="24"/>
          <w:szCs w:val="24"/>
        </w:rPr>
        <w:t>Secondary education</w:t>
      </w:r>
    </w:p>
    <w:p w:rsidR="00806812" w:rsidRPr="00FE3FBB" w:rsidP="00531FC0">
      <w:pPr>
        <w:spacing w:after="0" w:line="240" w:lineRule="auto"/>
        <w:rPr>
          <w:rFonts w:ascii="Verdana" w:hAnsi="Verdana" w:cstheme="minorHAnsi"/>
          <w:sz w:val="24"/>
          <w:szCs w:val="24"/>
        </w:rPr>
      </w:pPr>
    </w:p>
    <w:p w:rsidR="00D76F46" w:rsidRPr="00FE3FBB" w:rsidP="00531FC0">
      <w:pPr>
        <w:pStyle w:val="ListParagraph"/>
        <w:numPr>
          <w:ilvl w:val="0"/>
          <w:numId w:val="14"/>
        </w:numPr>
        <w:spacing w:after="0" w:line="240" w:lineRule="auto"/>
        <w:ind w:left="0"/>
        <w:rPr>
          <w:rFonts w:ascii="Verdana" w:hAnsi="Verdana" w:cstheme="minorHAnsi"/>
          <w:sz w:val="24"/>
          <w:szCs w:val="24"/>
        </w:rPr>
      </w:pPr>
      <w:r w:rsidRPr="00FE3FBB">
        <w:rPr>
          <w:rFonts w:ascii="Verdana" w:hAnsi="Verdana" w:cstheme="minorHAnsi"/>
          <w:sz w:val="24"/>
          <w:szCs w:val="24"/>
        </w:rPr>
        <w:t xml:space="preserve">We have a strong tradition of producing excellent mathematicians in </w:t>
      </w:r>
      <w:r w:rsidRPr="00FE3FBB" w:rsidR="00E56601">
        <w:rPr>
          <w:rFonts w:ascii="Verdana" w:hAnsi="Verdana" w:cstheme="minorHAnsi"/>
          <w:sz w:val="24"/>
          <w:szCs w:val="24"/>
        </w:rPr>
        <w:t>England</w:t>
      </w:r>
      <w:r w:rsidRPr="00FE3FBB" w:rsidR="00D602FE">
        <w:rPr>
          <w:rFonts w:ascii="Verdana" w:hAnsi="Verdana" w:cstheme="minorHAnsi"/>
          <w:sz w:val="24"/>
          <w:szCs w:val="24"/>
        </w:rPr>
        <w:t xml:space="preserve">, and </w:t>
      </w:r>
      <w:r w:rsidRPr="00FE3FBB" w:rsidR="00806812">
        <w:rPr>
          <w:rFonts w:ascii="Verdana" w:hAnsi="Verdana" w:cstheme="minorHAnsi"/>
          <w:sz w:val="24"/>
          <w:szCs w:val="24"/>
        </w:rPr>
        <w:t xml:space="preserve">GCSE provides an appropriate pathway for pupils who ‘get on with maths’ and wish to continue their learning to higher levels. However, each year around a third of pupils do not reach the benchmark grade 4 or above, which is required as an entry point into many jobs, careers or avenues of further study. </w:t>
      </w:r>
    </w:p>
    <w:p w:rsidR="00D76F46" w:rsidRPr="00FE3FBB" w:rsidP="00531FC0">
      <w:pPr>
        <w:pStyle w:val="ListParagraph"/>
        <w:spacing w:after="0" w:line="240" w:lineRule="auto"/>
        <w:ind w:left="0"/>
        <w:rPr>
          <w:rFonts w:ascii="Verdana" w:hAnsi="Verdana" w:cstheme="minorHAnsi"/>
          <w:sz w:val="24"/>
          <w:szCs w:val="24"/>
        </w:rPr>
      </w:pPr>
    </w:p>
    <w:p w:rsidR="00D76F46" w:rsidRPr="00FE3FBB" w:rsidP="00531FC0">
      <w:pPr>
        <w:pStyle w:val="ListParagraph"/>
        <w:numPr>
          <w:ilvl w:val="0"/>
          <w:numId w:val="14"/>
        </w:numPr>
        <w:spacing w:after="0" w:line="240" w:lineRule="auto"/>
        <w:ind w:left="0"/>
        <w:rPr>
          <w:rFonts w:ascii="Verdana" w:hAnsi="Verdana" w:cstheme="minorHAnsi"/>
          <w:sz w:val="24"/>
          <w:szCs w:val="24"/>
        </w:rPr>
      </w:pPr>
      <w:r w:rsidRPr="00FE3FBB">
        <w:rPr>
          <w:rFonts w:ascii="Verdana" w:hAnsi="Verdana" w:cstheme="minorHAnsi"/>
          <w:sz w:val="24"/>
          <w:szCs w:val="24"/>
        </w:rPr>
        <w:t xml:space="preserve">Grade 3 or below are seen </w:t>
      </w:r>
      <w:r w:rsidRPr="00FE3FBB" w:rsidR="007448EA">
        <w:rPr>
          <w:rFonts w:ascii="Verdana" w:hAnsi="Verdana" w:cstheme="minorHAnsi"/>
          <w:sz w:val="24"/>
          <w:szCs w:val="24"/>
        </w:rPr>
        <w:t xml:space="preserve">as </w:t>
      </w:r>
      <w:r w:rsidRPr="00FE3FBB" w:rsidR="0048074A">
        <w:rPr>
          <w:rFonts w:ascii="Verdana" w:hAnsi="Verdana" w:cstheme="minorHAnsi"/>
          <w:sz w:val="24"/>
          <w:szCs w:val="24"/>
        </w:rPr>
        <w:t xml:space="preserve">‘failing’ to get </w:t>
      </w:r>
      <w:r w:rsidRPr="00FE3FBB" w:rsidR="008C50ED">
        <w:rPr>
          <w:rFonts w:ascii="Verdana" w:hAnsi="Verdana" w:cstheme="minorHAnsi"/>
          <w:sz w:val="24"/>
          <w:szCs w:val="24"/>
        </w:rPr>
        <w:t>a pass at GCSE, yet for many</w:t>
      </w:r>
      <w:r w:rsidRPr="00FE3FBB" w:rsidR="009C29FA">
        <w:rPr>
          <w:rFonts w:ascii="Verdana" w:hAnsi="Verdana" w:cstheme="minorHAnsi"/>
          <w:sz w:val="24"/>
          <w:szCs w:val="24"/>
        </w:rPr>
        <w:t xml:space="preserve">, </w:t>
      </w:r>
      <w:r w:rsidRPr="00FE3FBB" w:rsidR="0077701F">
        <w:rPr>
          <w:rFonts w:ascii="Verdana" w:hAnsi="Verdana" w:cstheme="minorHAnsi"/>
          <w:sz w:val="24"/>
          <w:szCs w:val="24"/>
        </w:rPr>
        <w:t xml:space="preserve">demonstrating </w:t>
      </w:r>
      <w:r w:rsidRPr="00FE3FBB" w:rsidR="008C50ED">
        <w:rPr>
          <w:rFonts w:ascii="Verdana" w:hAnsi="Verdana" w:cstheme="minorHAnsi"/>
          <w:sz w:val="24"/>
          <w:szCs w:val="24"/>
        </w:rPr>
        <w:t xml:space="preserve">a secure grade 3 </w:t>
      </w:r>
      <w:r w:rsidRPr="00FE3FBB" w:rsidR="007B3B4E">
        <w:rPr>
          <w:rFonts w:ascii="Verdana" w:hAnsi="Verdana" w:cstheme="minorHAnsi"/>
          <w:sz w:val="24"/>
          <w:szCs w:val="24"/>
        </w:rPr>
        <w:t xml:space="preserve">could potentially </w:t>
      </w:r>
      <w:r w:rsidRPr="00FE3FBB" w:rsidR="00D546FE">
        <w:rPr>
          <w:rFonts w:ascii="Verdana" w:hAnsi="Verdana" w:cstheme="minorHAnsi"/>
          <w:sz w:val="24"/>
          <w:szCs w:val="24"/>
        </w:rPr>
        <w:t>constitute success</w:t>
      </w:r>
      <w:r w:rsidRPr="00FE3FBB" w:rsidR="008F31B6">
        <w:rPr>
          <w:rFonts w:ascii="Verdana" w:hAnsi="Verdana" w:cstheme="minorHAnsi"/>
          <w:sz w:val="24"/>
          <w:szCs w:val="24"/>
        </w:rPr>
        <w:t>,</w:t>
      </w:r>
      <w:r w:rsidRPr="00FE3FBB" w:rsidR="00D546FE">
        <w:rPr>
          <w:rFonts w:ascii="Verdana" w:hAnsi="Verdana" w:cstheme="minorHAnsi"/>
          <w:sz w:val="24"/>
          <w:szCs w:val="24"/>
        </w:rPr>
        <w:t xml:space="preserve"> </w:t>
      </w:r>
      <w:r w:rsidRPr="00FE3FBB" w:rsidR="008C50ED">
        <w:rPr>
          <w:rFonts w:ascii="Verdana" w:hAnsi="Verdana" w:cstheme="minorHAnsi"/>
          <w:sz w:val="24"/>
          <w:szCs w:val="24"/>
        </w:rPr>
        <w:t>demonstrat</w:t>
      </w:r>
      <w:r w:rsidRPr="00FE3FBB" w:rsidR="008F31B6">
        <w:rPr>
          <w:rFonts w:ascii="Verdana" w:hAnsi="Verdana" w:cstheme="minorHAnsi"/>
          <w:sz w:val="24"/>
          <w:szCs w:val="24"/>
        </w:rPr>
        <w:t>ing</w:t>
      </w:r>
      <w:r w:rsidRPr="00FE3FBB" w:rsidR="008C50ED">
        <w:rPr>
          <w:rFonts w:ascii="Verdana" w:hAnsi="Verdana" w:cstheme="minorHAnsi"/>
          <w:sz w:val="24"/>
          <w:szCs w:val="24"/>
        </w:rPr>
        <w:t xml:space="preserve"> </w:t>
      </w:r>
      <w:r w:rsidRPr="00FE3FBB" w:rsidR="007953BE">
        <w:rPr>
          <w:rFonts w:ascii="Verdana" w:hAnsi="Verdana" w:cstheme="minorHAnsi"/>
          <w:sz w:val="24"/>
          <w:szCs w:val="24"/>
        </w:rPr>
        <w:t xml:space="preserve">confidence </w:t>
      </w:r>
      <w:r w:rsidRPr="00FE3FBB" w:rsidR="000B3805">
        <w:rPr>
          <w:rFonts w:ascii="Verdana" w:hAnsi="Verdana" w:cstheme="minorHAnsi"/>
          <w:sz w:val="24"/>
          <w:szCs w:val="24"/>
        </w:rPr>
        <w:t xml:space="preserve">with the level of maths </w:t>
      </w:r>
      <w:r w:rsidRPr="00FE3FBB" w:rsidR="008F31B6">
        <w:rPr>
          <w:rFonts w:ascii="Verdana" w:hAnsi="Verdana" w:cstheme="minorHAnsi"/>
          <w:sz w:val="24"/>
          <w:szCs w:val="24"/>
        </w:rPr>
        <w:t xml:space="preserve">needed across most job roles. </w:t>
      </w:r>
      <w:r w:rsidRPr="00FE3FBB" w:rsidR="00B21897">
        <w:rPr>
          <w:rFonts w:ascii="Verdana" w:hAnsi="Verdana" w:cstheme="minorHAnsi"/>
          <w:sz w:val="24"/>
          <w:szCs w:val="24"/>
        </w:rPr>
        <w:t xml:space="preserve">Further to this, </w:t>
      </w:r>
      <w:r w:rsidRPr="00FE3FBB" w:rsidR="00806812">
        <w:rPr>
          <w:rFonts w:ascii="Verdana" w:hAnsi="Verdana" w:cstheme="minorHAnsi"/>
          <w:sz w:val="24"/>
          <w:szCs w:val="24"/>
        </w:rPr>
        <w:t>achieving a Level 2 (grade 4 or above) at Maths GCSE is</w:t>
      </w:r>
      <w:r w:rsidRPr="00FE3FBB" w:rsidR="00342010">
        <w:rPr>
          <w:rFonts w:ascii="Verdana" w:hAnsi="Verdana" w:cstheme="minorHAnsi"/>
          <w:sz w:val="24"/>
          <w:szCs w:val="24"/>
        </w:rPr>
        <w:t xml:space="preserve"> seen as a ‘pass’, but is</w:t>
      </w:r>
      <w:r w:rsidRPr="00FE3FBB" w:rsidR="00806812">
        <w:rPr>
          <w:rFonts w:ascii="Verdana" w:hAnsi="Verdana" w:cstheme="minorHAnsi"/>
          <w:sz w:val="24"/>
          <w:szCs w:val="24"/>
        </w:rPr>
        <w:t xml:space="preserve"> no guarantee of skills to that level. Only 24% of 16 to 24 year who do have a Level 2 GCSE pass in Maths have functional numeracy skills to the same level (Skills for Life, 2011). Recent data from the National Numeracy Challenge learning platform shows that of 16,000 adults using the platform who already have a Level 2 qualification, at least two thirds do not have numeracy skills to that same level.</w:t>
      </w:r>
    </w:p>
    <w:p w:rsidR="00D76F46" w:rsidRPr="00FE3FBB" w:rsidP="00531FC0">
      <w:pPr>
        <w:pStyle w:val="ListParagraph"/>
        <w:rPr>
          <w:rFonts w:ascii="Verdana" w:hAnsi="Verdana" w:cstheme="minorHAnsi"/>
          <w:sz w:val="24"/>
          <w:szCs w:val="24"/>
        </w:rPr>
      </w:pPr>
    </w:p>
    <w:p w:rsidR="00BF48A7" w:rsidRPr="00FE3FBB" w:rsidP="00531FC0">
      <w:pPr>
        <w:pStyle w:val="ListParagraph"/>
        <w:numPr>
          <w:ilvl w:val="0"/>
          <w:numId w:val="14"/>
        </w:numPr>
        <w:spacing w:after="0" w:line="240" w:lineRule="auto"/>
        <w:ind w:left="0"/>
        <w:rPr>
          <w:rFonts w:ascii="Verdana" w:hAnsi="Verdana" w:cstheme="minorHAnsi"/>
          <w:sz w:val="24"/>
          <w:szCs w:val="24"/>
        </w:rPr>
      </w:pPr>
      <w:r w:rsidRPr="00FE3FBB">
        <w:rPr>
          <w:rFonts w:ascii="Verdana" w:hAnsi="Verdana" w:cstheme="minorHAnsi"/>
          <w:sz w:val="24"/>
          <w:szCs w:val="24"/>
        </w:rPr>
        <w:t>Currently, all pupils study GCSE and take an exam regardless of how secure they are with the basic foundations of maths that they will need for life. The result of being presented with the more abstract maths within GCSE, without having secure foundations of knowledge in place</w:t>
      </w:r>
      <w:r w:rsidRPr="00FE3FBB" w:rsidR="00413E84">
        <w:rPr>
          <w:rFonts w:ascii="Verdana" w:hAnsi="Verdana" w:cstheme="minorHAnsi"/>
          <w:sz w:val="24"/>
          <w:szCs w:val="24"/>
        </w:rPr>
        <w:t>,</w:t>
      </w:r>
      <w:r w:rsidRPr="00FE3FBB">
        <w:rPr>
          <w:rFonts w:ascii="Verdana" w:hAnsi="Verdana" w:cstheme="minorHAnsi"/>
          <w:sz w:val="24"/>
          <w:szCs w:val="24"/>
        </w:rPr>
        <w:t xml:space="preserve"> is that many disconnect from the subject and never manage to secure the basics that they will later need in daily life and the workplace. </w:t>
      </w:r>
    </w:p>
    <w:p w:rsidR="00BF48A7" w:rsidRPr="00FE3FBB" w:rsidP="00531FC0">
      <w:pPr>
        <w:pStyle w:val="ListParagraph"/>
        <w:rPr>
          <w:rFonts w:ascii="Verdana" w:hAnsi="Verdana" w:cstheme="minorHAnsi"/>
          <w:sz w:val="24"/>
          <w:szCs w:val="24"/>
        </w:rPr>
      </w:pPr>
    </w:p>
    <w:p w:rsidR="00BF48A7" w:rsidRPr="00FE3FBB" w:rsidP="00531FC0">
      <w:pPr>
        <w:pStyle w:val="ListParagraph"/>
        <w:numPr>
          <w:ilvl w:val="0"/>
          <w:numId w:val="14"/>
        </w:numPr>
        <w:spacing w:after="0" w:line="240" w:lineRule="auto"/>
        <w:ind w:left="0"/>
        <w:rPr>
          <w:rFonts w:ascii="Verdana" w:hAnsi="Verdana" w:cstheme="minorHAnsi"/>
          <w:sz w:val="24"/>
          <w:szCs w:val="24"/>
        </w:rPr>
      </w:pPr>
      <w:r w:rsidRPr="00FE3FBB">
        <w:rPr>
          <w:rFonts w:ascii="Verdana" w:hAnsi="Verdana" w:cstheme="minorHAnsi"/>
          <w:sz w:val="24"/>
          <w:szCs w:val="24"/>
        </w:rPr>
        <w:t xml:space="preserve">The roughly one third of pupils who do not achieve a grade 4 or higher in Maths GCSE are likely to feel that they have failed, ‘can’t do maths’, have low confidence, and consequently avoid using maths in adult life. This can then affect their job prospects, their propensity to engage in further training or apprenticeships, their performance at work, their ability to manage their money, and their capability to support their children with their numeracy. </w:t>
      </w:r>
    </w:p>
    <w:p w:rsidR="00BF48A7" w:rsidRPr="00FE3FBB" w:rsidP="00531FC0">
      <w:pPr>
        <w:pStyle w:val="ListParagraph"/>
        <w:rPr>
          <w:rFonts w:ascii="Verdana" w:hAnsi="Verdana" w:cstheme="minorHAnsi"/>
          <w:sz w:val="24"/>
          <w:szCs w:val="24"/>
        </w:rPr>
      </w:pPr>
    </w:p>
    <w:p w:rsidR="00BF48A7" w:rsidRPr="00FE3FBB" w:rsidP="00531FC0">
      <w:pPr>
        <w:pStyle w:val="ListParagraph"/>
        <w:numPr>
          <w:ilvl w:val="0"/>
          <w:numId w:val="14"/>
        </w:numPr>
        <w:spacing w:after="0" w:line="240" w:lineRule="auto"/>
        <w:ind w:left="0"/>
        <w:rPr>
          <w:rFonts w:ascii="Verdana" w:hAnsi="Verdana" w:cstheme="minorHAnsi"/>
          <w:sz w:val="24"/>
          <w:szCs w:val="24"/>
        </w:rPr>
      </w:pPr>
      <w:r w:rsidRPr="00FE3FBB">
        <w:rPr>
          <w:rFonts w:ascii="Verdana" w:hAnsi="Verdana" w:cstheme="minorHAnsi"/>
          <w:sz w:val="24"/>
          <w:szCs w:val="24"/>
        </w:rPr>
        <w:t>While Maths GCSE remains an effective route for pupils to progress into more specialist mathematics, and to compare and rank young people, it is not producing a numerate population.</w:t>
      </w:r>
    </w:p>
    <w:p w:rsidR="00BF48A7" w:rsidRPr="00FE3FBB" w:rsidP="00531FC0">
      <w:pPr>
        <w:pStyle w:val="ListParagraph"/>
        <w:rPr>
          <w:rFonts w:ascii="Verdana" w:hAnsi="Verdana" w:cstheme="minorHAnsi"/>
          <w:sz w:val="24"/>
          <w:szCs w:val="24"/>
        </w:rPr>
      </w:pPr>
    </w:p>
    <w:p w:rsidR="00BF48A7" w:rsidRPr="00FE3FBB" w:rsidP="00531FC0">
      <w:pPr>
        <w:pStyle w:val="ListParagraph"/>
        <w:numPr>
          <w:ilvl w:val="0"/>
          <w:numId w:val="14"/>
        </w:numPr>
        <w:spacing w:after="0" w:line="240" w:lineRule="auto"/>
        <w:ind w:left="0"/>
        <w:rPr>
          <w:rFonts w:ascii="Verdana" w:hAnsi="Verdana" w:cstheme="minorHAnsi"/>
          <w:sz w:val="24"/>
          <w:szCs w:val="24"/>
        </w:rPr>
      </w:pPr>
      <w:r w:rsidRPr="00FE3FBB">
        <w:rPr>
          <w:rFonts w:ascii="Verdana" w:hAnsi="Verdana" w:cstheme="minorHAnsi"/>
          <w:sz w:val="24"/>
          <w:szCs w:val="24"/>
        </w:rPr>
        <w:t xml:space="preserve">At National Numeracy, we believe that we should move towards establishing a recognised guarantee that every child leaving school is confident with the basic maths they will need in life to get a job, do their job, manage their money, and support their children. National Numeracy have identified and developed a framework of the maths skills we all need in life, regardless of an individual’s situation or career path. We call this </w:t>
      </w:r>
      <w:r w:rsidRPr="00FE3FBB" w:rsidR="003B56A2">
        <w:rPr>
          <w:rFonts w:ascii="Verdana" w:hAnsi="Verdana" w:cstheme="minorHAnsi"/>
          <w:sz w:val="24"/>
          <w:szCs w:val="24"/>
        </w:rPr>
        <w:t>“</w:t>
      </w:r>
      <w:r>
        <w:fldChar w:fldCharType="begin"/>
      </w:r>
      <w:r>
        <w:instrText xml:space="preserve"> HYPERLINK "http://www.nationalnumeracy.org.uk/sites/default/files/documents/nn124_essentials_numeracyreport_for_web.pdf)." </w:instrText>
      </w:r>
      <w:r>
        <w:fldChar w:fldCharType="separate"/>
      </w:r>
      <w:r w:rsidRPr="00FE3FBB">
        <w:rPr>
          <w:rStyle w:val="Hyperlink"/>
          <w:rFonts w:ascii="Verdana" w:hAnsi="Verdana" w:cstheme="minorHAnsi"/>
          <w:sz w:val="24"/>
          <w:szCs w:val="24"/>
        </w:rPr>
        <w:t>The Essentials of Numeracy</w:t>
      </w:r>
      <w:r>
        <w:fldChar w:fldCharType="end"/>
      </w:r>
      <w:r w:rsidRPr="00FE3FBB" w:rsidR="003B56A2">
        <w:rPr>
          <w:rFonts w:ascii="Verdana" w:hAnsi="Verdana" w:cstheme="minorHAnsi"/>
          <w:sz w:val="24"/>
          <w:szCs w:val="24"/>
        </w:rPr>
        <w:t>”</w:t>
      </w:r>
      <w:r w:rsidRPr="00FE3FBB">
        <w:rPr>
          <w:rFonts w:ascii="Verdana" w:hAnsi="Verdana" w:cstheme="minorHAnsi"/>
          <w:sz w:val="24"/>
          <w:szCs w:val="24"/>
        </w:rPr>
        <w:t>.</w:t>
      </w:r>
    </w:p>
    <w:p w:rsidR="00BF48A7" w:rsidRPr="00FE3FBB" w:rsidP="00531FC0">
      <w:pPr>
        <w:pStyle w:val="ListParagraph"/>
        <w:rPr>
          <w:rFonts w:ascii="Verdana" w:hAnsi="Verdana" w:cstheme="minorHAnsi"/>
          <w:sz w:val="24"/>
          <w:szCs w:val="24"/>
        </w:rPr>
      </w:pPr>
    </w:p>
    <w:p w:rsidR="00806812" w:rsidRPr="00FE3FBB" w:rsidP="00531FC0">
      <w:pPr>
        <w:pStyle w:val="ListParagraph"/>
        <w:numPr>
          <w:ilvl w:val="0"/>
          <w:numId w:val="14"/>
        </w:numPr>
        <w:spacing w:after="0" w:line="240" w:lineRule="auto"/>
        <w:ind w:left="0"/>
        <w:rPr>
          <w:rFonts w:ascii="Verdana" w:hAnsi="Verdana" w:cstheme="minorHAnsi"/>
          <w:sz w:val="24"/>
          <w:szCs w:val="24"/>
        </w:rPr>
      </w:pPr>
      <w:r w:rsidRPr="00FE3FBB">
        <w:rPr>
          <w:rFonts w:ascii="Verdana" w:hAnsi="Verdana" w:cstheme="minorHAnsi"/>
          <w:sz w:val="24"/>
          <w:szCs w:val="24"/>
        </w:rPr>
        <w:t>National Numeracy therefore propose that, in Secondary Schools:</w:t>
      </w:r>
    </w:p>
    <w:p w:rsidR="00BF48A7" w:rsidRPr="00FE3FBB" w:rsidP="00531FC0">
      <w:pPr>
        <w:pStyle w:val="ListParagraph"/>
        <w:numPr>
          <w:ilvl w:val="0"/>
          <w:numId w:val="5"/>
        </w:numPr>
        <w:spacing w:after="0" w:line="240" w:lineRule="auto"/>
        <w:rPr>
          <w:rFonts w:ascii="Verdana" w:hAnsi="Verdana" w:cstheme="minorHAnsi"/>
          <w:sz w:val="24"/>
          <w:szCs w:val="24"/>
        </w:rPr>
      </w:pPr>
      <w:r w:rsidRPr="00FE3FBB">
        <w:rPr>
          <w:rFonts w:ascii="Verdana" w:hAnsi="Verdana" w:cstheme="minorHAnsi"/>
          <w:sz w:val="24"/>
          <w:szCs w:val="24"/>
        </w:rPr>
        <w:t>A new criterion referenced qualification (for example based on the Essentials of Numeracy), and recognised by employers is introduced, ensuring that every child has the numeracy they need for life by the time they leave school, regardless of their progress with Maths GCSE.</w:t>
      </w:r>
    </w:p>
    <w:p w:rsidR="00D811AB" w:rsidRPr="00FE3FBB" w:rsidP="00531FC0">
      <w:pPr>
        <w:pStyle w:val="ListParagraph"/>
        <w:numPr>
          <w:ilvl w:val="0"/>
          <w:numId w:val="5"/>
        </w:numPr>
        <w:spacing w:after="0" w:line="240" w:lineRule="auto"/>
        <w:rPr>
          <w:rFonts w:ascii="Verdana" w:hAnsi="Verdana" w:cstheme="minorHAnsi"/>
          <w:sz w:val="24"/>
          <w:szCs w:val="24"/>
        </w:rPr>
      </w:pPr>
      <w:r w:rsidRPr="00FE3FBB">
        <w:rPr>
          <w:rFonts w:ascii="Verdana" w:hAnsi="Verdana" w:cstheme="minorHAnsi"/>
          <w:sz w:val="24"/>
          <w:szCs w:val="24"/>
        </w:rPr>
        <w:t xml:space="preserve">OR: The emphasis on achieving a ‘pass’ at Maths GCSE is adjusted to </w:t>
      </w:r>
      <w:r w:rsidRPr="00FE3FBB" w:rsidR="00D53B87">
        <w:rPr>
          <w:rFonts w:ascii="Verdana" w:hAnsi="Verdana" w:cstheme="minorHAnsi"/>
          <w:sz w:val="24"/>
          <w:szCs w:val="24"/>
        </w:rPr>
        <w:t>demonstrating</w:t>
      </w:r>
      <w:r w:rsidRPr="00FE3FBB">
        <w:rPr>
          <w:rFonts w:ascii="Verdana" w:hAnsi="Verdana" w:cstheme="minorHAnsi"/>
          <w:sz w:val="24"/>
          <w:szCs w:val="24"/>
        </w:rPr>
        <w:t xml:space="preserve"> genuinely secure </w:t>
      </w:r>
      <w:r w:rsidRPr="00FE3FBB" w:rsidR="00D53B87">
        <w:rPr>
          <w:rFonts w:ascii="Verdana" w:hAnsi="Verdana" w:cstheme="minorHAnsi"/>
          <w:sz w:val="24"/>
          <w:szCs w:val="24"/>
        </w:rPr>
        <w:t xml:space="preserve">skills </w:t>
      </w:r>
      <w:r w:rsidRPr="00FE3FBB" w:rsidR="00D57719">
        <w:rPr>
          <w:rFonts w:ascii="Verdana" w:hAnsi="Verdana" w:cstheme="minorHAnsi"/>
          <w:sz w:val="24"/>
          <w:szCs w:val="24"/>
        </w:rPr>
        <w:t xml:space="preserve">with a </w:t>
      </w:r>
      <w:r w:rsidRPr="00FE3FBB">
        <w:rPr>
          <w:rFonts w:ascii="Verdana" w:hAnsi="Verdana" w:cstheme="minorHAnsi"/>
          <w:sz w:val="24"/>
          <w:szCs w:val="24"/>
        </w:rPr>
        <w:t xml:space="preserve">Level 1 </w:t>
      </w:r>
      <w:r w:rsidRPr="00FE3FBB" w:rsidR="00D57719">
        <w:rPr>
          <w:rFonts w:ascii="Verdana" w:hAnsi="Verdana" w:cstheme="minorHAnsi"/>
          <w:sz w:val="24"/>
          <w:szCs w:val="24"/>
        </w:rPr>
        <w:t xml:space="preserve">pass </w:t>
      </w:r>
      <w:r w:rsidRPr="00FE3FBB">
        <w:rPr>
          <w:rFonts w:ascii="Verdana" w:hAnsi="Verdana" w:cstheme="minorHAnsi"/>
          <w:sz w:val="24"/>
          <w:szCs w:val="24"/>
        </w:rPr>
        <w:t>that is criterion referenced, with a greater focus on real-life numeracy skills.</w:t>
      </w:r>
    </w:p>
    <w:p w:rsidR="00065FE4" w:rsidRPr="00FE3FBB" w:rsidP="00531FC0">
      <w:pPr>
        <w:pStyle w:val="ListParagraph"/>
        <w:spacing w:after="0" w:line="240" w:lineRule="auto"/>
        <w:ind w:left="360"/>
        <w:rPr>
          <w:rFonts w:ascii="Verdana" w:hAnsi="Verdana" w:cstheme="minorHAnsi"/>
          <w:sz w:val="24"/>
          <w:szCs w:val="24"/>
        </w:rPr>
      </w:pPr>
    </w:p>
    <w:p w:rsidR="00BF48A7" w:rsidRPr="00FE3FBB" w:rsidP="00531FC0">
      <w:pPr>
        <w:pStyle w:val="ListParagraph"/>
        <w:spacing w:after="0" w:line="240" w:lineRule="auto"/>
        <w:ind w:left="36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How can disparities in maths and numeracy levels across gender, ethnicity, socio-economic background and geographic location be addressed? Is there any evidence of disparities in numeracy skills attainment between different types of schools?</w:t>
      </w:r>
    </w:p>
    <w:p w:rsidR="00BF48A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At </w:t>
      </w:r>
      <w:r w:rsidRPr="00FE3FBB" w:rsidR="00D02A25">
        <w:rPr>
          <w:rFonts w:ascii="Verdana" w:hAnsi="Verdana" w:cstheme="minorHAnsi"/>
          <w:sz w:val="24"/>
          <w:szCs w:val="24"/>
        </w:rPr>
        <w:t>National Numeracy</w:t>
      </w:r>
      <w:r w:rsidRPr="00FE3FBB">
        <w:rPr>
          <w:rFonts w:ascii="Verdana" w:hAnsi="Verdana" w:cstheme="minorHAnsi"/>
          <w:sz w:val="24"/>
          <w:szCs w:val="24"/>
        </w:rPr>
        <w:t xml:space="preserve">, we believe the key to </w:t>
      </w:r>
      <w:r w:rsidRPr="00FE3FBB" w:rsidR="008E17A6">
        <w:rPr>
          <w:rFonts w:ascii="Verdana" w:hAnsi="Verdana" w:cstheme="minorHAnsi"/>
          <w:sz w:val="24"/>
          <w:szCs w:val="24"/>
        </w:rPr>
        <w:t xml:space="preserve">addressing </w:t>
      </w:r>
      <w:r w:rsidRPr="00FE3FBB" w:rsidR="0031615A">
        <w:rPr>
          <w:rFonts w:ascii="Verdana" w:hAnsi="Verdana" w:cstheme="minorHAnsi"/>
          <w:sz w:val="24"/>
          <w:szCs w:val="24"/>
        </w:rPr>
        <w:t xml:space="preserve">low numeracy at the national level is understanding </w:t>
      </w:r>
      <w:r w:rsidRPr="00FE3FBB" w:rsidR="00DD368B">
        <w:rPr>
          <w:rFonts w:ascii="Verdana" w:hAnsi="Verdana" w:cstheme="minorHAnsi"/>
          <w:sz w:val="24"/>
          <w:szCs w:val="24"/>
        </w:rPr>
        <w:t xml:space="preserve">where, how and why such disparities </w:t>
      </w:r>
      <w:r w:rsidRPr="00FE3FBB" w:rsidR="00077630">
        <w:rPr>
          <w:rFonts w:ascii="Verdana" w:hAnsi="Verdana" w:cstheme="minorHAnsi"/>
          <w:sz w:val="24"/>
          <w:szCs w:val="24"/>
        </w:rPr>
        <w:t>a</w:t>
      </w:r>
      <w:r w:rsidRPr="00FE3FBB" w:rsidR="00DD368B">
        <w:rPr>
          <w:rFonts w:ascii="Verdana" w:hAnsi="Verdana" w:cstheme="minorHAnsi"/>
          <w:sz w:val="24"/>
          <w:szCs w:val="24"/>
        </w:rPr>
        <w:t>rise</w:t>
      </w:r>
      <w:r w:rsidRPr="00FE3FBB" w:rsidR="003E26A6">
        <w:rPr>
          <w:rFonts w:ascii="Verdana" w:hAnsi="Verdana" w:cstheme="minorHAnsi"/>
          <w:sz w:val="24"/>
          <w:szCs w:val="24"/>
        </w:rPr>
        <w:t xml:space="preserve">, </w:t>
      </w:r>
      <w:r w:rsidRPr="00FE3FBB" w:rsidR="0049172B">
        <w:rPr>
          <w:rFonts w:ascii="Verdana" w:hAnsi="Verdana" w:cstheme="minorHAnsi"/>
          <w:sz w:val="24"/>
          <w:szCs w:val="24"/>
        </w:rPr>
        <w:t>equip</w:t>
      </w:r>
      <w:r w:rsidRPr="00FE3FBB" w:rsidR="003E26A6">
        <w:rPr>
          <w:rFonts w:ascii="Verdana" w:hAnsi="Verdana" w:cstheme="minorHAnsi"/>
          <w:sz w:val="24"/>
          <w:szCs w:val="24"/>
        </w:rPr>
        <w:t>ping</w:t>
      </w:r>
      <w:r w:rsidRPr="00FE3FBB" w:rsidR="0049172B">
        <w:rPr>
          <w:rFonts w:ascii="Verdana" w:hAnsi="Verdana" w:cstheme="minorHAnsi"/>
          <w:sz w:val="24"/>
          <w:szCs w:val="24"/>
        </w:rPr>
        <w:t xml:space="preserve"> partner organisations, particularly at the local</w:t>
      </w:r>
      <w:r w:rsidRPr="00FE3FBB" w:rsidR="00651CCF">
        <w:rPr>
          <w:rFonts w:ascii="Verdana" w:hAnsi="Verdana" w:cstheme="minorHAnsi"/>
          <w:sz w:val="24"/>
          <w:szCs w:val="24"/>
        </w:rPr>
        <w:t xml:space="preserve"> level</w:t>
      </w:r>
      <w:r w:rsidRPr="00FE3FBB" w:rsidR="0049172B">
        <w:rPr>
          <w:rFonts w:ascii="Verdana" w:hAnsi="Verdana" w:cstheme="minorHAnsi"/>
          <w:sz w:val="24"/>
          <w:szCs w:val="24"/>
        </w:rPr>
        <w:t>, with the tools and resources to</w:t>
      </w:r>
      <w:r w:rsidRPr="00FE3FBB" w:rsidR="007149BD">
        <w:rPr>
          <w:rFonts w:ascii="Verdana" w:hAnsi="Verdana" w:cstheme="minorHAnsi"/>
          <w:sz w:val="24"/>
          <w:szCs w:val="24"/>
        </w:rPr>
        <w:t xml:space="preserve"> tailor solutions to the challenges fac</w:t>
      </w:r>
      <w:r w:rsidRPr="00FE3FBB" w:rsidR="009F75D3">
        <w:rPr>
          <w:rFonts w:ascii="Verdana" w:hAnsi="Verdana" w:cstheme="minorHAnsi"/>
          <w:sz w:val="24"/>
          <w:szCs w:val="24"/>
        </w:rPr>
        <w:t>ing</w:t>
      </w:r>
      <w:r w:rsidRPr="00FE3FBB" w:rsidR="007149BD">
        <w:rPr>
          <w:rFonts w:ascii="Verdana" w:hAnsi="Verdana" w:cstheme="minorHAnsi"/>
          <w:sz w:val="24"/>
          <w:szCs w:val="24"/>
        </w:rPr>
        <w:t xml:space="preserve"> their own </w:t>
      </w:r>
      <w:r w:rsidRPr="00FE3FBB" w:rsidR="003E26A6">
        <w:rPr>
          <w:rFonts w:ascii="Verdana" w:hAnsi="Verdana" w:cstheme="minorHAnsi"/>
          <w:sz w:val="24"/>
          <w:szCs w:val="24"/>
        </w:rPr>
        <w:t>areas</w:t>
      </w:r>
      <w:r w:rsidRPr="00FE3FBB" w:rsidR="009B50CA">
        <w:rPr>
          <w:rFonts w:ascii="Verdana" w:hAnsi="Verdana" w:cstheme="minorHAnsi"/>
          <w:sz w:val="24"/>
          <w:szCs w:val="24"/>
        </w:rPr>
        <w:t xml:space="preserve"> and to working to empower </w:t>
      </w:r>
      <w:r w:rsidRPr="00FE3FBB" w:rsidR="006F588A">
        <w:rPr>
          <w:rFonts w:ascii="Verdana" w:hAnsi="Verdana" w:cstheme="minorHAnsi"/>
          <w:sz w:val="24"/>
          <w:szCs w:val="24"/>
        </w:rPr>
        <w:t xml:space="preserve">those </w:t>
      </w:r>
      <w:r w:rsidRPr="00FE3FBB" w:rsidR="009B50CA">
        <w:rPr>
          <w:rFonts w:ascii="Verdana" w:hAnsi="Verdana" w:cstheme="minorHAnsi"/>
          <w:sz w:val="24"/>
          <w:szCs w:val="24"/>
        </w:rPr>
        <w:t>communities</w:t>
      </w:r>
      <w:r w:rsidRPr="00FE3FBB" w:rsidR="007149BD">
        <w:rPr>
          <w:rFonts w:ascii="Verdana" w:hAnsi="Verdana" w:cstheme="minorHAnsi"/>
          <w:sz w:val="24"/>
          <w:szCs w:val="24"/>
        </w:rPr>
        <w:t>.</w:t>
      </w:r>
    </w:p>
    <w:p w:rsidR="00BF48A7" w:rsidRPr="00FE3FBB" w:rsidP="00531FC0">
      <w:pPr>
        <w:pStyle w:val="ListParagraph"/>
        <w:ind w:left="0"/>
        <w:rPr>
          <w:rFonts w:ascii="Verdana" w:hAnsi="Verdana" w:cstheme="minorHAnsi"/>
          <w:sz w:val="24"/>
          <w:szCs w:val="24"/>
        </w:rPr>
      </w:pPr>
    </w:p>
    <w:p w:rsidR="00BF48A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National Numeracy</w:t>
      </w:r>
      <w:r w:rsidRPr="00FE3FBB" w:rsidR="00D02A25">
        <w:rPr>
          <w:rFonts w:ascii="Verdana" w:hAnsi="Verdana" w:cstheme="minorHAnsi"/>
          <w:sz w:val="24"/>
          <w:szCs w:val="24"/>
        </w:rPr>
        <w:t xml:space="preserve"> and data company, Experian, have combined knowledge and datasets to build the UK Numeracy Index, the first ever model to predict and rank areas of the UK by numeracy skills and confidence.</w:t>
      </w:r>
      <w:r w:rsidRPr="00FE3FBB" w:rsidR="0004531C">
        <w:rPr>
          <w:rFonts w:ascii="Verdana" w:hAnsi="Verdana" w:cstheme="minorHAnsi"/>
          <w:sz w:val="24"/>
          <w:szCs w:val="24"/>
        </w:rPr>
        <w:t xml:space="preserve"> The Index reveals fresh insight about numeracy issue across ward, local authority and regional levels. </w:t>
      </w:r>
      <w:r w:rsidRPr="00FE3FBB" w:rsidR="00252722">
        <w:rPr>
          <w:rFonts w:ascii="Verdana" w:hAnsi="Verdana" w:cstheme="minorHAnsi"/>
          <w:sz w:val="24"/>
          <w:szCs w:val="24"/>
        </w:rPr>
        <w:t xml:space="preserve">For example, it shows that the strongest predictive factors for numeracy skills are </w:t>
      </w:r>
      <w:r w:rsidRPr="00FE3FBB" w:rsidR="000A0D7A">
        <w:rPr>
          <w:rFonts w:ascii="Verdana" w:hAnsi="Verdana" w:cstheme="minorHAnsi"/>
          <w:sz w:val="24"/>
          <w:szCs w:val="24"/>
        </w:rPr>
        <w:t>affluence, gender, employment status and age</w:t>
      </w:r>
      <w:r w:rsidRPr="00FE3FBB" w:rsidR="00AB5097">
        <w:rPr>
          <w:rFonts w:ascii="Verdana" w:hAnsi="Verdana" w:cstheme="minorHAnsi"/>
          <w:sz w:val="24"/>
          <w:szCs w:val="24"/>
        </w:rPr>
        <w:t xml:space="preserve">. </w:t>
      </w:r>
      <w:r w:rsidRPr="00FE3FBB" w:rsidR="0004531C">
        <w:rPr>
          <w:rFonts w:ascii="Verdana" w:hAnsi="Verdana" w:cstheme="minorHAnsi"/>
          <w:sz w:val="24"/>
          <w:szCs w:val="24"/>
        </w:rPr>
        <w:t xml:space="preserve">This unique and valuable data can </w:t>
      </w:r>
      <w:r w:rsidRPr="00FE3FBB" w:rsidR="001D72C1">
        <w:rPr>
          <w:rFonts w:ascii="Verdana" w:hAnsi="Verdana" w:cstheme="minorHAnsi"/>
          <w:sz w:val="24"/>
          <w:szCs w:val="24"/>
        </w:rPr>
        <w:t xml:space="preserve">be </w:t>
      </w:r>
      <w:r w:rsidRPr="00FE3FBB" w:rsidR="0004531C">
        <w:rPr>
          <w:rFonts w:ascii="Verdana" w:hAnsi="Verdana" w:cstheme="minorHAnsi"/>
          <w:sz w:val="24"/>
          <w:szCs w:val="24"/>
        </w:rPr>
        <w:t>used by policymakers, organisations and local communities to focus efforts to improve numeracy and boost social mobility.</w:t>
      </w:r>
    </w:p>
    <w:p w:rsidR="00BF48A7" w:rsidRPr="00FE3FBB" w:rsidP="00531FC0">
      <w:pPr>
        <w:pStyle w:val="ListParagraph"/>
        <w:rPr>
          <w:rFonts w:ascii="Verdana" w:hAnsi="Verdana" w:cstheme="minorHAnsi"/>
          <w:sz w:val="24"/>
          <w:szCs w:val="24"/>
        </w:rPr>
      </w:pPr>
    </w:p>
    <w:p w:rsidR="00BF48A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The UK Numeracy Index helps us understand and target our support to</w:t>
      </w:r>
      <w:r w:rsidRPr="00FE3FBB" w:rsidR="009B50CA">
        <w:rPr>
          <w:rFonts w:ascii="Verdana" w:hAnsi="Verdana" w:cstheme="minorHAnsi"/>
          <w:sz w:val="24"/>
          <w:szCs w:val="24"/>
        </w:rPr>
        <w:t>wards</w:t>
      </w:r>
      <w:r w:rsidRPr="00FE3FBB">
        <w:rPr>
          <w:rFonts w:ascii="Verdana" w:hAnsi="Verdana" w:cstheme="minorHAnsi"/>
          <w:sz w:val="24"/>
          <w:szCs w:val="24"/>
        </w:rPr>
        <w:t xml:space="preserve"> the communities in greatest need and where we believe our work can </w:t>
      </w:r>
      <w:r w:rsidRPr="00FE3FBB" w:rsidR="003E26A6">
        <w:rPr>
          <w:rFonts w:ascii="Verdana" w:hAnsi="Verdana" w:cstheme="minorHAnsi"/>
          <w:sz w:val="24"/>
          <w:szCs w:val="24"/>
        </w:rPr>
        <w:t>have the greatest impact in addressing such disparities.</w:t>
      </w:r>
      <w:r w:rsidRPr="00FE3FBB" w:rsidR="002419CB">
        <w:rPr>
          <w:rFonts w:ascii="Verdana" w:hAnsi="Verdana" w:cstheme="minorHAnsi"/>
          <w:sz w:val="24"/>
          <w:szCs w:val="24"/>
        </w:rPr>
        <w:t xml:space="preserve"> For example, National Numeracy has now trained and equipped over 4,000 </w:t>
      </w:r>
      <w:r w:rsidRPr="00FE3FBB" w:rsidR="006A29D8">
        <w:rPr>
          <w:rFonts w:ascii="Verdana" w:hAnsi="Verdana" w:cstheme="minorHAnsi"/>
          <w:sz w:val="24"/>
          <w:szCs w:val="24"/>
        </w:rPr>
        <w:t xml:space="preserve">Numeracy Champions </w:t>
      </w:r>
      <w:r w:rsidRPr="00FE3FBB" w:rsidR="0077269D">
        <w:rPr>
          <w:rFonts w:ascii="Verdana" w:hAnsi="Verdana" w:cstheme="minorHAnsi"/>
          <w:sz w:val="24"/>
          <w:szCs w:val="24"/>
        </w:rPr>
        <w:t xml:space="preserve">– in schools, charities, community groups, </w:t>
      </w:r>
      <w:r w:rsidRPr="00FE3FBB" w:rsidR="005D3E29">
        <w:rPr>
          <w:rFonts w:ascii="Verdana" w:hAnsi="Verdana" w:cstheme="minorHAnsi"/>
          <w:sz w:val="24"/>
          <w:szCs w:val="24"/>
        </w:rPr>
        <w:t xml:space="preserve">youth and job centres – right </w:t>
      </w:r>
      <w:r w:rsidRPr="00FE3FBB" w:rsidR="006A29D8">
        <w:rPr>
          <w:rFonts w:ascii="Verdana" w:hAnsi="Verdana" w:cstheme="minorHAnsi"/>
          <w:sz w:val="24"/>
          <w:szCs w:val="24"/>
        </w:rPr>
        <w:t xml:space="preserve">across the UK with the understanding, tools and resources with which to support the communities that they </w:t>
      </w:r>
      <w:r w:rsidRPr="00FE3FBB" w:rsidR="008416C2">
        <w:rPr>
          <w:rFonts w:ascii="Verdana" w:hAnsi="Verdana" w:cstheme="minorHAnsi"/>
          <w:sz w:val="24"/>
          <w:szCs w:val="24"/>
        </w:rPr>
        <w:t xml:space="preserve">know best. </w:t>
      </w:r>
    </w:p>
    <w:p w:rsidR="00BF48A7" w:rsidRPr="00FE3FBB" w:rsidP="00531FC0">
      <w:pPr>
        <w:pStyle w:val="ListParagraph"/>
        <w:rPr>
          <w:rFonts w:ascii="Verdana" w:hAnsi="Verdana" w:cstheme="minorHAnsi"/>
          <w:sz w:val="24"/>
          <w:szCs w:val="24"/>
        </w:rPr>
      </w:pPr>
    </w:p>
    <w:p w:rsidR="00D02A25"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Furthermore, rather </w:t>
      </w:r>
      <w:r w:rsidRPr="00FE3FBB" w:rsidR="005A7475">
        <w:rPr>
          <w:rFonts w:ascii="Verdana" w:hAnsi="Verdana" w:cstheme="minorHAnsi"/>
          <w:sz w:val="24"/>
          <w:szCs w:val="24"/>
        </w:rPr>
        <w:t xml:space="preserve">than </w:t>
      </w:r>
      <w:r w:rsidRPr="00FE3FBB">
        <w:rPr>
          <w:rFonts w:ascii="Verdana" w:hAnsi="Verdana" w:cstheme="minorHAnsi"/>
          <w:sz w:val="24"/>
          <w:szCs w:val="24"/>
        </w:rPr>
        <w:t>targeting either adults or children, our Schools and Families programme</w:t>
      </w:r>
      <w:r w:rsidRPr="00FE3FBB" w:rsidR="002413A4">
        <w:rPr>
          <w:rFonts w:ascii="Verdana" w:hAnsi="Verdana" w:cstheme="minorHAnsi"/>
          <w:sz w:val="24"/>
          <w:szCs w:val="24"/>
        </w:rPr>
        <w:t xml:space="preserve"> – now supporting over 600 schools - </w:t>
      </w:r>
      <w:r w:rsidRPr="00FE3FBB">
        <w:rPr>
          <w:rFonts w:ascii="Verdana" w:hAnsi="Verdana" w:cstheme="minorHAnsi"/>
          <w:sz w:val="24"/>
          <w:szCs w:val="24"/>
        </w:rPr>
        <w:t xml:space="preserve">works with whole </w:t>
      </w:r>
      <w:r w:rsidRPr="00FE3FBB" w:rsidR="002413A4">
        <w:rPr>
          <w:rFonts w:ascii="Verdana" w:hAnsi="Verdana" w:cstheme="minorHAnsi"/>
          <w:sz w:val="24"/>
          <w:szCs w:val="24"/>
        </w:rPr>
        <w:t xml:space="preserve">school </w:t>
      </w:r>
      <w:r w:rsidRPr="00FE3FBB">
        <w:rPr>
          <w:rFonts w:ascii="Verdana" w:hAnsi="Verdana" w:cstheme="minorHAnsi"/>
          <w:sz w:val="24"/>
          <w:szCs w:val="24"/>
        </w:rPr>
        <w:t xml:space="preserve">communities, from educators to support workers and from </w:t>
      </w:r>
      <w:r w:rsidRPr="00FE3FBB" w:rsidR="002F5650">
        <w:rPr>
          <w:rFonts w:ascii="Verdana" w:hAnsi="Verdana" w:cstheme="minorHAnsi"/>
          <w:sz w:val="24"/>
          <w:szCs w:val="24"/>
        </w:rPr>
        <w:t xml:space="preserve">parents and carers to children. By building understanding, for example, the importance of </w:t>
      </w:r>
      <w:r w:rsidRPr="00FE3FBB" w:rsidR="00C76B59">
        <w:rPr>
          <w:rFonts w:ascii="Verdana" w:hAnsi="Verdana" w:cstheme="minorHAnsi"/>
          <w:sz w:val="24"/>
          <w:szCs w:val="24"/>
        </w:rPr>
        <w:t>number confidence, particularly amongst girls and women, school communities use and adapt our resources to best</w:t>
      </w:r>
      <w:r w:rsidRPr="00FE3FBB" w:rsidR="0077269D">
        <w:rPr>
          <w:rFonts w:ascii="Verdana" w:hAnsi="Verdana" w:cstheme="minorHAnsi"/>
          <w:sz w:val="24"/>
          <w:szCs w:val="24"/>
        </w:rPr>
        <w:t xml:space="preserve"> provide</w:t>
      </w:r>
      <w:r w:rsidRPr="00FE3FBB" w:rsidR="00C76B59">
        <w:rPr>
          <w:rFonts w:ascii="Verdana" w:hAnsi="Verdana" w:cstheme="minorHAnsi"/>
          <w:sz w:val="24"/>
          <w:szCs w:val="24"/>
        </w:rPr>
        <w:t xml:space="preserve"> support in their own context. </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Are the Government priorities for maths education the right ones to embed numeracy, and what steps would you like to see the Government make to improve numeracy?</w:t>
      </w:r>
    </w:p>
    <w:p w:rsidR="006D25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The government’s priorities for maths education</w:t>
      </w:r>
      <w:r w:rsidRPr="00FE3FBB" w:rsidR="00413E84">
        <w:rPr>
          <w:rFonts w:ascii="Verdana" w:hAnsi="Verdana" w:cstheme="minorHAnsi"/>
          <w:sz w:val="24"/>
          <w:szCs w:val="24"/>
        </w:rPr>
        <w:t>, as they relate to the numeracy of the nation,</w:t>
      </w:r>
      <w:r w:rsidRPr="00FE3FBB">
        <w:rPr>
          <w:rFonts w:ascii="Verdana" w:hAnsi="Verdana" w:cstheme="minorHAnsi"/>
          <w:sz w:val="24"/>
          <w:szCs w:val="24"/>
        </w:rPr>
        <w:t xml:space="preserve"> </w:t>
      </w:r>
      <w:r w:rsidRPr="00FE3FBB" w:rsidR="00D62C69">
        <w:rPr>
          <w:rFonts w:ascii="Verdana" w:hAnsi="Verdana" w:cstheme="minorHAnsi"/>
          <w:sz w:val="24"/>
          <w:szCs w:val="24"/>
        </w:rPr>
        <w:t xml:space="preserve">are perhaps best articulated in the recent Curriculum and Assessment Review Report. </w:t>
      </w:r>
      <w:r w:rsidRPr="00FE3FBB">
        <w:rPr>
          <w:rFonts w:ascii="Verdana" w:hAnsi="Verdana" w:cstheme="minorHAnsi"/>
          <w:sz w:val="24"/>
          <w:szCs w:val="24"/>
        </w:rPr>
        <w:t>Specifically with regard to maths education and embedding numeracy</w:t>
      </w:r>
      <w:r w:rsidRPr="00FE3FBB" w:rsidR="00265B90">
        <w:rPr>
          <w:rFonts w:ascii="Verdana" w:hAnsi="Verdana" w:cstheme="minorHAnsi"/>
          <w:sz w:val="24"/>
          <w:szCs w:val="24"/>
        </w:rPr>
        <w:t>,</w:t>
      </w:r>
      <w:r w:rsidRPr="00FE3FBB">
        <w:rPr>
          <w:rFonts w:ascii="Verdana" w:hAnsi="Verdana" w:cstheme="minorHAnsi"/>
          <w:sz w:val="24"/>
          <w:szCs w:val="24"/>
        </w:rPr>
        <w:t xml:space="preserve"> three developments in the report stand out when it comes to boosting the numeracy levels of the nation:</w:t>
      </w:r>
    </w:p>
    <w:p w:rsidR="00BF48A7" w:rsidRPr="00FE3FBB" w:rsidP="00531FC0">
      <w:pPr>
        <w:pStyle w:val="ListParagraph"/>
        <w:ind w:left="0"/>
        <w:rPr>
          <w:rFonts w:ascii="Verdana" w:hAnsi="Verdana" w:cstheme="minorHAnsi"/>
          <w:sz w:val="24"/>
          <w:szCs w:val="24"/>
        </w:rPr>
      </w:pPr>
    </w:p>
    <w:p w:rsidR="006D2531" w:rsidRPr="00FE3FBB" w:rsidP="00531FC0">
      <w:pPr>
        <w:pStyle w:val="ListParagraph"/>
        <w:numPr>
          <w:ilvl w:val="0"/>
          <w:numId w:val="19"/>
        </w:numPr>
        <w:rPr>
          <w:rFonts w:ascii="Verdana" w:hAnsi="Verdana" w:cstheme="minorHAnsi"/>
          <w:sz w:val="24"/>
          <w:szCs w:val="24"/>
        </w:rPr>
      </w:pPr>
      <w:r w:rsidRPr="00FE3FBB">
        <w:rPr>
          <w:rFonts w:ascii="Verdana" w:hAnsi="Verdana" w:cstheme="minorHAnsi"/>
          <w:sz w:val="24"/>
          <w:szCs w:val="24"/>
        </w:rPr>
        <w:t>Financial education becomes statutory in primary schools</w:t>
      </w:r>
    </w:p>
    <w:p w:rsidR="00B25CCB" w:rsidRPr="00FE3FBB" w:rsidP="00531FC0">
      <w:pPr>
        <w:pStyle w:val="ListParagraph"/>
        <w:rPr>
          <w:rFonts w:ascii="Verdana" w:hAnsi="Verdana" w:cstheme="minorHAnsi"/>
          <w:sz w:val="24"/>
          <w:szCs w:val="24"/>
        </w:rPr>
      </w:pPr>
    </w:p>
    <w:p w:rsidR="006D25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Primary teachers already widely use money-themed resources to make maths relatable, but structured financial education has never been a formal requirement in England. That will now change, with financial education embedded in a statutory Citizenship curriculum in primary schools. The key risk of financial education programmes has always been poor sequencing: teaching financial concepts before pupils understand the underlying maths. This often undermines confidence rather than building it. The Review commits to addressing this. Financial education will sit within Citizenship, but the maths that underpins it must be taught first. For example, pupils should learn percentages in maths before learning about interest rates in Citizenship. This sequencing aims to ensure children understand the value and application of maths in everyday life, particularly with money management. At National Numeracy, we think it is a really positive development.</w:t>
      </w:r>
    </w:p>
    <w:p w:rsidR="00B25CCB" w:rsidRPr="00FE3FBB" w:rsidP="00531FC0">
      <w:pPr>
        <w:pStyle w:val="ListParagraph"/>
        <w:ind w:left="0"/>
        <w:rPr>
          <w:rFonts w:ascii="Verdana" w:hAnsi="Verdana" w:cstheme="minorHAnsi"/>
          <w:sz w:val="24"/>
          <w:szCs w:val="24"/>
        </w:rPr>
      </w:pPr>
    </w:p>
    <w:p w:rsidR="006D2531" w:rsidRPr="00FE3FBB" w:rsidP="00531FC0">
      <w:pPr>
        <w:pStyle w:val="ListParagraph"/>
        <w:numPr>
          <w:ilvl w:val="0"/>
          <w:numId w:val="19"/>
        </w:numPr>
        <w:rPr>
          <w:rFonts w:ascii="Verdana" w:hAnsi="Verdana" w:cstheme="minorHAnsi"/>
          <w:sz w:val="24"/>
          <w:szCs w:val="24"/>
        </w:rPr>
      </w:pPr>
      <w:r w:rsidRPr="00FE3FBB">
        <w:rPr>
          <w:rFonts w:ascii="Verdana" w:hAnsi="Verdana" w:cstheme="minorHAnsi"/>
          <w:sz w:val="24"/>
          <w:szCs w:val="24"/>
        </w:rPr>
        <w:t>More time on the building blocks of maths in primary</w:t>
      </w:r>
    </w:p>
    <w:p w:rsidR="00B25CCB" w:rsidRPr="00FE3FBB" w:rsidP="00531FC0">
      <w:pPr>
        <w:pStyle w:val="ListParagraph"/>
        <w:rPr>
          <w:rFonts w:ascii="Verdana" w:hAnsi="Verdana" w:cstheme="minorHAnsi"/>
          <w:sz w:val="24"/>
          <w:szCs w:val="24"/>
        </w:rPr>
      </w:pPr>
    </w:p>
    <w:p w:rsidR="006D25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The primary maths curriculum has become increasingly crowded, often pushing pupils into new concepts before they have secure foundations. The Review stops short of proposing to reduce curriculum breadth but recommends resequencing it to prioritise the development of fluency, reasoning and problem-solving. The emphasis is on deep understanding of core concepts, particularly multiplicative reasoning (e.g. scaling, rates, proportionality). These skills are essential for numeracy </w:t>
      </w:r>
      <w:r w:rsidRPr="00FE3FBB">
        <w:rPr>
          <w:rFonts w:ascii="Verdana" w:hAnsi="Verdana" w:cstheme="minorHAnsi"/>
          <w:sz w:val="24"/>
          <w:szCs w:val="24"/>
        </w:rPr>
        <w:t>and strongly linked to later attainment. The report highlights that many pupils reach secondary school without secure number foundations, which contributes to poor GCSE outcomes – they refer to this as ‘cumulative disfluency’. Strengthening fluency in Key Stages 1 and 2, it argues, should better prepare pupils to progress on to crucial concepts of numeracy, such as proportional reasoning, e.g. how long it takes to travel a certain distance, in Key Stage 3. This added focus on young people developing secure foundations is an important step in the right direction. Indeed, at National Numeracy, we work with thousands of adults that have struggl</w:t>
      </w:r>
      <w:r w:rsidRPr="00FE3FBB" w:rsidR="008559A9">
        <w:rPr>
          <w:rFonts w:ascii="Verdana" w:hAnsi="Verdana" w:cstheme="minorHAnsi"/>
          <w:sz w:val="24"/>
          <w:szCs w:val="24"/>
        </w:rPr>
        <w:t>ed</w:t>
      </w:r>
      <w:r w:rsidRPr="00FE3FBB">
        <w:rPr>
          <w:rFonts w:ascii="Verdana" w:hAnsi="Verdana" w:cstheme="minorHAnsi"/>
          <w:sz w:val="24"/>
          <w:szCs w:val="24"/>
        </w:rPr>
        <w:t xml:space="preserve"> to get these foundations in place and were therefore inadvertently left behind. The implications, as we have seen, can last a lifetime.  </w:t>
      </w:r>
    </w:p>
    <w:p w:rsidR="00B25CCB" w:rsidRPr="00FE3FBB" w:rsidP="00531FC0">
      <w:pPr>
        <w:pStyle w:val="ListParagraph"/>
        <w:ind w:left="0"/>
        <w:rPr>
          <w:rFonts w:ascii="Verdana" w:hAnsi="Verdana" w:cstheme="minorHAnsi"/>
          <w:sz w:val="24"/>
          <w:szCs w:val="24"/>
        </w:rPr>
      </w:pPr>
    </w:p>
    <w:p w:rsidR="006D2531" w:rsidRPr="00FE3FBB" w:rsidP="00531FC0">
      <w:pPr>
        <w:pStyle w:val="ListParagraph"/>
        <w:numPr>
          <w:ilvl w:val="0"/>
          <w:numId w:val="19"/>
        </w:numPr>
        <w:rPr>
          <w:rFonts w:ascii="Verdana" w:hAnsi="Verdana" w:cstheme="minorHAnsi"/>
          <w:sz w:val="24"/>
          <w:szCs w:val="24"/>
        </w:rPr>
      </w:pPr>
      <w:r w:rsidRPr="00FE3FBB">
        <w:rPr>
          <w:rFonts w:ascii="Verdana" w:hAnsi="Verdana" w:cstheme="minorHAnsi"/>
          <w:sz w:val="24"/>
          <w:szCs w:val="24"/>
        </w:rPr>
        <w:t>A new stepped qualification for post-16 learners with lower GCSE maths grade</w:t>
      </w:r>
    </w:p>
    <w:p w:rsidR="00B25CCB" w:rsidRPr="00FE3FBB" w:rsidP="00531FC0">
      <w:pPr>
        <w:pStyle w:val="ListParagraph"/>
        <w:rPr>
          <w:rFonts w:ascii="Verdana" w:hAnsi="Verdana" w:cstheme="minorHAnsi"/>
          <w:sz w:val="24"/>
          <w:szCs w:val="24"/>
        </w:rPr>
      </w:pPr>
    </w:p>
    <w:p w:rsidR="00B25CCB"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Around 31% of 16-year-olds do not achieve the ‘gateway’ grade 4 in GCSE maths, yet those continuing in education or training must retake it. Only 25% of those retaking reach grade 4 by age 19, and most who start at grades 1–2 make no grade progress at all. Socio-economically disadvantaged learners are disproportionately affected. The DfE acknowledges this is not just a post-16 issue: 80% of pupils with low Key Stage 2 attainment never reach level 2 in maths or English by age 16 and many have fundamental gaps dating back years.</w:t>
      </w:r>
    </w:p>
    <w:p w:rsidR="00B25CCB" w:rsidRPr="00FE3FBB" w:rsidP="00531FC0">
      <w:pPr>
        <w:pStyle w:val="ListParagraph"/>
        <w:ind w:left="0"/>
        <w:rPr>
          <w:rFonts w:ascii="Verdana" w:hAnsi="Verdana" w:cstheme="minorHAnsi"/>
          <w:sz w:val="24"/>
          <w:szCs w:val="24"/>
        </w:rPr>
      </w:pPr>
    </w:p>
    <w:p w:rsidR="00B25CCB"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The Review proposes two interventions: a Year 8 diagnostic test to identify gaps early, and a new Level 1 “stepping-stone” qualification for 16–19-year-olds with GCSE grades 1–2. The new qualification would focus on mastering fundamentals and building confidence, up to the equivalent of a strong grade 3, giving learners a more realistic chance of achieving level 2 (grade 4 or higher) the following year. While this is a positive step, it raises a fundamental question: why wait until learners have already experienced a sense of failure at 16? </w:t>
      </w:r>
    </w:p>
    <w:p w:rsidR="00B25CCB" w:rsidRPr="00FE3FBB" w:rsidP="00531FC0">
      <w:pPr>
        <w:pStyle w:val="ListParagraph"/>
        <w:rPr>
          <w:rFonts w:ascii="Verdana" w:hAnsi="Verdana" w:cstheme="minorHAnsi"/>
          <w:sz w:val="24"/>
          <w:szCs w:val="24"/>
        </w:rPr>
      </w:pPr>
    </w:p>
    <w:p w:rsidR="006D25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Introducing a stepping-stone earlier — at 14, for example, as National Numeracy has argued for many years — could prevent the cycle of repeated negative experiences. </w:t>
      </w:r>
      <w:r w:rsidRPr="00FE3FBB" w:rsidR="00625164">
        <w:rPr>
          <w:rFonts w:ascii="Verdana" w:hAnsi="Verdana" w:cstheme="minorHAnsi"/>
          <w:sz w:val="24"/>
          <w:szCs w:val="24"/>
        </w:rPr>
        <w:t xml:space="preserve">This </w:t>
      </w:r>
      <w:r w:rsidRPr="00FE3FBB" w:rsidR="0016792B">
        <w:rPr>
          <w:rFonts w:ascii="Verdana" w:hAnsi="Verdana" w:cstheme="minorHAnsi"/>
          <w:sz w:val="24"/>
          <w:szCs w:val="24"/>
        </w:rPr>
        <w:t xml:space="preserve">could offer the chance </w:t>
      </w:r>
      <w:r w:rsidRPr="00FE3FBB" w:rsidR="00F22E8E">
        <w:rPr>
          <w:rFonts w:ascii="Verdana" w:hAnsi="Verdana" w:cstheme="minorHAnsi"/>
          <w:sz w:val="24"/>
          <w:szCs w:val="24"/>
        </w:rPr>
        <w:t xml:space="preserve">for young people to </w:t>
      </w:r>
      <w:r w:rsidRPr="00FE3FBB" w:rsidR="00B13604">
        <w:rPr>
          <w:rFonts w:ascii="Verdana" w:hAnsi="Verdana" w:cstheme="minorHAnsi"/>
          <w:sz w:val="24"/>
          <w:szCs w:val="24"/>
        </w:rPr>
        <w:t>experience</w:t>
      </w:r>
      <w:r w:rsidRPr="00FE3FBB" w:rsidR="00F22E8E">
        <w:rPr>
          <w:rFonts w:ascii="Verdana" w:hAnsi="Verdana" w:cstheme="minorHAnsi"/>
          <w:sz w:val="24"/>
          <w:szCs w:val="24"/>
        </w:rPr>
        <w:t xml:space="preserve"> success with a criterion referenced qualification</w:t>
      </w:r>
      <w:r w:rsidRPr="00FE3FBB" w:rsidR="00970028">
        <w:rPr>
          <w:rFonts w:ascii="Verdana" w:hAnsi="Verdana" w:cstheme="minorHAnsi"/>
          <w:sz w:val="24"/>
          <w:szCs w:val="24"/>
        </w:rPr>
        <w:t>, rather than w</w:t>
      </w:r>
      <w:r w:rsidRPr="00FE3FBB">
        <w:rPr>
          <w:rFonts w:ascii="Verdana" w:hAnsi="Verdana" w:cstheme="minorHAnsi"/>
          <w:sz w:val="24"/>
          <w:szCs w:val="24"/>
        </w:rPr>
        <w:t>ait</w:t>
      </w:r>
      <w:r w:rsidRPr="00FE3FBB" w:rsidR="002C5489">
        <w:rPr>
          <w:rFonts w:ascii="Verdana" w:hAnsi="Verdana" w:cstheme="minorHAnsi"/>
          <w:sz w:val="24"/>
          <w:szCs w:val="24"/>
        </w:rPr>
        <w:t xml:space="preserve">ing </w:t>
      </w:r>
      <w:r w:rsidRPr="00FE3FBB">
        <w:rPr>
          <w:rFonts w:ascii="Verdana" w:hAnsi="Verdana" w:cstheme="minorHAnsi"/>
          <w:sz w:val="24"/>
          <w:szCs w:val="24"/>
        </w:rPr>
        <w:t xml:space="preserve">for </w:t>
      </w:r>
      <w:r w:rsidRPr="00FE3FBB" w:rsidR="002C5489">
        <w:rPr>
          <w:rFonts w:ascii="Verdana" w:hAnsi="Verdana" w:cstheme="minorHAnsi"/>
          <w:sz w:val="24"/>
          <w:szCs w:val="24"/>
        </w:rPr>
        <w:t>them</w:t>
      </w:r>
      <w:r w:rsidRPr="00FE3FBB">
        <w:rPr>
          <w:rFonts w:ascii="Verdana" w:hAnsi="Verdana" w:cstheme="minorHAnsi"/>
          <w:sz w:val="24"/>
          <w:szCs w:val="24"/>
        </w:rPr>
        <w:t xml:space="preserve"> to fail</w:t>
      </w:r>
      <w:r w:rsidRPr="00FE3FBB" w:rsidR="00F461EA">
        <w:rPr>
          <w:rFonts w:ascii="Verdana" w:hAnsi="Verdana" w:cstheme="minorHAnsi"/>
          <w:sz w:val="24"/>
          <w:szCs w:val="24"/>
        </w:rPr>
        <w:t xml:space="preserve"> at GCSE</w:t>
      </w:r>
      <w:r w:rsidRPr="00FE3FBB" w:rsidR="003B3DD6">
        <w:rPr>
          <w:rFonts w:ascii="Verdana" w:hAnsi="Verdana" w:cstheme="minorHAnsi"/>
          <w:sz w:val="24"/>
          <w:szCs w:val="24"/>
        </w:rPr>
        <w:t xml:space="preserve">. </w:t>
      </w:r>
      <w:r w:rsidRPr="00FE3FBB" w:rsidR="00E97225">
        <w:rPr>
          <w:rFonts w:ascii="Verdana" w:hAnsi="Verdana" w:cstheme="minorHAnsi"/>
          <w:sz w:val="24"/>
          <w:szCs w:val="24"/>
        </w:rPr>
        <w:t>O</w:t>
      </w:r>
      <w:r w:rsidRPr="00FE3FBB">
        <w:rPr>
          <w:rFonts w:ascii="Verdana" w:hAnsi="Verdana" w:cstheme="minorHAnsi"/>
          <w:sz w:val="24"/>
          <w:szCs w:val="24"/>
        </w:rPr>
        <w:t xml:space="preserve">ffering a </w:t>
      </w:r>
      <w:r w:rsidRPr="00FE3FBB" w:rsidR="00E97225">
        <w:rPr>
          <w:rFonts w:ascii="Verdana" w:hAnsi="Verdana" w:cstheme="minorHAnsi"/>
          <w:sz w:val="24"/>
          <w:szCs w:val="24"/>
        </w:rPr>
        <w:t>‘</w:t>
      </w:r>
      <w:r w:rsidRPr="00FE3FBB">
        <w:rPr>
          <w:rFonts w:ascii="Verdana" w:hAnsi="Verdana" w:cstheme="minorHAnsi"/>
          <w:sz w:val="24"/>
          <w:szCs w:val="24"/>
        </w:rPr>
        <w:t>stepping-stone</w:t>
      </w:r>
      <w:r w:rsidRPr="00FE3FBB" w:rsidR="00E97225">
        <w:rPr>
          <w:rFonts w:ascii="Verdana" w:hAnsi="Verdana" w:cstheme="minorHAnsi"/>
          <w:sz w:val="24"/>
          <w:szCs w:val="24"/>
        </w:rPr>
        <w:t xml:space="preserve">’ </w:t>
      </w:r>
      <w:r w:rsidRPr="00FE3FBB" w:rsidR="00472912">
        <w:rPr>
          <w:rFonts w:ascii="Verdana" w:hAnsi="Verdana" w:cstheme="minorHAnsi"/>
          <w:sz w:val="24"/>
          <w:szCs w:val="24"/>
        </w:rPr>
        <w:t xml:space="preserve">to a qualification </w:t>
      </w:r>
      <w:r w:rsidRPr="00FE3FBB" w:rsidR="00E97225">
        <w:rPr>
          <w:rFonts w:ascii="Verdana" w:hAnsi="Verdana" w:cstheme="minorHAnsi"/>
          <w:sz w:val="24"/>
          <w:szCs w:val="24"/>
        </w:rPr>
        <w:t xml:space="preserve">after the </w:t>
      </w:r>
      <w:r w:rsidRPr="00FE3FBB" w:rsidR="00472912">
        <w:rPr>
          <w:rFonts w:ascii="Verdana" w:hAnsi="Verdana" w:cstheme="minorHAnsi"/>
          <w:sz w:val="24"/>
          <w:szCs w:val="24"/>
        </w:rPr>
        <w:t xml:space="preserve">qualification has been failed </w:t>
      </w:r>
      <w:r w:rsidRPr="00FE3FBB">
        <w:rPr>
          <w:rFonts w:ascii="Verdana" w:hAnsi="Verdana" w:cstheme="minorHAnsi"/>
          <w:sz w:val="24"/>
          <w:szCs w:val="24"/>
        </w:rPr>
        <w:t xml:space="preserve">is counter intuitive. It is absolutely the right solution, </w:t>
      </w:r>
      <w:r w:rsidRPr="00FE3FBB" w:rsidR="007A3390">
        <w:rPr>
          <w:rFonts w:ascii="Verdana" w:hAnsi="Verdana" w:cstheme="minorHAnsi"/>
          <w:sz w:val="24"/>
          <w:szCs w:val="24"/>
        </w:rPr>
        <w:t xml:space="preserve">but is currently proposed to be </w:t>
      </w:r>
      <w:r w:rsidRPr="00FE3FBB">
        <w:rPr>
          <w:rFonts w:ascii="Verdana" w:hAnsi="Verdana" w:cstheme="minorHAnsi"/>
          <w:sz w:val="24"/>
          <w:szCs w:val="24"/>
        </w:rPr>
        <w:t>offered at the wrong time.</w:t>
      </w:r>
    </w:p>
    <w:p w:rsidR="00B25CCB" w:rsidRPr="00FE3FBB" w:rsidP="00531FC0">
      <w:pPr>
        <w:pStyle w:val="ListParagraph"/>
        <w:ind w:left="0"/>
        <w:rPr>
          <w:rFonts w:ascii="Verdana" w:hAnsi="Verdana" w:cstheme="minorHAnsi"/>
          <w:sz w:val="24"/>
          <w:szCs w:val="24"/>
        </w:rPr>
      </w:pPr>
    </w:p>
    <w:p w:rsidR="00B25CCB" w:rsidRPr="00FE3FBB" w:rsidP="00531FC0">
      <w:pPr>
        <w:pStyle w:val="ListParagraph"/>
        <w:numPr>
          <w:ilvl w:val="0"/>
          <w:numId w:val="19"/>
        </w:numPr>
        <w:rPr>
          <w:rFonts w:ascii="Verdana" w:hAnsi="Verdana" w:cstheme="minorHAnsi"/>
          <w:sz w:val="24"/>
          <w:szCs w:val="24"/>
        </w:rPr>
      </w:pPr>
      <w:r w:rsidRPr="00FE3FBB">
        <w:rPr>
          <w:rFonts w:ascii="Verdana" w:hAnsi="Verdana" w:cstheme="minorHAnsi"/>
          <w:sz w:val="24"/>
          <w:szCs w:val="24"/>
        </w:rPr>
        <w:t>The overall picture</w:t>
      </w:r>
    </w:p>
    <w:p w:rsidR="00B25CCB" w:rsidRPr="00FE3FBB" w:rsidP="00531FC0">
      <w:pPr>
        <w:pStyle w:val="ListParagraph"/>
        <w:rPr>
          <w:rFonts w:ascii="Verdana" w:hAnsi="Verdana" w:cstheme="minorHAnsi"/>
          <w:sz w:val="24"/>
          <w:szCs w:val="24"/>
        </w:rPr>
      </w:pPr>
    </w:p>
    <w:p w:rsidR="00B25CCB"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Taken together, these reforms point to a more coherent and intentional approach to building numeracy across the system. Although</w:t>
      </w:r>
      <w:r w:rsidRPr="00FE3FBB" w:rsidR="00A77EC5">
        <w:rPr>
          <w:rFonts w:ascii="Verdana" w:hAnsi="Verdana" w:cstheme="minorHAnsi"/>
          <w:sz w:val="24"/>
          <w:szCs w:val="24"/>
        </w:rPr>
        <w:t xml:space="preserve"> </w:t>
      </w:r>
      <w:r w:rsidRPr="00FE3FBB">
        <w:rPr>
          <w:rFonts w:ascii="Verdana" w:hAnsi="Verdana" w:cstheme="minorHAnsi"/>
          <w:sz w:val="24"/>
          <w:szCs w:val="24"/>
        </w:rPr>
        <w:t>just three areas</w:t>
      </w:r>
      <w:r w:rsidRPr="00FE3FBB" w:rsidR="00A77EC5">
        <w:rPr>
          <w:rFonts w:ascii="Verdana" w:hAnsi="Verdana" w:cstheme="minorHAnsi"/>
          <w:sz w:val="24"/>
          <w:szCs w:val="24"/>
        </w:rPr>
        <w:t xml:space="preserve"> are highlighted above</w:t>
      </w:r>
      <w:r w:rsidRPr="00FE3FBB">
        <w:rPr>
          <w:rFonts w:ascii="Verdana" w:hAnsi="Verdana" w:cstheme="minorHAnsi"/>
          <w:sz w:val="24"/>
          <w:szCs w:val="24"/>
        </w:rPr>
        <w:t>, there are plenty of other relevant developments – not just in the Review but also in HMT’s recent Financial Inclusion Strategy – such as greater focus and investment towards developing financial capability amongst adults.</w:t>
      </w:r>
    </w:p>
    <w:p w:rsidR="00B25CCB" w:rsidRPr="00FE3FBB" w:rsidP="00531FC0">
      <w:pPr>
        <w:pStyle w:val="ListParagraph"/>
        <w:ind w:left="0"/>
        <w:rPr>
          <w:rFonts w:ascii="Verdana" w:hAnsi="Verdana" w:cstheme="minorHAnsi"/>
          <w:sz w:val="24"/>
          <w:szCs w:val="24"/>
        </w:rPr>
      </w:pPr>
    </w:p>
    <w:p w:rsidR="006D253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Stronger foundations in primary, better sequencing between maths and financial education, as well as a requirement to provide it, and a more realistic progression route for post-16 learners all represent meaningful progress. The challenge now is timing. Without earlier intervention, too many young people will continue to reach 16 without the mathematical grounding they need to succeed.</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steps can be taken to improve post-16 maths education and teaching to ensure the necessary skills are acquired?</w:t>
      </w: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A</w:t>
      </w:r>
      <w:r w:rsidRPr="00FE3FBB" w:rsidR="00C33294">
        <w:rPr>
          <w:rFonts w:ascii="Verdana" w:hAnsi="Verdana" w:cstheme="minorHAnsi"/>
          <w:sz w:val="24"/>
          <w:szCs w:val="24"/>
        </w:rPr>
        <w:t>s much as</w:t>
      </w:r>
      <w:r w:rsidRPr="00FE3FBB">
        <w:rPr>
          <w:rFonts w:ascii="Verdana" w:hAnsi="Verdana" w:cstheme="minorHAnsi"/>
          <w:sz w:val="24"/>
          <w:szCs w:val="24"/>
        </w:rPr>
        <w:t xml:space="preserve"> 3</w:t>
      </w:r>
      <w:r w:rsidRPr="00FE3FBB" w:rsidR="00C33294">
        <w:rPr>
          <w:rFonts w:ascii="Verdana" w:hAnsi="Verdana" w:cstheme="minorHAnsi"/>
          <w:sz w:val="24"/>
          <w:szCs w:val="24"/>
        </w:rPr>
        <w:t>0</w:t>
      </w:r>
      <w:r w:rsidRPr="00FE3FBB">
        <w:rPr>
          <w:rFonts w:ascii="Verdana" w:hAnsi="Verdana" w:cstheme="minorHAnsi"/>
          <w:sz w:val="24"/>
          <w:szCs w:val="24"/>
        </w:rPr>
        <w:t>% of 16-year-olds do not achieve the ‘gateway’ grade 4 in GCSE maths, yet those continuing in education or training must retake it. Only 25% of those retaking reach grade 4 by age 19, and most who start at grades 1–2 make no grade progress at all. Socio-economically disadvantaged learners are disproportionately affected. The DfE acknowledges this is not just a post-16 issue: 80% of pupils with low Key Stage 2 attainment never reach level 2 in maths or English by age 16 and many have fundamental gaps dating back years.</w:t>
      </w:r>
    </w:p>
    <w:p w:rsidR="00E542C7" w:rsidRPr="00FE3FBB" w:rsidP="00531FC0">
      <w:pPr>
        <w:pStyle w:val="ListParagraph"/>
        <w:ind w:left="0"/>
        <w:rPr>
          <w:rFonts w:ascii="Verdana" w:hAnsi="Verdana" w:cstheme="minorHAnsi"/>
          <w:sz w:val="24"/>
          <w:szCs w:val="24"/>
        </w:rPr>
      </w:pP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The recent Curriculum and Assessment Review proposes a new Level 1 “stepping-stone” qualification for 16–19-year-olds with GCSE grades 1–2. The new qualification would focus on mastering fundamentals and building confidence, up to the equivalent of a strong grade 3, giving learners a more realistic chance of achieving level 2 (grade 4 or higher) the following year. While this is a positive step, it raises a fundamental question: why wait until learners have already experienced a sense of failure at 16? </w:t>
      </w:r>
      <w:r w:rsidRPr="00FE3FBB" w:rsidR="006E462E">
        <w:rPr>
          <w:rFonts w:ascii="Verdana" w:hAnsi="Verdana" w:cstheme="minorHAnsi"/>
          <w:sz w:val="24"/>
          <w:szCs w:val="24"/>
        </w:rPr>
        <w:t xml:space="preserve">It is absolutely the right solution, offered at completely the wrong time. </w:t>
      </w:r>
    </w:p>
    <w:p w:rsidR="00E542C7" w:rsidRPr="00FE3FBB" w:rsidP="00531FC0">
      <w:pPr>
        <w:pStyle w:val="ListParagraph"/>
        <w:rPr>
          <w:rFonts w:ascii="Verdana" w:hAnsi="Verdana" w:cstheme="minorHAnsi"/>
          <w:sz w:val="24"/>
          <w:szCs w:val="24"/>
        </w:rPr>
      </w:pP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Introducing a stepping-stone earlier — at 14, for example, as National Numeracy has argued for many years — could prevent the cycle of repeated negative experiences</w:t>
      </w:r>
      <w:r w:rsidRPr="00FE3FBB" w:rsidR="006E462E">
        <w:rPr>
          <w:rFonts w:ascii="Verdana" w:hAnsi="Verdana" w:cstheme="minorHAnsi"/>
          <w:sz w:val="24"/>
          <w:szCs w:val="24"/>
        </w:rPr>
        <w:t xml:space="preserve"> post-16</w:t>
      </w:r>
      <w:r w:rsidRPr="00FE3FBB">
        <w:rPr>
          <w:rFonts w:ascii="Verdana" w:hAnsi="Verdana" w:cstheme="minorHAnsi"/>
          <w:sz w:val="24"/>
          <w:szCs w:val="24"/>
        </w:rPr>
        <w:t xml:space="preserve">. To wait for young people to fail before offering a stepping-stone is counter intuitive. </w:t>
      </w:r>
    </w:p>
    <w:p w:rsidR="00E542C7" w:rsidRPr="00FE3FBB" w:rsidP="00531FC0">
      <w:pPr>
        <w:pStyle w:val="ListParagraph"/>
        <w:rPr>
          <w:rFonts w:ascii="Verdana" w:hAnsi="Verdana" w:cstheme="minorHAnsi"/>
          <w:sz w:val="24"/>
          <w:szCs w:val="24"/>
        </w:rPr>
      </w:pP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Regardless of the approach to maths assessment post-16, </w:t>
      </w:r>
      <w:r w:rsidRPr="00FE3FBB" w:rsidR="00F7081A">
        <w:rPr>
          <w:rFonts w:ascii="Verdana" w:hAnsi="Verdana" w:cstheme="minorHAnsi"/>
          <w:sz w:val="24"/>
          <w:szCs w:val="24"/>
        </w:rPr>
        <w:t xml:space="preserve">educators in </w:t>
      </w:r>
      <w:r w:rsidRPr="00FE3FBB" w:rsidR="00B32C6C">
        <w:rPr>
          <w:rFonts w:ascii="Verdana" w:hAnsi="Verdana" w:cstheme="minorHAnsi"/>
          <w:sz w:val="24"/>
          <w:szCs w:val="24"/>
        </w:rPr>
        <w:t>schools and colleges do an exceptional job, under very challenging circumstances</w:t>
      </w:r>
      <w:r w:rsidRPr="00FE3FBB" w:rsidR="00D55BB3">
        <w:rPr>
          <w:rFonts w:ascii="Verdana" w:hAnsi="Verdana" w:cstheme="minorHAnsi"/>
          <w:sz w:val="24"/>
          <w:szCs w:val="24"/>
        </w:rPr>
        <w:t xml:space="preserve">, </w:t>
      </w:r>
      <w:r w:rsidRPr="00FE3FBB" w:rsidR="002D09D9">
        <w:rPr>
          <w:rFonts w:ascii="Verdana" w:hAnsi="Verdana" w:cstheme="minorHAnsi"/>
          <w:sz w:val="24"/>
          <w:szCs w:val="24"/>
        </w:rPr>
        <w:t xml:space="preserve">to improve </w:t>
      </w:r>
      <w:r w:rsidRPr="00FE3FBB" w:rsidR="008A5887">
        <w:rPr>
          <w:rFonts w:ascii="Verdana" w:hAnsi="Verdana" w:cstheme="minorHAnsi"/>
          <w:sz w:val="24"/>
          <w:szCs w:val="24"/>
        </w:rPr>
        <w:t>the relationship that</w:t>
      </w:r>
      <w:r w:rsidRPr="00FE3FBB" w:rsidR="002D09D9">
        <w:rPr>
          <w:rFonts w:ascii="Verdana" w:hAnsi="Verdana" w:cstheme="minorHAnsi"/>
          <w:sz w:val="24"/>
          <w:szCs w:val="24"/>
        </w:rPr>
        <w:t xml:space="preserve"> young people who have struggled up to this point </w:t>
      </w:r>
      <w:r w:rsidRPr="00FE3FBB" w:rsidR="008A5887">
        <w:rPr>
          <w:rFonts w:ascii="Verdana" w:hAnsi="Verdana" w:cstheme="minorHAnsi"/>
          <w:sz w:val="24"/>
          <w:szCs w:val="24"/>
        </w:rPr>
        <w:t>have with maths</w:t>
      </w:r>
      <w:r w:rsidRPr="00FE3FBB" w:rsidR="00DA0163">
        <w:rPr>
          <w:rFonts w:ascii="Verdana" w:hAnsi="Verdana" w:cstheme="minorHAnsi"/>
          <w:sz w:val="24"/>
          <w:szCs w:val="24"/>
        </w:rPr>
        <w:t xml:space="preserve"> and to support them to make progress</w:t>
      </w:r>
      <w:r w:rsidRPr="00FE3FBB" w:rsidR="008A5887">
        <w:rPr>
          <w:rFonts w:ascii="Verdana" w:hAnsi="Verdana" w:cstheme="minorHAnsi"/>
          <w:sz w:val="24"/>
          <w:szCs w:val="24"/>
        </w:rPr>
        <w:t xml:space="preserve">. That said, providing </w:t>
      </w:r>
      <w:r w:rsidRPr="00FE3FBB" w:rsidR="00A157EA">
        <w:rPr>
          <w:rFonts w:ascii="Verdana" w:hAnsi="Verdana" w:cstheme="minorHAnsi"/>
          <w:sz w:val="24"/>
          <w:szCs w:val="24"/>
        </w:rPr>
        <w:t xml:space="preserve">the post-16 education system with the </w:t>
      </w:r>
      <w:r w:rsidRPr="00FE3FBB" w:rsidR="003D3EE9">
        <w:rPr>
          <w:rFonts w:ascii="Verdana" w:hAnsi="Verdana" w:cstheme="minorHAnsi"/>
          <w:sz w:val="24"/>
          <w:szCs w:val="24"/>
        </w:rPr>
        <w:t xml:space="preserve">tools and resources to help rebuild the confidence of young people in </w:t>
      </w:r>
      <w:r w:rsidRPr="00FE3FBB" w:rsidR="003D3EE9">
        <w:rPr>
          <w:rFonts w:ascii="Verdana" w:hAnsi="Verdana" w:cstheme="minorHAnsi"/>
          <w:sz w:val="24"/>
          <w:szCs w:val="24"/>
        </w:rPr>
        <w:t>the first instance</w:t>
      </w:r>
      <w:r w:rsidRPr="00FE3FBB" w:rsidR="00DA0163">
        <w:rPr>
          <w:rFonts w:ascii="Verdana" w:hAnsi="Verdana" w:cstheme="minorHAnsi"/>
          <w:sz w:val="24"/>
          <w:szCs w:val="24"/>
        </w:rPr>
        <w:t xml:space="preserve">, should be a priority. There are many excellent examples </w:t>
      </w:r>
      <w:r w:rsidRPr="00FE3FBB" w:rsidR="008B064C">
        <w:rPr>
          <w:rFonts w:ascii="Verdana" w:hAnsi="Verdana" w:cstheme="minorHAnsi"/>
          <w:sz w:val="24"/>
          <w:szCs w:val="24"/>
        </w:rPr>
        <w:t>of how additional support and interventions can make a huge difference to outcomes and addressing inequality.</w:t>
      </w:r>
    </w:p>
    <w:p w:rsidR="00E542C7" w:rsidRPr="00FE3FBB" w:rsidP="00531FC0">
      <w:pPr>
        <w:pStyle w:val="ListParagraph"/>
        <w:rPr>
          <w:rFonts w:ascii="Verdana" w:hAnsi="Verdana" w:cstheme="minorHAnsi"/>
          <w:sz w:val="24"/>
          <w:szCs w:val="24"/>
        </w:rPr>
      </w:pP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For those young </w:t>
      </w:r>
      <w:r w:rsidRPr="00FE3FBB" w:rsidR="003566BE">
        <w:rPr>
          <w:rFonts w:ascii="Verdana" w:hAnsi="Verdana" w:cstheme="minorHAnsi"/>
          <w:sz w:val="24"/>
          <w:szCs w:val="24"/>
        </w:rPr>
        <w:t xml:space="preserve">people </w:t>
      </w:r>
      <w:r w:rsidRPr="00FE3FBB" w:rsidR="00795B32">
        <w:rPr>
          <w:rFonts w:ascii="Verdana" w:hAnsi="Verdana" w:cstheme="minorHAnsi"/>
          <w:sz w:val="24"/>
          <w:szCs w:val="24"/>
        </w:rPr>
        <w:t xml:space="preserve">who progress </w:t>
      </w:r>
      <w:r w:rsidRPr="00FE3FBB" w:rsidR="00224F19">
        <w:rPr>
          <w:rFonts w:ascii="Verdana" w:hAnsi="Verdana" w:cstheme="minorHAnsi"/>
          <w:sz w:val="24"/>
          <w:szCs w:val="24"/>
        </w:rPr>
        <w:t>or might progress with maths beyond GCSE, there should greater focus and promotion of Core Maths</w:t>
      </w:r>
      <w:r w:rsidRPr="00FE3FBB" w:rsidR="0055716A">
        <w:rPr>
          <w:rFonts w:ascii="Verdana" w:hAnsi="Verdana" w:cstheme="minorHAnsi"/>
          <w:sz w:val="24"/>
          <w:szCs w:val="24"/>
        </w:rPr>
        <w:t xml:space="preserve">, in order to help boost the numeracy levels of the nation. Core maths </w:t>
      </w:r>
      <w:r w:rsidRPr="00FE3FBB" w:rsidR="00224F19">
        <w:rPr>
          <w:rFonts w:ascii="Verdana" w:hAnsi="Verdana" w:cstheme="minorHAnsi"/>
          <w:sz w:val="24"/>
          <w:szCs w:val="24"/>
        </w:rPr>
        <w:t>is a level 3 qualification, like AS/A levels. It is the same size as a</w:t>
      </w:r>
      <w:r w:rsidRPr="00FE3FBB" w:rsidR="005412FE">
        <w:rPr>
          <w:rFonts w:ascii="Verdana" w:hAnsi="Verdana" w:cstheme="minorHAnsi"/>
          <w:sz w:val="24"/>
          <w:szCs w:val="24"/>
        </w:rPr>
        <w:t>n</w:t>
      </w:r>
      <w:r w:rsidRPr="00FE3FBB" w:rsidR="00C81C5B">
        <w:rPr>
          <w:rFonts w:ascii="Verdana" w:hAnsi="Verdana" w:cstheme="minorHAnsi"/>
          <w:sz w:val="24"/>
          <w:szCs w:val="24"/>
        </w:rPr>
        <w:t xml:space="preserve"> </w:t>
      </w:r>
      <w:r w:rsidRPr="00FE3FBB" w:rsidR="00224F19">
        <w:rPr>
          <w:rFonts w:ascii="Verdana" w:hAnsi="Verdana" w:cstheme="minorHAnsi"/>
          <w:sz w:val="24"/>
          <w:szCs w:val="24"/>
        </w:rPr>
        <w:t>AS level and carries the same number of UCAS points.</w:t>
      </w:r>
    </w:p>
    <w:p w:rsidR="00E542C7" w:rsidRPr="00FE3FBB" w:rsidP="00531FC0">
      <w:pPr>
        <w:pStyle w:val="ListParagraph"/>
        <w:rPr>
          <w:rFonts w:ascii="Verdana" w:hAnsi="Verdana" w:cstheme="minorHAnsi"/>
          <w:sz w:val="24"/>
          <w:szCs w:val="24"/>
        </w:rPr>
      </w:pPr>
    </w:p>
    <w:p w:rsidR="008B064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Core Maths builds from GCSE Maths, teaching students how to use simple maths in complex contexts. Students learn to apply maths and statistics to real problems and situations they</w:t>
      </w:r>
      <w:r w:rsidRPr="00FE3FBB" w:rsidR="0055716A">
        <w:rPr>
          <w:rFonts w:ascii="Verdana" w:hAnsi="Verdana" w:cstheme="minorHAnsi"/>
          <w:sz w:val="24"/>
          <w:szCs w:val="24"/>
        </w:rPr>
        <w:t xml:space="preserve"> wi</w:t>
      </w:r>
      <w:r w:rsidRPr="00FE3FBB">
        <w:rPr>
          <w:rFonts w:ascii="Verdana" w:hAnsi="Verdana" w:cstheme="minorHAnsi"/>
          <w:sz w:val="24"/>
          <w:szCs w:val="24"/>
        </w:rPr>
        <w:t>ll meet in other areas of study and throughout work and life, from developing a critical understanding of data and statistical information (e.g. topical issues like inflation and climate change), to interpreting mathematical models (e.g. as used in the Covid pandemic), to understanding personal finances (e.g. compound interest, mortgages, taxation).</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sz w:val="24"/>
          <w:szCs w:val="24"/>
        </w:rPr>
      </w:pPr>
      <w:r w:rsidRPr="00FE3FBB">
        <w:rPr>
          <w:rFonts w:ascii="Verdana" w:hAnsi="Verdana" w:cstheme="minorHAnsi"/>
          <w:b/>
          <w:bCs/>
          <w:sz w:val="24"/>
          <w:szCs w:val="24"/>
        </w:rPr>
        <w:t>What is the current provision of numeracy education and skills training for adults, and how accessible is this? What examples are there of work in this area, particularly since the end of the Multiply programme?</w:t>
      </w: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National Numeracy provides </w:t>
      </w:r>
      <w:r w:rsidRPr="00FE3FBB" w:rsidR="00C740AE">
        <w:rPr>
          <w:rFonts w:ascii="Verdana" w:hAnsi="Verdana" w:cstheme="minorHAnsi"/>
          <w:sz w:val="24"/>
          <w:szCs w:val="24"/>
        </w:rPr>
        <w:t xml:space="preserve">the National Numeracy Challenge </w:t>
      </w:r>
      <w:r w:rsidRPr="00FE3FBB" w:rsidR="00E53663">
        <w:rPr>
          <w:rFonts w:ascii="Verdana" w:hAnsi="Verdana" w:cstheme="minorHAnsi"/>
          <w:sz w:val="24"/>
          <w:szCs w:val="24"/>
        </w:rPr>
        <w:t xml:space="preserve">(the Challenge) </w:t>
      </w:r>
      <w:r w:rsidRPr="00FE3FBB" w:rsidR="00C740AE">
        <w:rPr>
          <w:rFonts w:ascii="Verdana" w:hAnsi="Verdana" w:cstheme="minorHAnsi"/>
          <w:sz w:val="24"/>
          <w:szCs w:val="24"/>
        </w:rPr>
        <w:t>– a</w:t>
      </w:r>
      <w:r w:rsidRPr="00FE3FBB" w:rsidR="001471C7">
        <w:rPr>
          <w:rFonts w:ascii="Verdana" w:hAnsi="Verdana" w:cstheme="minorHAnsi"/>
          <w:sz w:val="24"/>
          <w:szCs w:val="24"/>
        </w:rPr>
        <w:t xml:space="preserve"> free</w:t>
      </w:r>
      <w:r w:rsidRPr="00FE3FBB" w:rsidR="00C740AE">
        <w:rPr>
          <w:rFonts w:ascii="Verdana" w:hAnsi="Verdana" w:cstheme="minorHAnsi"/>
          <w:sz w:val="24"/>
          <w:szCs w:val="24"/>
        </w:rPr>
        <w:t xml:space="preserve"> online adaptive learning tool designed for adults with low numeracy and number confidence</w:t>
      </w:r>
      <w:r w:rsidRPr="00FE3FBB" w:rsidR="00E53663">
        <w:rPr>
          <w:rFonts w:ascii="Verdana" w:hAnsi="Verdana" w:cstheme="minorHAnsi"/>
          <w:sz w:val="24"/>
          <w:szCs w:val="24"/>
        </w:rPr>
        <w:t>. The Challenge can be used to check and improve your numeracy</w:t>
      </w:r>
      <w:r w:rsidRPr="00FE3FBB" w:rsidR="00C7746B">
        <w:rPr>
          <w:rFonts w:ascii="Verdana" w:hAnsi="Verdana" w:cstheme="minorHAnsi"/>
          <w:sz w:val="24"/>
          <w:szCs w:val="24"/>
        </w:rPr>
        <w:t>, focussing exclusively on relatable examples of maths in the real world</w:t>
      </w:r>
      <w:r w:rsidRPr="00FE3FBB" w:rsidR="001471C7">
        <w:rPr>
          <w:rFonts w:ascii="Verdana" w:hAnsi="Verdana" w:cstheme="minorHAnsi"/>
          <w:sz w:val="24"/>
          <w:szCs w:val="24"/>
        </w:rPr>
        <w:t>. It has been used by well over 600,000 people to date</w:t>
      </w:r>
      <w:r w:rsidRPr="00FE3FBB" w:rsidR="00582233">
        <w:rPr>
          <w:rFonts w:ascii="Verdana" w:hAnsi="Verdana" w:cstheme="minorHAnsi"/>
          <w:sz w:val="24"/>
          <w:szCs w:val="24"/>
        </w:rPr>
        <w:t xml:space="preserve"> and provides the means for those with </w:t>
      </w:r>
      <w:r w:rsidRPr="00FE3FBB" w:rsidR="001D4DF8">
        <w:rPr>
          <w:rFonts w:ascii="Verdana" w:hAnsi="Verdana" w:cstheme="minorHAnsi"/>
          <w:sz w:val="24"/>
          <w:szCs w:val="24"/>
        </w:rPr>
        <w:t xml:space="preserve">low number confidence or </w:t>
      </w:r>
      <w:r w:rsidRPr="00FE3FBB" w:rsidR="00582233">
        <w:rPr>
          <w:rFonts w:ascii="Verdana" w:hAnsi="Verdana" w:cstheme="minorHAnsi"/>
          <w:sz w:val="24"/>
          <w:szCs w:val="24"/>
        </w:rPr>
        <w:t>maths anxi</w:t>
      </w:r>
      <w:r w:rsidRPr="00FE3FBB" w:rsidR="001D4DF8">
        <w:rPr>
          <w:rFonts w:ascii="Verdana" w:hAnsi="Verdana" w:cstheme="minorHAnsi"/>
          <w:sz w:val="24"/>
          <w:szCs w:val="24"/>
        </w:rPr>
        <w:t>ety</w:t>
      </w:r>
      <w:r w:rsidRPr="00FE3FBB" w:rsidR="00582233">
        <w:rPr>
          <w:rFonts w:ascii="Verdana" w:hAnsi="Verdana" w:cstheme="minorHAnsi"/>
          <w:sz w:val="24"/>
          <w:szCs w:val="24"/>
        </w:rPr>
        <w:t xml:space="preserve"> to</w:t>
      </w:r>
      <w:r w:rsidRPr="00FE3FBB" w:rsidR="001D4DF8">
        <w:rPr>
          <w:rFonts w:ascii="Verdana" w:hAnsi="Verdana" w:cstheme="minorHAnsi"/>
          <w:sz w:val="24"/>
          <w:szCs w:val="24"/>
        </w:rPr>
        <w:t xml:space="preserve"> rebuild their relationship with maths on their own terms and in </w:t>
      </w:r>
      <w:r w:rsidRPr="00FE3FBB" w:rsidR="00555E99">
        <w:rPr>
          <w:rFonts w:ascii="Verdana" w:hAnsi="Verdana" w:cstheme="minorHAnsi"/>
          <w:sz w:val="24"/>
          <w:szCs w:val="24"/>
        </w:rPr>
        <w:t xml:space="preserve">their own time. </w:t>
      </w:r>
    </w:p>
    <w:p w:rsidR="00E542C7" w:rsidRPr="00FE3FBB" w:rsidP="00531FC0">
      <w:pPr>
        <w:pStyle w:val="ListParagraph"/>
        <w:ind w:left="0"/>
        <w:rPr>
          <w:rFonts w:ascii="Verdana" w:hAnsi="Verdana" w:cstheme="minorHAnsi"/>
          <w:sz w:val="24"/>
          <w:szCs w:val="24"/>
        </w:rPr>
      </w:pP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The Challenge is leveraged by the </w:t>
      </w:r>
      <w:r w:rsidRPr="00FE3FBB" w:rsidR="0035735E">
        <w:rPr>
          <w:rFonts w:ascii="Verdana" w:hAnsi="Verdana" w:cstheme="minorHAnsi"/>
          <w:sz w:val="24"/>
          <w:szCs w:val="24"/>
        </w:rPr>
        <w:t xml:space="preserve">over 4,000 Numeracy Champions we have trained across the UK. In addition, </w:t>
      </w:r>
      <w:r w:rsidRPr="00FE3FBB" w:rsidR="00865679">
        <w:rPr>
          <w:rFonts w:ascii="Verdana" w:hAnsi="Verdana" w:cstheme="minorHAnsi"/>
          <w:sz w:val="24"/>
          <w:szCs w:val="24"/>
        </w:rPr>
        <w:t>at National Numeracy, we both deliver and train Numeracy Champions to deliver “feeling better about maths</w:t>
      </w:r>
      <w:r w:rsidRPr="00FE3FBB" w:rsidR="00C77107">
        <w:rPr>
          <w:rFonts w:ascii="Verdana" w:hAnsi="Verdana" w:cstheme="minorHAnsi"/>
          <w:sz w:val="24"/>
          <w:szCs w:val="24"/>
        </w:rPr>
        <w:t xml:space="preserve">” and “Help your child love </w:t>
      </w:r>
      <w:r w:rsidRPr="00FE3FBB" w:rsidR="001851BE">
        <w:rPr>
          <w:rFonts w:ascii="Verdana" w:hAnsi="Verdana" w:cstheme="minorHAnsi"/>
          <w:sz w:val="24"/>
          <w:szCs w:val="24"/>
        </w:rPr>
        <w:t>math</w:t>
      </w:r>
      <w:r w:rsidRPr="00FE3FBB" w:rsidR="004F559A">
        <w:rPr>
          <w:rFonts w:ascii="Verdana" w:hAnsi="Verdana" w:cstheme="minorHAnsi"/>
          <w:sz w:val="24"/>
          <w:szCs w:val="24"/>
        </w:rPr>
        <w:t>s</w:t>
      </w:r>
      <w:r w:rsidRPr="00FE3FBB" w:rsidR="001851BE">
        <w:rPr>
          <w:rFonts w:ascii="Verdana" w:hAnsi="Verdana" w:cstheme="minorHAnsi"/>
          <w:sz w:val="24"/>
          <w:szCs w:val="24"/>
        </w:rPr>
        <w:t xml:space="preserve">” </w:t>
      </w:r>
      <w:r w:rsidRPr="00FE3FBB" w:rsidR="00C77107">
        <w:rPr>
          <w:rFonts w:ascii="Verdana" w:hAnsi="Verdana" w:cstheme="minorHAnsi"/>
          <w:sz w:val="24"/>
          <w:szCs w:val="24"/>
        </w:rPr>
        <w:t xml:space="preserve">sessions </w:t>
      </w:r>
      <w:r w:rsidRPr="00FE3FBB" w:rsidR="00C334A5">
        <w:rPr>
          <w:rFonts w:ascii="Verdana" w:hAnsi="Verdana" w:cstheme="minorHAnsi"/>
          <w:sz w:val="24"/>
          <w:szCs w:val="24"/>
        </w:rPr>
        <w:t xml:space="preserve">and provide </w:t>
      </w:r>
      <w:r w:rsidRPr="00FE3FBB" w:rsidR="001E6151">
        <w:rPr>
          <w:rFonts w:ascii="Verdana" w:hAnsi="Verdana" w:cstheme="minorHAnsi"/>
          <w:sz w:val="24"/>
          <w:szCs w:val="24"/>
        </w:rPr>
        <w:t xml:space="preserve">a range of numeracy resources </w:t>
      </w:r>
      <w:r w:rsidRPr="00FE3FBB" w:rsidR="00C77107">
        <w:rPr>
          <w:rFonts w:ascii="Verdana" w:hAnsi="Verdana" w:cstheme="minorHAnsi"/>
          <w:sz w:val="24"/>
          <w:szCs w:val="24"/>
        </w:rPr>
        <w:t>for</w:t>
      </w:r>
      <w:r w:rsidRPr="00FE3FBB" w:rsidR="001851BE">
        <w:rPr>
          <w:rFonts w:ascii="Verdana" w:hAnsi="Verdana" w:cstheme="minorHAnsi"/>
          <w:sz w:val="24"/>
          <w:szCs w:val="24"/>
        </w:rPr>
        <w:t xml:space="preserve"> tens of</w:t>
      </w:r>
      <w:r w:rsidRPr="00FE3FBB" w:rsidR="00C77107">
        <w:rPr>
          <w:rFonts w:ascii="Verdana" w:hAnsi="Verdana" w:cstheme="minorHAnsi"/>
          <w:sz w:val="24"/>
          <w:szCs w:val="24"/>
        </w:rPr>
        <w:t xml:space="preserve"> </w:t>
      </w:r>
      <w:r w:rsidRPr="00FE3FBB" w:rsidR="00DA0E1B">
        <w:rPr>
          <w:rFonts w:ascii="Verdana" w:hAnsi="Verdana" w:cstheme="minorHAnsi"/>
          <w:sz w:val="24"/>
          <w:szCs w:val="24"/>
        </w:rPr>
        <w:t xml:space="preserve">thousands of </w:t>
      </w:r>
      <w:r w:rsidRPr="00FE3FBB" w:rsidR="00C77107">
        <w:rPr>
          <w:rFonts w:ascii="Verdana" w:hAnsi="Verdana" w:cstheme="minorHAnsi"/>
          <w:sz w:val="24"/>
          <w:szCs w:val="24"/>
        </w:rPr>
        <w:t>adults</w:t>
      </w:r>
      <w:r w:rsidRPr="00FE3FBB" w:rsidR="00DA0E1B">
        <w:rPr>
          <w:rFonts w:ascii="Verdana" w:hAnsi="Verdana" w:cstheme="minorHAnsi"/>
          <w:sz w:val="24"/>
          <w:szCs w:val="24"/>
        </w:rPr>
        <w:t xml:space="preserve"> across the country</w:t>
      </w:r>
      <w:r w:rsidRPr="00FE3FBB" w:rsidR="00C77107">
        <w:rPr>
          <w:rFonts w:ascii="Verdana" w:hAnsi="Verdana" w:cstheme="minorHAnsi"/>
          <w:sz w:val="24"/>
          <w:szCs w:val="24"/>
        </w:rPr>
        <w:t>.</w:t>
      </w:r>
    </w:p>
    <w:p w:rsidR="00E542C7" w:rsidRPr="00FE3FBB" w:rsidP="00531FC0">
      <w:pPr>
        <w:pStyle w:val="ListParagraph"/>
        <w:rPr>
          <w:rFonts w:ascii="Verdana" w:hAnsi="Verdana" w:cstheme="minorHAnsi"/>
          <w:sz w:val="24"/>
          <w:szCs w:val="24"/>
        </w:rPr>
      </w:pP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National Numeracy’s </w:t>
      </w:r>
      <w:r w:rsidRPr="00FE3FBB" w:rsidR="00ED64AC">
        <w:rPr>
          <w:rFonts w:ascii="Verdana" w:hAnsi="Verdana" w:cstheme="minorHAnsi"/>
          <w:sz w:val="24"/>
          <w:szCs w:val="24"/>
        </w:rPr>
        <w:t xml:space="preserve">provision is </w:t>
      </w:r>
      <w:r w:rsidRPr="00FE3FBB" w:rsidR="001E6151">
        <w:rPr>
          <w:rFonts w:ascii="Verdana" w:hAnsi="Verdana" w:cstheme="minorHAnsi"/>
          <w:sz w:val="24"/>
          <w:szCs w:val="24"/>
        </w:rPr>
        <w:t xml:space="preserve">designed specifically for adults who struggle with maths. </w:t>
      </w:r>
      <w:r w:rsidRPr="00FE3FBB" w:rsidR="00037B4D">
        <w:rPr>
          <w:rFonts w:ascii="Verdana" w:hAnsi="Verdana" w:cstheme="minorHAnsi"/>
          <w:sz w:val="24"/>
          <w:szCs w:val="24"/>
        </w:rPr>
        <w:t xml:space="preserve">It </w:t>
      </w:r>
      <w:r w:rsidRPr="00FE3FBB" w:rsidR="00E85210">
        <w:rPr>
          <w:rFonts w:ascii="Verdana" w:hAnsi="Verdana" w:cstheme="minorHAnsi"/>
          <w:sz w:val="24"/>
          <w:szCs w:val="24"/>
        </w:rPr>
        <w:t xml:space="preserve">provides the crucial stepping stones </w:t>
      </w:r>
      <w:r w:rsidRPr="00FE3FBB" w:rsidR="00037B4D">
        <w:rPr>
          <w:rFonts w:ascii="Verdana" w:hAnsi="Verdana" w:cstheme="minorHAnsi"/>
          <w:sz w:val="24"/>
          <w:szCs w:val="24"/>
        </w:rPr>
        <w:t xml:space="preserve">between where people with low numeracy most often </w:t>
      </w:r>
      <w:r w:rsidRPr="00FE3FBB" w:rsidR="00E85210">
        <w:rPr>
          <w:rFonts w:ascii="Verdana" w:hAnsi="Verdana" w:cstheme="minorHAnsi"/>
          <w:sz w:val="24"/>
          <w:szCs w:val="24"/>
        </w:rPr>
        <w:t xml:space="preserve">currently </w:t>
      </w:r>
      <w:r w:rsidRPr="00FE3FBB" w:rsidR="00037B4D">
        <w:rPr>
          <w:rFonts w:ascii="Verdana" w:hAnsi="Verdana" w:cstheme="minorHAnsi"/>
          <w:sz w:val="24"/>
          <w:szCs w:val="24"/>
        </w:rPr>
        <w:t>are</w:t>
      </w:r>
      <w:r w:rsidRPr="00FE3FBB" w:rsidR="00E85210">
        <w:rPr>
          <w:rFonts w:ascii="Verdana" w:hAnsi="Verdana" w:cstheme="minorHAnsi"/>
          <w:sz w:val="24"/>
          <w:szCs w:val="24"/>
        </w:rPr>
        <w:t xml:space="preserve"> and </w:t>
      </w:r>
      <w:r w:rsidRPr="00FE3FBB" w:rsidR="002D75E0">
        <w:rPr>
          <w:rFonts w:ascii="Verdana" w:hAnsi="Verdana" w:cstheme="minorHAnsi"/>
          <w:sz w:val="24"/>
          <w:szCs w:val="24"/>
        </w:rPr>
        <w:t xml:space="preserve">those people either gaining the skills they need in their everyday lives or the confidence and skills necessary to go on to undertake a formal course (in </w:t>
      </w:r>
      <w:r w:rsidRPr="00FE3FBB" w:rsidR="002D75E0">
        <w:rPr>
          <w:rFonts w:ascii="Verdana" w:hAnsi="Verdana" w:cstheme="minorHAnsi"/>
          <w:sz w:val="24"/>
          <w:szCs w:val="24"/>
        </w:rPr>
        <w:t xml:space="preserve">the nine years up to 2022, post-19 participation in formal </w:t>
      </w:r>
      <w:r w:rsidRPr="00FE3FBB" w:rsidR="001851BE">
        <w:rPr>
          <w:rFonts w:ascii="Verdana" w:hAnsi="Verdana" w:cstheme="minorHAnsi"/>
          <w:sz w:val="24"/>
          <w:szCs w:val="24"/>
        </w:rPr>
        <w:t xml:space="preserve">maths </w:t>
      </w:r>
      <w:r w:rsidRPr="00FE3FBB" w:rsidR="002D75E0">
        <w:rPr>
          <w:rFonts w:ascii="Verdana" w:hAnsi="Verdana" w:cstheme="minorHAnsi"/>
          <w:sz w:val="24"/>
          <w:szCs w:val="24"/>
        </w:rPr>
        <w:t>courses up to Level 2 declined by 66% and achievement dropped from 50% to 41%, with those achieving a Level 1 alone dropping by 85%</w:t>
      </w:r>
      <w:r w:rsidRPr="00FE3FBB" w:rsidR="00C81C5B">
        <w:rPr>
          <w:rFonts w:ascii="Verdana" w:hAnsi="Verdana" w:cstheme="minorHAnsi"/>
          <w:sz w:val="24"/>
          <w:szCs w:val="24"/>
        </w:rPr>
        <w:t xml:space="preserve"> (DfE)</w:t>
      </w:r>
      <w:r w:rsidRPr="00FE3FBB" w:rsidR="002D75E0">
        <w:rPr>
          <w:rFonts w:ascii="Verdana" w:hAnsi="Verdana" w:cstheme="minorHAnsi"/>
          <w:sz w:val="24"/>
          <w:szCs w:val="24"/>
        </w:rPr>
        <w:t>).</w:t>
      </w:r>
    </w:p>
    <w:p w:rsidR="00E542C7" w:rsidRPr="00FE3FBB" w:rsidP="00531FC0">
      <w:pPr>
        <w:pStyle w:val="ListParagraph"/>
        <w:rPr>
          <w:rFonts w:ascii="Verdana" w:hAnsi="Verdana" w:cstheme="minorHAnsi"/>
          <w:sz w:val="24"/>
          <w:szCs w:val="24"/>
        </w:rPr>
      </w:pPr>
    </w:p>
    <w:p w:rsidR="00E542C7"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While formal </w:t>
      </w:r>
      <w:r w:rsidRPr="00FE3FBB" w:rsidR="00330F94">
        <w:rPr>
          <w:rFonts w:ascii="Verdana" w:hAnsi="Verdana" w:cstheme="minorHAnsi"/>
          <w:sz w:val="24"/>
          <w:szCs w:val="24"/>
        </w:rPr>
        <w:t xml:space="preserve">adult </w:t>
      </w:r>
      <w:r w:rsidRPr="00FE3FBB">
        <w:rPr>
          <w:rFonts w:ascii="Verdana" w:hAnsi="Verdana" w:cstheme="minorHAnsi"/>
          <w:sz w:val="24"/>
          <w:szCs w:val="24"/>
        </w:rPr>
        <w:t xml:space="preserve">maths courses and qualifications are </w:t>
      </w:r>
      <w:r w:rsidRPr="00FE3FBB" w:rsidR="001A3DF7">
        <w:rPr>
          <w:rFonts w:ascii="Verdana" w:hAnsi="Verdana" w:cstheme="minorHAnsi"/>
          <w:sz w:val="24"/>
          <w:szCs w:val="24"/>
        </w:rPr>
        <w:t xml:space="preserve">abundant and largely available free of charge to those with low numeracy without existing qualifications, </w:t>
      </w:r>
      <w:r w:rsidRPr="00FE3FBB" w:rsidR="00692DFA">
        <w:rPr>
          <w:rFonts w:ascii="Verdana" w:hAnsi="Verdana" w:cstheme="minorHAnsi"/>
          <w:sz w:val="24"/>
          <w:szCs w:val="24"/>
        </w:rPr>
        <w:t>their take-up</w:t>
      </w:r>
      <w:r w:rsidRPr="00FE3FBB" w:rsidR="004163D0">
        <w:rPr>
          <w:rFonts w:ascii="Verdana" w:hAnsi="Verdana" w:cstheme="minorHAnsi"/>
          <w:sz w:val="24"/>
          <w:szCs w:val="24"/>
        </w:rPr>
        <w:t xml:space="preserve"> and even more so their successful completion is</w:t>
      </w:r>
      <w:r w:rsidRPr="00FE3FBB" w:rsidR="00692DFA">
        <w:rPr>
          <w:rFonts w:ascii="Verdana" w:hAnsi="Verdana" w:cstheme="minorHAnsi"/>
          <w:sz w:val="24"/>
          <w:szCs w:val="24"/>
        </w:rPr>
        <w:t xml:space="preserve"> understandably very low</w:t>
      </w:r>
      <w:r w:rsidRPr="00FE3FBB" w:rsidR="004163D0">
        <w:rPr>
          <w:rFonts w:ascii="Verdana" w:hAnsi="Verdana" w:cstheme="minorHAnsi"/>
          <w:sz w:val="24"/>
          <w:szCs w:val="24"/>
        </w:rPr>
        <w:t xml:space="preserve">. </w:t>
      </w:r>
      <w:r w:rsidRPr="00FE3FBB" w:rsidR="00AE7830">
        <w:rPr>
          <w:rFonts w:ascii="Verdana" w:hAnsi="Verdana" w:cstheme="minorHAnsi"/>
          <w:sz w:val="24"/>
          <w:szCs w:val="24"/>
        </w:rPr>
        <w:t xml:space="preserve">This is because </w:t>
      </w:r>
      <w:r w:rsidRPr="00FE3FBB" w:rsidR="00F03375">
        <w:rPr>
          <w:rFonts w:ascii="Verdana" w:hAnsi="Verdana" w:cstheme="minorHAnsi"/>
          <w:sz w:val="24"/>
          <w:szCs w:val="24"/>
        </w:rPr>
        <w:t xml:space="preserve">policy makers </w:t>
      </w:r>
      <w:r w:rsidRPr="00FE3FBB" w:rsidR="00E30FFB">
        <w:rPr>
          <w:rFonts w:ascii="Verdana" w:hAnsi="Verdana" w:cstheme="minorHAnsi"/>
          <w:sz w:val="24"/>
          <w:szCs w:val="24"/>
        </w:rPr>
        <w:t xml:space="preserve">across successive governments understand the issue to be wholly one of insufficient supply, when it is in fact wholly an issue of a lack of demand. </w:t>
      </w:r>
      <w:r w:rsidRPr="00FE3FBB" w:rsidR="00EA0738">
        <w:rPr>
          <w:rFonts w:ascii="Verdana" w:hAnsi="Verdana" w:cstheme="minorHAnsi"/>
          <w:sz w:val="24"/>
          <w:szCs w:val="24"/>
        </w:rPr>
        <w:t>Successful provision for adults recognises this and works hard to put in place the stepping stones and conditions needed to boost demand in the first instance.</w:t>
      </w:r>
    </w:p>
    <w:p w:rsidR="00E542C7" w:rsidRPr="00FE3FBB" w:rsidP="00531FC0">
      <w:pPr>
        <w:pStyle w:val="ListParagraph"/>
        <w:rPr>
          <w:rFonts w:ascii="Verdana" w:hAnsi="Verdana" w:cstheme="minorHAnsi"/>
          <w:sz w:val="24"/>
          <w:szCs w:val="24"/>
        </w:rPr>
      </w:pPr>
    </w:p>
    <w:p w:rsidR="00EB3D4C"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Although there is an element for local provision within the Adult Skills Budget, the reality is that funded support is used for formal courses and qualifications. Therefore, all of National Numeracy’s support is funded from charitable sources. The </w:t>
      </w:r>
      <w:r w:rsidRPr="00FE3FBB" w:rsidR="00595678">
        <w:rPr>
          <w:rFonts w:ascii="Verdana" w:hAnsi="Verdana" w:cstheme="minorHAnsi"/>
          <w:sz w:val="24"/>
          <w:szCs w:val="24"/>
        </w:rPr>
        <w:t>government’s “</w:t>
      </w:r>
      <w:r w:rsidRPr="00FE3FBB">
        <w:rPr>
          <w:rFonts w:ascii="Verdana" w:hAnsi="Verdana" w:cstheme="minorHAnsi"/>
          <w:sz w:val="24"/>
          <w:szCs w:val="24"/>
        </w:rPr>
        <w:t>Multiply</w:t>
      </w:r>
      <w:r w:rsidRPr="00FE3FBB" w:rsidR="00595678">
        <w:rPr>
          <w:rFonts w:ascii="Verdana" w:hAnsi="Verdana" w:cstheme="minorHAnsi"/>
          <w:sz w:val="24"/>
          <w:szCs w:val="24"/>
        </w:rPr>
        <w:t>” adult numeracy</w:t>
      </w:r>
      <w:r w:rsidRPr="00FE3FBB">
        <w:rPr>
          <w:rFonts w:ascii="Verdana" w:hAnsi="Verdana" w:cstheme="minorHAnsi"/>
          <w:sz w:val="24"/>
          <w:szCs w:val="24"/>
        </w:rPr>
        <w:t xml:space="preserve"> initiative provided a hugely welcome focus on the engagement work that is needed in order to encourage adults with low numeracy to take up the wealth of free formal provision that is already available. Since Multiply ended in March 2025, the landscape has reverted to a diminishing number of adults engaging in improving their skills.</w:t>
      </w:r>
    </w:p>
    <w:p w:rsidR="00065FE4" w:rsidRPr="00FE3FBB" w:rsidP="00531FC0">
      <w:pPr>
        <w:pStyle w:val="ListParagraph"/>
        <w:rPr>
          <w:rFonts w:ascii="Verdana" w:hAnsi="Verdana" w:cstheme="minorHAnsi"/>
          <w:sz w:val="24"/>
          <w:szCs w:val="24"/>
        </w:rPr>
      </w:pPr>
    </w:p>
    <w:p w:rsidR="00065FE4"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sz w:val="24"/>
          <w:szCs w:val="24"/>
        </w:rPr>
      </w:pPr>
      <w:r w:rsidRPr="00FE3FBB">
        <w:rPr>
          <w:rFonts w:ascii="Verdana" w:hAnsi="Verdana" w:cstheme="minorHAnsi"/>
          <w:b/>
          <w:bCs/>
          <w:sz w:val="24"/>
          <w:szCs w:val="24"/>
        </w:rPr>
        <w:t>What opportunities do people who have left school without numeracy skills for life have to improve their numeracy skills?</w:t>
      </w:r>
    </w:p>
    <w:p w:rsidR="00065FE4" w:rsidRPr="00FE3FBB" w:rsidP="00531FC0">
      <w:pPr>
        <w:rPr>
          <w:rFonts w:ascii="Verdana" w:hAnsi="Verdana" w:cstheme="minorHAnsi"/>
          <w:sz w:val="24"/>
          <w:szCs w:val="24"/>
        </w:rPr>
      </w:pPr>
      <w:r w:rsidRPr="00FE3FBB">
        <w:rPr>
          <w:rFonts w:ascii="Verdana" w:hAnsi="Verdana" w:cstheme="minorHAnsi"/>
          <w:sz w:val="24"/>
          <w:szCs w:val="24"/>
        </w:rPr>
        <w:t xml:space="preserve">Please see responses to questions </w:t>
      </w:r>
      <w:r w:rsidRPr="00FE3FBB" w:rsidR="000B67D4">
        <w:rPr>
          <w:rFonts w:ascii="Verdana" w:hAnsi="Verdana" w:cstheme="minorHAnsi"/>
          <w:sz w:val="24"/>
          <w:szCs w:val="24"/>
        </w:rPr>
        <w:t>11 and 12.</w:t>
      </w:r>
    </w:p>
    <w:p w:rsidR="00065FE4" w:rsidRPr="00FE3FBB" w:rsidP="00531FC0">
      <w:pPr>
        <w:rPr>
          <w:rFonts w:ascii="Verdana" w:hAnsi="Verdana" w:cstheme="minorHAnsi"/>
          <w:sz w:val="24"/>
          <w:szCs w:val="24"/>
        </w:rPr>
      </w:pPr>
    </w:p>
    <w:p w:rsidR="003E62E1" w:rsidRPr="00FE3FBB" w:rsidP="00531FC0">
      <w:pPr>
        <w:rPr>
          <w:rFonts w:ascii="Verdana" w:hAnsi="Verdana" w:cstheme="minorHAnsi"/>
          <w:sz w:val="24"/>
          <w:szCs w:val="24"/>
        </w:rPr>
      </w:pPr>
      <w:r w:rsidRPr="00FE3FBB">
        <w:rPr>
          <w:rFonts w:ascii="Verdana" w:hAnsi="Verdana" w:cstheme="minorHAnsi"/>
          <w:b/>
          <w:bCs/>
          <w:sz w:val="24"/>
          <w:szCs w:val="24"/>
        </w:rPr>
        <w:t>What are the key challenges in addressing low numeracy in adults and how can adults be motivated and supported to participate in education and training to improve numeracy levels? What role does financial literacy and inclusion play in providing motivation and improvement in numeracy?</w:t>
      </w: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Focus on stimulating demand: The key to improving adult numeracy is stimulating demand at scale.  Successful approaches lead with a value proposition that emphasizes how improving numeracy creates opportunities and opens doors. They appeal to a range of common and powerful motivations, such as getting on at work or supporting children. They meet people where they are, for example on social media, through digital solutions or by working in partnership with employers and organisations trusted by the public. They make it easy and quick to engage, for example by avoiding complex sign-up processes, create a sense of fun and leverage popular role models and relatable stories. </w:t>
      </w:r>
      <w:r w:rsidRPr="00FE3FBB">
        <w:rPr>
          <w:rFonts w:ascii="Verdana" w:hAnsi="Verdana" w:cstheme="minorHAnsi"/>
          <w:sz w:val="24"/>
          <w:szCs w:val="24"/>
        </w:rPr>
        <w:t>Crucially, effective approaches avoid reminding people of school and they relate to people as adults, not children</w:t>
      </w:r>
    </w:p>
    <w:p w:rsidR="003E62E1" w:rsidRPr="00FE3FBB" w:rsidP="00531FC0">
      <w:pPr>
        <w:pStyle w:val="ListParagraph"/>
        <w:ind w:left="0"/>
        <w:rPr>
          <w:rFonts w:ascii="Verdana" w:hAnsi="Verdana" w:cstheme="minorHAnsi"/>
          <w:sz w:val="24"/>
          <w:szCs w:val="24"/>
        </w:rPr>
      </w:pP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Help people rebuild their confidence and relationship with maths: Adults with low numeracy typically have a poor relationship with maths. Most often, they have experienced a sense of failure throughout the entirety of their compulsory education. They may also have developed entrenched negative attitudes towards the value of maths. For such people, maths can evoke feelings of fear, anxiety and vulnerability, and may be associated with low confidence and self-esteem, resulting in a strong aversion to situations that might surface these feelings. The barriers to addressing these emotions and connections are usually deeply ingrained and psychological in nature. The first step is to begin to open a door that has </w:t>
      </w:r>
      <w:r w:rsidRPr="00FE3FBB" w:rsidR="00F16EE9">
        <w:rPr>
          <w:rFonts w:ascii="Verdana" w:hAnsi="Verdana" w:cstheme="minorHAnsi"/>
          <w:sz w:val="24"/>
          <w:szCs w:val="24"/>
        </w:rPr>
        <w:t xml:space="preserve">previously </w:t>
      </w:r>
      <w:r w:rsidRPr="00FE3FBB">
        <w:rPr>
          <w:rFonts w:ascii="Verdana" w:hAnsi="Verdana" w:cstheme="minorHAnsi"/>
          <w:sz w:val="24"/>
          <w:szCs w:val="24"/>
        </w:rPr>
        <w:t xml:space="preserve">been </w:t>
      </w:r>
      <w:r w:rsidRPr="00FE3FBB" w:rsidR="00F16EE9">
        <w:rPr>
          <w:rFonts w:ascii="Verdana" w:hAnsi="Verdana" w:cstheme="minorHAnsi"/>
          <w:sz w:val="24"/>
          <w:szCs w:val="24"/>
        </w:rPr>
        <w:t xml:space="preserve">firmly </w:t>
      </w:r>
      <w:r w:rsidRPr="00FE3FBB">
        <w:rPr>
          <w:rFonts w:ascii="Verdana" w:hAnsi="Verdana" w:cstheme="minorHAnsi"/>
          <w:sz w:val="24"/>
          <w:szCs w:val="24"/>
        </w:rPr>
        <w:t>shut.</w:t>
      </w:r>
    </w:p>
    <w:p w:rsidR="003E62E1" w:rsidRPr="00FE3FBB" w:rsidP="00531FC0">
      <w:pPr>
        <w:pStyle w:val="ListParagraph"/>
        <w:rPr>
          <w:rFonts w:ascii="Verdana" w:hAnsi="Verdana" w:cstheme="minorHAnsi"/>
          <w:sz w:val="24"/>
          <w:szCs w:val="24"/>
        </w:rPr>
      </w:pP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Do not start with learning. Instead, start by getting people ready to learn:</w:t>
      </w:r>
      <w:r w:rsidRPr="00FE3FBB">
        <w:rPr>
          <w:rFonts w:ascii="Verdana" w:hAnsi="Verdana" w:cstheme="minorHAnsi"/>
          <w:b/>
          <w:bCs/>
          <w:sz w:val="24"/>
          <w:szCs w:val="24"/>
        </w:rPr>
        <w:t xml:space="preserve"> </w:t>
      </w:r>
      <w:r w:rsidRPr="00FE3FBB">
        <w:rPr>
          <w:rFonts w:ascii="Verdana" w:hAnsi="Verdana" w:cstheme="minorHAnsi"/>
          <w:sz w:val="24"/>
          <w:szCs w:val="24"/>
        </w:rPr>
        <w:t>Without first rebuilding their relationship with maths, adults with low numeracy are unlikely to either take up</w:t>
      </w:r>
      <w:r w:rsidRPr="00FE3FBB" w:rsidR="00D64759">
        <w:rPr>
          <w:rFonts w:ascii="Verdana" w:hAnsi="Verdana" w:cstheme="minorHAnsi"/>
          <w:sz w:val="24"/>
          <w:szCs w:val="24"/>
        </w:rPr>
        <w:t>,</w:t>
      </w:r>
      <w:r w:rsidRPr="00FE3FBB">
        <w:rPr>
          <w:rFonts w:ascii="Verdana" w:hAnsi="Verdana" w:cstheme="minorHAnsi"/>
          <w:sz w:val="24"/>
          <w:szCs w:val="24"/>
        </w:rPr>
        <w:t xml:space="preserve"> or stick with</w:t>
      </w:r>
      <w:r w:rsidRPr="00FE3FBB" w:rsidR="00D64759">
        <w:rPr>
          <w:rFonts w:ascii="Verdana" w:hAnsi="Verdana" w:cstheme="minorHAnsi"/>
          <w:sz w:val="24"/>
          <w:szCs w:val="24"/>
        </w:rPr>
        <w:t>,</w:t>
      </w:r>
      <w:r w:rsidRPr="00FE3FBB">
        <w:rPr>
          <w:rFonts w:ascii="Verdana" w:hAnsi="Verdana" w:cstheme="minorHAnsi"/>
          <w:sz w:val="24"/>
          <w:szCs w:val="24"/>
        </w:rPr>
        <w:t xml:space="preserve"> opportunities to build their skills, as they are often several steps from being ready or in the right mindset to engage with learning. Successful approaches start by enabling adults to engage on their own terms, in their own time and at their own pace. They take care to acknowledge and address the underlying reasons why people may have a poor relationship with maths. For example, effective approaches emphasize that however you feel about maths, you are not alone. They make connections between maths and everyday life so that people can understand the value of getting on with numbers. They double-down on supporting the building of confidence with numbers, before starting to develop skills.</w:t>
      </w:r>
    </w:p>
    <w:p w:rsidR="003E62E1" w:rsidRPr="00FE3FBB" w:rsidP="00531FC0">
      <w:pPr>
        <w:pStyle w:val="ListParagraph"/>
        <w:rPr>
          <w:rFonts w:ascii="Verdana" w:hAnsi="Verdana" w:cstheme="minorHAnsi"/>
          <w:sz w:val="24"/>
          <w:szCs w:val="24"/>
        </w:rPr>
      </w:pP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Remove barriers to engagement: As well as needing to be highly relevant and relatable, supporting people with low numeracy to engage and start to improve their skills requires a simple, highly accessible, quick, flexible and informal approach. While courses are appropriate for those ready to learn, they create immediate and significant barriers for people lacking sufficient confidence, motivation or belief they can improve, not to mention the range of other barriers posed by everyday life, e.g. time, travel, caring responsibilities, etc. This is why our evidence, and a broad range of research into adult learning, emphasizes the need for both ‘bite-sized’ and mobile-supported digital solutions as being most effective.</w:t>
      </w:r>
    </w:p>
    <w:p w:rsidR="003E62E1" w:rsidRPr="00FE3FBB" w:rsidP="00531FC0">
      <w:pPr>
        <w:pStyle w:val="ListParagraph"/>
        <w:rPr>
          <w:rFonts w:ascii="Verdana" w:hAnsi="Verdana" w:cstheme="minorHAnsi"/>
          <w:sz w:val="24"/>
          <w:szCs w:val="24"/>
        </w:rPr>
      </w:pP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Create a consistent experience and a coherent user journey with manageable, bitesize stepping</w:t>
      </w:r>
      <w:r w:rsidRPr="00FE3FBB" w:rsidR="004B6C9E">
        <w:rPr>
          <w:rFonts w:ascii="Verdana" w:hAnsi="Verdana" w:cstheme="minorHAnsi"/>
          <w:sz w:val="24"/>
          <w:szCs w:val="24"/>
        </w:rPr>
        <w:t>-</w:t>
      </w:r>
      <w:r w:rsidRPr="00FE3FBB">
        <w:rPr>
          <w:rFonts w:ascii="Verdana" w:hAnsi="Verdana" w:cstheme="minorHAnsi"/>
          <w:sz w:val="24"/>
          <w:szCs w:val="24"/>
        </w:rPr>
        <w:t xml:space="preserve">stones to progression: For adults with low numeracy, the opportunity to engage must be highly flexible to fit in with the pressures and rhythms of people’s daily lives. However, empowering such people to improve requires support and a consistent experience and </w:t>
      </w:r>
      <w:r w:rsidRPr="00FE3FBB">
        <w:rPr>
          <w:rFonts w:ascii="Verdana" w:hAnsi="Verdana" w:cstheme="minorHAnsi"/>
          <w:sz w:val="24"/>
          <w:szCs w:val="24"/>
        </w:rPr>
        <w:t>journey. Effective solutions that are capable of supporting people to cover a considerable distance, e.g. from initial engagement to a Level 1 or Level 2 qualifications, build and maintain a trusted relationship with the learner. Similarly, from point of access, effective solutions build motivation through the use of milestones and regularly and visibly signifying progression, thus creating a set of stepping</w:t>
      </w:r>
      <w:r w:rsidRPr="00FE3FBB" w:rsidR="004B6C9E">
        <w:rPr>
          <w:rFonts w:ascii="Verdana" w:hAnsi="Verdana" w:cstheme="minorHAnsi"/>
          <w:sz w:val="24"/>
          <w:szCs w:val="24"/>
        </w:rPr>
        <w:t>-</w:t>
      </w:r>
      <w:r w:rsidRPr="00FE3FBB">
        <w:rPr>
          <w:rFonts w:ascii="Verdana" w:hAnsi="Verdana" w:cstheme="minorHAnsi"/>
          <w:sz w:val="24"/>
          <w:szCs w:val="24"/>
        </w:rPr>
        <w:t>stones and achievement up the point where the learner is ready for more formal learning. Transition points, for example from one system to another or from provider to another or which signpost rather than facilitate the next step, interrupt an experience, damage trust and are all likely to precipitate significant drop-off for such learners. They should be minimised or avoided.</w:t>
      </w:r>
      <w:r w:rsidRPr="00FE3FBB">
        <w:rPr>
          <w:rFonts w:ascii="Verdana" w:hAnsi="Verdana" w:cstheme="minorHAnsi"/>
          <w:b/>
          <w:bCs/>
          <w:sz w:val="24"/>
          <w:szCs w:val="24"/>
        </w:rPr>
        <w:t xml:space="preserve"> </w:t>
      </w:r>
    </w:p>
    <w:p w:rsidR="003E62E1" w:rsidRPr="00FE3FBB" w:rsidP="00531FC0">
      <w:pPr>
        <w:pStyle w:val="ListParagraph"/>
        <w:ind w:left="0"/>
        <w:rPr>
          <w:rFonts w:ascii="Verdana" w:hAnsi="Verdana" w:cstheme="minorHAnsi"/>
          <w:sz w:val="24"/>
          <w:szCs w:val="24"/>
        </w:rPr>
      </w:pP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Content must reinforce the presence and value of numeracy in everyday life: The presence and value of numeracy in everyday life is often misunderstood and underestimated. However, a compelling value proposition is key to engaging adults with low numeracy. Effective solutions for both informal and formal learning are purposefully designed not only to use relatable everyday tasks for exemplification but also focus on developing the concepts and methods most useful to most people.</w:t>
      </w:r>
    </w:p>
    <w:p w:rsidR="003E62E1" w:rsidRPr="00FE3FBB" w:rsidP="00531FC0">
      <w:pPr>
        <w:pStyle w:val="ListParagraph"/>
        <w:rPr>
          <w:rFonts w:ascii="Verdana" w:hAnsi="Verdana" w:cstheme="minorHAnsi"/>
          <w:sz w:val="24"/>
          <w:szCs w:val="24"/>
        </w:rPr>
      </w:pPr>
    </w:p>
    <w:p w:rsidR="005A7990"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We need to work together to change the conversation about maths in the UK: At </w:t>
      </w:r>
      <w:r w:rsidRPr="00FE3FBB" w:rsidR="00E4031C">
        <w:rPr>
          <w:rFonts w:ascii="Verdana" w:hAnsi="Verdana" w:cstheme="minorHAnsi"/>
          <w:sz w:val="24"/>
          <w:szCs w:val="24"/>
        </w:rPr>
        <w:t>N</w:t>
      </w:r>
      <w:r w:rsidRPr="00FE3FBB">
        <w:rPr>
          <w:rFonts w:ascii="Verdana" w:hAnsi="Verdana" w:cstheme="minorHAnsi"/>
          <w:sz w:val="24"/>
          <w:szCs w:val="24"/>
        </w:rPr>
        <w:t xml:space="preserve">ational Numeracy, we run annual </w:t>
      </w:r>
      <w:r w:rsidRPr="00FE3FBB" w:rsidR="00E4031C">
        <w:rPr>
          <w:rFonts w:ascii="Verdana" w:hAnsi="Verdana" w:cstheme="minorHAnsi"/>
          <w:sz w:val="24"/>
          <w:szCs w:val="24"/>
        </w:rPr>
        <w:t xml:space="preserve">national </w:t>
      </w:r>
      <w:r w:rsidRPr="00FE3FBB">
        <w:rPr>
          <w:rFonts w:ascii="Verdana" w:hAnsi="Verdana" w:cstheme="minorHAnsi"/>
          <w:sz w:val="24"/>
          <w:szCs w:val="24"/>
        </w:rPr>
        <w:t>campaigns</w:t>
      </w:r>
      <w:r w:rsidRPr="00FE3FBB" w:rsidR="00E4031C">
        <w:rPr>
          <w:rFonts w:ascii="Verdana" w:hAnsi="Verdana" w:cstheme="minorHAnsi"/>
          <w:sz w:val="24"/>
          <w:szCs w:val="24"/>
        </w:rPr>
        <w:t xml:space="preserve"> aimed at raising awareness of the value of numeracy in all different walks of life</w:t>
      </w:r>
      <w:r w:rsidRPr="00FE3FBB" w:rsidR="00295DBB">
        <w:rPr>
          <w:rFonts w:ascii="Verdana" w:hAnsi="Verdana" w:cstheme="minorHAnsi"/>
          <w:sz w:val="24"/>
          <w:szCs w:val="24"/>
        </w:rPr>
        <w:t xml:space="preserve"> and fostering a more positive attitude</w:t>
      </w:r>
      <w:r w:rsidRPr="00FE3FBB" w:rsidR="00AE38EB">
        <w:rPr>
          <w:rFonts w:ascii="Verdana" w:hAnsi="Verdana" w:cstheme="minorHAnsi"/>
          <w:sz w:val="24"/>
          <w:szCs w:val="24"/>
        </w:rPr>
        <w:t xml:space="preserve"> to maths.</w:t>
      </w:r>
      <w:r w:rsidRPr="00FE3FBB" w:rsidR="00C33706">
        <w:rPr>
          <w:rFonts w:ascii="Verdana" w:hAnsi="Verdana" w:cstheme="minorHAnsi"/>
          <w:sz w:val="24"/>
          <w:szCs w:val="24"/>
        </w:rPr>
        <w:t xml:space="preserve"> </w:t>
      </w:r>
      <w:r w:rsidRPr="00FE3FBB" w:rsidR="000F348A">
        <w:rPr>
          <w:rFonts w:ascii="Verdana" w:hAnsi="Verdana" w:cstheme="minorHAnsi"/>
          <w:sz w:val="24"/>
          <w:szCs w:val="24"/>
        </w:rPr>
        <w:t xml:space="preserve">Government support would be welcomed to </w:t>
      </w:r>
      <w:r w:rsidRPr="00FE3FBB" w:rsidR="00A171E5">
        <w:rPr>
          <w:rFonts w:ascii="Verdana" w:hAnsi="Verdana" w:cstheme="minorHAnsi"/>
          <w:sz w:val="24"/>
          <w:szCs w:val="24"/>
        </w:rPr>
        <w:t xml:space="preserve">expand the reach and scale of this activity, </w:t>
      </w:r>
      <w:r w:rsidRPr="00FE3FBB" w:rsidR="001B2234">
        <w:rPr>
          <w:rFonts w:ascii="Verdana" w:hAnsi="Verdana" w:cstheme="minorHAnsi"/>
          <w:sz w:val="24"/>
          <w:szCs w:val="24"/>
        </w:rPr>
        <w:t>to work towards creating a m</w:t>
      </w:r>
      <w:r w:rsidRPr="00FE3FBB" w:rsidR="008B6BC2">
        <w:rPr>
          <w:rFonts w:ascii="Verdana" w:hAnsi="Verdana" w:cstheme="minorHAnsi"/>
          <w:sz w:val="24"/>
          <w:szCs w:val="24"/>
        </w:rPr>
        <w:t>aths-positive culture across the UK.</w:t>
      </w:r>
      <w:r w:rsidRPr="00FE3FBB" w:rsidR="00AE38EB">
        <w:rPr>
          <w:rFonts w:ascii="Verdana" w:hAnsi="Verdana" w:cstheme="minorHAnsi"/>
          <w:sz w:val="24"/>
          <w:szCs w:val="24"/>
        </w:rPr>
        <w:t xml:space="preserve"> </w:t>
      </w:r>
      <w:r w:rsidRPr="00FE3FBB">
        <w:rPr>
          <w:rFonts w:ascii="Verdana" w:hAnsi="Verdana" w:cstheme="minorHAnsi"/>
          <w:sz w:val="24"/>
          <w:szCs w:val="24"/>
        </w:rPr>
        <w:t xml:space="preserve"> </w:t>
      </w:r>
      <w:r w:rsidRPr="00FE3FBB">
        <w:rPr>
          <w:rFonts w:ascii="Verdana" w:hAnsi="Verdana" w:cstheme="minorHAnsi"/>
          <w:b/>
          <w:bCs/>
          <w:sz w:val="24"/>
          <w:szCs w:val="24"/>
        </w:rPr>
        <w:t xml:space="preserve">  </w:t>
      </w:r>
    </w:p>
    <w:p w:rsidR="00332C51" w:rsidRPr="00FE3FBB" w:rsidP="00531FC0">
      <w:pPr>
        <w:pStyle w:val="ListParagraph"/>
        <w:rPr>
          <w:rFonts w:ascii="Verdana" w:hAnsi="Verdana" w:cstheme="minorHAnsi"/>
          <w:sz w:val="24"/>
          <w:szCs w:val="24"/>
        </w:rPr>
      </w:pPr>
    </w:p>
    <w:p w:rsidR="00332C51"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steps might be taken to improve adult numeracy?</w:t>
      </w:r>
    </w:p>
    <w:p w:rsidR="00341153" w:rsidRPr="00FE3FBB" w:rsidP="00531FC0">
      <w:pPr>
        <w:rPr>
          <w:rFonts w:ascii="Verdana" w:hAnsi="Verdana" w:cstheme="minorHAnsi"/>
          <w:sz w:val="24"/>
          <w:szCs w:val="24"/>
        </w:rPr>
      </w:pPr>
      <w:r w:rsidRPr="00FE3FBB">
        <w:rPr>
          <w:rFonts w:ascii="Verdana" w:hAnsi="Verdana" w:cstheme="minorHAnsi"/>
          <w:sz w:val="24"/>
          <w:szCs w:val="24"/>
        </w:rPr>
        <w:t>See response to question 14.</w:t>
      </w:r>
    </w:p>
    <w:p w:rsidR="00332C51" w:rsidRPr="00FE3FBB" w:rsidP="00531FC0">
      <w:pPr>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role could employers play in identifying and addressing low numeracy in the workplace? Should apprenticeships include numeracy skills development? What examples are there of employers actively tackling the low numeracy problem?</w:t>
      </w: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Employers can </w:t>
      </w:r>
      <w:r w:rsidRPr="00FE3FBB" w:rsidR="00536FD7">
        <w:rPr>
          <w:rFonts w:ascii="Verdana" w:hAnsi="Verdana" w:cstheme="minorHAnsi"/>
          <w:sz w:val="24"/>
          <w:szCs w:val="24"/>
        </w:rPr>
        <w:t xml:space="preserve">play a crucial role in identifying and addressing low numeracy in the workplace. For example, they can work with National Numeracy to undertake a ‘numeracy review’ of their workforce and put in place a programme to support colleagues to develop the skills they need, as </w:t>
      </w:r>
      <w:r>
        <w:fldChar w:fldCharType="begin"/>
      </w:r>
      <w:r>
        <w:instrText xml:space="preserve"> HYPERLINK "https://www.nationalnumeracy.org.uk/news/lincolnshire-co-ops-numeracy-success-story" </w:instrText>
      </w:r>
      <w:r>
        <w:fldChar w:fldCharType="separate"/>
      </w:r>
      <w:r w:rsidRPr="00FE3FBB" w:rsidR="00536FD7">
        <w:rPr>
          <w:rStyle w:val="Hyperlink"/>
          <w:rFonts w:ascii="Verdana" w:hAnsi="Verdana" w:cstheme="minorHAnsi"/>
          <w:sz w:val="24"/>
          <w:szCs w:val="24"/>
        </w:rPr>
        <w:t>Lincolnshire Coop</w:t>
      </w:r>
      <w:r>
        <w:fldChar w:fldCharType="end"/>
      </w:r>
      <w:r w:rsidRPr="00FE3FBB" w:rsidR="00536FD7">
        <w:rPr>
          <w:rFonts w:ascii="Verdana" w:hAnsi="Verdana" w:cstheme="minorHAnsi"/>
          <w:sz w:val="24"/>
          <w:szCs w:val="24"/>
        </w:rPr>
        <w:t xml:space="preserve"> has done.</w:t>
      </w:r>
      <w:r w:rsidRPr="00FE3FBB" w:rsidR="00700AC2">
        <w:rPr>
          <w:rFonts w:ascii="Verdana" w:hAnsi="Verdana" w:cstheme="minorHAnsi"/>
          <w:sz w:val="24"/>
          <w:szCs w:val="24"/>
        </w:rPr>
        <w:t xml:space="preserve"> </w:t>
      </w:r>
    </w:p>
    <w:p w:rsidR="003E62E1" w:rsidRPr="00FE3FBB" w:rsidP="00531FC0">
      <w:pPr>
        <w:pStyle w:val="ListParagraph"/>
        <w:ind w:left="0"/>
        <w:rPr>
          <w:rFonts w:ascii="Verdana" w:hAnsi="Verdana" w:cstheme="minorHAnsi"/>
          <w:sz w:val="24"/>
          <w:szCs w:val="24"/>
        </w:rPr>
      </w:pP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Employers can also </w:t>
      </w:r>
      <w:r w:rsidRPr="00FE3FBB" w:rsidR="006053D9">
        <w:rPr>
          <w:rFonts w:ascii="Verdana" w:hAnsi="Verdana" w:cstheme="minorHAnsi"/>
          <w:sz w:val="24"/>
          <w:szCs w:val="24"/>
        </w:rPr>
        <w:t xml:space="preserve">commit to the </w:t>
      </w:r>
      <w:r w:rsidRPr="00FE3FBB" w:rsidR="00C81C5B">
        <w:rPr>
          <w:rFonts w:ascii="Verdana" w:hAnsi="Verdana" w:cstheme="minorHAnsi"/>
          <w:sz w:val="24"/>
          <w:szCs w:val="24"/>
        </w:rPr>
        <w:t>‘</w:t>
      </w:r>
      <w:r>
        <w:fldChar w:fldCharType="begin"/>
      </w:r>
      <w:r>
        <w:instrText xml:space="preserve"> HYPERLINK "https://www.nationalnumeracy.org.uk/numeracy-equality-pledge" </w:instrText>
      </w:r>
      <w:r>
        <w:fldChar w:fldCharType="separate"/>
      </w:r>
      <w:r w:rsidRPr="00FE3FBB" w:rsidR="00E26BBF">
        <w:rPr>
          <w:rStyle w:val="Hyperlink"/>
          <w:rFonts w:ascii="Verdana" w:hAnsi="Verdana" w:cstheme="minorHAnsi"/>
          <w:sz w:val="24"/>
          <w:szCs w:val="24"/>
        </w:rPr>
        <w:t>Numeracy for Equality Pledge’</w:t>
      </w:r>
      <w:r>
        <w:fldChar w:fldCharType="end"/>
      </w:r>
      <w:r w:rsidRPr="00FE3FBB" w:rsidR="00E26BBF">
        <w:rPr>
          <w:rFonts w:ascii="Verdana" w:hAnsi="Verdana" w:cstheme="minorHAnsi"/>
          <w:sz w:val="24"/>
          <w:szCs w:val="24"/>
        </w:rPr>
        <w:t xml:space="preserve">. The Pledge is a unique marker of recognition awarded to employers that have a strong commitment to numeracy development and inclusivity. </w:t>
      </w:r>
      <w:r w:rsidRPr="00FE3FBB" w:rsidR="00E26BBF">
        <w:rPr>
          <w:rFonts w:ascii="Verdana" w:hAnsi="Verdana" w:cstheme="minorHAnsi"/>
          <w:sz w:val="24"/>
          <w:szCs w:val="24"/>
        </w:rPr>
        <w:t>Displaying the Numeracy for Equality Mark can help with both attracting and retaining employees. </w:t>
      </w:r>
    </w:p>
    <w:p w:rsidR="003E62E1" w:rsidRPr="00FE3FBB" w:rsidP="00531FC0">
      <w:pPr>
        <w:pStyle w:val="ListParagraph"/>
        <w:rPr>
          <w:rFonts w:ascii="Verdana" w:hAnsi="Verdana" w:cstheme="minorHAnsi"/>
          <w:sz w:val="24"/>
          <w:szCs w:val="24"/>
        </w:rPr>
      </w:pPr>
    </w:p>
    <w:p w:rsidR="003E62E1"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The </w:t>
      </w:r>
      <w:r>
        <w:fldChar w:fldCharType="begin"/>
      </w:r>
      <w:r>
        <w:instrText xml:space="preserve"> HYPERLINK "https://www.nationalnumeracy.org.uk/challenge" </w:instrText>
      </w:r>
      <w:r>
        <w:fldChar w:fldCharType="separate"/>
      </w:r>
      <w:r w:rsidRPr="00FE3FBB" w:rsidR="002A3A15">
        <w:rPr>
          <w:rStyle w:val="Hyperlink"/>
          <w:rFonts w:ascii="Verdana" w:hAnsi="Verdana" w:cstheme="minorHAnsi"/>
          <w:sz w:val="24"/>
          <w:szCs w:val="24"/>
        </w:rPr>
        <w:t>National Numeracy Challenge</w:t>
      </w:r>
      <w:r>
        <w:fldChar w:fldCharType="end"/>
      </w:r>
      <w:r w:rsidRPr="00FE3FBB" w:rsidR="002A3A15">
        <w:rPr>
          <w:rFonts w:ascii="Verdana" w:hAnsi="Verdana" w:cstheme="minorHAnsi"/>
          <w:sz w:val="24"/>
          <w:szCs w:val="24"/>
        </w:rPr>
        <w:t xml:space="preserve"> learning platform can be u</w:t>
      </w:r>
      <w:r w:rsidRPr="00FE3FBB" w:rsidR="009F5FC6">
        <w:rPr>
          <w:rFonts w:ascii="Verdana" w:hAnsi="Verdana" w:cstheme="minorHAnsi"/>
          <w:sz w:val="24"/>
          <w:szCs w:val="24"/>
        </w:rPr>
        <w:t>s</w:t>
      </w:r>
      <w:r w:rsidRPr="00FE3FBB" w:rsidR="002A3A15">
        <w:rPr>
          <w:rFonts w:ascii="Verdana" w:hAnsi="Verdana" w:cstheme="minorHAnsi"/>
          <w:sz w:val="24"/>
          <w:szCs w:val="24"/>
        </w:rPr>
        <w:t>ed by emplo</w:t>
      </w:r>
      <w:r w:rsidRPr="00FE3FBB" w:rsidR="009F5FC6">
        <w:rPr>
          <w:rFonts w:ascii="Verdana" w:hAnsi="Verdana" w:cstheme="minorHAnsi"/>
          <w:sz w:val="24"/>
          <w:szCs w:val="24"/>
        </w:rPr>
        <w:t>yers as they recruit, induct and then develop their staff</w:t>
      </w:r>
      <w:r w:rsidRPr="00FE3FBB" w:rsidR="0049546E">
        <w:rPr>
          <w:rFonts w:ascii="Verdana" w:hAnsi="Verdana" w:cstheme="minorHAnsi"/>
          <w:sz w:val="24"/>
          <w:szCs w:val="24"/>
        </w:rPr>
        <w:t xml:space="preserve">, who whatever their starting level, can work towards demonstrating that they have </w:t>
      </w:r>
      <w:r>
        <w:fldChar w:fldCharType="begin"/>
      </w:r>
      <w:r>
        <w:instrText xml:space="preserve"> HYPERLINK "https://www.nationalnumeracy.org.uk/what-numeracy/essentials-numeracy" </w:instrText>
      </w:r>
      <w:r>
        <w:fldChar w:fldCharType="separate"/>
      </w:r>
      <w:r w:rsidRPr="00FE3FBB" w:rsidR="00B60BA1">
        <w:rPr>
          <w:rStyle w:val="Hyperlink"/>
          <w:rFonts w:ascii="Verdana" w:hAnsi="Verdana" w:cstheme="minorHAnsi"/>
          <w:sz w:val="24"/>
          <w:szCs w:val="24"/>
        </w:rPr>
        <w:t>The Essentials of Numeracy</w:t>
      </w:r>
      <w:r>
        <w:fldChar w:fldCharType="end"/>
      </w:r>
      <w:r w:rsidRPr="00FE3FBB" w:rsidR="00B60BA1">
        <w:rPr>
          <w:rFonts w:ascii="Verdana" w:hAnsi="Verdana" w:cstheme="minorHAnsi"/>
          <w:sz w:val="24"/>
          <w:szCs w:val="24"/>
        </w:rPr>
        <w:t>, the key skills needed across all job roles.</w:t>
      </w:r>
    </w:p>
    <w:p w:rsidR="003E62E1" w:rsidRPr="00FE3FBB" w:rsidP="00531FC0">
      <w:pPr>
        <w:pStyle w:val="ListParagraph"/>
        <w:rPr>
          <w:rFonts w:ascii="Verdana" w:hAnsi="Verdana" w:cstheme="minorHAnsi"/>
          <w:sz w:val="24"/>
          <w:szCs w:val="24"/>
        </w:rPr>
      </w:pPr>
    </w:p>
    <w:p w:rsidR="007715DB"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 xml:space="preserve">A small number of </w:t>
      </w:r>
      <w:r>
        <w:fldChar w:fldCharType="begin"/>
      </w:r>
      <w:r>
        <w:instrText xml:space="preserve"> HYPERLINK "https://www.nationalnumeracy.org.uk/support-us/partners" </w:instrText>
      </w:r>
      <w:r>
        <w:fldChar w:fldCharType="separate"/>
      </w:r>
      <w:r w:rsidRPr="00FE3FBB">
        <w:rPr>
          <w:rStyle w:val="Hyperlink"/>
          <w:rFonts w:ascii="Verdana" w:hAnsi="Verdana" w:cstheme="minorHAnsi"/>
          <w:sz w:val="24"/>
          <w:szCs w:val="24"/>
        </w:rPr>
        <w:t>committed pioneering employers</w:t>
      </w:r>
      <w:r>
        <w:fldChar w:fldCharType="end"/>
      </w:r>
      <w:r w:rsidRPr="00FE3FBB">
        <w:rPr>
          <w:rFonts w:ascii="Verdana" w:hAnsi="Verdana" w:cstheme="minorHAnsi"/>
          <w:sz w:val="24"/>
          <w:szCs w:val="24"/>
        </w:rPr>
        <w:t xml:space="preserve"> are working with National Numeracy </w:t>
      </w:r>
      <w:r w:rsidRPr="00FE3FBB" w:rsidR="00ED6F33">
        <w:rPr>
          <w:rFonts w:ascii="Verdana" w:hAnsi="Verdana" w:cstheme="minorHAnsi"/>
          <w:sz w:val="24"/>
          <w:szCs w:val="24"/>
        </w:rPr>
        <w:t xml:space="preserve">to tackle the issue of low numeracy, whether that is in their own organisations or the communities they serve and support. Together, we have formed the </w:t>
      </w:r>
      <w:r>
        <w:fldChar w:fldCharType="begin"/>
      </w:r>
      <w:r>
        <w:instrText xml:space="preserve"> HYPERLINK "https://www.nationalnumeracy.org.uk/about-us/national-numeracy-leadership-council" </w:instrText>
      </w:r>
      <w:r>
        <w:fldChar w:fldCharType="separate"/>
      </w:r>
      <w:r w:rsidRPr="00FE3FBB" w:rsidR="00ED6F33">
        <w:rPr>
          <w:rStyle w:val="Hyperlink"/>
          <w:rFonts w:ascii="Verdana" w:hAnsi="Verdana" w:cstheme="minorHAnsi"/>
          <w:sz w:val="24"/>
          <w:szCs w:val="24"/>
        </w:rPr>
        <w:t>National Numeracy Leadership Council</w:t>
      </w:r>
      <w:r>
        <w:fldChar w:fldCharType="end"/>
      </w:r>
      <w:r w:rsidRPr="00FE3FBB" w:rsidR="00ED6F33">
        <w:rPr>
          <w:rFonts w:ascii="Verdana" w:hAnsi="Verdana" w:cstheme="minorHAnsi"/>
          <w:sz w:val="24"/>
          <w:szCs w:val="24"/>
        </w:rPr>
        <w:t xml:space="preserve">, </w:t>
      </w:r>
      <w:r w:rsidRPr="00FE3FBB" w:rsidR="00F5684E">
        <w:rPr>
          <w:rFonts w:ascii="Verdana" w:hAnsi="Verdana" w:cstheme="minorHAnsi"/>
          <w:sz w:val="24"/>
          <w:szCs w:val="24"/>
        </w:rPr>
        <w:t>which helps grow the network of organisations and individuals actively addressing the issue of poor numeracy and elevates the understanding and importance of the issue at the national level. Most importantly, the collective work of the Council and its member organisations helps support people to improve and use their numeracy by creating positive attitudes to numbers and maths, supporting financial wellbeing, increasing access to sustainable careers and, ultimately, stimulating productivity across the entire workforce. </w:t>
      </w:r>
    </w:p>
    <w:p w:rsidR="00332C51" w:rsidRPr="00FE3FBB" w:rsidP="00531FC0">
      <w:pPr>
        <w:pStyle w:val="ListParagraph"/>
        <w:rPr>
          <w:rFonts w:ascii="Verdana" w:hAnsi="Verdana" w:cstheme="minorHAnsi"/>
          <w:sz w:val="24"/>
          <w:szCs w:val="24"/>
        </w:rPr>
      </w:pPr>
    </w:p>
    <w:p w:rsidR="00332C51" w:rsidRPr="00FE3FBB" w:rsidP="00531FC0">
      <w:pPr>
        <w:pStyle w:val="ListParagraph"/>
        <w:ind w:left="0"/>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role should 1) Government, 2) local government, 3) educational institutions and 4) voluntary organisations play in addressing low adult numeracy, including in specialist settings such as prison?</w:t>
      </w:r>
    </w:p>
    <w:p w:rsidR="00DB7DEA" w:rsidRPr="00FE3FBB" w:rsidP="00531FC0">
      <w:pPr>
        <w:pStyle w:val="ListParagraph"/>
        <w:numPr>
          <w:ilvl w:val="0"/>
          <w:numId w:val="14"/>
        </w:numPr>
        <w:ind w:left="0"/>
        <w:rPr>
          <w:rFonts w:ascii="Verdana" w:hAnsi="Verdana" w:cstheme="minorHAnsi"/>
          <w:sz w:val="24"/>
          <w:szCs w:val="24"/>
        </w:rPr>
      </w:pPr>
      <w:r w:rsidRPr="00FE3FBB">
        <w:rPr>
          <w:rFonts w:ascii="Verdana" w:hAnsi="Verdana" w:cstheme="minorHAnsi"/>
          <w:sz w:val="24"/>
          <w:szCs w:val="24"/>
        </w:rPr>
        <w:t>Greater effort</w:t>
      </w:r>
      <w:r w:rsidRPr="00FE3FBB" w:rsidR="00A90B17">
        <w:rPr>
          <w:rFonts w:ascii="Verdana" w:hAnsi="Verdana" w:cstheme="minorHAnsi"/>
          <w:sz w:val="24"/>
          <w:szCs w:val="24"/>
        </w:rPr>
        <w:t xml:space="preserve">s must be made to understand the barriers faced by people with </w:t>
      </w:r>
      <w:r w:rsidRPr="00FE3FBB" w:rsidR="00FE5568">
        <w:rPr>
          <w:rFonts w:ascii="Verdana" w:hAnsi="Verdana" w:cstheme="minorHAnsi"/>
          <w:sz w:val="24"/>
          <w:szCs w:val="24"/>
        </w:rPr>
        <w:t xml:space="preserve">low </w:t>
      </w:r>
      <w:r w:rsidRPr="00FE3FBB" w:rsidR="00A90B17">
        <w:rPr>
          <w:rFonts w:ascii="Verdana" w:hAnsi="Verdana" w:cstheme="minorHAnsi"/>
          <w:sz w:val="24"/>
          <w:szCs w:val="24"/>
        </w:rPr>
        <w:t xml:space="preserve">numeracy and to provide support to bridge the gap </w:t>
      </w:r>
      <w:r w:rsidRPr="00FE3FBB" w:rsidR="0024505C">
        <w:rPr>
          <w:rFonts w:ascii="Verdana" w:hAnsi="Verdana" w:cstheme="minorHAnsi"/>
          <w:sz w:val="24"/>
          <w:szCs w:val="24"/>
        </w:rPr>
        <w:t>to existing provision</w:t>
      </w:r>
      <w:r w:rsidRPr="00FE3FBB">
        <w:rPr>
          <w:rFonts w:ascii="Verdana" w:hAnsi="Verdana" w:cstheme="minorHAnsi"/>
          <w:sz w:val="24"/>
          <w:szCs w:val="24"/>
        </w:rPr>
        <w:t xml:space="preserve"> that focusses on building confidence and a positive value towards the value of maths in our everyday</w:t>
      </w:r>
      <w:r w:rsidRPr="00FE3FBB" w:rsidR="00120228">
        <w:rPr>
          <w:rFonts w:ascii="Verdana" w:hAnsi="Verdana" w:cstheme="minorHAnsi"/>
          <w:sz w:val="24"/>
          <w:szCs w:val="24"/>
        </w:rPr>
        <w:t xml:space="preserve"> li</w:t>
      </w:r>
      <w:r w:rsidRPr="00FE3FBB" w:rsidR="009B0498">
        <w:rPr>
          <w:rFonts w:ascii="Verdana" w:hAnsi="Verdana" w:cstheme="minorHAnsi"/>
          <w:sz w:val="24"/>
          <w:szCs w:val="24"/>
        </w:rPr>
        <w:t>v</w:t>
      </w:r>
      <w:r w:rsidRPr="00FE3FBB" w:rsidR="00120228">
        <w:rPr>
          <w:rFonts w:ascii="Verdana" w:hAnsi="Verdana" w:cstheme="minorHAnsi"/>
          <w:sz w:val="24"/>
          <w:szCs w:val="24"/>
        </w:rPr>
        <w:t xml:space="preserve">es, as well as skills. </w:t>
      </w:r>
    </w:p>
    <w:p w:rsidR="00332C51" w:rsidRPr="00FE3FBB" w:rsidP="00531FC0">
      <w:pPr>
        <w:rPr>
          <w:rFonts w:ascii="Verdana" w:hAnsi="Verdana" w:cstheme="minorHAnsi"/>
          <w:sz w:val="24"/>
          <w:szCs w:val="24"/>
        </w:rPr>
      </w:pPr>
      <w:r w:rsidRPr="00FE3FBB">
        <w:rPr>
          <w:rFonts w:ascii="Verdana" w:hAnsi="Verdana" w:cstheme="minorHAnsi"/>
          <w:sz w:val="24"/>
          <w:szCs w:val="24"/>
        </w:rPr>
        <w:t>See responses to questions 2, 6, 8, 10, 11 and 14.</w:t>
      </w:r>
    </w:p>
    <w:p w:rsidR="00332C51" w:rsidRPr="00FE3FBB" w:rsidP="00531FC0">
      <w:pPr>
        <w:rPr>
          <w:rFonts w:ascii="Verdana" w:hAnsi="Verdana" w:cstheme="minorHAnsi"/>
          <w:sz w:val="24"/>
          <w:szCs w:val="24"/>
        </w:rPr>
      </w:pPr>
    </w:p>
    <w:p w:rsidR="00B73C16" w:rsidRPr="00FE3FBB" w:rsidP="00531FC0">
      <w:pPr>
        <w:rPr>
          <w:rFonts w:ascii="Verdana" w:hAnsi="Verdana" w:cstheme="minorHAnsi"/>
          <w:b/>
          <w:bCs/>
          <w:i/>
          <w:iCs/>
          <w:sz w:val="24"/>
          <w:szCs w:val="24"/>
        </w:rPr>
      </w:pPr>
      <w:r w:rsidRPr="00FE3FBB">
        <w:rPr>
          <w:rFonts w:ascii="Verdana" w:hAnsi="Verdana" w:cstheme="minorHAnsi"/>
          <w:b/>
          <w:bCs/>
          <w:i/>
          <w:iCs/>
          <w:sz w:val="24"/>
          <w:szCs w:val="24"/>
        </w:rPr>
        <w:t>What lessons can be learnt from other countries and the devolved administrations in their approach to numeracy?</w:t>
      </w:r>
    </w:p>
    <w:p w:rsidR="003E62E1"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While the UK has more university graduates per capita than the OECD average,</w:t>
      </w:r>
      <w:r>
        <w:rPr>
          <w:rStyle w:val="EndnoteReference"/>
          <w:rFonts w:ascii="Verdana" w:hAnsi="Verdana" w:cstheme="minorHAnsi"/>
          <w:sz w:val="24"/>
          <w:szCs w:val="24"/>
        </w:rPr>
        <w:endnoteReference w:id="2"/>
      </w:r>
      <w:r w:rsidRPr="00FE3FBB">
        <w:rPr>
          <w:rFonts w:ascii="Verdana" w:hAnsi="Verdana" w:cstheme="minorHAnsi"/>
          <w:sz w:val="24"/>
          <w:szCs w:val="24"/>
        </w:rPr>
        <w:t xml:space="preserve"> many young adults have low levels of literacy and numeracy,</w:t>
      </w:r>
      <w:r>
        <w:rPr>
          <w:rStyle w:val="EndnoteReference"/>
          <w:rFonts w:ascii="Verdana" w:hAnsi="Verdana" w:cstheme="minorHAnsi"/>
          <w:sz w:val="24"/>
          <w:szCs w:val="24"/>
        </w:rPr>
        <w:endnoteReference w:id="3"/>
      </w:r>
      <w:r w:rsidRPr="00FE3FBB">
        <w:rPr>
          <w:rFonts w:ascii="Verdana" w:hAnsi="Verdana" w:cstheme="minorHAnsi"/>
          <w:sz w:val="24"/>
          <w:szCs w:val="24"/>
        </w:rPr>
        <w:t xml:space="preserve"> with </w:t>
      </w:r>
      <w:r w:rsidRPr="00FE3FBB" w:rsidR="006113ED">
        <w:rPr>
          <w:rFonts w:ascii="Verdana" w:hAnsi="Verdana" w:cstheme="minorHAnsi"/>
          <w:sz w:val="24"/>
          <w:szCs w:val="24"/>
        </w:rPr>
        <w:t>around half</w:t>
      </w:r>
      <w:r w:rsidRPr="00FE3FBB">
        <w:rPr>
          <w:rFonts w:ascii="Verdana" w:hAnsi="Verdana" w:cstheme="minorHAnsi"/>
          <w:sz w:val="24"/>
          <w:szCs w:val="24"/>
        </w:rPr>
        <w:t xml:space="preserve"> of UK adults demonstrating numeracy levels of a primary school child.</w:t>
      </w:r>
      <w:r>
        <w:rPr>
          <w:rStyle w:val="EndnoteReference"/>
          <w:rFonts w:ascii="Verdana" w:hAnsi="Verdana" w:cstheme="minorHAnsi"/>
          <w:sz w:val="24"/>
          <w:szCs w:val="24"/>
        </w:rPr>
        <w:endnoteReference w:id="4"/>
      </w:r>
      <w:r w:rsidRPr="00FE3FBB">
        <w:rPr>
          <w:rFonts w:ascii="Verdana" w:hAnsi="Verdana" w:cstheme="minorHAnsi"/>
          <w:sz w:val="24"/>
          <w:szCs w:val="24"/>
        </w:rPr>
        <w:t xml:space="preserve"> This places the nations of the UK behind the average for the OECD and well behind the leading countries such as Japan, where just 36% of the adult population have low numeracy skills.</w:t>
      </w:r>
    </w:p>
    <w:p w:rsidR="006B2136" w:rsidRPr="00FE3FBB" w:rsidP="00531FC0">
      <w:pPr>
        <w:pStyle w:val="ListParagraph"/>
        <w:ind w:left="0"/>
        <w:rPr>
          <w:rFonts w:ascii="Verdana" w:hAnsi="Verdana" w:cstheme="minorHAnsi"/>
          <w:sz w:val="24"/>
          <w:szCs w:val="24"/>
        </w:rPr>
      </w:pPr>
    </w:p>
    <w:p w:rsidR="006B213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The contributing factors responsible to the UK’s ‘numeracy gap’ are broad and complex. While some factors are tangible and well-researched, other factors are abstract and poorly understood. However, research suggests that the gap begins to open from a young age and has a strong connection with disadvantage. In common with other PISA countries,</w:t>
      </w:r>
      <w:r>
        <w:rPr>
          <w:rStyle w:val="EndnoteReference"/>
          <w:rFonts w:ascii="Verdana" w:hAnsi="Verdana" w:cstheme="minorHAnsi"/>
          <w:sz w:val="24"/>
          <w:szCs w:val="24"/>
        </w:rPr>
        <w:endnoteReference w:id="5"/>
      </w:r>
      <w:r w:rsidRPr="00FE3FBB">
        <w:rPr>
          <w:rFonts w:ascii="Verdana" w:hAnsi="Verdana" w:cstheme="minorHAnsi"/>
          <w:sz w:val="24"/>
          <w:szCs w:val="24"/>
        </w:rPr>
        <w:t xml:space="preserve"> socio-economic status is associated with attainment in mathematics in England. The difference in achievement for the bottom 10 per cent and the top 10 per cent of pupils is 99 points, which is equivalent to over three years of schooling and close to the OECD average of 107 points. This is equivalent to the most advantaged pupils in England achieving at the average level of pupils in Hong Kong and the least advantaged pupils achieving at the average level of pupils in Greece.</w:t>
      </w:r>
      <w:r>
        <w:rPr>
          <w:rStyle w:val="EndnoteReference"/>
          <w:rFonts w:ascii="Verdana" w:hAnsi="Verdana" w:cstheme="minorHAnsi"/>
          <w:sz w:val="24"/>
          <w:szCs w:val="24"/>
        </w:rPr>
        <w:endnoteReference w:id="6"/>
      </w:r>
    </w:p>
    <w:p w:rsidR="006B2136" w:rsidRPr="00FE3FBB" w:rsidP="00531FC0">
      <w:pPr>
        <w:pStyle w:val="ListParagraph"/>
        <w:rPr>
          <w:rFonts w:ascii="Verdana" w:hAnsi="Verdana" w:cstheme="minorHAnsi"/>
          <w:sz w:val="24"/>
          <w:szCs w:val="24"/>
        </w:rPr>
      </w:pPr>
    </w:p>
    <w:p w:rsidR="006B213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While the available research indicates no definitive answer or single issue that causes UK adult numeracy levels to lag behind many OECD countries, there are a number of factors which appear to feed into it. These factors include the teaching methodology and approach in schools, along with ‘appetite for learning’ and the culture in relation to maths in the UK compared to other countries. T</w:t>
      </w:r>
      <w:r w:rsidRPr="00FE3FBB" w:rsidR="004D0975">
        <w:rPr>
          <w:rFonts w:ascii="Verdana" w:hAnsi="Verdana" w:cstheme="minorHAnsi"/>
          <w:sz w:val="24"/>
          <w:szCs w:val="24"/>
        </w:rPr>
        <w:t>he</w:t>
      </w:r>
      <w:r w:rsidRPr="00FE3FBB">
        <w:rPr>
          <w:rFonts w:ascii="Verdana" w:hAnsi="Verdana" w:cstheme="minorHAnsi"/>
          <w:sz w:val="24"/>
          <w:szCs w:val="24"/>
        </w:rPr>
        <w:t xml:space="preserve"> summary </w:t>
      </w:r>
      <w:r w:rsidRPr="00FE3FBB" w:rsidR="004D0975">
        <w:rPr>
          <w:rFonts w:ascii="Verdana" w:hAnsi="Verdana" w:cstheme="minorHAnsi"/>
          <w:sz w:val="24"/>
          <w:szCs w:val="24"/>
        </w:rPr>
        <w:t xml:space="preserve">below, </w:t>
      </w:r>
      <w:r w:rsidRPr="00FE3FBB" w:rsidR="00B25CCB">
        <w:rPr>
          <w:rFonts w:ascii="Verdana" w:hAnsi="Verdana" w:cstheme="minorHAnsi"/>
          <w:sz w:val="24"/>
          <w:szCs w:val="24"/>
        </w:rPr>
        <w:t xml:space="preserve">which captures data up to </w:t>
      </w:r>
      <w:r w:rsidRPr="00FE3FBB" w:rsidR="004D0975">
        <w:rPr>
          <w:rFonts w:ascii="Verdana" w:hAnsi="Verdana" w:cstheme="minorHAnsi"/>
          <w:sz w:val="24"/>
          <w:szCs w:val="24"/>
        </w:rPr>
        <w:t>2023</w:t>
      </w:r>
      <w:r w:rsidRPr="00FE3FBB" w:rsidR="00B846F4">
        <w:rPr>
          <w:rFonts w:ascii="Verdana" w:hAnsi="Verdana" w:cstheme="minorHAnsi"/>
          <w:sz w:val="24"/>
          <w:szCs w:val="24"/>
        </w:rPr>
        <w:t xml:space="preserve"> (note that in some cases more recent data is available)</w:t>
      </w:r>
      <w:r w:rsidRPr="00FE3FBB" w:rsidR="004D0975">
        <w:rPr>
          <w:rFonts w:ascii="Verdana" w:hAnsi="Verdana" w:cstheme="minorHAnsi"/>
          <w:sz w:val="24"/>
          <w:szCs w:val="24"/>
        </w:rPr>
        <w:t>,</w:t>
      </w:r>
      <w:r w:rsidRPr="00FE3FBB">
        <w:rPr>
          <w:rFonts w:ascii="Verdana" w:hAnsi="Verdana" w:cstheme="minorHAnsi"/>
          <w:sz w:val="24"/>
          <w:szCs w:val="24"/>
        </w:rPr>
        <w:t xml:space="preserve"> outlines some of these factors in a little more depth.  </w:t>
      </w:r>
    </w:p>
    <w:p w:rsidR="006B2136" w:rsidRPr="00FE3FBB" w:rsidP="00531FC0">
      <w:pPr>
        <w:pStyle w:val="ListParagraph"/>
        <w:ind w:left="0"/>
        <w:rPr>
          <w:rFonts w:ascii="Verdana" w:hAnsi="Verdana" w:cstheme="minorHAnsi"/>
          <w:sz w:val="24"/>
          <w:szCs w:val="24"/>
        </w:rPr>
      </w:pPr>
    </w:p>
    <w:p w:rsidR="00550347" w:rsidRPr="00FE3FBB" w:rsidP="00531FC0">
      <w:pPr>
        <w:pStyle w:val="ListParagraph"/>
        <w:numPr>
          <w:ilvl w:val="0"/>
          <w:numId w:val="20"/>
        </w:numPr>
        <w:rPr>
          <w:rFonts w:ascii="Verdana" w:hAnsi="Verdana" w:cstheme="minorHAnsi"/>
          <w:sz w:val="24"/>
          <w:szCs w:val="24"/>
        </w:rPr>
      </w:pPr>
      <w:r w:rsidRPr="00FE3FBB">
        <w:rPr>
          <w:rFonts w:ascii="Verdana" w:hAnsi="Verdana" w:cstheme="minorHAnsi"/>
          <w:sz w:val="24"/>
          <w:szCs w:val="24"/>
        </w:rPr>
        <w:t>Teaching and learning</w:t>
      </w:r>
    </w:p>
    <w:p w:rsidR="006B2136" w:rsidRPr="00FE3FBB" w:rsidP="00531FC0">
      <w:pPr>
        <w:pStyle w:val="ListParagraph"/>
        <w:rPr>
          <w:rFonts w:ascii="Verdana" w:hAnsi="Verdana" w:cstheme="minorHAnsi"/>
          <w:sz w:val="24"/>
          <w:szCs w:val="24"/>
        </w:rPr>
      </w:pPr>
    </w:p>
    <w:p w:rsidR="006B213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Different countries have very different cultures when it comes to approaches to learning and the teaching of mathematics. There are significant variations in the pre-university mathematical experience, in terms of the curriculum content, learning styles, levels of abstraction and assessment methods.</w:t>
      </w:r>
      <w:r>
        <w:rPr>
          <w:rFonts w:ascii="Verdana" w:hAnsi="Verdana" w:cstheme="minorHAnsi"/>
          <w:sz w:val="24"/>
          <w:szCs w:val="24"/>
        </w:rPr>
        <w:endnoteReference w:id="7"/>
      </w:r>
      <w:r w:rsidRPr="00FE3FBB">
        <w:rPr>
          <w:rFonts w:ascii="Verdana" w:hAnsi="Verdana" w:cstheme="minorHAnsi"/>
          <w:sz w:val="24"/>
          <w:szCs w:val="24"/>
        </w:rPr>
        <w:t xml:space="preserve"> Although the curriculum content typically shares some common ground, for example, all require the study of pure mathematics, the balance between breadth of application and pursuit of complex and deep study varies significantly.</w:t>
      </w:r>
      <w:r>
        <w:rPr>
          <w:rFonts w:ascii="Verdana" w:hAnsi="Verdana" w:cstheme="minorHAnsi"/>
          <w:sz w:val="24"/>
          <w:szCs w:val="24"/>
        </w:rPr>
        <w:endnoteReference w:id="8"/>
      </w:r>
      <w:r w:rsidRPr="00FE3FBB">
        <w:rPr>
          <w:rFonts w:ascii="Verdana" w:hAnsi="Verdana" w:cstheme="minorHAnsi"/>
          <w:sz w:val="24"/>
          <w:szCs w:val="24"/>
        </w:rPr>
        <w:t xml:space="preserve"> For example, the current Hong Kong A-Level Pure Mathematics curriculum covers a considerable portion of the content covered in first-year degree programmes in the UK. </w:t>
      </w:r>
    </w:p>
    <w:p w:rsidR="006B2136" w:rsidRPr="00FE3FBB" w:rsidP="00531FC0">
      <w:pPr>
        <w:pStyle w:val="ListParagraph"/>
        <w:ind w:left="0"/>
        <w:rPr>
          <w:rFonts w:ascii="Verdana" w:hAnsi="Verdana" w:cstheme="minorHAnsi"/>
          <w:sz w:val="24"/>
          <w:szCs w:val="24"/>
        </w:rPr>
      </w:pPr>
    </w:p>
    <w:p w:rsidR="00B81E4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 xml:space="preserve">Of more significance than the content is the emphasis within the curriculum. In some countries, the focus is on procedural fluency, whilst in others it falls on conceptual understanding and/or on real-life applications and modelling. There are also more general cultural differences. For example, in UK examinations, multi-step questions are common, whilst in China, students have to address whole questions, finding the sequence of logical steps by themselves. Similarly, in UK textbooks, the same topic can appear repeatedly at different teaching stages, with the difficulty progressively increasing. However, in China, one topic normally appears only once and different topics are combined in a logical and coherent order. </w:t>
      </w:r>
    </w:p>
    <w:p w:rsidR="00B81E46" w:rsidRPr="00FE3FBB" w:rsidP="00531FC0">
      <w:pPr>
        <w:pStyle w:val="ListParagraph"/>
        <w:rPr>
          <w:rFonts w:ascii="Verdana" w:hAnsi="Verdana" w:cstheme="minorHAnsi"/>
          <w:sz w:val="24"/>
          <w:szCs w:val="24"/>
        </w:rPr>
      </w:pPr>
    </w:p>
    <w:p w:rsidR="00B81E4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Finally, in the UK, mathematics is only compulsory up to GCSE and only 15% of students in England continue mathematics beyond this level, while in many other countries, students have to study mathematics for a longer period and to a higher level during their compulsory schooling.</w:t>
      </w:r>
      <w:r>
        <w:rPr>
          <w:rStyle w:val="EndnoteReference"/>
          <w:rFonts w:ascii="Verdana" w:hAnsi="Verdana" w:cstheme="minorHAnsi"/>
          <w:sz w:val="24"/>
          <w:szCs w:val="24"/>
        </w:rPr>
        <w:endnoteReference w:id="9"/>
      </w:r>
    </w:p>
    <w:p w:rsidR="00B81E46" w:rsidRPr="00FE3FBB" w:rsidP="00531FC0">
      <w:pPr>
        <w:pStyle w:val="ListParagraph"/>
        <w:rPr>
          <w:rFonts w:ascii="Verdana" w:hAnsi="Verdana" w:cstheme="minorHAnsi"/>
          <w:sz w:val="24"/>
          <w:szCs w:val="24"/>
        </w:rPr>
      </w:pPr>
    </w:p>
    <w:p w:rsidR="00B81E4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The impact of different teaching methods and curriculum design in high performing East Asian countries, in particular the ‘maths mastery approach’, as compared to the UK, has been well researched.</w:t>
      </w:r>
      <w:r>
        <w:rPr>
          <w:rStyle w:val="EndnoteReference"/>
          <w:rFonts w:ascii="Verdana" w:hAnsi="Verdana" w:cstheme="minorHAnsi"/>
          <w:sz w:val="24"/>
          <w:szCs w:val="24"/>
        </w:rPr>
        <w:endnoteReference w:id="10"/>
      </w:r>
      <w:r w:rsidRPr="00FE3FBB">
        <w:rPr>
          <w:rFonts w:ascii="Verdana" w:hAnsi="Verdana" w:cstheme="minorHAnsi"/>
          <w:sz w:val="24"/>
          <w:szCs w:val="24"/>
        </w:rPr>
        <w:t xml:space="preserve"> The mastery model is based upon approaches to teaching mathematics in Singapore (ranked 2nd out of 65 economies in the PISA (2012) mathematics rankings (score of 573 compared to 495 in England)) and is increasingly gaining favour in the UK. In particular, fewer topics are covered in greater depth, with every child expected to reach a certain level, i.e. to ‘master the curriculum’, before the class progresses on to the next part of the syllabus together. </w:t>
      </w:r>
    </w:p>
    <w:p w:rsidR="00B81E46" w:rsidRPr="00FE3FBB" w:rsidP="00531FC0">
      <w:pPr>
        <w:pStyle w:val="ListParagraph"/>
        <w:rPr>
          <w:rFonts w:ascii="Verdana" w:hAnsi="Verdana" w:cstheme="minorHAnsi"/>
          <w:sz w:val="24"/>
          <w:szCs w:val="24"/>
        </w:rPr>
      </w:pPr>
    </w:p>
    <w:p w:rsidR="00550347"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 xml:space="preserve">The introduction of a ‘mastery curriculum’ is central to the Maths Mastery approach. This is where the vast majority of pupils’ progress through the curriculum at the same pace, with subject matter and learning content broken into units with clearly defined goals. Pupils who are academically weaker at each stage are expected to reach a basic standard in each unit before the whole class moves on to the next topic together. In the meantime, pupils that have made faster progress are encouraged to explore the current learning unit in more depth. This is in contrast to </w:t>
      </w:r>
      <w:r w:rsidRPr="00FE3FBB" w:rsidR="008E010A">
        <w:rPr>
          <w:rFonts w:ascii="Verdana" w:hAnsi="Verdana" w:cstheme="minorHAnsi"/>
          <w:sz w:val="24"/>
          <w:szCs w:val="24"/>
        </w:rPr>
        <w:t xml:space="preserve">previous </w:t>
      </w:r>
      <w:r w:rsidRPr="00FE3FBB">
        <w:rPr>
          <w:rFonts w:ascii="Verdana" w:hAnsi="Verdana" w:cstheme="minorHAnsi"/>
          <w:sz w:val="24"/>
          <w:szCs w:val="24"/>
        </w:rPr>
        <w:t xml:space="preserve">standard practice in England, where those making faster progress are accelerated on to learning a new topic. It is thought that the mastery approach reduces the need to repeatedly revisit material and promotes depth of understanding over memorised procedures. </w:t>
      </w:r>
    </w:p>
    <w:p w:rsidR="00B81E46" w:rsidRPr="00FE3FBB" w:rsidP="00531FC0">
      <w:pPr>
        <w:pStyle w:val="ListParagraph"/>
        <w:ind w:left="0"/>
        <w:rPr>
          <w:rFonts w:ascii="Verdana" w:hAnsi="Verdana" w:cstheme="minorHAnsi"/>
          <w:sz w:val="24"/>
          <w:szCs w:val="24"/>
        </w:rPr>
      </w:pPr>
    </w:p>
    <w:p w:rsidR="00550347" w:rsidRPr="00FE3FBB" w:rsidP="00531FC0">
      <w:pPr>
        <w:pStyle w:val="ListParagraph"/>
        <w:numPr>
          <w:ilvl w:val="0"/>
          <w:numId w:val="20"/>
        </w:numPr>
        <w:rPr>
          <w:rFonts w:ascii="Verdana" w:hAnsi="Verdana" w:cstheme="minorHAnsi"/>
          <w:sz w:val="24"/>
          <w:szCs w:val="24"/>
        </w:rPr>
      </w:pPr>
      <w:r w:rsidRPr="00FE3FBB">
        <w:rPr>
          <w:rFonts w:ascii="Verdana" w:hAnsi="Verdana" w:cstheme="minorHAnsi"/>
          <w:sz w:val="24"/>
          <w:szCs w:val="24"/>
        </w:rPr>
        <w:t>School structure and governance</w:t>
      </w:r>
    </w:p>
    <w:p w:rsidR="00B81E46" w:rsidRPr="00FE3FBB" w:rsidP="00531FC0">
      <w:pPr>
        <w:pStyle w:val="ListParagraph"/>
        <w:rPr>
          <w:rFonts w:ascii="Verdana" w:hAnsi="Verdana" w:cstheme="minorHAnsi"/>
          <w:sz w:val="24"/>
          <w:szCs w:val="24"/>
        </w:rPr>
      </w:pPr>
    </w:p>
    <w:p w:rsidR="00B81E4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A variety of factors around the structure and governance of the school system may have an influence on the development of numeracy skills at the national level.</w:t>
      </w:r>
    </w:p>
    <w:p w:rsidR="00B81E46" w:rsidRPr="00FE3FBB" w:rsidP="00531FC0">
      <w:pPr>
        <w:pStyle w:val="ListParagraph"/>
        <w:ind w:left="0"/>
        <w:rPr>
          <w:rFonts w:ascii="Verdana" w:hAnsi="Verdana" w:cstheme="minorHAnsi"/>
          <w:sz w:val="24"/>
          <w:szCs w:val="24"/>
        </w:rPr>
      </w:pPr>
    </w:p>
    <w:p w:rsidR="00B81E46"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The attainment of disadvantaged pupils in England lags behind several other Western nations, including Estonia, Canada, the Netherlands and Ireland, achieving around a third of a grade lower on average. Disadvantaged pupils in the Asian nations of Macao, Singapore, Hong Kong, Taiwan and Japan are even further ahead, with England performing around half a grade lower in maths.</w:t>
      </w:r>
      <w:r>
        <w:rPr>
          <w:rStyle w:val="EndnoteReference"/>
          <w:rFonts w:ascii="Verdana" w:hAnsi="Verdana" w:cstheme="minorHAnsi"/>
          <w:sz w:val="24"/>
          <w:szCs w:val="24"/>
        </w:rPr>
        <w:endnoteReference w:id="11"/>
      </w:r>
    </w:p>
    <w:p w:rsidR="00B81E46" w:rsidRPr="00FE3FBB" w:rsidP="00531FC0">
      <w:pPr>
        <w:pStyle w:val="ListParagraph"/>
        <w:rPr>
          <w:rFonts w:ascii="Verdana" w:hAnsi="Verdana" w:cstheme="minorHAnsi"/>
          <w:sz w:val="24"/>
          <w:szCs w:val="24"/>
        </w:rPr>
      </w:pPr>
    </w:p>
    <w:p w:rsidR="00550347" w:rsidRPr="00FE3FBB" w:rsidP="00531FC0">
      <w:pPr>
        <w:pStyle w:val="ListParagraph"/>
        <w:numPr>
          <w:ilvl w:val="0"/>
          <w:numId w:val="14"/>
        </w:numPr>
        <w:ind w:left="0" w:hanging="491"/>
        <w:rPr>
          <w:rFonts w:ascii="Verdana" w:hAnsi="Verdana" w:cstheme="minorHAnsi"/>
          <w:sz w:val="24"/>
          <w:szCs w:val="24"/>
        </w:rPr>
      </w:pPr>
      <w:r w:rsidRPr="00FE3FBB">
        <w:rPr>
          <w:rFonts w:ascii="Verdana" w:hAnsi="Verdana" w:cstheme="minorHAnsi"/>
          <w:sz w:val="24"/>
          <w:szCs w:val="24"/>
        </w:rPr>
        <w:t xml:space="preserve">While a wide variety of factors will be responsible for this difference, the relevant research proposes a number of central themes. For example, evidence suggests that grouping pupils by ability from a young age in the </w:t>
      </w:r>
      <w:r w:rsidRPr="00FE3FBB">
        <w:rPr>
          <w:rFonts w:ascii="Verdana" w:hAnsi="Verdana" w:cstheme="minorHAnsi"/>
          <w:sz w:val="24"/>
          <w:szCs w:val="24"/>
        </w:rPr>
        <w:t>UK can be detrimental to the learning of low attaining pupils in mathematics. This can be particularly to the detriment of disadvantaged pupils, as they are more likely to be in a low attaining group.</w:t>
      </w:r>
      <w:r>
        <w:rPr>
          <w:rStyle w:val="EndnoteReference"/>
          <w:rFonts w:ascii="Verdana" w:hAnsi="Verdana" w:cstheme="minorHAnsi"/>
          <w:sz w:val="24"/>
          <w:szCs w:val="24"/>
        </w:rPr>
        <w:endnoteReference w:id="12"/>
      </w:r>
      <w:r w:rsidRPr="00FE3FBB">
        <w:rPr>
          <w:rFonts w:ascii="Verdana" w:hAnsi="Verdana" w:cstheme="minorHAnsi"/>
          <w:sz w:val="24"/>
          <w:szCs w:val="24"/>
        </w:rPr>
        <w:t xml:space="preserve"> This approach to ‘setting’, particularly from a relatively young age, can in turn lead to lower ability pupils being exposed to less rigorous mathematics as their school career progresses. This can restrict the opportunity for such pupils to reach their full potential, as well as damaging confidence and supporting the development of negatives feelings towards maths.</w:t>
      </w:r>
      <w:r>
        <w:rPr>
          <w:rStyle w:val="EndnoteReference"/>
          <w:rFonts w:ascii="Verdana" w:hAnsi="Verdana" w:cstheme="minorHAnsi"/>
          <w:sz w:val="24"/>
          <w:szCs w:val="24"/>
        </w:rPr>
        <w:endnoteReference w:id="13"/>
      </w:r>
    </w:p>
    <w:p w:rsidR="00B81E46" w:rsidRPr="00FE3FBB" w:rsidP="00531FC0">
      <w:pPr>
        <w:pStyle w:val="ListParagraph"/>
        <w:ind w:left="0"/>
        <w:rPr>
          <w:rFonts w:ascii="Verdana" w:hAnsi="Verdana" w:cstheme="minorHAnsi"/>
          <w:sz w:val="24"/>
          <w:szCs w:val="24"/>
        </w:rPr>
      </w:pPr>
    </w:p>
    <w:p w:rsidR="00550347" w:rsidRPr="00FE3FBB" w:rsidP="00531FC0">
      <w:pPr>
        <w:pStyle w:val="ListParagraph"/>
        <w:numPr>
          <w:ilvl w:val="0"/>
          <w:numId w:val="20"/>
        </w:numPr>
        <w:rPr>
          <w:rFonts w:ascii="Verdana" w:hAnsi="Verdana" w:cstheme="minorHAnsi"/>
          <w:sz w:val="24"/>
          <w:szCs w:val="24"/>
        </w:rPr>
      </w:pPr>
      <w:r w:rsidRPr="00FE3FBB">
        <w:rPr>
          <w:rFonts w:ascii="Verdana" w:hAnsi="Verdana" w:cstheme="minorHAnsi"/>
          <w:sz w:val="24"/>
          <w:szCs w:val="24"/>
        </w:rPr>
        <w:t>Teacher recruitment and development</w:t>
      </w:r>
    </w:p>
    <w:p w:rsidR="00B81E46" w:rsidRPr="00FE3FBB" w:rsidP="00531FC0">
      <w:pPr>
        <w:pStyle w:val="ListParagraph"/>
        <w:rPr>
          <w:rFonts w:ascii="Verdana" w:hAnsi="Verdana" w:cstheme="minorHAnsi"/>
          <w:sz w:val="24"/>
          <w:szCs w:val="24"/>
        </w:rPr>
      </w:pPr>
    </w:p>
    <w:p w:rsidR="00B81E46" w:rsidRPr="00FE3FBB" w:rsidP="00531FC0">
      <w:pPr>
        <w:pStyle w:val="ListParagraph"/>
        <w:numPr>
          <w:ilvl w:val="0"/>
          <w:numId w:val="14"/>
        </w:numPr>
        <w:ind w:left="0" w:hanging="502"/>
        <w:rPr>
          <w:rFonts w:ascii="Verdana" w:hAnsi="Verdana" w:cstheme="minorHAnsi"/>
          <w:sz w:val="24"/>
          <w:szCs w:val="24"/>
        </w:rPr>
      </w:pPr>
      <w:r w:rsidRPr="00FE3FBB">
        <w:rPr>
          <w:rFonts w:ascii="Verdana" w:hAnsi="Verdana" w:cstheme="minorHAnsi"/>
          <w:sz w:val="24"/>
          <w:szCs w:val="24"/>
        </w:rPr>
        <w:t>The UK educational system faces a growing challenge to recruit and retain high quality teachers.</w:t>
      </w:r>
      <w:r>
        <w:rPr>
          <w:rFonts w:ascii="Verdana" w:hAnsi="Verdana" w:cstheme="minorHAnsi"/>
          <w:sz w:val="24"/>
          <w:szCs w:val="24"/>
        </w:rPr>
        <w:endnoteReference w:id="14"/>
      </w:r>
      <w:r w:rsidRPr="00FE3FBB">
        <w:rPr>
          <w:rFonts w:ascii="Verdana" w:hAnsi="Verdana" w:cstheme="minorHAnsi"/>
          <w:sz w:val="24"/>
          <w:szCs w:val="24"/>
        </w:rPr>
        <w:t xml:space="preserve"> In the PISA 2015 survey, 45% of headteachers in England reported that ‘teacher shortages’ were the greatest barrier to improving outcomes, compared to around 30 per cent for the OECD and the top-performing countries as a group.</w:t>
      </w:r>
      <w:r>
        <w:rPr>
          <w:rFonts w:ascii="Verdana" w:hAnsi="Verdana" w:cstheme="minorHAnsi"/>
          <w:sz w:val="24"/>
          <w:szCs w:val="24"/>
        </w:rPr>
        <w:endnoteReference w:id="15"/>
      </w:r>
      <w:r w:rsidRPr="00FE3FBB">
        <w:rPr>
          <w:rFonts w:ascii="Verdana" w:hAnsi="Verdana" w:cstheme="minorHAnsi"/>
          <w:sz w:val="24"/>
          <w:szCs w:val="24"/>
        </w:rPr>
        <w:t xml:space="preserve"> This issue is often most acute in parts of the country that face the greatest challenges, such as the ‘Opportunity Areas’ that are often isolated with no obvious mechanisms for recruiting and deploying new teachers. For example, analysis of the School Workforce Census in England indicates that schools with the highest proportion of pupils eligible for free school meals have more than twice as many unqualified teachers as those with the lowest proportion.</w:t>
      </w:r>
      <w:r>
        <w:rPr>
          <w:rStyle w:val="EndnoteReference"/>
          <w:rFonts w:ascii="Verdana" w:hAnsi="Verdana" w:cstheme="minorHAnsi"/>
          <w:sz w:val="24"/>
          <w:szCs w:val="24"/>
        </w:rPr>
        <w:endnoteReference w:id="16"/>
      </w:r>
    </w:p>
    <w:p w:rsidR="00B81E46" w:rsidRPr="00FE3FBB" w:rsidP="00531FC0">
      <w:pPr>
        <w:pStyle w:val="ListParagraph"/>
        <w:rPr>
          <w:rFonts w:ascii="Verdana" w:hAnsi="Verdana" w:cstheme="minorHAnsi"/>
          <w:sz w:val="24"/>
          <w:szCs w:val="24"/>
        </w:rPr>
      </w:pPr>
    </w:p>
    <w:p w:rsidR="00550347" w:rsidRPr="00FE3FBB" w:rsidP="00531FC0">
      <w:pPr>
        <w:pStyle w:val="ListParagraph"/>
        <w:numPr>
          <w:ilvl w:val="0"/>
          <w:numId w:val="14"/>
        </w:numPr>
        <w:ind w:left="0" w:hanging="502"/>
        <w:rPr>
          <w:rFonts w:ascii="Verdana" w:hAnsi="Verdana" w:cstheme="minorHAnsi"/>
          <w:sz w:val="24"/>
          <w:szCs w:val="24"/>
        </w:rPr>
      </w:pPr>
      <w:r w:rsidRPr="00FE3FBB">
        <w:rPr>
          <w:rFonts w:ascii="Verdana" w:hAnsi="Verdana" w:cstheme="minorHAnsi"/>
          <w:sz w:val="24"/>
          <w:szCs w:val="24"/>
        </w:rPr>
        <w:t>Approaches to teacher development and status have been studied in several of the countries that score most highly on PISA, such as Shanghai and Singapore, where there are formal career structures for teachers, with pathways from class subject teacher through to Municipal subject leader.</w:t>
      </w:r>
      <w:r>
        <w:rPr>
          <w:rStyle w:val="EndnoteReference"/>
          <w:rFonts w:ascii="Verdana" w:hAnsi="Verdana" w:cstheme="minorHAnsi"/>
          <w:sz w:val="24"/>
          <w:szCs w:val="24"/>
        </w:rPr>
        <w:endnoteReference w:id="17"/>
      </w:r>
      <w:r w:rsidRPr="00FE3FBB">
        <w:rPr>
          <w:rFonts w:ascii="Verdana" w:hAnsi="Verdana" w:cstheme="minorHAnsi"/>
          <w:sz w:val="24"/>
          <w:szCs w:val="24"/>
        </w:rPr>
        <w:t>South Korea is also interesting in this respect because low socio-economic status students are more likely than high socioeconomic status students to be taught by high quality maths teachers, as measured by characteristics such as: full certification, mathematics or mathematic education major and at least three years of experience. Multiple incentives are offered to candidates who work in high need schools, for example through additional salary payments, smaller class sizes, less instructional time, additional credit towards future promotion to administrative positions, and the ability to choose the next school where they work.</w:t>
      </w:r>
      <w:r>
        <w:rPr>
          <w:rStyle w:val="EndnoteReference"/>
          <w:rFonts w:ascii="Verdana" w:hAnsi="Verdana" w:cstheme="minorHAnsi"/>
          <w:sz w:val="24"/>
          <w:szCs w:val="24"/>
        </w:rPr>
        <w:endnoteReference w:id="18"/>
      </w:r>
    </w:p>
    <w:p w:rsidR="00B81E46" w:rsidRPr="00FE3FBB" w:rsidP="00531FC0">
      <w:pPr>
        <w:pStyle w:val="ListParagraph"/>
        <w:ind w:left="0"/>
        <w:rPr>
          <w:rFonts w:ascii="Verdana" w:hAnsi="Verdana" w:cstheme="minorHAnsi"/>
          <w:sz w:val="24"/>
          <w:szCs w:val="24"/>
        </w:rPr>
      </w:pPr>
    </w:p>
    <w:p w:rsidR="00550347" w:rsidRPr="00FE3FBB" w:rsidP="00531FC0">
      <w:pPr>
        <w:pStyle w:val="ListParagraph"/>
        <w:numPr>
          <w:ilvl w:val="0"/>
          <w:numId w:val="20"/>
        </w:numPr>
        <w:rPr>
          <w:rFonts w:ascii="Verdana" w:hAnsi="Verdana" w:cstheme="minorHAnsi"/>
          <w:sz w:val="24"/>
          <w:szCs w:val="24"/>
        </w:rPr>
      </w:pPr>
      <w:r w:rsidRPr="00FE3FBB">
        <w:rPr>
          <w:rFonts w:ascii="Verdana" w:hAnsi="Verdana" w:cstheme="minorHAnsi"/>
          <w:sz w:val="24"/>
          <w:szCs w:val="24"/>
        </w:rPr>
        <w:t>Parent and carer influence</w:t>
      </w:r>
    </w:p>
    <w:p w:rsidR="00B81E46" w:rsidRPr="00FE3FBB" w:rsidP="00531FC0">
      <w:pPr>
        <w:pStyle w:val="ListParagraph"/>
        <w:rPr>
          <w:rFonts w:ascii="Verdana" w:hAnsi="Verdana" w:cstheme="minorHAnsi"/>
          <w:sz w:val="24"/>
          <w:szCs w:val="24"/>
        </w:rPr>
      </w:pPr>
    </w:p>
    <w:p w:rsidR="00550347" w:rsidRPr="00FE3FBB" w:rsidP="00531FC0">
      <w:pPr>
        <w:pStyle w:val="ListParagraph"/>
        <w:numPr>
          <w:ilvl w:val="0"/>
          <w:numId w:val="14"/>
        </w:numPr>
        <w:ind w:left="0" w:hanging="502"/>
        <w:rPr>
          <w:rFonts w:ascii="Verdana" w:hAnsi="Verdana" w:cstheme="minorHAnsi"/>
          <w:sz w:val="24"/>
          <w:szCs w:val="24"/>
        </w:rPr>
      </w:pPr>
      <w:r w:rsidRPr="00FE3FBB">
        <w:rPr>
          <w:rFonts w:ascii="Verdana" w:hAnsi="Verdana" w:cstheme="minorHAnsi"/>
          <w:sz w:val="24"/>
          <w:szCs w:val="24"/>
        </w:rPr>
        <w:t>In the UK, the basic skills of young adults are strongly connected to parental education and much more so than in other OECD countries. Young people born into households where neither parent attained at least upper secondary education face inherent disadvantages in accessing quality education and labour market opportunities.</w:t>
      </w:r>
      <w:r>
        <w:rPr>
          <w:rStyle w:val="EndnoteReference"/>
          <w:rFonts w:ascii="Verdana" w:hAnsi="Verdana" w:cstheme="minorHAnsi"/>
          <w:sz w:val="24"/>
          <w:szCs w:val="24"/>
        </w:rPr>
        <w:endnoteReference w:id="19"/>
      </w:r>
      <w:r w:rsidRPr="00FE3FBB">
        <w:rPr>
          <w:rFonts w:ascii="Verdana" w:hAnsi="Verdana" w:cstheme="minorHAnsi"/>
          <w:sz w:val="24"/>
          <w:szCs w:val="24"/>
        </w:rPr>
        <w:t xml:space="preserve"> </w:t>
      </w:r>
    </w:p>
    <w:p w:rsidR="00B81E46" w:rsidRPr="00FE3FBB" w:rsidP="00531FC0">
      <w:pPr>
        <w:pStyle w:val="ListParagraph"/>
        <w:ind w:left="0"/>
        <w:rPr>
          <w:rFonts w:ascii="Verdana" w:hAnsi="Verdana" w:cstheme="minorHAnsi"/>
          <w:sz w:val="24"/>
          <w:szCs w:val="24"/>
        </w:rPr>
      </w:pPr>
    </w:p>
    <w:p w:rsidR="00550347" w:rsidRPr="00FE3FBB" w:rsidP="00531FC0">
      <w:pPr>
        <w:pStyle w:val="ListParagraph"/>
        <w:numPr>
          <w:ilvl w:val="0"/>
          <w:numId w:val="20"/>
        </w:numPr>
        <w:rPr>
          <w:rFonts w:ascii="Verdana" w:hAnsi="Verdana" w:cstheme="minorHAnsi"/>
          <w:sz w:val="24"/>
          <w:szCs w:val="24"/>
        </w:rPr>
      </w:pPr>
      <w:r w:rsidRPr="00FE3FBB">
        <w:rPr>
          <w:rFonts w:ascii="Verdana" w:hAnsi="Verdana" w:cstheme="minorHAnsi"/>
          <w:sz w:val="24"/>
          <w:szCs w:val="24"/>
        </w:rPr>
        <w:t>Appetite for learning</w:t>
      </w:r>
    </w:p>
    <w:p w:rsidR="00B81E46" w:rsidRPr="00FE3FBB" w:rsidP="00531FC0">
      <w:pPr>
        <w:pStyle w:val="ListParagraph"/>
        <w:rPr>
          <w:rFonts w:ascii="Verdana" w:hAnsi="Verdana" w:cstheme="minorHAnsi"/>
          <w:sz w:val="24"/>
          <w:szCs w:val="24"/>
        </w:rPr>
      </w:pPr>
    </w:p>
    <w:p w:rsidR="00B81E46" w:rsidRPr="00FE3FBB" w:rsidP="00531FC0">
      <w:pPr>
        <w:pStyle w:val="ListParagraph"/>
        <w:numPr>
          <w:ilvl w:val="0"/>
          <w:numId w:val="14"/>
        </w:numPr>
        <w:ind w:left="0" w:hanging="502"/>
        <w:rPr>
          <w:rFonts w:ascii="Verdana" w:hAnsi="Verdana" w:cstheme="minorHAnsi"/>
          <w:sz w:val="24"/>
          <w:szCs w:val="24"/>
          <w:shd w:val="clear" w:color="auto" w:fill="FFFFFF"/>
        </w:rPr>
      </w:pPr>
      <w:r w:rsidRPr="00FE3FBB">
        <w:rPr>
          <w:rFonts w:ascii="Verdana" w:hAnsi="Verdana" w:cstheme="minorHAnsi"/>
          <w:sz w:val="24"/>
          <w:szCs w:val="24"/>
          <w:shd w:val="clear" w:color="auto" w:fill="FFFFFF"/>
        </w:rPr>
        <w:t xml:space="preserve">Raising the numeracy skills level of adults in the UK depends to some extent on individuals being prepared to invest in their own development. Research suggests that the likelihood of an individual to actively seek to increase their skills level depends on a number of ‘intrinsic’ factors (confidence and/or self-efficacy (belief in own ability to learn/succeed)) and ‘extrinsic’ factors (availability of provision of appropriate quality, relevance and content). </w:t>
      </w:r>
    </w:p>
    <w:p w:rsidR="00B81E46" w:rsidRPr="00FE3FBB" w:rsidP="00531FC0">
      <w:pPr>
        <w:pStyle w:val="ListParagraph"/>
        <w:ind w:left="0"/>
        <w:rPr>
          <w:rFonts w:ascii="Verdana" w:hAnsi="Verdana" w:cstheme="minorHAnsi"/>
          <w:sz w:val="24"/>
          <w:szCs w:val="24"/>
          <w:shd w:val="clear" w:color="auto" w:fill="FFFFFF"/>
        </w:rPr>
      </w:pPr>
    </w:p>
    <w:p w:rsidR="00B81E46" w:rsidRPr="00FE3FBB" w:rsidP="00531FC0">
      <w:pPr>
        <w:pStyle w:val="ListParagraph"/>
        <w:numPr>
          <w:ilvl w:val="0"/>
          <w:numId w:val="14"/>
        </w:numPr>
        <w:ind w:left="0" w:hanging="502"/>
        <w:rPr>
          <w:rFonts w:ascii="Verdana" w:hAnsi="Verdana" w:cstheme="minorHAnsi"/>
          <w:sz w:val="24"/>
          <w:szCs w:val="24"/>
          <w:shd w:val="clear" w:color="auto" w:fill="FFFFFF"/>
        </w:rPr>
      </w:pPr>
      <w:r w:rsidRPr="00FE3FBB">
        <w:rPr>
          <w:rFonts w:ascii="Verdana" w:hAnsi="Verdana" w:cstheme="minorHAnsi"/>
          <w:sz w:val="24"/>
          <w:szCs w:val="24"/>
          <w:shd w:val="clear" w:color="auto" w:fill="FFFFFF"/>
        </w:rPr>
        <w:t>People with fewer qualifications, those who are not employed or who work in smaller or non-unionised workplaces tend to be less likely than others to engage in, or request, skills development. However, evidence from Scandinavian</w:t>
      </w:r>
      <w:r w:rsidRPr="00FE3FBB">
        <w:rPr>
          <w:rFonts w:ascii="Verdana" w:hAnsi="Verdana" w:cstheme="minorHAnsi"/>
          <w:sz w:val="24"/>
          <w:szCs w:val="24"/>
        </w:rPr>
        <w:t xml:space="preserve"> </w:t>
      </w:r>
      <w:r w:rsidRPr="00FE3FBB">
        <w:rPr>
          <w:rFonts w:ascii="Verdana" w:hAnsi="Verdana" w:cstheme="minorHAnsi"/>
          <w:sz w:val="24"/>
          <w:szCs w:val="24"/>
          <w:shd w:val="clear" w:color="auto" w:fill="FFFFFF"/>
        </w:rPr>
        <w:t>countries demonstrates that positive attitudes to learning that</w:t>
      </w:r>
      <w:r w:rsidRPr="00FE3FBB">
        <w:rPr>
          <w:rFonts w:ascii="Verdana" w:hAnsi="Verdana" w:cstheme="minorHAnsi"/>
          <w:sz w:val="24"/>
          <w:szCs w:val="24"/>
        </w:rPr>
        <w:t xml:space="preserve"> </w:t>
      </w:r>
      <w:r w:rsidRPr="00FE3FBB">
        <w:rPr>
          <w:rFonts w:ascii="Verdana" w:hAnsi="Verdana" w:cstheme="minorHAnsi"/>
          <w:sz w:val="24"/>
          <w:szCs w:val="24"/>
          <w:shd w:val="clear" w:color="auto" w:fill="FFFFFF"/>
        </w:rPr>
        <w:t>are stimulated across all levels of society – and are reflected, for example, in active</w:t>
      </w:r>
      <w:r w:rsidRPr="00FE3FBB">
        <w:rPr>
          <w:rFonts w:ascii="Verdana" w:hAnsi="Verdana" w:cstheme="minorHAnsi"/>
          <w:sz w:val="24"/>
          <w:szCs w:val="24"/>
        </w:rPr>
        <w:t xml:space="preserve"> </w:t>
      </w:r>
      <w:r w:rsidRPr="00FE3FBB">
        <w:rPr>
          <w:rFonts w:ascii="Verdana" w:hAnsi="Verdana" w:cstheme="minorHAnsi"/>
          <w:sz w:val="24"/>
          <w:szCs w:val="24"/>
          <w:shd w:val="clear" w:color="auto" w:fill="FFFFFF"/>
        </w:rPr>
        <w:t>local community learning programmes – appear to be related to positive</w:t>
      </w:r>
      <w:r w:rsidRPr="00FE3FBB">
        <w:rPr>
          <w:rFonts w:ascii="Verdana" w:hAnsi="Verdana" w:cstheme="minorHAnsi"/>
          <w:sz w:val="24"/>
          <w:szCs w:val="24"/>
        </w:rPr>
        <w:t xml:space="preserve"> </w:t>
      </w:r>
      <w:r w:rsidRPr="00FE3FBB">
        <w:rPr>
          <w:rFonts w:ascii="Verdana" w:hAnsi="Verdana" w:cstheme="minorHAnsi"/>
          <w:sz w:val="24"/>
          <w:szCs w:val="24"/>
          <w:shd w:val="clear" w:color="auto" w:fill="FFFFFF"/>
        </w:rPr>
        <w:t xml:space="preserve">attitudes to skills development among individuals and employers. </w:t>
      </w:r>
    </w:p>
    <w:p w:rsidR="00B81E46" w:rsidRPr="00FE3FBB" w:rsidP="00531FC0">
      <w:pPr>
        <w:pStyle w:val="ListParagraph"/>
        <w:rPr>
          <w:rFonts w:ascii="Verdana" w:hAnsi="Verdana" w:cstheme="minorHAnsi"/>
          <w:sz w:val="24"/>
          <w:szCs w:val="24"/>
          <w:shd w:val="clear" w:color="auto" w:fill="FFFFFF"/>
        </w:rPr>
      </w:pPr>
    </w:p>
    <w:p w:rsidR="00550347" w:rsidRPr="00FE3FBB" w:rsidP="00531FC0">
      <w:pPr>
        <w:pStyle w:val="ListParagraph"/>
        <w:numPr>
          <w:ilvl w:val="0"/>
          <w:numId w:val="14"/>
        </w:numPr>
        <w:ind w:left="0" w:hanging="502"/>
        <w:rPr>
          <w:rFonts w:ascii="Verdana" w:hAnsi="Verdana" w:cstheme="minorHAnsi"/>
          <w:sz w:val="24"/>
          <w:szCs w:val="24"/>
          <w:shd w:val="clear" w:color="auto" w:fill="FFFFFF"/>
        </w:rPr>
      </w:pPr>
      <w:r w:rsidRPr="00FE3FBB">
        <w:rPr>
          <w:rFonts w:ascii="Verdana" w:hAnsi="Verdana" w:cstheme="minorHAnsi"/>
          <w:sz w:val="24"/>
          <w:szCs w:val="24"/>
          <w:shd w:val="clear" w:color="auto" w:fill="FFFFFF"/>
        </w:rPr>
        <w:t>This suggests that progress and improvement in UK adult numeracy levels is likely to require a stronger culture of learning whereby people from across all sections of society see learning as an ongoing part of their lives, rather than something that ends with compulsory education. Research suggests that relevant UK policies appear to be designed to address these intrinsic and extrinsic factors in isolation from one another. Some initiatives are targeted at specific groups of people whereas others are more general. The result is that most policy interventions have only a modest impact on some groups of individuals, often those who are already committed to skills development and who are in a good position to take advantage of the available support</w:t>
      </w:r>
      <w:bookmarkStart w:id="0" w:name="_Ref89702274"/>
      <w:r w:rsidRPr="00FE3FBB">
        <w:rPr>
          <w:rFonts w:ascii="Verdana" w:hAnsi="Verdana" w:cstheme="minorHAnsi"/>
          <w:sz w:val="24"/>
          <w:szCs w:val="24"/>
          <w:shd w:val="clear" w:color="auto" w:fill="FFFFFF"/>
        </w:rPr>
        <w:t>.</w:t>
      </w:r>
      <w:r>
        <w:rPr>
          <w:rStyle w:val="EndnoteReference"/>
          <w:rFonts w:ascii="Verdana" w:hAnsi="Verdana" w:cstheme="minorHAnsi"/>
          <w:sz w:val="24"/>
          <w:szCs w:val="24"/>
          <w:shd w:val="clear" w:color="auto" w:fill="FFFFFF"/>
        </w:rPr>
        <w:endnoteReference w:id="20"/>
      </w:r>
      <w:bookmarkEnd w:id="0"/>
      <w:r w:rsidRPr="00FE3FBB">
        <w:rPr>
          <w:rFonts w:ascii="Verdana" w:hAnsi="Verdana" w:cstheme="minorHAnsi"/>
          <w:sz w:val="24"/>
          <w:szCs w:val="24"/>
          <w:shd w:val="clear" w:color="auto" w:fill="FFFFFF"/>
        </w:rPr>
        <w:t xml:space="preserve"> </w:t>
      </w:r>
    </w:p>
    <w:p w:rsidR="00B81E46" w:rsidRPr="00FE3FBB" w:rsidP="00531FC0">
      <w:pPr>
        <w:pStyle w:val="ListParagraph"/>
        <w:ind w:left="0"/>
        <w:rPr>
          <w:rFonts w:ascii="Verdana" w:hAnsi="Verdana" w:cstheme="minorHAnsi"/>
          <w:sz w:val="24"/>
          <w:szCs w:val="24"/>
          <w:shd w:val="clear" w:color="auto" w:fill="FFFFFF"/>
        </w:rPr>
      </w:pPr>
    </w:p>
    <w:p w:rsidR="00550347" w:rsidRPr="00FE3FBB" w:rsidP="00531FC0">
      <w:pPr>
        <w:pStyle w:val="ListParagraph"/>
        <w:numPr>
          <w:ilvl w:val="0"/>
          <w:numId w:val="20"/>
        </w:numPr>
        <w:rPr>
          <w:rFonts w:ascii="Verdana" w:hAnsi="Verdana" w:cstheme="minorHAnsi"/>
          <w:sz w:val="24"/>
          <w:szCs w:val="24"/>
          <w:shd w:val="clear" w:color="auto" w:fill="FFFFFF"/>
        </w:rPr>
      </w:pPr>
      <w:r w:rsidRPr="00FE3FBB">
        <w:rPr>
          <w:rFonts w:ascii="Verdana" w:hAnsi="Verdana" w:cstheme="minorHAnsi"/>
          <w:sz w:val="24"/>
          <w:szCs w:val="24"/>
          <w:shd w:val="clear" w:color="auto" w:fill="FFFFFF"/>
        </w:rPr>
        <w:t>Prevailing culture and attitudes</w:t>
      </w:r>
    </w:p>
    <w:p w:rsidR="00B81E46" w:rsidRPr="00FE3FBB" w:rsidP="00531FC0">
      <w:pPr>
        <w:pStyle w:val="ListParagraph"/>
        <w:rPr>
          <w:rFonts w:ascii="Verdana" w:hAnsi="Verdana" w:cstheme="minorHAnsi"/>
          <w:sz w:val="24"/>
          <w:szCs w:val="24"/>
          <w:shd w:val="clear" w:color="auto" w:fill="FFFFFF"/>
        </w:rPr>
      </w:pPr>
    </w:p>
    <w:p w:rsidR="00B81E46" w:rsidRPr="00FE3FBB" w:rsidP="00531FC0">
      <w:pPr>
        <w:pStyle w:val="ListParagraph"/>
        <w:numPr>
          <w:ilvl w:val="0"/>
          <w:numId w:val="14"/>
        </w:numPr>
        <w:ind w:left="0" w:hanging="502"/>
        <w:rPr>
          <w:rFonts w:ascii="Verdana" w:hAnsi="Verdana" w:cstheme="minorHAnsi"/>
          <w:sz w:val="24"/>
          <w:szCs w:val="24"/>
        </w:rPr>
      </w:pPr>
      <w:r w:rsidRPr="00FE3FBB">
        <w:rPr>
          <w:rFonts w:ascii="Verdana" w:hAnsi="Verdana" w:cstheme="minorHAnsi"/>
          <w:sz w:val="24"/>
          <w:szCs w:val="24"/>
        </w:rPr>
        <w:t>Research suggests that in the UK, USA and New Zealand, for example, it is socially and culturally acceptable to say ‘I cannot do maths’. However, in countries such as France, Italy, Russia and China, mathematics is highly valued at school from an early age. In such countries, mathematics is regarded as very demanding and serves as the primary subject through which to academically discern between students.</w:t>
      </w:r>
      <w:r>
        <w:rPr>
          <w:rStyle w:val="EndnoteReference"/>
          <w:rFonts w:ascii="Verdana" w:hAnsi="Verdana" w:cstheme="minorHAnsi"/>
          <w:sz w:val="24"/>
          <w:szCs w:val="24"/>
        </w:rPr>
        <w:endnoteReference w:id="21"/>
      </w:r>
    </w:p>
    <w:p w:rsidR="00B81E46" w:rsidRPr="00FE3FBB" w:rsidP="00531FC0">
      <w:pPr>
        <w:pStyle w:val="ListParagraph"/>
        <w:ind w:left="0"/>
        <w:rPr>
          <w:rFonts w:ascii="Verdana" w:hAnsi="Verdana" w:cstheme="minorHAnsi"/>
          <w:sz w:val="24"/>
          <w:szCs w:val="24"/>
        </w:rPr>
      </w:pPr>
    </w:p>
    <w:p w:rsidR="00550347" w:rsidRPr="00FE3FBB" w:rsidP="00531FC0">
      <w:pPr>
        <w:pStyle w:val="ListParagraph"/>
        <w:numPr>
          <w:ilvl w:val="0"/>
          <w:numId w:val="14"/>
        </w:numPr>
        <w:ind w:left="0" w:hanging="502"/>
        <w:rPr>
          <w:rFonts w:ascii="Verdana" w:hAnsi="Verdana" w:cstheme="minorHAnsi"/>
          <w:sz w:val="24"/>
          <w:szCs w:val="24"/>
        </w:rPr>
      </w:pPr>
      <w:r w:rsidRPr="00FE3FBB">
        <w:rPr>
          <w:rFonts w:ascii="Verdana" w:hAnsi="Verdana" w:cstheme="minorHAnsi"/>
          <w:sz w:val="24"/>
          <w:szCs w:val="24"/>
        </w:rPr>
        <w:t>Evidence from wider sources in England suggests that students’ attainment and attitudes are strongly inter-related,</w:t>
      </w:r>
      <w:r>
        <w:rPr>
          <w:rStyle w:val="EndnoteReference"/>
          <w:rFonts w:ascii="Verdana" w:hAnsi="Verdana" w:cstheme="minorHAnsi"/>
          <w:sz w:val="24"/>
          <w:szCs w:val="24"/>
        </w:rPr>
        <w:endnoteReference w:id="22"/>
      </w:r>
      <w:r w:rsidRPr="00FE3FBB">
        <w:rPr>
          <w:rFonts w:ascii="Verdana" w:hAnsi="Verdana" w:cstheme="minorHAnsi"/>
          <w:sz w:val="24"/>
          <w:szCs w:val="24"/>
        </w:rPr>
        <w:t xml:space="preserve"> and that there is a propensity for students to cease studying mathematics due to finding it </w:t>
      </w:r>
      <w:r w:rsidRPr="00FE3FBB">
        <w:rPr>
          <w:rFonts w:ascii="Verdana" w:hAnsi="Verdana" w:cstheme="minorHAnsi"/>
          <w:sz w:val="24"/>
          <w:szCs w:val="24"/>
        </w:rPr>
        <w:t>abstract or overly challenging.</w:t>
      </w:r>
      <w:r>
        <w:rPr>
          <w:rStyle w:val="EndnoteReference"/>
          <w:rFonts w:ascii="Verdana" w:hAnsi="Verdana" w:cstheme="minorHAnsi"/>
          <w:sz w:val="24"/>
          <w:szCs w:val="24"/>
        </w:rPr>
        <w:endnoteReference w:id="23"/>
      </w:r>
      <w:r w:rsidRPr="00FE3FBB">
        <w:rPr>
          <w:rFonts w:ascii="Verdana" w:hAnsi="Verdana" w:cstheme="minorHAnsi"/>
          <w:sz w:val="24"/>
          <w:szCs w:val="24"/>
        </w:rPr>
        <w:t xml:space="preserve"> This clearly has implications for participation in and prevailing attitudes towards mathematics.</w:t>
      </w:r>
    </w:p>
    <w:p w:rsidR="00B81E46" w:rsidRPr="00FE3FBB" w:rsidP="00531FC0">
      <w:pPr>
        <w:pStyle w:val="ListParagraph"/>
        <w:ind w:left="0"/>
        <w:rPr>
          <w:rFonts w:ascii="Verdana" w:hAnsi="Verdana" w:cstheme="minorHAnsi"/>
          <w:sz w:val="24"/>
          <w:szCs w:val="24"/>
        </w:rPr>
      </w:pPr>
    </w:p>
    <w:p w:rsidR="00550347" w:rsidRPr="00FE3FBB" w:rsidP="00531FC0">
      <w:pPr>
        <w:pStyle w:val="ListParagraph"/>
        <w:numPr>
          <w:ilvl w:val="0"/>
          <w:numId w:val="20"/>
        </w:numPr>
        <w:rPr>
          <w:rFonts w:ascii="Verdana" w:hAnsi="Verdana" w:cstheme="minorHAnsi"/>
          <w:sz w:val="24"/>
          <w:szCs w:val="24"/>
        </w:rPr>
      </w:pPr>
      <w:r w:rsidRPr="00FE3FBB">
        <w:rPr>
          <w:rFonts w:ascii="Verdana" w:hAnsi="Verdana" w:cstheme="minorHAnsi"/>
          <w:sz w:val="24"/>
          <w:szCs w:val="24"/>
        </w:rPr>
        <w:t>Conclusion</w:t>
      </w:r>
    </w:p>
    <w:p w:rsidR="00B81E46" w:rsidRPr="00FE3FBB" w:rsidP="00531FC0">
      <w:pPr>
        <w:pStyle w:val="ListParagraph"/>
        <w:rPr>
          <w:rFonts w:ascii="Verdana" w:hAnsi="Verdana" w:cstheme="minorHAnsi"/>
          <w:sz w:val="24"/>
          <w:szCs w:val="24"/>
        </w:rPr>
      </w:pPr>
    </w:p>
    <w:p w:rsidR="00550347" w:rsidRPr="00FE3FBB" w:rsidP="00531FC0">
      <w:pPr>
        <w:pStyle w:val="ListParagraph"/>
        <w:numPr>
          <w:ilvl w:val="0"/>
          <w:numId w:val="14"/>
        </w:numPr>
        <w:ind w:left="0" w:hanging="502"/>
        <w:rPr>
          <w:rFonts w:ascii="Verdana" w:hAnsi="Verdana" w:cstheme="minorHAnsi"/>
          <w:sz w:val="24"/>
          <w:szCs w:val="24"/>
        </w:rPr>
      </w:pPr>
      <w:r w:rsidRPr="00FE3FBB">
        <w:rPr>
          <w:rFonts w:ascii="Verdana" w:hAnsi="Verdana" w:cstheme="minorHAnsi"/>
          <w:sz w:val="24"/>
          <w:szCs w:val="24"/>
        </w:rPr>
        <w:t xml:space="preserve">While the low rate of adult numeracy in the UK as compared to the OECD average is due to a broad range of different factors, it is perhaps unsurprising that these factors are concentrated in the areas of the education system and the prevailing culture in relation to mathematics. Many of the leading OECD economies have shown it possible to create a dynamic and highly skilled economy, accompanied by high levels of overall numeracy in the adult population. One thing that these countries appear to have in common, is very positive prevailing attitudes across society towards the value and utility of numeracy. </w:t>
      </w:r>
    </w:p>
    <w:p w:rsidR="006044C8" w:rsidRPr="00FE3FBB" w:rsidP="00531FC0">
      <w:pPr>
        <w:rPr>
          <w:rFonts w:ascii="Verdana" w:hAnsi="Verdana" w:cstheme="minorHAnsi"/>
          <w:sz w:val="24"/>
          <w:szCs w:val="24"/>
        </w:rPr>
      </w:pPr>
      <w:r w:rsidRPr="00FE3FBB">
        <w:rPr>
          <w:rFonts w:ascii="Verdana" w:hAnsi="Verdana" w:cstheme="minorHAnsi"/>
          <w:sz w:val="24"/>
          <w:szCs w:val="24"/>
        </w:rPr>
        <w:br w:type="page"/>
      </w:r>
    </w:p>
    <w:p w:rsidR="004B44BA" w:rsidRPr="00FE3FBB" w:rsidP="00531FC0">
      <w:pPr>
        <w:rPr>
          <w:rFonts w:ascii="Verdana" w:hAnsi="Verdana" w:cstheme="minorHAnsi"/>
          <w:b/>
          <w:bCs/>
          <w:sz w:val="24"/>
          <w:szCs w:val="24"/>
        </w:rPr>
      </w:pPr>
      <w:r w:rsidRPr="00FE3FBB">
        <w:rPr>
          <w:rFonts w:ascii="Verdana" w:hAnsi="Verdana" w:cstheme="minorHAnsi"/>
          <w:b/>
          <w:bCs/>
          <w:sz w:val="24"/>
          <w:szCs w:val="24"/>
        </w:rPr>
        <w:t xml:space="preserve">Addendum: </w:t>
      </w:r>
      <w:r w:rsidRPr="00FE3FBB" w:rsidR="0091457E">
        <w:rPr>
          <w:rFonts w:ascii="Verdana" w:hAnsi="Verdana" w:cstheme="minorHAnsi"/>
          <w:b/>
          <w:bCs/>
          <w:sz w:val="24"/>
          <w:szCs w:val="24"/>
        </w:rPr>
        <w:t>Key Research from National Numeracy</w:t>
      </w:r>
    </w:p>
    <w:p w:rsidR="00126446" w:rsidRPr="00FE3FBB" w:rsidP="00531FC0">
      <w:pPr>
        <w:rPr>
          <w:rFonts w:ascii="Verdana" w:hAnsi="Verdana" w:cstheme="minorHAnsi"/>
          <w:sz w:val="24"/>
          <w:szCs w:val="24"/>
        </w:rPr>
      </w:pPr>
    </w:p>
    <w:p w:rsidR="0091457E" w:rsidRPr="00FE3FBB" w:rsidP="00531FC0">
      <w:pPr>
        <w:rPr>
          <w:rFonts w:ascii="Verdana" w:hAnsi="Verdana" w:cstheme="minorHAnsi"/>
          <w:sz w:val="24"/>
          <w:szCs w:val="24"/>
        </w:rPr>
      </w:pPr>
      <w:r w:rsidRPr="00FE3FBB">
        <w:rPr>
          <w:rFonts w:ascii="Verdana" w:hAnsi="Verdana" w:cstheme="minorHAnsi"/>
          <w:b/>
          <w:bCs/>
          <w:sz w:val="24"/>
          <w:szCs w:val="24"/>
        </w:rPr>
        <w:t>National Numeracy. (2019). Building a numerate nation: Confidence, belief and skills. Autumn report</w:t>
      </w:r>
      <w:r w:rsidRPr="00FE3FBB" w:rsidR="00583A77">
        <w:rPr>
          <w:rFonts w:ascii="Verdana" w:hAnsi="Verdana" w:cstheme="minorHAnsi"/>
          <w:b/>
          <w:bCs/>
          <w:sz w:val="24"/>
          <w:szCs w:val="24"/>
        </w:rPr>
        <w:t>.</w:t>
      </w:r>
      <w:r w:rsidRPr="00FE3FBB">
        <w:rPr>
          <w:rFonts w:ascii="Verdana" w:hAnsi="Verdana" w:cstheme="minorHAnsi"/>
          <w:sz w:val="24"/>
          <w:szCs w:val="24"/>
        </w:rPr>
        <w:t xml:space="preserve"> Retrieved from</w:t>
      </w:r>
      <w:r w:rsidRPr="00FE3FBB" w:rsidR="00603ADD">
        <w:rPr>
          <w:rFonts w:ascii="Verdana" w:hAnsi="Verdana" w:cstheme="minorHAnsi"/>
          <w:sz w:val="24"/>
          <w:szCs w:val="24"/>
        </w:rPr>
        <w:t xml:space="preserve"> </w:t>
      </w:r>
      <w:r>
        <w:fldChar w:fldCharType="begin"/>
      </w:r>
      <w:r>
        <w:instrText xml:space="preserve"> HYPERLINK "https://www.nationalnumeracy.org.uk/research-and-resources/building-numerate-nation-confidence-belief-and-skills" </w:instrText>
      </w:r>
      <w:r>
        <w:fldChar w:fldCharType="separate"/>
      </w:r>
      <w:r w:rsidRPr="00FE3FBB" w:rsidR="00603ADD">
        <w:rPr>
          <w:rStyle w:val="Hyperlink"/>
          <w:rFonts w:ascii="Verdana" w:hAnsi="Verdana" w:cstheme="minorHAnsi"/>
          <w:sz w:val="24"/>
          <w:szCs w:val="24"/>
        </w:rPr>
        <w:t>https://www.nationalnumeracy.org.uk/research-and-resources/building-numerate-nation-confidence-belief-and-skills</w:t>
      </w:r>
      <w:r>
        <w:fldChar w:fldCharType="end"/>
      </w:r>
    </w:p>
    <w:p w:rsidR="0091457E" w:rsidRPr="00FE3FBB" w:rsidP="00531FC0">
      <w:pPr>
        <w:rPr>
          <w:rFonts w:ascii="Verdana" w:hAnsi="Verdana" w:cstheme="minorHAnsi"/>
          <w:sz w:val="24"/>
          <w:szCs w:val="24"/>
        </w:rPr>
      </w:pPr>
      <w:r w:rsidRPr="00FE3FBB">
        <w:rPr>
          <w:rFonts w:ascii="Verdana" w:hAnsi="Verdana" w:cstheme="minorHAnsi"/>
          <w:sz w:val="24"/>
          <w:szCs w:val="24"/>
        </w:rPr>
        <w:t>Best overall summary of what numeracy is, and the extent of MPs / business leaders awareness of the issue.</w:t>
      </w:r>
    </w:p>
    <w:p w:rsidR="0091457E" w:rsidRPr="00FE3FBB" w:rsidP="00531FC0">
      <w:pPr>
        <w:rPr>
          <w:rFonts w:ascii="Verdana" w:hAnsi="Verdana" w:cstheme="minorHAnsi"/>
          <w:sz w:val="24"/>
          <w:szCs w:val="24"/>
        </w:rPr>
      </w:pPr>
    </w:p>
    <w:p w:rsidR="0091457E" w:rsidRPr="00FE3FBB" w:rsidP="00531FC0">
      <w:pPr>
        <w:rPr>
          <w:rFonts w:ascii="Verdana" w:hAnsi="Verdana" w:cstheme="minorHAnsi"/>
          <w:sz w:val="24"/>
          <w:szCs w:val="24"/>
        </w:rPr>
      </w:pPr>
      <w:r w:rsidRPr="00FE3FBB">
        <w:rPr>
          <w:rFonts w:ascii="Verdana" w:hAnsi="Verdana" w:cstheme="minorHAnsi"/>
          <w:b/>
          <w:bCs/>
          <w:sz w:val="24"/>
          <w:szCs w:val="24"/>
        </w:rPr>
        <w:t>Pro Bono Economics. (2021). Counting on the recovery: The role for numeracy skills in ‘levelling up’ the UK.</w:t>
      </w:r>
      <w:r w:rsidRPr="00FE3FBB">
        <w:rPr>
          <w:rFonts w:ascii="Verdana" w:hAnsi="Verdana" w:cstheme="minorHAnsi"/>
          <w:sz w:val="24"/>
          <w:szCs w:val="24"/>
        </w:rPr>
        <w:t xml:space="preserve"> Retrieved from </w:t>
      </w:r>
      <w:r>
        <w:fldChar w:fldCharType="begin"/>
      </w:r>
      <w:r>
        <w:instrText xml:space="preserve"> HYPERLINK "https://www.nationalnumeracy.org.uk/news/counting-on-the-recovery" </w:instrText>
      </w:r>
      <w:r>
        <w:fldChar w:fldCharType="separate"/>
      </w:r>
      <w:r w:rsidRPr="00FE3FBB" w:rsidR="00592B56">
        <w:rPr>
          <w:rStyle w:val="Hyperlink"/>
          <w:rFonts w:ascii="Verdana" w:hAnsi="Verdana" w:cstheme="minorHAnsi"/>
          <w:sz w:val="24"/>
          <w:szCs w:val="24"/>
        </w:rPr>
        <w:t>https://www.nationalnumeracy.org.uk/news/counting-on-the-recovery</w:t>
      </w:r>
      <w:r>
        <w:fldChar w:fldCharType="end"/>
      </w:r>
    </w:p>
    <w:p w:rsidR="0091457E" w:rsidRPr="00FE3FBB" w:rsidP="00531FC0">
      <w:pPr>
        <w:rPr>
          <w:rFonts w:ascii="Verdana" w:hAnsi="Verdana" w:cstheme="minorHAnsi"/>
          <w:sz w:val="24"/>
          <w:szCs w:val="24"/>
        </w:rPr>
      </w:pPr>
      <w:r w:rsidRPr="00FE3FBB">
        <w:rPr>
          <w:rFonts w:ascii="Verdana" w:hAnsi="Verdana" w:cstheme="minorHAnsi"/>
          <w:sz w:val="24"/>
          <w:szCs w:val="24"/>
        </w:rPr>
        <w:t>The impact of low numeracy on UK plc, with regional breakdowns</w:t>
      </w:r>
    </w:p>
    <w:p w:rsidR="0091457E" w:rsidRPr="00FE3FBB" w:rsidP="00531FC0">
      <w:pPr>
        <w:rPr>
          <w:rFonts w:ascii="Verdana" w:hAnsi="Verdana" w:cstheme="minorHAnsi"/>
          <w:sz w:val="24"/>
          <w:szCs w:val="24"/>
        </w:rPr>
      </w:pPr>
    </w:p>
    <w:p w:rsidR="0091457E" w:rsidRPr="00FE3FBB" w:rsidP="00531FC0">
      <w:pPr>
        <w:rPr>
          <w:rFonts w:ascii="Verdana" w:hAnsi="Verdana" w:cstheme="minorHAnsi"/>
          <w:sz w:val="24"/>
          <w:szCs w:val="24"/>
        </w:rPr>
      </w:pPr>
      <w:r w:rsidRPr="00FE3FBB">
        <w:rPr>
          <w:rFonts w:ascii="Verdana" w:hAnsi="Verdana" w:cstheme="minorHAnsi"/>
          <w:b/>
          <w:bCs/>
          <w:sz w:val="24"/>
          <w:szCs w:val="24"/>
        </w:rPr>
        <w:t>National Numeracy and Experian. (2022) . The UK Numeracy Index.</w:t>
      </w:r>
      <w:r w:rsidRPr="00FE3FBB">
        <w:rPr>
          <w:rFonts w:ascii="Verdana" w:hAnsi="Verdana" w:cstheme="minorHAnsi"/>
          <w:sz w:val="24"/>
          <w:szCs w:val="24"/>
        </w:rPr>
        <w:t xml:space="preserve"> Retrieved from </w:t>
      </w:r>
      <w:r>
        <w:fldChar w:fldCharType="begin"/>
      </w:r>
      <w:r>
        <w:instrText xml:space="preserve"> HYPERLINK "https://www.nationalnumeracy.org.uk/what-numeracy/numeracy-index" </w:instrText>
      </w:r>
      <w:r>
        <w:fldChar w:fldCharType="separate"/>
      </w:r>
      <w:r w:rsidRPr="00FE3FBB" w:rsidR="00583A77">
        <w:rPr>
          <w:rStyle w:val="Hyperlink"/>
          <w:rFonts w:ascii="Verdana" w:hAnsi="Verdana" w:cstheme="minorHAnsi"/>
          <w:sz w:val="24"/>
          <w:szCs w:val="24"/>
        </w:rPr>
        <w:t>https://www.nationalnumeracy.org.uk/what-numeracy/numeracy-index</w:t>
      </w:r>
      <w:r>
        <w:fldChar w:fldCharType="end"/>
      </w:r>
    </w:p>
    <w:p w:rsidR="0091457E" w:rsidRPr="00FE3FBB" w:rsidP="00531FC0">
      <w:pPr>
        <w:rPr>
          <w:rFonts w:ascii="Verdana" w:hAnsi="Verdana" w:cstheme="minorHAnsi"/>
          <w:sz w:val="24"/>
          <w:szCs w:val="24"/>
        </w:rPr>
      </w:pPr>
      <w:r w:rsidRPr="00FE3FBB">
        <w:rPr>
          <w:rFonts w:ascii="Verdana" w:hAnsi="Verdana" w:cstheme="minorHAnsi"/>
          <w:sz w:val="24"/>
          <w:szCs w:val="24"/>
        </w:rPr>
        <w:t>The most detailed map of numeracy hotspots in the UK, down to ward level.</w:t>
      </w:r>
    </w:p>
    <w:p w:rsidR="0091457E" w:rsidRPr="00FE3FBB" w:rsidP="00531FC0">
      <w:pPr>
        <w:rPr>
          <w:rFonts w:ascii="Verdana" w:hAnsi="Verdana" w:cstheme="minorHAnsi"/>
          <w:sz w:val="24"/>
          <w:szCs w:val="24"/>
        </w:rPr>
      </w:pPr>
    </w:p>
    <w:p w:rsidR="00583A77" w:rsidRPr="00FE3FBB" w:rsidP="00531FC0">
      <w:pPr>
        <w:rPr>
          <w:rFonts w:ascii="Verdana" w:hAnsi="Verdana" w:cstheme="minorHAnsi"/>
          <w:sz w:val="24"/>
          <w:szCs w:val="24"/>
        </w:rPr>
      </w:pPr>
      <w:r w:rsidRPr="00FE3FBB">
        <w:rPr>
          <w:rFonts w:ascii="Verdana" w:hAnsi="Verdana" w:cstheme="minorHAnsi"/>
          <w:b/>
          <w:bCs/>
          <w:sz w:val="24"/>
          <w:szCs w:val="24"/>
        </w:rPr>
        <w:t>National Numeracy. (2023). Number confidence and social mobility: A National Numeracy research report.</w:t>
      </w:r>
      <w:r w:rsidRPr="00FE3FBB">
        <w:rPr>
          <w:rFonts w:ascii="Verdana" w:hAnsi="Verdana" w:cstheme="minorHAnsi"/>
          <w:sz w:val="24"/>
          <w:szCs w:val="24"/>
        </w:rPr>
        <w:t xml:space="preserve"> Retrieved from </w:t>
      </w:r>
      <w:r>
        <w:fldChar w:fldCharType="begin"/>
      </w:r>
      <w:r>
        <w:instrText xml:space="preserve"> HYPERLINK "https://www.nationalnumeracy.org.uk/news/number-confidence-and-social-mobility-report" </w:instrText>
      </w:r>
      <w:r>
        <w:fldChar w:fldCharType="separate"/>
      </w:r>
      <w:r w:rsidRPr="00FE3FBB">
        <w:rPr>
          <w:rStyle w:val="Hyperlink"/>
          <w:rFonts w:ascii="Verdana" w:hAnsi="Verdana" w:cstheme="minorHAnsi"/>
          <w:sz w:val="24"/>
          <w:szCs w:val="24"/>
        </w:rPr>
        <w:t>https://www.nationalnumeracy.org.uk/news/number-confidence-and-social-mobility-report</w:t>
      </w:r>
      <w:r>
        <w:fldChar w:fldCharType="end"/>
      </w:r>
    </w:p>
    <w:p w:rsidR="0091457E" w:rsidRPr="00FE3FBB" w:rsidP="00531FC0">
      <w:pPr>
        <w:rPr>
          <w:rFonts w:ascii="Verdana" w:hAnsi="Verdana" w:cstheme="minorHAnsi"/>
          <w:sz w:val="24"/>
          <w:szCs w:val="24"/>
        </w:rPr>
      </w:pPr>
      <w:r w:rsidRPr="00FE3FBB">
        <w:rPr>
          <w:rFonts w:ascii="Verdana" w:hAnsi="Verdana" w:cstheme="minorHAnsi"/>
          <w:sz w:val="24"/>
          <w:szCs w:val="24"/>
        </w:rPr>
        <w:t>Establishing the connection between number confidence and social mobility</w:t>
      </w:r>
    </w:p>
    <w:p w:rsidR="0091457E" w:rsidRPr="00FE3FBB" w:rsidP="00531FC0">
      <w:pPr>
        <w:rPr>
          <w:rFonts w:ascii="Verdana" w:hAnsi="Verdana" w:cstheme="minorHAnsi"/>
          <w:sz w:val="24"/>
          <w:szCs w:val="24"/>
        </w:rPr>
      </w:pPr>
    </w:p>
    <w:p w:rsidR="0091457E" w:rsidRPr="00FE3FBB" w:rsidP="00531FC0">
      <w:pPr>
        <w:rPr>
          <w:rFonts w:ascii="Verdana" w:hAnsi="Verdana" w:cstheme="minorHAnsi"/>
          <w:sz w:val="24"/>
          <w:szCs w:val="24"/>
        </w:rPr>
      </w:pPr>
      <w:r w:rsidRPr="00FE3FBB">
        <w:rPr>
          <w:rFonts w:ascii="Verdana" w:hAnsi="Verdana" w:cstheme="minorHAnsi"/>
          <w:b/>
          <w:bCs/>
          <w:sz w:val="24"/>
          <w:szCs w:val="24"/>
        </w:rPr>
        <w:t>National Numeracy. (2023). Number confidence - The gender divide: Research briefing.</w:t>
      </w:r>
      <w:r w:rsidRPr="00FE3FBB">
        <w:rPr>
          <w:rFonts w:ascii="Verdana" w:hAnsi="Verdana" w:cstheme="minorHAnsi"/>
          <w:sz w:val="24"/>
          <w:szCs w:val="24"/>
        </w:rPr>
        <w:t xml:space="preserve"> Retrieved from </w:t>
      </w:r>
      <w:r>
        <w:fldChar w:fldCharType="begin"/>
      </w:r>
      <w:r>
        <w:instrText xml:space="preserve"> HYPERLINK "https://www.nationalnumeracy.org.uk/news/briefing-gender-numeracy-and-social-mobility" </w:instrText>
      </w:r>
      <w:r>
        <w:fldChar w:fldCharType="separate"/>
      </w:r>
      <w:r w:rsidRPr="00FE3FBB" w:rsidR="00583A77">
        <w:rPr>
          <w:rStyle w:val="Hyperlink"/>
          <w:rFonts w:ascii="Verdana" w:hAnsi="Verdana" w:cstheme="minorHAnsi"/>
          <w:sz w:val="24"/>
          <w:szCs w:val="24"/>
        </w:rPr>
        <w:t>https://www.nationalnumeracy.org.uk/news/briefing-gender-numeracy-and-social-mobility</w:t>
      </w:r>
      <w:r>
        <w:fldChar w:fldCharType="end"/>
      </w:r>
    </w:p>
    <w:p w:rsidR="0091457E" w:rsidRPr="00FE3FBB" w:rsidP="00531FC0">
      <w:pPr>
        <w:rPr>
          <w:rFonts w:ascii="Verdana" w:hAnsi="Verdana" w:cstheme="minorHAnsi"/>
          <w:sz w:val="24"/>
          <w:szCs w:val="24"/>
        </w:rPr>
      </w:pPr>
      <w:r w:rsidRPr="00FE3FBB">
        <w:rPr>
          <w:rFonts w:ascii="Verdana" w:hAnsi="Verdana" w:cstheme="minorHAnsi"/>
          <w:sz w:val="24"/>
          <w:szCs w:val="24"/>
        </w:rPr>
        <w:t>A deep dive in the connection between number confidence and social mobility and how outcomes affected by gender.</w:t>
      </w:r>
    </w:p>
    <w:p w:rsidR="0091457E" w:rsidRPr="00FE3FBB" w:rsidP="00531FC0">
      <w:pPr>
        <w:rPr>
          <w:rFonts w:ascii="Verdana" w:hAnsi="Verdana" w:cstheme="minorHAnsi"/>
          <w:sz w:val="24"/>
          <w:szCs w:val="24"/>
        </w:rPr>
      </w:pPr>
    </w:p>
    <w:p w:rsidR="009F2E94" w:rsidRPr="00FE3FBB" w:rsidP="00531FC0">
      <w:pPr>
        <w:rPr>
          <w:rFonts w:ascii="Verdana" w:hAnsi="Verdana" w:cstheme="minorHAnsi"/>
          <w:sz w:val="24"/>
          <w:szCs w:val="24"/>
        </w:rPr>
      </w:pPr>
      <w:r w:rsidRPr="00FE3FBB">
        <w:rPr>
          <w:rFonts w:ascii="Verdana" w:hAnsi="Verdana" w:cstheme="minorHAnsi"/>
          <w:b/>
          <w:bCs/>
          <w:sz w:val="24"/>
          <w:szCs w:val="24"/>
        </w:rPr>
        <w:t>Barclays and National Numeracy (2026). Nurturing Number Confidence: The role of public policy in building number confidence between the generations.</w:t>
      </w:r>
      <w:r w:rsidRPr="00FE3FBB">
        <w:rPr>
          <w:rFonts w:ascii="Verdana" w:hAnsi="Verdana" w:cstheme="minorHAnsi"/>
          <w:sz w:val="24"/>
          <w:szCs w:val="24"/>
        </w:rPr>
        <w:t xml:space="preserve"> Retrieved from</w:t>
      </w:r>
      <w:r w:rsidRPr="00FE3FBB" w:rsidR="009611AF">
        <w:rPr>
          <w:rFonts w:ascii="Verdana" w:hAnsi="Verdana" w:cstheme="minorHAnsi"/>
          <w:sz w:val="24"/>
          <w:szCs w:val="24"/>
        </w:rPr>
        <w:t xml:space="preserve"> </w:t>
      </w:r>
      <w:r>
        <w:fldChar w:fldCharType="begin"/>
      </w:r>
      <w:r>
        <w:instrText xml:space="preserve"> HYPERLINK "https://www.nationalnumeracy.org.uk/news/study-finds-21-million-children-are-likely-be-greater-risk-low-number-confidence-due-parents" </w:instrText>
      </w:r>
      <w:r>
        <w:fldChar w:fldCharType="separate"/>
      </w:r>
      <w:r w:rsidRPr="00FE3FBB" w:rsidR="009611AF">
        <w:rPr>
          <w:rStyle w:val="Hyperlink"/>
          <w:rFonts w:ascii="Verdana" w:hAnsi="Verdana" w:cstheme="minorHAnsi"/>
          <w:sz w:val="24"/>
          <w:szCs w:val="24"/>
        </w:rPr>
        <w:t>https://www.nationalnumeracy.org.uk/news/study-finds-21-million-children-are-likely-be-greater-risk-low-number-confidence-due-parents</w:t>
      </w:r>
      <w:r>
        <w:fldChar w:fldCharType="end"/>
      </w:r>
    </w:p>
    <w:p w:rsidR="0091457E" w:rsidRPr="00FE3FBB" w:rsidP="00531FC0">
      <w:pPr>
        <w:rPr>
          <w:rFonts w:ascii="Verdana" w:hAnsi="Verdana" w:cstheme="minorHAnsi"/>
          <w:sz w:val="24"/>
          <w:szCs w:val="24"/>
        </w:rPr>
      </w:pPr>
      <w:r w:rsidRPr="00FE3FBB">
        <w:rPr>
          <w:rFonts w:ascii="Verdana" w:hAnsi="Verdana" w:cstheme="minorHAnsi"/>
          <w:sz w:val="24"/>
          <w:szCs w:val="24"/>
        </w:rPr>
        <w:t>Exploring the connections between a parent’s number confidence and that of their children</w:t>
      </w:r>
    </w:p>
    <w:p w:rsidR="0091457E" w:rsidP="00531FC0">
      <w:pPr>
        <w:rPr>
          <w:rFonts w:ascii="Verdana" w:hAnsi="Verdana" w:cstheme="minorHAnsi"/>
          <w:sz w:val="24"/>
          <w:szCs w:val="24"/>
        </w:rPr>
      </w:pPr>
    </w:p>
    <w:p w:rsidR="00531FC0" w:rsidP="00531FC0">
      <w:pPr>
        <w:rPr>
          <w:rFonts w:ascii="Verdana" w:hAnsi="Verdana" w:cstheme="minorHAnsi"/>
          <w:sz w:val="24"/>
          <w:szCs w:val="24"/>
        </w:rPr>
      </w:pPr>
    </w:p>
    <w:p w:rsidR="00531FC0" w:rsidRPr="00531FC0" w:rsidP="00531FC0">
      <w:pPr>
        <w:rPr>
          <w:rFonts w:ascii="Verdana" w:hAnsi="Verdana" w:cstheme="minorHAnsi"/>
          <w:i/>
          <w:iCs/>
          <w:sz w:val="28"/>
          <w:szCs w:val="28"/>
        </w:rPr>
      </w:pPr>
      <w:r w:rsidRPr="00531FC0">
        <w:rPr>
          <w:rFonts w:ascii="Verdana" w:hAnsi="Verdana" w:cstheme="minorHAnsi"/>
          <w:i/>
          <w:iCs/>
          <w:sz w:val="28"/>
          <w:szCs w:val="28"/>
        </w:rPr>
        <w:t>15 May 2026</w:t>
      </w:r>
    </w:p>
    <w:sectPr w:rsidSect="0037298C">
      <w:headerReference w:type="even" r:id="rId6"/>
      <w:headerReference w:type="default" r:id="rId7"/>
      <w:headerReference w:type="first" r:id="rId8"/>
      <w:pgSz w:w="11906" w:h="16838"/>
      <w:pgMar w:top="993"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9062E1" w:rsidRPr="00C83C54" w:rsidP="00550347">
      <w:pPr>
        <w:spacing w:after="0" w:line="240" w:lineRule="auto"/>
      </w:pPr>
      <w:r w:rsidRPr="00C83C54">
        <w:separator/>
      </w:r>
    </w:p>
  </w:endnote>
  <w:endnote w:type="continuationSeparator" w:id="1">
    <w:p w:rsidR="009062E1" w:rsidRPr="00C83C54" w:rsidP="00550347">
      <w:pPr>
        <w:spacing w:after="0" w:line="240" w:lineRule="auto"/>
      </w:pPr>
      <w:r w:rsidRPr="00C83C54">
        <w:continuationSeparator/>
      </w:r>
    </w:p>
  </w:endnote>
  <w:endnote w:id="2">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The Organisation for Economic Co-operation and Development (OECD) is an international organisation that works to build better policies for better lives.</w:t>
      </w:r>
    </w:p>
    <w:p w:rsidR="00550347" w:rsidRPr="00531FC0" w:rsidP="00550347">
      <w:pPr>
        <w:pStyle w:val="EndnoteText"/>
        <w:rPr>
          <w:rFonts w:ascii="Verdana" w:hAnsi="Verdana"/>
        </w:rPr>
      </w:pPr>
    </w:p>
  </w:endnote>
  <w:endnote w:id="3">
    <w:p w:rsidR="00550347" w:rsidRPr="00531FC0" w:rsidP="00550347">
      <w:pPr>
        <w:spacing w:after="0" w:line="240" w:lineRule="auto"/>
        <w:rPr>
          <w:rFonts w:ascii="Verdana" w:eastAsia="Lato" w:hAnsi="Verdana" w:cs="Lato"/>
          <w:sz w:val="20"/>
          <w:szCs w:val="20"/>
        </w:rPr>
      </w:pPr>
      <w:r w:rsidRPr="00531FC0">
        <w:rPr>
          <w:rStyle w:val="EndnoteReference"/>
          <w:rFonts w:ascii="Verdana" w:eastAsia="Lato" w:hAnsi="Verdana" w:cs="Lato"/>
          <w:sz w:val="20"/>
          <w:szCs w:val="20"/>
        </w:rPr>
        <w:endnoteRef/>
      </w:r>
      <w:r w:rsidRPr="00531FC0">
        <w:rPr>
          <w:rFonts w:ascii="Verdana" w:eastAsia="Lato" w:hAnsi="Verdana" w:cs="Lato"/>
          <w:sz w:val="20"/>
          <w:szCs w:val="20"/>
        </w:rPr>
        <w:t xml:space="preserve"> OECD (2017) </w:t>
      </w:r>
      <w:r w:rsidRPr="00531FC0">
        <w:rPr>
          <w:rFonts w:ascii="Verdana" w:eastAsia="Lato" w:hAnsi="Verdana" w:cs="Lato"/>
          <w:i/>
          <w:iCs/>
          <w:sz w:val="20"/>
          <w:szCs w:val="20"/>
        </w:rPr>
        <w:t xml:space="preserve">Getting Skills Right: United Kingdom, </w:t>
      </w:r>
      <w:r w:rsidRPr="00531FC0">
        <w:rPr>
          <w:rFonts w:ascii="Verdana" w:eastAsia="Lato" w:hAnsi="Verdana" w:cs="Lato"/>
          <w:sz w:val="20"/>
          <w:szCs w:val="20"/>
        </w:rPr>
        <w:t xml:space="preserve">OECD Publishing, Paris </w:t>
      </w:r>
    </w:p>
    <w:p w:rsidR="00550347" w:rsidRPr="00531FC0" w:rsidP="00550347">
      <w:pPr>
        <w:spacing w:after="0" w:line="240" w:lineRule="auto"/>
        <w:rPr>
          <w:rFonts w:ascii="Verdana" w:hAnsi="Verdana"/>
          <w:sz w:val="20"/>
          <w:szCs w:val="20"/>
        </w:rPr>
      </w:pPr>
    </w:p>
  </w:endnote>
  <w:endnote w:id="4">
    <w:p w:rsidR="00550347" w:rsidRPr="00531FC0" w:rsidP="00550347">
      <w:pPr>
        <w:pStyle w:val="EndnoteText"/>
        <w:rPr>
          <w:rStyle w:val="Hyperlink"/>
          <w:rFonts w:ascii="Verdana" w:hAnsi="Verdana"/>
        </w:rPr>
      </w:pPr>
      <w:r w:rsidRPr="00531FC0">
        <w:rPr>
          <w:rStyle w:val="EndnoteReference"/>
          <w:rFonts w:ascii="Verdana" w:hAnsi="Verdana"/>
        </w:rPr>
        <w:endnoteRef/>
      </w:r>
      <w:r w:rsidRPr="00531FC0">
        <w:rPr>
          <w:rFonts w:ascii="Verdana" w:hAnsi="Verdana"/>
        </w:rPr>
        <w:t xml:space="preserve"> National Numeracy (2019) Building a numerate nation: confidence, belief and skills, [Online] Available at: </w:t>
      </w:r>
      <w:r>
        <w:fldChar w:fldCharType="begin"/>
      </w:r>
      <w:r>
        <w:instrText xml:space="preserve"> HYPERLINK "https://www.nationalnumeracy.org.uk/sites/default/files/documents/Building_a_numerate_nation/building_a_numerate_nation_report.pdf" </w:instrText>
      </w:r>
      <w:r>
        <w:fldChar w:fldCharType="separate"/>
      </w:r>
      <w:r w:rsidRPr="00531FC0">
        <w:rPr>
          <w:rFonts w:ascii="Verdana" w:hAnsi="Verdana"/>
        </w:rPr>
        <w:t>https://www.nationalnumeracy.org.uk/sites/default/files/documents/Building_a_numerate_nation/building_a_numerate_nation_report.pdf</w:t>
      </w:r>
      <w:r>
        <w:fldChar w:fldCharType="end"/>
      </w:r>
    </w:p>
    <w:p w:rsidR="00550347" w:rsidRPr="00531FC0" w:rsidP="00550347">
      <w:pPr>
        <w:pStyle w:val="EndnoteText"/>
        <w:rPr>
          <w:rFonts w:ascii="Verdana" w:hAnsi="Verdana"/>
        </w:rPr>
      </w:pPr>
    </w:p>
  </w:endnote>
  <w:endnote w:id="5">
    <w:p w:rsidR="00550347" w:rsidRPr="00531FC0" w:rsidP="00550347">
      <w:pPr>
        <w:pStyle w:val="EndnoteText"/>
        <w:rPr>
          <w:rFonts w:ascii="Verdana" w:hAnsi="Verdana" w:cs="Helvetica"/>
          <w:color w:val="000000"/>
          <w:shd w:val="clear" w:color="auto" w:fill="FFFFFF"/>
        </w:rPr>
      </w:pPr>
      <w:r w:rsidRPr="00531FC0">
        <w:rPr>
          <w:rStyle w:val="EndnoteReference"/>
          <w:rFonts w:ascii="Verdana" w:hAnsi="Verdana"/>
        </w:rPr>
        <w:endnoteRef/>
      </w:r>
      <w:r w:rsidRPr="00531FC0">
        <w:rPr>
          <w:rFonts w:ascii="Verdana" w:hAnsi="Verdana"/>
        </w:rPr>
        <w:t xml:space="preserve"> </w:t>
      </w:r>
      <w:r w:rsidRPr="00531FC0">
        <w:rPr>
          <w:rFonts w:ascii="Verdana" w:hAnsi="Verdana" w:cs="Helvetica"/>
          <w:color w:val="000000"/>
          <w:shd w:val="clear" w:color="auto" w:fill="FFFFFF"/>
        </w:rPr>
        <w:t>PISA is the OECD's Programme for International Student Assessment. PISA measures 15-year-olds’ ability to use their reading, mathematics and science knowledge and skills to meet real-life challenges.</w:t>
      </w:r>
    </w:p>
    <w:p w:rsidR="00550347" w:rsidRPr="00531FC0" w:rsidP="00550347">
      <w:pPr>
        <w:pStyle w:val="EndnoteText"/>
        <w:rPr>
          <w:rFonts w:ascii="Verdana" w:hAnsi="Verdana" w:cs="Helvetica"/>
          <w:color w:val="000000"/>
          <w:shd w:val="clear" w:color="auto" w:fill="FFFFFF"/>
        </w:rPr>
      </w:pPr>
    </w:p>
  </w:endnote>
  <w:endnote w:id="6">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Wheater, R., Durbin, B., McNamara, S. and Classick, R. (2016) </w:t>
      </w:r>
      <w:r w:rsidRPr="00531FC0">
        <w:rPr>
          <w:rFonts w:ascii="Verdana" w:hAnsi="Verdana"/>
          <w:i/>
          <w:iCs/>
        </w:rPr>
        <w:t>Is Mathematics Education in England Working for Everyone? NFER Analysis of the PISA Performance of Disadvantaged Pupils</w:t>
      </w:r>
      <w:r w:rsidRPr="00531FC0">
        <w:rPr>
          <w:rFonts w:ascii="Verdana" w:hAnsi="Verdana"/>
        </w:rPr>
        <w:t>. National Foundation for Educational Research. Slough, UK.</w:t>
      </w:r>
    </w:p>
    <w:p w:rsidR="00550347" w:rsidRPr="00531FC0" w:rsidP="00550347">
      <w:pPr>
        <w:pStyle w:val="EndnoteText"/>
        <w:rPr>
          <w:rFonts w:ascii="Verdana" w:hAnsi="Verdana"/>
        </w:rPr>
      </w:pPr>
    </w:p>
  </w:endnote>
  <w:endnote w:id="7">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Norris, E. (2012) Solving the mathematics problem: international perspectives on mathematics education. Royal Society of Arts. [Online] Available at: </w:t>
      </w:r>
      <w:r>
        <w:fldChar w:fldCharType="begin"/>
      </w:r>
      <w:r>
        <w:instrText xml:space="preserve"> HYPERLINK "http://www.thersa.org/__data/assets/pdf_file/0011/568181/RSA_Mathemati%20cs_report_10_2_12.pdf" </w:instrText>
      </w:r>
      <w:r>
        <w:fldChar w:fldCharType="separate"/>
      </w:r>
      <w:r w:rsidRPr="00531FC0">
        <w:rPr>
          <w:rFonts w:ascii="Verdana" w:hAnsi="Verdana"/>
        </w:rPr>
        <w:t>http://www.thersa.org/__data/assets/pdf_file/0011/568181/RSA_Mathemati cs_report_10_2_12.pdf</w:t>
      </w:r>
      <w:r>
        <w:fldChar w:fldCharType="end"/>
      </w:r>
      <w:r w:rsidRPr="00531FC0">
        <w:rPr>
          <w:rFonts w:ascii="Verdana" w:hAnsi="Verdana"/>
        </w:rPr>
        <w:t xml:space="preserve"> </w:t>
      </w:r>
    </w:p>
    <w:p w:rsidR="00550347" w:rsidRPr="00531FC0" w:rsidP="00550347">
      <w:pPr>
        <w:pStyle w:val="EndnoteText"/>
        <w:rPr>
          <w:rFonts w:ascii="Verdana" w:hAnsi="Verdana"/>
        </w:rPr>
      </w:pPr>
    </w:p>
  </w:endnote>
  <w:endnote w:id="8">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Ofqual (2012) </w:t>
      </w:r>
      <w:r w:rsidRPr="00531FC0">
        <w:rPr>
          <w:rFonts w:ascii="Verdana" w:hAnsi="Verdana"/>
          <w:i/>
          <w:iCs/>
        </w:rPr>
        <w:t>International comparisons in senior secondary assessment</w:t>
      </w:r>
    </w:p>
    <w:p w:rsidR="00550347" w:rsidRPr="00531FC0" w:rsidP="00550347">
      <w:pPr>
        <w:pStyle w:val="EndnoteText"/>
        <w:rPr>
          <w:rFonts w:ascii="Verdana" w:hAnsi="Verdana"/>
        </w:rPr>
      </w:pPr>
    </w:p>
  </w:endnote>
  <w:endnote w:id="9">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Hodgen, J., Pepper, D., Sturman, L., and Ruddock, G. (2010) Is the UK an outlier? An international comparison of upper secondary mathematics education. Nuffield Foundation. [Online] Available at </w:t>
      </w:r>
      <w:r>
        <w:fldChar w:fldCharType="begin"/>
      </w:r>
      <w:r>
        <w:instrText xml:space="preserve"> HYPERLINK "http://www.nuffieldfoundation.org/uk-outlier-upper-secondary-mathematicseducation" </w:instrText>
      </w:r>
      <w:r>
        <w:fldChar w:fldCharType="separate"/>
      </w:r>
      <w:r w:rsidRPr="00531FC0">
        <w:rPr>
          <w:rFonts w:ascii="Verdana" w:hAnsi="Verdana"/>
        </w:rPr>
        <w:t>http://www.nuffieldfoundation.org/uk-outlier-upper-secondary-mathematicseducation</w:t>
      </w:r>
      <w:r>
        <w:fldChar w:fldCharType="end"/>
      </w:r>
    </w:p>
    <w:p w:rsidR="00550347" w:rsidRPr="00531FC0" w:rsidP="00550347">
      <w:pPr>
        <w:pStyle w:val="EndnoteText"/>
        <w:rPr>
          <w:rFonts w:ascii="Verdana" w:hAnsi="Verdana"/>
        </w:rPr>
      </w:pPr>
    </w:p>
  </w:endnote>
  <w:endnote w:id="10">
    <w:p w:rsidR="00550347" w:rsidRPr="00531FC0" w:rsidP="00550347">
      <w:pPr>
        <w:spacing w:after="0" w:line="240" w:lineRule="auto"/>
        <w:rPr>
          <w:rFonts w:ascii="Verdana" w:hAnsi="Verdana" w:cs="Arial"/>
          <w:sz w:val="20"/>
          <w:szCs w:val="20"/>
          <w:shd w:val="clear" w:color="auto" w:fill="FFFFFF"/>
        </w:rPr>
      </w:pPr>
      <w:r w:rsidRPr="00531FC0">
        <w:rPr>
          <w:rStyle w:val="EndnoteReference"/>
          <w:rFonts w:ascii="Verdana" w:hAnsi="Verdana"/>
          <w:sz w:val="20"/>
          <w:szCs w:val="20"/>
        </w:rPr>
        <w:endnoteRef/>
      </w:r>
      <w:r w:rsidRPr="00531FC0">
        <w:rPr>
          <w:rFonts w:ascii="Verdana" w:hAnsi="Verdana"/>
          <w:sz w:val="20"/>
          <w:szCs w:val="20"/>
        </w:rPr>
        <w:t xml:space="preserve"> </w:t>
      </w:r>
      <w:r w:rsidRPr="00531FC0">
        <w:rPr>
          <w:rFonts w:ascii="Verdana" w:hAnsi="Verdana" w:cs="Arial"/>
          <w:sz w:val="20"/>
          <w:szCs w:val="20"/>
          <w:shd w:val="clear" w:color="auto" w:fill="FFFFFF"/>
        </w:rPr>
        <w:t>Jerrim, J. and Vignoles, A. (2016). The link between East Asian ‘mastery’ teaching methods and English children's mathematics skills. </w:t>
      </w:r>
      <w:r w:rsidRPr="00531FC0">
        <w:rPr>
          <w:rFonts w:ascii="Verdana" w:hAnsi="Verdana" w:cs="Arial"/>
          <w:i/>
          <w:iCs/>
          <w:sz w:val="20"/>
          <w:szCs w:val="20"/>
          <w:shd w:val="clear" w:color="auto" w:fill="FFFFFF"/>
        </w:rPr>
        <w:t>Economics of Education Review</w:t>
      </w:r>
      <w:r w:rsidRPr="00531FC0">
        <w:rPr>
          <w:rFonts w:ascii="Verdana" w:hAnsi="Verdana" w:cs="Arial"/>
          <w:sz w:val="20"/>
          <w:szCs w:val="20"/>
          <w:shd w:val="clear" w:color="auto" w:fill="FFFFFF"/>
        </w:rPr>
        <w:t>, </w:t>
      </w:r>
      <w:r w:rsidRPr="00531FC0">
        <w:rPr>
          <w:rFonts w:ascii="Verdana" w:hAnsi="Verdana" w:cs="Arial"/>
          <w:i/>
          <w:iCs/>
          <w:sz w:val="20"/>
          <w:szCs w:val="20"/>
          <w:shd w:val="clear" w:color="auto" w:fill="FFFFFF"/>
        </w:rPr>
        <w:t>50</w:t>
      </w:r>
      <w:r w:rsidRPr="00531FC0">
        <w:rPr>
          <w:rFonts w:ascii="Verdana" w:hAnsi="Verdana" w:cs="Arial"/>
          <w:sz w:val="20"/>
          <w:szCs w:val="20"/>
          <w:shd w:val="clear" w:color="auto" w:fill="FFFFFF"/>
        </w:rPr>
        <w:t>, pp.29-44.</w:t>
      </w:r>
      <w:r w:rsidRPr="00531FC0">
        <w:rPr>
          <w:rFonts w:ascii="Verdana" w:hAnsi="Verdana"/>
          <w:sz w:val="20"/>
          <w:szCs w:val="20"/>
        </w:rPr>
        <w:t xml:space="preserve"> </w:t>
      </w:r>
      <w:r>
        <w:fldChar w:fldCharType="begin"/>
      </w:r>
      <w:r>
        <w:instrText xml:space="preserve"> HYPERLINK "https://discovery.ucl.ac.uk/id/eprint/1472906/1/Jerrim_Vignoles_MM.pdf" </w:instrText>
      </w:r>
      <w:r>
        <w:fldChar w:fldCharType="separate"/>
      </w:r>
      <w:r w:rsidRPr="00531FC0">
        <w:rPr>
          <w:rFonts w:ascii="Verdana" w:hAnsi="Verdana"/>
          <w:sz w:val="20"/>
          <w:szCs w:val="20"/>
        </w:rPr>
        <w:t>https://discovery.ucl.ac.uk/id/eprint/1472906/1/Jerrim_Vignoles_MM.pdf</w:t>
      </w:r>
      <w:r>
        <w:fldChar w:fldCharType="end"/>
      </w:r>
      <w:r w:rsidRPr="00531FC0">
        <w:rPr>
          <w:rFonts w:ascii="Verdana" w:hAnsi="Verdana" w:cs="Arial"/>
          <w:sz w:val="20"/>
          <w:szCs w:val="20"/>
          <w:shd w:val="clear" w:color="auto" w:fill="FFFFFF"/>
        </w:rPr>
        <w:t xml:space="preserve"> </w:t>
      </w:r>
    </w:p>
    <w:p w:rsidR="00550347" w:rsidRPr="00531FC0" w:rsidP="00550347">
      <w:pPr>
        <w:pStyle w:val="EndnoteText"/>
        <w:rPr>
          <w:rFonts w:ascii="Verdana" w:hAnsi="Verdana"/>
        </w:rPr>
      </w:pPr>
    </w:p>
  </w:endnote>
  <w:endnote w:id="11">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 xml:space="preserve"> </w:t>
      </w:r>
      <w:r w:rsidRPr="00531FC0">
        <w:rPr>
          <w:rFonts w:ascii="Verdana" w:hAnsi="Verdana" w:cs="Arial"/>
          <w:sz w:val="20"/>
          <w:szCs w:val="20"/>
          <w:shd w:val="clear" w:color="auto" w:fill="FFFFFF"/>
        </w:rPr>
        <w:t xml:space="preserve">Jerrim, J., Greany, T. and Perera, N. (2018). </w:t>
      </w:r>
      <w:r w:rsidRPr="00531FC0">
        <w:rPr>
          <w:rFonts w:ascii="Verdana" w:hAnsi="Verdana" w:cs="Arial"/>
          <w:i/>
          <w:iCs/>
          <w:sz w:val="20"/>
          <w:szCs w:val="20"/>
          <w:shd w:val="clear" w:color="auto" w:fill="FFFFFF"/>
        </w:rPr>
        <w:t>Educational disadvantage: How does England compare?</w:t>
      </w:r>
    </w:p>
    <w:p w:rsidR="00550347" w:rsidRPr="00531FC0" w:rsidP="00550347">
      <w:pPr>
        <w:pStyle w:val="EndnoteText"/>
        <w:rPr>
          <w:rFonts w:ascii="Verdana" w:hAnsi="Verdana"/>
        </w:rPr>
      </w:pPr>
    </w:p>
  </w:endnote>
  <w:endnote w:id="12">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 xml:space="preserve"> Higgins, S., Katsipataki, M., Kokotsaki, D., Coleman, R., Major, L. E., &amp; Coe, R. (2013). The Sutton Trust-Education Endowment Foundation Teaching and Learning Toolkit.</w:t>
      </w:r>
    </w:p>
    <w:p w:rsidR="00550347" w:rsidRPr="00531FC0" w:rsidP="00550347">
      <w:pPr>
        <w:pStyle w:val="EndnoteText"/>
        <w:rPr>
          <w:rFonts w:ascii="Verdana" w:hAnsi="Verdana"/>
        </w:rPr>
      </w:pPr>
    </w:p>
  </w:endnote>
  <w:endnote w:id="13">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 xml:space="preserve"> Schmidt, W.H. and Burroughs, N.A. (2015). ‘Puzzling out PISA: What Can International Comparison Tell Us about American Education?’ American Educator, Spring [Online]. Available at: </w:t>
      </w:r>
      <w:r>
        <w:fldChar w:fldCharType="begin"/>
      </w:r>
      <w:r>
        <w:instrText xml:space="preserve"> HYPERLINK "http://www.aft.org/sites/default/files/ae_spring2015schmidt_burroug%20hs.pdf" </w:instrText>
      </w:r>
      <w:r>
        <w:fldChar w:fldCharType="separate"/>
      </w:r>
      <w:r w:rsidRPr="00531FC0">
        <w:rPr>
          <w:rFonts w:ascii="Verdana" w:hAnsi="Verdana"/>
          <w:sz w:val="20"/>
          <w:szCs w:val="20"/>
        </w:rPr>
        <w:t>http://www.aft.org/sites/default/files/ae_spring2015schmidt_burroug hs.pdf</w:t>
      </w:r>
      <w:r>
        <w:fldChar w:fldCharType="end"/>
      </w:r>
      <w:r w:rsidRPr="00531FC0">
        <w:rPr>
          <w:rFonts w:ascii="Verdana" w:hAnsi="Verdana"/>
          <w:sz w:val="20"/>
          <w:szCs w:val="20"/>
        </w:rPr>
        <w:t xml:space="preserve"> </w:t>
      </w:r>
    </w:p>
    <w:p w:rsidR="00550347" w:rsidRPr="00531FC0" w:rsidP="00550347">
      <w:pPr>
        <w:pStyle w:val="EndnoteText"/>
        <w:rPr>
          <w:rFonts w:ascii="Verdana" w:hAnsi="Verdana"/>
        </w:rPr>
      </w:pPr>
      <w:r w:rsidRPr="00531FC0">
        <w:rPr>
          <w:rFonts w:ascii="Verdana" w:hAnsi="Verdana"/>
        </w:rPr>
        <w:t xml:space="preserve"> </w:t>
      </w:r>
    </w:p>
  </w:endnote>
  <w:endnote w:id="14">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 xml:space="preserve"> House of Commons Education Select Committee (2017) </w:t>
      </w:r>
      <w:r w:rsidRPr="00531FC0">
        <w:rPr>
          <w:rFonts w:ascii="Verdana" w:hAnsi="Verdana"/>
          <w:i/>
          <w:iCs/>
          <w:sz w:val="20"/>
          <w:szCs w:val="20"/>
        </w:rPr>
        <w:t>Retention and recruitment of teachers.</w:t>
      </w:r>
      <w:r w:rsidRPr="00531FC0">
        <w:rPr>
          <w:rFonts w:ascii="Verdana" w:hAnsi="Verdana"/>
          <w:sz w:val="20"/>
          <w:szCs w:val="20"/>
        </w:rPr>
        <w:t xml:space="preserve"> London.</w:t>
      </w:r>
    </w:p>
    <w:p w:rsidR="00550347" w:rsidRPr="00531FC0" w:rsidP="00550347">
      <w:pPr>
        <w:pStyle w:val="EndnoteText"/>
        <w:rPr>
          <w:rFonts w:ascii="Verdana" w:hAnsi="Verdana"/>
        </w:rPr>
      </w:pPr>
    </w:p>
  </w:endnote>
  <w:endnote w:id="15">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 xml:space="preserve"> Jerrim, J. and Shure, N. (2016) </w:t>
      </w:r>
      <w:r w:rsidRPr="00531FC0">
        <w:rPr>
          <w:rFonts w:ascii="Verdana" w:hAnsi="Verdana"/>
          <w:i/>
          <w:iCs/>
          <w:sz w:val="20"/>
          <w:szCs w:val="20"/>
        </w:rPr>
        <w:t>Achievement of 15-Year-Olds in England: PISA 2015 National Report.</w:t>
      </w:r>
      <w:r w:rsidRPr="00531FC0">
        <w:rPr>
          <w:rFonts w:ascii="Verdana" w:hAnsi="Verdana"/>
          <w:sz w:val="20"/>
          <w:szCs w:val="20"/>
        </w:rPr>
        <w:t xml:space="preserve"> London: Department for Education.</w:t>
      </w:r>
    </w:p>
    <w:p w:rsidR="00550347" w:rsidRPr="00531FC0" w:rsidP="00550347">
      <w:pPr>
        <w:pStyle w:val="EndnoteText"/>
        <w:rPr>
          <w:rFonts w:ascii="Verdana" w:hAnsi="Verdana"/>
        </w:rPr>
      </w:pPr>
    </w:p>
  </w:endnote>
  <w:endnote w:id="16">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 xml:space="preserve"> Whittaker, F. (2016) ‘Grammars taking poorer pupils could face higher teacher turnover’. Schools Week: </w:t>
      </w:r>
      <w:r>
        <w:fldChar w:fldCharType="begin"/>
      </w:r>
      <w:r>
        <w:instrText xml:space="preserve"> HYPERLINK "https://schoolsweek.co.uk/grammars-taking-poorer-pupils-could-face-higher-teacher-turnover/" </w:instrText>
      </w:r>
      <w:r>
        <w:fldChar w:fldCharType="separate"/>
      </w:r>
      <w:r w:rsidRPr="00531FC0">
        <w:rPr>
          <w:rFonts w:ascii="Verdana" w:hAnsi="Verdana"/>
          <w:sz w:val="20"/>
          <w:szCs w:val="20"/>
        </w:rPr>
        <w:t>https://schoolsweek.co.uk/grammars-taking-poorer-pupils-could-face-higher-teacher-turnover/</w:t>
      </w:r>
      <w:r>
        <w:fldChar w:fldCharType="end"/>
      </w:r>
    </w:p>
    <w:p w:rsidR="00550347" w:rsidRPr="00531FC0" w:rsidP="00550347">
      <w:pPr>
        <w:pStyle w:val="EndnoteText"/>
        <w:rPr>
          <w:rFonts w:ascii="Verdana" w:hAnsi="Verdana"/>
        </w:rPr>
      </w:pPr>
    </w:p>
  </w:endnote>
  <w:endnote w:id="17">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Jensen, B. Sonnemann, J. Roberts-Hull, K. and Hunter, A. (2016) </w:t>
      </w:r>
      <w:r w:rsidRPr="00531FC0">
        <w:rPr>
          <w:rFonts w:ascii="Verdana" w:hAnsi="Verdana"/>
          <w:i/>
          <w:iCs/>
        </w:rPr>
        <w:t xml:space="preserve">Beyond PD: Teacher Professional Learning in High-Performing System. </w:t>
      </w:r>
      <w:r w:rsidRPr="00531FC0">
        <w:rPr>
          <w:rFonts w:ascii="Verdana" w:hAnsi="Verdana"/>
        </w:rPr>
        <w:t>Washington, DC: National Center on Education and the Economy.</w:t>
      </w:r>
    </w:p>
    <w:p w:rsidR="00550347" w:rsidRPr="00531FC0" w:rsidP="00550347">
      <w:pPr>
        <w:pStyle w:val="EndnoteText"/>
        <w:rPr>
          <w:rFonts w:ascii="Verdana" w:hAnsi="Verdana"/>
        </w:rPr>
      </w:pPr>
    </w:p>
  </w:endnote>
  <w:endnote w:id="18">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OECD (2012), Equity and Quality in Education: Supporting Disadvantaged Students and Schools, OECD Publishing. p.135.</w:t>
      </w:r>
    </w:p>
    <w:p w:rsidR="00550347" w:rsidRPr="00531FC0" w:rsidP="00550347">
      <w:pPr>
        <w:pStyle w:val="EndnoteText"/>
        <w:rPr>
          <w:rFonts w:ascii="Verdana" w:hAnsi="Verdana"/>
        </w:rPr>
      </w:pPr>
    </w:p>
  </w:endnote>
  <w:endnote w:id="19">
    <w:p w:rsidR="00550347" w:rsidRPr="00531FC0" w:rsidP="00550347">
      <w:pPr>
        <w:pStyle w:val="EndnoteText"/>
        <w:rPr>
          <w:rFonts w:ascii="Verdana" w:hAnsi="Verdana"/>
        </w:rPr>
      </w:pPr>
      <w:r w:rsidRPr="00531FC0">
        <w:rPr>
          <w:rStyle w:val="EndnoteReference"/>
          <w:rFonts w:ascii="Verdana" w:hAnsi="Verdana"/>
        </w:rPr>
        <w:endnoteRef/>
      </w:r>
      <w:r w:rsidRPr="00531FC0">
        <w:rPr>
          <w:rFonts w:ascii="Verdana" w:hAnsi="Verdana"/>
        </w:rPr>
        <w:t xml:space="preserve"> Evans Danielle and Field Andy P. 2020, </w:t>
      </w:r>
      <w:r w:rsidRPr="00531FC0">
        <w:rPr>
          <w:rFonts w:ascii="Verdana" w:hAnsi="Verdana"/>
          <w:i/>
          <w:iCs/>
        </w:rPr>
        <w:t xml:space="preserve">Predictors of mathematical attainment trajectories across the primary-to-secondary education transition: parental factors and the home environment. </w:t>
      </w:r>
      <w:r w:rsidRPr="00531FC0">
        <w:rPr>
          <w:rFonts w:ascii="Verdana" w:hAnsi="Verdana"/>
        </w:rPr>
        <w:t xml:space="preserve">R. Soc. open sci.7200422200422, </w:t>
      </w:r>
      <w:r>
        <w:fldChar w:fldCharType="begin"/>
      </w:r>
      <w:r>
        <w:instrText xml:space="preserve"> HYPERLINK "http://doi.org/10.1098/rsos.200422" </w:instrText>
      </w:r>
      <w:r>
        <w:fldChar w:fldCharType="separate"/>
      </w:r>
      <w:r w:rsidRPr="00531FC0">
        <w:rPr>
          <w:rFonts w:ascii="Verdana" w:hAnsi="Verdana"/>
        </w:rPr>
        <w:t>http://doi.org/10.1098/rsos.200422</w:t>
      </w:r>
      <w:r>
        <w:fldChar w:fldCharType="end"/>
      </w:r>
      <w:r w:rsidRPr="00531FC0">
        <w:rPr>
          <w:rFonts w:ascii="Verdana" w:hAnsi="Verdana"/>
        </w:rPr>
        <w:t xml:space="preserve"> and OECD (2014), “Indicator A4: To what extent does parents’ education influence participation in tertiary education?”, in Education at a Glance 2014: OECD Indicators, OECD Publishing. </w:t>
      </w:r>
      <w:r>
        <w:fldChar w:fldCharType="begin"/>
      </w:r>
      <w:r>
        <w:instrText xml:space="preserve"> HYPERLINK "http://dx.doi.org/10.1787/888933115521" </w:instrText>
      </w:r>
      <w:r>
        <w:fldChar w:fldCharType="separate"/>
      </w:r>
      <w:r w:rsidRPr="00531FC0">
        <w:rPr>
          <w:rFonts w:ascii="Verdana" w:hAnsi="Verdana"/>
        </w:rPr>
        <w:t>http://dx.doi.org/10.1787/888933115521</w:t>
      </w:r>
      <w:r>
        <w:fldChar w:fldCharType="end"/>
      </w:r>
    </w:p>
    <w:p w:rsidR="00550347" w:rsidRPr="00531FC0" w:rsidP="00550347">
      <w:pPr>
        <w:pStyle w:val="EndnoteText"/>
        <w:rPr>
          <w:rFonts w:ascii="Verdana" w:hAnsi="Verdana"/>
        </w:rPr>
      </w:pPr>
    </w:p>
  </w:endnote>
  <w:endnote w:id="20">
    <w:p w:rsidR="00550347" w:rsidRPr="00531FC0" w:rsidP="00550347">
      <w:pPr>
        <w:spacing w:after="0" w:line="240" w:lineRule="auto"/>
        <w:rPr>
          <w:rFonts w:ascii="Verdana" w:hAnsi="Verdana" w:cs="Arial"/>
          <w:sz w:val="20"/>
          <w:szCs w:val="20"/>
          <w:shd w:val="clear" w:color="auto" w:fill="FFFFFF"/>
        </w:rPr>
      </w:pPr>
      <w:r w:rsidRPr="00531FC0">
        <w:rPr>
          <w:rStyle w:val="EndnoteReference"/>
          <w:rFonts w:ascii="Verdana" w:hAnsi="Verdana"/>
          <w:sz w:val="20"/>
          <w:szCs w:val="20"/>
        </w:rPr>
        <w:endnoteRef/>
      </w:r>
      <w:r w:rsidRPr="00531FC0">
        <w:rPr>
          <w:rFonts w:ascii="Verdana" w:hAnsi="Verdana"/>
          <w:sz w:val="20"/>
          <w:szCs w:val="20"/>
        </w:rPr>
        <w:t xml:space="preserve"> </w:t>
      </w:r>
      <w:r w:rsidRPr="00531FC0">
        <w:rPr>
          <w:rFonts w:ascii="Verdana" w:hAnsi="Verdana" w:cs="Arial"/>
          <w:sz w:val="20"/>
          <w:szCs w:val="20"/>
          <w:shd w:val="clear" w:color="auto" w:fill="FFFFFF"/>
        </w:rPr>
        <w:t>McQuaid, R., Lindsay, C. and Johnson, S. (2010) </w:t>
      </w:r>
      <w:r w:rsidRPr="00531FC0">
        <w:rPr>
          <w:rFonts w:ascii="Verdana" w:hAnsi="Verdana" w:cs="Arial"/>
          <w:i/>
          <w:iCs/>
          <w:sz w:val="20"/>
          <w:szCs w:val="20"/>
          <w:shd w:val="clear" w:color="auto" w:fill="FFFFFF"/>
        </w:rPr>
        <w:t>An appetite for learning: increasing employee demand for skills development</w:t>
      </w:r>
      <w:r w:rsidRPr="00531FC0">
        <w:rPr>
          <w:rFonts w:ascii="Verdana" w:hAnsi="Verdana" w:cs="Arial"/>
          <w:sz w:val="20"/>
          <w:szCs w:val="20"/>
          <w:shd w:val="clear" w:color="auto" w:fill="FFFFFF"/>
        </w:rPr>
        <w:t xml:space="preserve">. - </w:t>
      </w:r>
      <w:r>
        <w:fldChar w:fldCharType="begin"/>
      </w:r>
      <w:r>
        <w:instrText xml:space="preserve"> HYPERLINK "https://www.storre.stir.ac.uk/bitstream/1893/17674/1/Praxis%20A5%20Appetite%20For%20Learning_1%20FINAL.pdf" </w:instrText>
      </w:r>
      <w:r>
        <w:fldChar w:fldCharType="separate"/>
      </w:r>
      <w:r w:rsidRPr="00531FC0">
        <w:rPr>
          <w:rFonts w:ascii="Verdana" w:hAnsi="Verdana"/>
          <w:sz w:val="20"/>
          <w:szCs w:val="20"/>
        </w:rPr>
        <w:t>https://www.storre.stir.ac.uk/bitstream/1893/17674/1/Praxis%20A5%20Appetite%20For%20Learning_1%20FINAL.pdf</w:t>
      </w:r>
      <w:r>
        <w:fldChar w:fldCharType="end"/>
      </w:r>
      <w:r w:rsidRPr="00531FC0">
        <w:rPr>
          <w:rFonts w:ascii="Verdana" w:hAnsi="Verdana" w:cs="Arial"/>
          <w:sz w:val="20"/>
          <w:szCs w:val="20"/>
          <w:shd w:val="clear" w:color="auto" w:fill="FFFFFF"/>
        </w:rPr>
        <w:t xml:space="preserve"> </w:t>
      </w:r>
    </w:p>
    <w:p w:rsidR="00550347" w:rsidRPr="00531FC0" w:rsidP="00550347">
      <w:pPr>
        <w:pStyle w:val="EndnoteText"/>
        <w:rPr>
          <w:rFonts w:ascii="Verdana" w:hAnsi="Verdana"/>
        </w:rPr>
      </w:pPr>
    </w:p>
  </w:endnote>
  <w:endnote w:id="21">
    <w:p w:rsidR="00550347" w:rsidRPr="00531FC0" w:rsidP="00550347">
      <w:pPr>
        <w:spacing w:after="0" w:line="240" w:lineRule="auto"/>
        <w:rPr>
          <w:rFonts w:ascii="Verdana" w:hAnsi="Verdana" w:cs="Arial"/>
          <w:sz w:val="20"/>
          <w:szCs w:val="20"/>
          <w:shd w:val="clear" w:color="auto" w:fill="FFFFFF"/>
        </w:rPr>
      </w:pPr>
      <w:r w:rsidRPr="00531FC0">
        <w:rPr>
          <w:rStyle w:val="EndnoteReference"/>
          <w:rFonts w:ascii="Verdana" w:hAnsi="Verdana"/>
          <w:sz w:val="20"/>
          <w:szCs w:val="20"/>
        </w:rPr>
        <w:endnoteRef/>
      </w:r>
      <w:r w:rsidRPr="00531FC0">
        <w:rPr>
          <w:rFonts w:ascii="Verdana" w:hAnsi="Verdana"/>
          <w:sz w:val="20"/>
          <w:szCs w:val="20"/>
        </w:rPr>
        <w:t xml:space="preserve"> </w:t>
      </w:r>
      <w:r w:rsidRPr="00531FC0">
        <w:rPr>
          <w:rFonts w:ascii="Verdana" w:hAnsi="Verdana" w:cs="Arial"/>
          <w:sz w:val="20"/>
          <w:szCs w:val="20"/>
          <w:shd w:val="clear" w:color="auto" w:fill="FFFFFF"/>
        </w:rPr>
        <w:t>Hu, X., Leung, F.K.S. &amp; Teng, Y. The Influence of Culture on Students’ Mathematics Achievement Across 51 Countries. Int J of Sci and Math Educ 16, 7–24 (2018). https://doi.org/10.1007/s10763-018-9899-6</w:t>
      </w:r>
    </w:p>
    <w:p w:rsidR="00550347" w:rsidRPr="00531FC0" w:rsidP="00550347">
      <w:pPr>
        <w:pStyle w:val="EndnoteText"/>
        <w:rPr>
          <w:rFonts w:ascii="Verdana" w:hAnsi="Verdana"/>
        </w:rPr>
      </w:pPr>
    </w:p>
  </w:endnote>
  <w:endnote w:id="22">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 xml:space="preserve"> Brown, M., Brown, P., &amp; Bibby, T. (2008). “I would rather die”: Attitudes of 16-year-olds towards their future participation in mathematics. Research in Mathematics Education, 10(1), 3-18.</w:t>
      </w:r>
    </w:p>
    <w:p w:rsidR="00550347" w:rsidRPr="00531FC0" w:rsidP="00550347">
      <w:pPr>
        <w:pStyle w:val="EndnoteText"/>
        <w:rPr>
          <w:rFonts w:ascii="Verdana" w:hAnsi="Verdana"/>
        </w:rPr>
      </w:pPr>
    </w:p>
  </w:endnote>
  <w:endnote w:id="23">
    <w:p w:rsidR="00550347" w:rsidRPr="00531FC0" w:rsidP="00550347">
      <w:pPr>
        <w:spacing w:after="0" w:line="240" w:lineRule="auto"/>
        <w:rPr>
          <w:rFonts w:ascii="Verdana" w:hAnsi="Verdana"/>
          <w:sz w:val="20"/>
          <w:szCs w:val="20"/>
        </w:rPr>
      </w:pPr>
      <w:r w:rsidRPr="00531FC0">
        <w:rPr>
          <w:rStyle w:val="EndnoteReference"/>
          <w:rFonts w:ascii="Verdana" w:hAnsi="Verdana"/>
          <w:sz w:val="20"/>
          <w:szCs w:val="20"/>
        </w:rPr>
        <w:endnoteRef/>
      </w:r>
      <w:r w:rsidRPr="00531FC0">
        <w:rPr>
          <w:rFonts w:ascii="Verdana" w:hAnsi="Verdana"/>
          <w:sz w:val="20"/>
          <w:szCs w:val="20"/>
        </w:rPr>
        <w:t>Osborne, J., Black, P., Boaler, J., Brown, M., Driver, R., &amp; Murray, R. (1997). Attitudes to Science, Mathematics and Technology: A review of research. London: King’s College, University of London Mendick, H. (2005) Mathematical stories: why do more boys than girls choose to study mathematics at AS-level in England? British Journal of Sociology of Education, 26(2), 225-241.</w:t>
      </w:r>
    </w:p>
    <w:p w:rsidR="00830022" w:rsidP="00550347">
      <w:pPr>
        <w:pStyle w:val="EndnoteText"/>
        <w:rPr>
          <w:rFonts w:ascii="Verdana" w:hAnsi="Verdana"/>
        </w:rPr>
      </w:pPr>
    </w:p>
    <w:p w:rsidR="0064744C" w:rsidP="00550347">
      <w:pPr>
        <w:pStyle w:val="EndnoteText"/>
        <w:rPr>
          <w:rFonts w:ascii="Verdana" w:hAnsi="Verdana"/>
        </w:rPr>
      </w:pPr>
    </w:p>
    <w:p w:rsidR="0064744C" w:rsidP="00550347">
      <w:pPr>
        <w:pStyle w:val="EndnoteText"/>
        <w:rPr>
          <w:rFonts w:ascii="Verdana" w:hAnsi="Verdana"/>
        </w:rPr>
      </w:pPr>
    </w:p>
    <w:p w:rsidR="00830022" w:rsidRPr="00531FC0" w:rsidP="00830022">
      <w:pPr>
        <w:rPr>
          <w:rFonts w:ascii="Verdana" w:hAnsi="Verdana" w:cstheme="minorHAnsi"/>
          <w:i/>
          <w:iCs/>
          <w:sz w:val="28"/>
          <w:szCs w:val="28"/>
        </w:rPr>
      </w:pPr>
      <w:r w:rsidRPr="00531FC0">
        <w:rPr>
          <w:rFonts w:ascii="Verdana" w:hAnsi="Verdana" w:cstheme="minorHAnsi"/>
          <w:i/>
          <w:iCs/>
          <w:sz w:val="28"/>
          <w:szCs w:val="28"/>
        </w:rPr>
        <w:t>15 May 2026</w:t>
      </w:r>
    </w:p>
    <w:p w:rsidR="00830022" w:rsidRPr="00531FC0" w:rsidP="00550347">
      <w:pPr>
        <w:pStyle w:val="EndnoteText"/>
        <w:rPr>
          <w:rFonts w:ascii="Verdana" w:hAnsi="Verdan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C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C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C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8A6FBA"/>
    <w:multiLevelType w:val="hybridMultilevel"/>
    <w:tmpl w:val="B6D822A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52D321C"/>
    <w:multiLevelType w:val="hybridMultilevel"/>
    <w:tmpl w:val="D3F863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7795E8C"/>
    <w:multiLevelType w:val="hybridMultilevel"/>
    <w:tmpl w:val="2EAAAD16"/>
    <w:lvl w:ilvl="0">
      <w:start w:val="1"/>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A32534"/>
    <w:multiLevelType w:val="hybridMultilevel"/>
    <w:tmpl w:val="35C4FF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6EC16A6"/>
    <w:multiLevelType w:val="multilevel"/>
    <w:tmpl w:val="27C4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74D666A"/>
    <w:multiLevelType w:val="hybridMultilevel"/>
    <w:tmpl w:val="7F1E2D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C1A25AA"/>
    <w:multiLevelType w:val="hybridMultilevel"/>
    <w:tmpl w:val="342E50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D0A0988"/>
    <w:multiLevelType w:val="hybridMultilevel"/>
    <w:tmpl w:val="C7268C0C"/>
    <w:lvl w:ilvl="0">
      <w:start w:val="26"/>
      <w:numFmt w:val="bullet"/>
      <w:lvlText w:val="-"/>
      <w:lvlJc w:val="left"/>
      <w:pPr>
        <w:ind w:left="720" w:hanging="360"/>
      </w:pPr>
      <w:rPr>
        <w:rFonts w:ascii="Calibri" w:hAnsi="Calibri" w:eastAsiaTheme="minorHAns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0457A63"/>
    <w:multiLevelType w:val="hybridMultilevel"/>
    <w:tmpl w:val="610EB4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31D57ABA"/>
    <w:multiLevelType w:val="hybridMultilevel"/>
    <w:tmpl w:val="363CE6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4E537941"/>
    <w:multiLevelType w:val="hybridMultilevel"/>
    <w:tmpl w:val="DDBE3AB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EB670D2"/>
    <w:multiLevelType w:val="hybridMultilevel"/>
    <w:tmpl w:val="1D9E85A6"/>
    <w:lvl w:ilvl="0">
      <w:start w:val="52"/>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FCE5F9C"/>
    <w:multiLevelType w:val="hybridMultilevel"/>
    <w:tmpl w:val="CA025D3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07905CA"/>
    <w:multiLevelType w:val="hybridMultilevel"/>
    <w:tmpl w:val="579EC7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0B010FE"/>
    <w:multiLevelType w:val="hybridMultilevel"/>
    <w:tmpl w:val="28965D5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63DA6E36"/>
    <w:multiLevelType w:val="hybridMultilevel"/>
    <w:tmpl w:val="FA703F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8832783"/>
    <w:multiLevelType w:val="multilevel"/>
    <w:tmpl w:val="F5EE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9079BF"/>
    <w:multiLevelType w:val="hybridMultilevel"/>
    <w:tmpl w:val="B6184D2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29D4013"/>
    <w:multiLevelType w:val="hybridMultilevel"/>
    <w:tmpl w:val="4B1491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7AFD010E"/>
    <w:multiLevelType w:val="hybridMultilevel"/>
    <w:tmpl w:val="114E1CC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14"/>
  </w:num>
  <w:num w:numId="3">
    <w:abstractNumId w:val="2"/>
  </w:num>
  <w:num w:numId="4">
    <w:abstractNumId w:val="9"/>
  </w:num>
  <w:num w:numId="5">
    <w:abstractNumId w:val="8"/>
  </w:num>
  <w:num w:numId="6">
    <w:abstractNumId w:val="0"/>
  </w:num>
  <w:num w:numId="7">
    <w:abstractNumId w:val="16"/>
  </w:num>
  <w:num w:numId="8">
    <w:abstractNumId w:val="18"/>
  </w:num>
  <w:num w:numId="9">
    <w:abstractNumId w:val="7"/>
  </w:num>
  <w:num w:numId="10">
    <w:abstractNumId w:val="5"/>
  </w:num>
  <w:num w:numId="11">
    <w:abstractNumId w:val="4"/>
  </w:num>
  <w:num w:numId="12">
    <w:abstractNumId w:val="10"/>
  </w:num>
  <w:num w:numId="13">
    <w:abstractNumId w:val="6"/>
  </w:num>
  <w:num w:numId="14">
    <w:abstractNumId w:val="13"/>
  </w:num>
  <w:num w:numId="15">
    <w:abstractNumId w:val="17"/>
  </w:num>
  <w:num w:numId="16">
    <w:abstractNumId w:val="19"/>
  </w:num>
  <w:num w:numId="17">
    <w:abstractNumId w:val="3"/>
  </w:num>
  <w:num w:numId="18">
    <w:abstractNumId w:val="11"/>
  </w:num>
  <w:num w:numId="19">
    <w:abstractNumId w:val="12"/>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TrackMoves/>
  <w:defaultTabStop w:val="720"/>
  <w:characterSpacingControl w:val="doNotCompress"/>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73C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3C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3C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3C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3C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3C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C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C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C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3C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3C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3C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3C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3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C16"/>
    <w:rPr>
      <w:rFonts w:eastAsiaTheme="majorEastAsia" w:cstheme="majorBidi"/>
      <w:color w:val="272727" w:themeColor="text1" w:themeTint="D8"/>
    </w:rPr>
  </w:style>
  <w:style w:type="paragraph" w:styleId="Title">
    <w:name w:val="Title"/>
    <w:basedOn w:val="Normal"/>
    <w:next w:val="Normal"/>
    <w:link w:val="TitleChar"/>
    <w:uiPriority w:val="10"/>
    <w:qFormat/>
    <w:rsid w:val="00B73C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C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C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C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C16"/>
    <w:pPr>
      <w:spacing w:before="160"/>
      <w:jc w:val="center"/>
    </w:pPr>
    <w:rPr>
      <w:i/>
      <w:iCs/>
      <w:color w:val="404040" w:themeColor="text1" w:themeTint="BF"/>
    </w:rPr>
  </w:style>
  <w:style w:type="character" w:customStyle="1" w:styleId="QuoteChar">
    <w:name w:val="Quote Char"/>
    <w:basedOn w:val="DefaultParagraphFont"/>
    <w:link w:val="Quote"/>
    <w:uiPriority w:val="29"/>
    <w:rsid w:val="00B73C16"/>
    <w:rPr>
      <w:i/>
      <w:iCs/>
      <w:color w:val="404040" w:themeColor="text1" w:themeTint="BF"/>
    </w:rPr>
  </w:style>
  <w:style w:type="paragraph" w:styleId="ListParagraph">
    <w:name w:val="List Paragraph"/>
    <w:aliases w:val="Bullet 1,Bullet Points,Colorful List - Accent 11,Dairy Paragraphe,Dot pt,F5 List Paragraph,Indicator Text,List Paragraph Char Char Char,List Paragraph1,List Paragraph2,MAIN CONTENT,No Spacing1,Numbered Para 1,numbered para 3"/>
    <w:basedOn w:val="Normal"/>
    <w:link w:val="ListParagraphChar"/>
    <w:uiPriority w:val="34"/>
    <w:qFormat/>
    <w:rsid w:val="00B73C16"/>
    <w:pPr>
      <w:ind w:left="720"/>
      <w:contextualSpacing/>
    </w:pPr>
  </w:style>
  <w:style w:type="character" w:styleId="IntenseEmphasis">
    <w:name w:val="Intense Emphasis"/>
    <w:basedOn w:val="DefaultParagraphFont"/>
    <w:uiPriority w:val="21"/>
    <w:qFormat/>
    <w:rsid w:val="00B73C16"/>
    <w:rPr>
      <w:i/>
      <w:iCs/>
      <w:color w:val="2F5496" w:themeColor="accent1" w:themeShade="BF"/>
    </w:rPr>
  </w:style>
  <w:style w:type="paragraph" w:styleId="IntenseQuote">
    <w:name w:val="Intense Quote"/>
    <w:basedOn w:val="Normal"/>
    <w:next w:val="Normal"/>
    <w:link w:val="IntenseQuoteChar"/>
    <w:uiPriority w:val="30"/>
    <w:qFormat/>
    <w:rsid w:val="00B73C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C16"/>
    <w:rPr>
      <w:i/>
      <w:iCs/>
      <w:color w:val="2F5496" w:themeColor="accent1" w:themeShade="BF"/>
    </w:rPr>
  </w:style>
  <w:style w:type="character" w:styleId="IntenseReference">
    <w:name w:val="Intense Reference"/>
    <w:basedOn w:val="DefaultParagraphFont"/>
    <w:uiPriority w:val="32"/>
    <w:qFormat/>
    <w:rsid w:val="00B73C16"/>
    <w:rPr>
      <w:b/>
      <w:bCs/>
      <w:smallCaps/>
      <w:color w:val="2F5496" w:themeColor="accent1" w:themeShade="BF"/>
      <w:spacing w:val="5"/>
    </w:rPr>
  </w:style>
  <w:style w:type="character" w:styleId="Hyperlink">
    <w:name w:val="Hyperlink"/>
    <w:basedOn w:val="DefaultParagraphFont"/>
    <w:uiPriority w:val="99"/>
    <w:unhideWhenUsed/>
    <w:rsid w:val="00574F5A"/>
    <w:rPr>
      <w:color w:val="0563C1" w:themeColor="hyperlink"/>
      <w:u w:val="single"/>
    </w:rPr>
  </w:style>
  <w:style w:type="character" w:customStyle="1" w:styleId="UnresolvedMention">
    <w:name w:val="Unresolved Mention"/>
    <w:basedOn w:val="DefaultParagraphFont"/>
    <w:uiPriority w:val="99"/>
    <w:semiHidden/>
    <w:unhideWhenUsed/>
    <w:rsid w:val="00574F5A"/>
    <w:rPr>
      <w:color w:val="605E5C"/>
      <w:shd w:val="clear" w:color="auto" w:fill="E1DFDD"/>
    </w:rPr>
  </w:style>
  <w:style w:type="paragraph" w:styleId="NormalWeb">
    <w:name w:val="Normal (Web)"/>
    <w:basedOn w:val="Normal"/>
    <w:uiPriority w:val="99"/>
    <w:semiHidden/>
    <w:unhideWhenUsed/>
    <w:rsid w:val="00E26BBF"/>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550347"/>
    <w:pPr>
      <w:spacing w:after="0" w:line="240" w:lineRule="auto"/>
    </w:pPr>
    <w:rPr>
      <w:kern w:val="0"/>
      <w:sz w:val="20"/>
      <w:szCs w:val="20"/>
    </w:rPr>
  </w:style>
  <w:style w:type="character" w:customStyle="1" w:styleId="EndnoteTextChar">
    <w:name w:val="Endnote Text Char"/>
    <w:basedOn w:val="DefaultParagraphFont"/>
    <w:link w:val="EndnoteText"/>
    <w:uiPriority w:val="99"/>
    <w:semiHidden/>
    <w:rsid w:val="00550347"/>
    <w:rPr>
      <w:kern w:val="0"/>
      <w:sz w:val="20"/>
      <w:szCs w:val="20"/>
    </w:rPr>
  </w:style>
  <w:style w:type="character" w:styleId="EndnoteReference">
    <w:name w:val="endnote reference"/>
    <w:basedOn w:val="DefaultParagraphFont"/>
    <w:uiPriority w:val="99"/>
    <w:unhideWhenUsed/>
    <w:rsid w:val="00550347"/>
    <w:rPr>
      <w:vertAlign w:val="superscript"/>
    </w:rPr>
  </w:style>
  <w:style w:type="paragraph" w:styleId="Header">
    <w:name w:val="header"/>
    <w:basedOn w:val="Normal"/>
    <w:link w:val="HeaderChar"/>
    <w:uiPriority w:val="99"/>
    <w:unhideWhenUsed/>
    <w:rsid w:val="00C23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413"/>
  </w:style>
  <w:style w:type="paragraph" w:styleId="Footer">
    <w:name w:val="footer"/>
    <w:basedOn w:val="Normal"/>
    <w:link w:val="FooterChar"/>
    <w:uiPriority w:val="99"/>
    <w:semiHidden/>
    <w:unhideWhenUsed/>
    <w:rsid w:val="00C2341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23413"/>
  </w:style>
  <w:style w:type="character" w:styleId="CommentReference">
    <w:name w:val="annotation reference"/>
    <w:basedOn w:val="DefaultParagraphFont"/>
    <w:uiPriority w:val="99"/>
    <w:semiHidden/>
    <w:unhideWhenUsed/>
    <w:rsid w:val="0016466B"/>
    <w:rPr>
      <w:sz w:val="16"/>
      <w:szCs w:val="16"/>
    </w:rPr>
  </w:style>
  <w:style w:type="paragraph" w:styleId="CommentText">
    <w:name w:val="annotation text"/>
    <w:basedOn w:val="Normal"/>
    <w:link w:val="CommentTextChar"/>
    <w:uiPriority w:val="99"/>
    <w:unhideWhenUsed/>
    <w:rsid w:val="0016466B"/>
    <w:pPr>
      <w:spacing w:line="240" w:lineRule="auto"/>
    </w:pPr>
    <w:rPr>
      <w:sz w:val="20"/>
      <w:szCs w:val="20"/>
    </w:rPr>
  </w:style>
  <w:style w:type="character" w:customStyle="1" w:styleId="CommentTextChar">
    <w:name w:val="Comment Text Char"/>
    <w:basedOn w:val="DefaultParagraphFont"/>
    <w:link w:val="CommentText"/>
    <w:uiPriority w:val="99"/>
    <w:rsid w:val="0016466B"/>
    <w:rPr>
      <w:sz w:val="20"/>
      <w:szCs w:val="20"/>
    </w:rPr>
  </w:style>
  <w:style w:type="paragraph" w:styleId="CommentSubject">
    <w:name w:val="annotation subject"/>
    <w:basedOn w:val="CommentText"/>
    <w:next w:val="CommentText"/>
    <w:link w:val="CommentSubjectChar"/>
    <w:uiPriority w:val="99"/>
    <w:semiHidden/>
    <w:unhideWhenUsed/>
    <w:rsid w:val="0016466B"/>
    <w:rPr>
      <w:b/>
      <w:bCs/>
    </w:rPr>
  </w:style>
  <w:style w:type="character" w:customStyle="1" w:styleId="CommentSubjectChar">
    <w:name w:val="Comment Subject Char"/>
    <w:basedOn w:val="CommentTextChar"/>
    <w:link w:val="CommentSubject"/>
    <w:uiPriority w:val="99"/>
    <w:semiHidden/>
    <w:rsid w:val="0016466B"/>
    <w:rPr>
      <w:b/>
      <w:bCs/>
      <w:sz w:val="20"/>
      <w:szCs w:val="20"/>
    </w:rPr>
  </w:style>
  <w:style w:type="paragraph" w:styleId="Revision">
    <w:name w:val="Revision"/>
    <w:hidden/>
    <w:uiPriority w:val="99"/>
    <w:semiHidden/>
    <w:rsid w:val="00DA2C18"/>
    <w:pPr>
      <w:spacing w:after="0" w:line="240" w:lineRule="auto"/>
    </w:pPr>
  </w:style>
  <w:style w:type="paragraph" w:styleId="FootnoteText">
    <w:name w:val="footnote text"/>
    <w:basedOn w:val="Normal"/>
    <w:link w:val="FootnoteTextChar"/>
    <w:uiPriority w:val="99"/>
    <w:semiHidden/>
    <w:unhideWhenUsed/>
    <w:rsid w:val="00ED34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43D"/>
    <w:rPr>
      <w:sz w:val="20"/>
      <w:szCs w:val="20"/>
    </w:rPr>
  </w:style>
  <w:style w:type="character" w:styleId="FootnoteReference">
    <w:name w:val="footnote reference"/>
    <w:basedOn w:val="DefaultParagraphFont"/>
    <w:uiPriority w:val="99"/>
    <w:unhideWhenUsed/>
    <w:rsid w:val="00ED343D"/>
    <w:rPr>
      <w:vertAlign w:val="superscript"/>
    </w:rPr>
  </w:style>
  <w:style w:type="character" w:customStyle="1" w:styleId="ListParagraphChar">
    <w:name w:val="List Paragraph Char"/>
    <w:aliases w:val="Colorful List - Accent 11 Char,Dairy Paragraphe Char,Dot pt Char,F5 List Paragraph Char,Indicator Text Char,List Paragraph Char Char Char Char,List Paragraph1 Char,No Spacing1 Char,Numbered Para 1 Char,numbered para 3 Char"/>
    <w:basedOn w:val="DefaultParagraphFont"/>
    <w:link w:val="ListParagraph"/>
    <w:uiPriority w:val="34"/>
    <w:qFormat/>
    <w:rsid w:val="00ED343D"/>
  </w:style>
  <w:style w:type="character" w:styleId="FollowedHyperlink">
    <w:name w:val="FollowedHyperlink"/>
    <w:basedOn w:val="DefaultParagraphFont"/>
    <w:uiPriority w:val="99"/>
    <w:semiHidden/>
    <w:unhideWhenUsed/>
    <w:rsid w:val="001264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0FF3C-F9ED-4A9E-A3DE-91EE65D8C34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NUM0065</dc:title>
  <cp:revision>0</cp:revision>
</cp:coreProperties>
</file>