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24C1E" w:rsidRPr="00C24C1E" w:rsidP="00C24C1E">
      <w:pPr>
        <w:jc w:val="center"/>
        <w:rPr>
          <w:b/>
          <w:bCs/>
          <w:sz w:val="24"/>
          <w:szCs w:val="24"/>
        </w:rPr>
      </w:pPr>
      <w:r w:rsidRPr="00C24C1E">
        <w:rPr>
          <w:b/>
          <w:bCs/>
          <w:sz w:val="24"/>
          <w:szCs w:val="24"/>
        </w:rPr>
        <w:t>Written evidence submitted anonymously (CWR0250)</w:t>
      </w:r>
    </w:p>
    <w:p w:rsidR="00C24C1E" w:rsidP="00C24C1E"/>
    <w:p w:rsidR="00C24C1E" w:rsidRPr="00C24C1E" w:rsidP="00C24C1E">
      <w:pPr>
        <w:rPr>
          <w:b/>
          <w:bCs/>
        </w:rPr>
      </w:pPr>
      <w:r w:rsidRPr="00C24C1E">
        <w:rPr>
          <w:b/>
          <w:bCs/>
        </w:rPr>
        <w:t xml:space="preserve">Submitted by </w:t>
      </w:r>
    </w:p>
    <w:p w:rsidR="00C24C1E" w:rsidP="00C24C1E">
      <w:pPr>
        <w:spacing w:after="0"/>
      </w:pPr>
      <w:r>
        <w:t xml:space="preserve">Land Agent acting for multiple upland estates </w:t>
      </w:r>
    </w:p>
    <w:p w:rsidR="00C24C1E" w:rsidP="00C24C1E">
      <w:pPr>
        <w:spacing w:after="0"/>
      </w:pPr>
      <w:r>
        <w:t xml:space="preserve">Region: Lancashire, Cumbria, Derbyshire, West and North Yorkshire </w:t>
      </w:r>
    </w:p>
    <w:p w:rsidR="00C24C1E" w:rsidP="00C24C1E">
      <w:pPr>
        <w:spacing w:after="0"/>
      </w:pPr>
      <w:r>
        <w:t xml:space="preserve">Inquiry: EFRA Committee – Climate and Weather Resilience (Wildfires) </w:t>
      </w:r>
    </w:p>
    <w:p w:rsidR="00C24C1E" w:rsidP="00C24C1E"/>
    <w:p w:rsidR="00C24C1E" w:rsidRPr="00C24C1E" w:rsidP="00C24C1E">
      <w:pPr>
        <w:rPr>
          <w:b/>
          <w:bCs/>
        </w:rPr>
      </w:pPr>
      <w:r w:rsidRPr="00C24C1E">
        <w:rPr>
          <w:b/>
          <w:bCs/>
        </w:rPr>
        <w:t xml:space="preserve">1. Introduction </w:t>
      </w:r>
    </w:p>
    <w:p w:rsidR="00C24C1E" w:rsidP="00C24C1E">
      <w:r>
        <w:t xml:space="preserve">I act as a land agent responsible for the management of multiple upland estates, including driven grouse moors. Wildfire risk has transitioned from an episodic hazard to a persistent and escalating operational risk, threatening environmental delivery, agricultural output, and rural economic sustainability. </w:t>
      </w:r>
    </w:p>
    <w:p w:rsidR="00C24C1E" w:rsidRPr="00C24C1E" w:rsidP="00C24C1E">
      <w:pPr>
        <w:rPr>
          <w:b/>
          <w:bCs/>
        </w:rPr>
      </w:pPr>
    </w:p>
    <w:p w:rsidR="00C24C1E" w:rsidRPr="00C24C1E" w:rsidP="00C24C1E">
      <w:pPr>
        <w:rPr>
          <w:b/>
          <w:bCs/>
        </w:rPr>
      </w:pPr>
      <w:r w:rsidRPr="00C24C1E">
        <w:rPr>
          <w:b/>
          <w:bCs/>
        </w:rPr>
        <w:t xml:space="preserve">2. Structural Shift in Wildfire Risk </w:t>
      </w:r>
    </w:p>
    <w:p w:rsidR="00C24C1E" w:rsidP="00C24C1E">
      <w:r>
        <w:t xml:space="preserve">Recent years show extended fire seasons, increased high-risk fire weather conditions, and more frequent high-intensity fires. This represents a structural shift rather than cyclical variation. </w:t>
      </w:r>
    </w:p>
    <w:p w:rsidR="00C24C1E" w:rsidP="00C24C1E"/>
    <w:p w:rsidR="00C24C1E" w:rsidRPr="00C24C1E" w:rsidP="00C24C1E">
      <w:pPr>
        <w:rPr>
          <w:b/>
          <w:bCs/>
        </w:rPr>
      </w:pPr>
      <w:r w:rsidRPr="00C24C1E">
        <w:rPr>
          <w:b/>
          <w:bCs/>
        </w:rPr>
        <w:t xml:space="preserve">3. Land Condition, Hydrology and Fuel Load </w:t>
      </w:r>
    </w:p>
    <w:p w:rsidR="00C24C1E" w:rsidP="00C24C1E">
      <w:r>
        <w:t>The majority of</w:t>
      </w:r>
      <w:r>
        <w:t xml:space="preserve"> land is hydrologically wet, including peat soils. Vegetation management is undertaken where legally permissible to reduce combustible biomass. However, surface fuels can dry rapidly, and fuel load accumulation remains the primary controllable variable influencing wildfire </w:t>
      </w:r>
      <w:r>
        <w:t>behavior</w:t>
      </w:r>
      <w:r>
        <w:t xml:space="preserve">. </w:t>
      </w:r>
    </w:p>
    <w:p w:rsidR="00C24C1E" w:rsidP="00C24C1E"/>
    <w:p w:rsidR="00C24C1E" w:rsidRPr="00C24C1E" w:rsidP="00C24C1E">
      <w:pPr>
        <w:rPr>
          <w:b/>
          <w:bCs/>
        </w:rPr>
      </w:pPr>
      <w:r w:rsidRPr="00C24C1E">
        <w:rPr>
          <w:b/>
          <w:bCs/>
        </w:rPr>
        <w:t xml:space="preserve">4. Ignition Sources </w:t>
      </w:r>
    </w:p>
    <w:p w:rsidR="00C24C1E" w:rsidP="00C24C1E">
      <w:r>
        <w:t xml:space="preserve">Most wildfire ignitions are anthropogenic, including barbecues, arson, smoking, and recreational access pressures. Public awareness of wildfire risk remains insufficient. </w:t>
      </w:r>
    </w:p>
    <w:p w:rsidR="00C24C1E" w:rsidP="00C24C1E"/>
    <w:p w:rsidR="00C24C1E" w:rsidRPr="00C24C1E" w:rsidP="00C24C1E">
      <w:pPr>
        <w:rPr>
          <w:b/>
          <w:bCs/>
        </w:rPr>
      </w:pPr>
      <w:r w:rsidRPr="00C24C1E">
        <w:rPr>
          <w:b/>
          <w:bCs/>
        </w:rPr>
        <w:t xml:space="preserve">5. Impact Assessment </w:t>
      </w:r>
    </w:p>
    <w:p w:rsidR="00C24C1E" w:rsidP="00C24C1E">
      <w:r>
        <w:t xml:space="preserve">Agricultural loss includes reduced grazing capacity and long-term productivity impacts. Grouse moor management is severely affected through habitat loss and economic disruption. Peatland fires result in carbon release and long-term land degradation. </w:t>
      </w:r>
    </w:p>
    <w:p w:rsidR="00C24C1E" w:rsidP="00C24C1E"/>
    <w:p w:rsidR="00C24C1E" w:rsidRPr="00C24C1E" w:rsidP="00C24C1E">
      <w:pPr>
        <w:rPr>
          <w:b/>
          <w:bCs/>
        </w:rPr>
      </w:pPr>
      <w:r w:rsidRPr="00C24C1E">
        <w:rPr>
          <w:b/>
          <w:bCs/>
        </w:rPr>
        <w:t xml:space="preserve">6. Role of Land Management </w:t>
      </w:r>
    </w:p>
    <w:p w:rsidR="00C24C1E" w:rsidP="00C24C1E">
      <w:r>
        <w:t xml:space="preserve">Fuel reduction through cutting, grazing, and controlled burning is essential. Current regulations constrain effective risk mitigation and lack consistency with resilience objectives. </w:t>
      </w:r>
    </w:p>
    <w:p w:rsidR="00C24C1E" w:rsidP="00C24C1E"/>
    <w:p w:rsidR="00C24C1E" w:rsidRPr="00C24C1E" w:rsidP="00C24C1E">
      <w:pPr>
        <w:rPr>
          <w:b/>
          <w:bCs/>
        </w:rPr>
      </w:pPr>
      <w:r w:rsidRPr="00C24C1E">
        <w:rPr>
          <w:b/>
          <w:bCs/>
        </w:rPr>
        <w:t xml:space="preserve">7. Emergency Response </w:t>
      </w:r>
    </w:p>
    <w:p w:rsidR="00C24C1E" w:rsidP="00C24C1E">
      <w:r>
        <w:t xml:space="preserve">Estate teams are often first responders, providing suppression capability and local knowledge. Their role should be formally recognised in wildfire frameworks. </w:t>
      </w:r>
    </w:p>
    <w:p w:rsidR="00C24C1E" w:rsidP="00C24C1E"/>
    <w:p w:rsidR="00C24C1E" w:rsidRPr="00C24C1E" w:rsidP="00C24C1E">
      <w:pPr>
        <w:rPr>
          <w:b/>
          <w:bCs/>
        </w:rPr>
      </w:pPr>
      <w:r w:rsidRPr="00C24C1E">
        <w:rPr>
          <w:b/>
          <w:bCs/>
        </w:rPr>
        <w:t xml:space="preserve">8. Strategic Deficiencies </w:t>
      </w:r>
    </w:p>
    <w:p w:rsidR="00C24C1E" w:rsidP="00C24C1E">
      <w:r>
        <w:t xml:space="preserve">There is no coherent national wildfire strategy, insufficient integration across agencies, and limited investment in prevention. </w:t>
      </w:r>
    </w:p>
    <w:p w:rsidR="00C24C1E" w:rsidP="00C24C1E"/>
    <w:p w:rsidR="00C24C1E" w:rsidRPr="00C24C1E" w:rsidP="00C24C1E">
      <w:pPr>
        <w:rPr>
          <w:b/>
          <w:bCs/>
        </w:rPr>
      </w:pPr>
      <w:r w:rsidRPr="00C24C1E">
        <w:rPr>
          <w:b/>
          <w:bCs/>
        </w:rPr>
        <w:t xml:space="preserve">9. Recommendations </w:t>
      </w:r>
    </w:p>
    <w:p w:rsidR="00C24C1E" w:rsidP="00C24C1E">
      <w:r>
        <w:t xml:space="preserve">Establish a national wildfire strategy, support fuel management, integrate land managers into response systems, and improve public risk awareness. </w:t>
      </w:r>
    </w:p>
    <w:p w:rsidR="00C24C1E" w:rsidRPr="00C24C1E" w:rsidP="00C24C1E">
      <w:pPr>
        <w:rPr>
          <w:b/>
          <w:bCs/>
        </w:rPr>
      </w:pPr>
    </w:p>
    <w:p w:rsidR="00C24C1E" w:rsidRPr="00C24C1E" w:rsidP="00C24C1E">
      <w:pPr>
        <w:rPr>
          <w:b/>
          <w:bCs/>
        </w:rPr>
      </w:pPr>
      <w:r w:rsidRPr="00C24C1E">
        <w:rPr>
          <w:b/>
          <w:bCs/>
        </w:rPr>
        <w:t xml:space="preserve">10. Conclusion </w:t>
      </w:r>
    </w:p>
    <w:p w:rsidR="00020739" w:rsidP="00C24C1E">
      <w:r>
        <w:t>Wildfire poses a direct threat to upland agriculture, grouse moor systems, and rural economies. Immediate, coordinated, and prevention-focused policy action is required.</w:t>
      </w:r>
    </w:p>
    <w:p w:rsidR="00C24C1E" w:rsidP="00C24C1E"/>
    <w:p w:rsidR="00C24C1E" w:rsidRPr="00C24C1E" w:rsidP="00C24C1E">
      <w:pPr>
        <w:rPr>
          <w:i/>
          <w:iCs/>
        </w:rPr>
      </w:pPr>
      <w:r w:rsidRPr="00C24C1E">
        <w:rPr>
          <w:i/>
          <w:iCs/>
        </w:rPr>
        <w:t>May 2026</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C24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C1E"/>
    <w:rPr>
      <w:rFonts w:eastAsiaTheme="majorEastAsia" w:cstheme="majorBidi"/>
      <w:color w:val="272727" w:themeColor="text1" w:themeTint="D8"/>
    </w:rPr>
  </w:style>
  <w:style w:type="paragraph" w:styleId="Title">
    <w:name w:val="Title"/>
    <w:basedOn w:val="Normal"/>
    <w:next w:val="Normal"/>
    <w:link w:val="TitleChar"/>
    <w:uiPriority w:val="10"/>
    <w:qFormat/>
    <w:rsid w:val="00C2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C1E"/>
    <w:pPr>
      <w:spacing w:before="160"/>
      <w:jc w:val="center"/>
    </w:pPr>
    <w:rPr>
      <w:i/>
      <w:iCs/>
      <w:color w:val="404040" w:themeColor="text1" w:themeTint="BF"/>
    </w:rPr>
  </w:style>
  <w:style w:type="character" w:customStyle="1" w:styleId="QuoteChar">
    <w:name w:val="Quote Char"/>
    <w:basedOn w:val="DefaultParagraphFont"/>
    <w:link w:val="Quote"/>
    <w:uiPriority w:val="29"/>
    <w:rsid w:val="00C24C1E"/>
    <w:rPr>
      <w:i/>
      <w:iCs/>
      <w:color w:val="404040" w:themeColor="text1" w:themeTint="BF"/>
    </w:rPr>
  </w:style>
  <w:style w:type="paragraph" w:styleId="ListParagraph">
    <w:name w:val="List Paragraph"/>
    <w:basedOn w:val="Normal"/>
    <w:uiPriority w:val="34"/>
    <w:qFormat/>
    <w:rsid w:val="00C24C1E"/>
    <w:pPr>
      <w:ind w:left="720"/>
      <w:contextualSpacing/>
    </w:pPr>
  </w:style>
  <w:style w:type="character" w:styleId="IntenseEmphasis">
    <w:name w:val="Intense Emphasis"/>
    <w:basedOn w:val="DefaultParagraphFont"/>
    <w:uiPriority w:val="21"/>
    <w:qFormat/>
    <w:rsid w:val="00C24C1E"/>
    <w:rPr>
      <w:i/>
      <w:iCs/>
      <w:color w:val="0F4761" w:themeColor="accent1" w:themeShade="BF"/>
    </w:rPr>
  </w:style>
  <w:style w:type="paragraph" w:styleId="IntenseQuote">
    <w:name w:val="Intense Quote"/>
    <w:basedOn w:val="Normal"/>
    <w:next w:val="Normal"/>
    <w:link w:val="IntenseQuoteChar"/>
    <w:uiPriority w:val="30"/>
    <w:qFormat/>
    <w:rsid w:val="00C2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C1E"/>
    <w:rPr>
      <w:i/>
      <w:iCs/>
      <w:color w:val="0F4761" w:themeColor="accent1" w:themeShade="BF"/>
    </w:rPr>
  </w:style>
  <w:style w:type="character" w:styleId="IntenseReference">
    <w:name w:val="Intense Reference"/>
    <w:basedOn w:val="DefaultParagraphFont"/>
    <w:uiPriority w:val="32"/>
    <w:qFormat/>
    <w:rsid w:val="00C24C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CWR0250</dc:title>
  <cp:revision>0</cp:revision>
</cp:coreProperties>
</file>