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4406" w:rsidRPr="00524406" w:rsidP="00524406">
      <w:pPr>
        <w:pStyle w:val="Heading3"/>
        <w:jc w:val="center"/>
        <w:rPr>
          <w:rFonts w:ascii="Calibri" w:hAnsi="Calibri" w:cs="Calibri"/>
          <w:sz w:val="24"/>
          <w:szCs w:val="24"/>
        </w:rPr>
      </w:pPr>
      <w:bookmarkStart w:id="0" w:name="_Toc215657008"/>
      <w:r w:rsidRPr="00524406">
        <w:rPr>
          <w:rFonts w:ascii="Calibri" w:hAnsi="Calibri" w:cs="Calibri"/>
          <w:sz w:val="24"/>
          <w:szCs w:val="24"/>
        </w:rPr>
        <w:t>WRITTEN EVIDENCE SUBMITTED BY EQUALITY AND HUMAN RIGHTS COMISSION</w:t>
      </w:r>
    </w:p>
    <w:p w:rsidR="00524406" w:rsidRPr="00524406" w:rsidP="00524406">
      <w:pPr>
        <w:jc w:val="center"/>
        <w:rPr>
          <w:rFonts w:ascii="Calibri" w:hAnsi="Calibri" w:cs="Calibri"/>
          <w:b/>
          <w:sz w:val="24"/>
          <w:szCs w:val="24"/>
        </w:rPr>
      </w:pPr>
      <w:r w:rsidRPr="00524406">
        <w:rPr>
          <w:rFonts w:ascii="Calibri" w:hAnsi="Calibri" w:cs="Calibri"/>
          <w:b/>
          <w:sz w:val="24"/>
          <w:szCs w:val="24"/>
        </w:rPr>
        <w:t>(SSP0051)</w:t>
      </w:r>
    </w:p>
    <w:p w:rsidR="000903C4" w:rsidRPr="00131614" w:rsidP="00131614">
      <w:pPr>
        <w:pStyle w:val="Heading3"/>
      </w:pPr>
      <w:r>
        <w:t>Introduction</w:t>
      </w:r>
      <w:bookmarkEnd w:id="0"/>
    </w:p>
    <w:p w:rsidR="000903C4" w:rsidRPr="00131614" w:rsidP="00131614">
      <w:pPr>
        <w:pStyle w:val="ListParagraph"/>
        <w:numPr>
          <w:ilvl w:val="0"/>
          <w:numId w:val="35"/>
        </w:numPr>
      </w:pPr>
      <w:r>
        <w:t>T</w:t>
      </w:r>
      <w:r w:rsidRPr="00131614">
        <w:t>he Equality and Human Rights Commission is the National Human Rights Institution for England and Wales, and for reserved matters in Scotland. We are also the regulator of the Equality Act 2010.</w:t>
      </w:r>
    </w:p>
    <w:p w:rsidR="000903C4" w:rsidRPr="00131614" w:rsidP="00131614">
      <w:pPr>
        <w:pStyle w:val="ListParagraph"/>
        <w:numPr>
          <w:ilvl w:val="0"/>
          <w:numId w:val="35"/>
        </w:numPr>
      </w:pPr>
      <w:r w:rsidRPr="00131614">
        <w:t>Our role is to make the country a fairer place by enforcing and upholding the laws that safeguard everyone’s right to fairness, dignity and respect.</w:t>
      </w:r>
    </w:p>
    <w:p w:rsidR="000903C4" w:rsidRPr="00131614" w:rsidP="00131614">
      <w:pPr>
        <w:pStyle w:val="ListParagraph"/>
        <w:numPr>
          <w:ilvl w:val="0"/>
          <w:numId w:val="35"/>
        </w:numPr>
      </w:pPr>
      <w:r w:rsidRPr="00131614">
        <w:t>We get our powers from the Equality Act 2006. Our specific human rights duties include:</w:t>
      </w:r>
    </w:p>
    <w:p w:rsidR="000903C4" w:rsidRPr="00131614" w:rsidP="00131614">
      <w:pPr>
        <w:pStyle w:val="ListParagraph"/>
        <w:numPr>
          <w:ilvl w:val="1"/>
          <w:numId w:val="35"/>
        </w:numPr>
      </w:pPr>
      <w:r w:rsidRPr="00131614">
        <w:t>promoting understanding of the importance of human rights,</w:t>
      </w:r>
    </w:p>
    <w:p w:rsidR="000903C4" w:rsidRPr="00131614" w:rsidP="00131614">
      <w:pPr>
        <w:pStyle w:val="ListParagraph"/>
        <w:numPr>
          <w:ilvl w:val="1"/>
          <w:numId w:val="35"/>
        </w:numPr>
      </w:pPr>
      <w:r w:rsidRPr="00131614">
        <w:t>encouraging good practice in relation to human rights,</w:t>
      </w:r>
    </w:p>
    <w:p w:rsidR="000903C4" w:rsidRPr="00131614" w:rsidP="00131614">
      <w:pPr>
        <w:pStyle w:val="ListParagraph"/>
        <w:numPr>
          <w:ilvl w:val="1"/>
          <w:numId w:val="35"/>
        </w:numPr>
      </w:pPr>
      <w:r w:rsidRPr="00131614">
        <w:t>promoting awareness, understanding and protection of human rights, and</w:t>
      </w:r>
    </w:p>
    <w:p w:rsidR="000903C4" w:rsidRPr="00131614" w:rsidP="00131614">
      <w:pPr>
        <w:pStyle w:val="ListParagraph"/>
        <w:numPr>
          <w:ilvl w:val="1"/>
          <w:numId w:val="35"/>
        </w:numPr>
      </w:pPr>
      <w:r w:rsidRPr="00131614">
        <w:t>encouraging public authorities to comply with section 6 of the Human Rights Act 1998 e.g. compliance with rights set out in the European Convention on Human Rights (ECHR).</w:t>
      </w:r>
    </w:p>
    <w:p w:rsidR="000903C4" w:rsidRPr="00131614" w:rsidP="00131614">
      <w:pPr>
        <w:pStyle w:val="ListParagraph"/>
        <w:numPr>
          <w:ilvl w:val="0"/>
          <w:numId w:val="35"/>
        </w:numPr>
      </w:pPr>
      <w:r w:rsidRPr="00131614">
        <w:t>We welcome the opportunity to provide written evidence to the Joint Committee on Human Rights’ Security, safety and protest: the role of Human Rights inquiry</w:t>
      </w:r>
    </w:p>
    <w:p w:rsidR="000903C4" w:rsidP="00131614">
      <w:pPr>
        <w:pStyle w:val="ListParagraph"/>
        <w:numPr>
          <w:ilvl w:val="0"/>
          <w:numId w:val="35"/>
        </w:numPr>
      </w:pPr>
      <w:r w:rsidRPr="00131614">
        <w:t>We would welcome the opportunity to expand on any of these points in oral evidence if it would help the Committee.</w:t>
      </w:r>
    </w:p>
    <w:p w:rsidR="000903C4" w:rsidRPr="001E34C4" w:rsidP="00F644BD">
      <w:pPr>
        <w:pStyle w:val="ListParagraph"/>
        <w:numPr>
          <w:ilvl w:val="0"/>
          <w:numId w:val="35"/>
        </w:numPr>
      </w:pPr>
      <w:r>
        <w:t xml:space="preserve">Laws and policies governing protests engage several human rights, particularly the rights to freedom of expression (Article 10) and freedom of assembly and association (Article 11) of the European Convention on Human Rights (ECHR). </w:t>
      </w:r>
    </w:p>
    <w:p w:rsidR="000903C4" w:rsidRPr="00766F20" w:rsidP="00F644BD">
      <w:pPr>
        <w:pStyle w:val="ListParagraph"/>
        <w:numPr>
          <w:ilvl w:val="0"/>
          <w:numId w:val="35"/>
        </w:numPr>
        <w:rPr>
          <w:szCs w:val="24"/>
        </w:rPr>
      </w:pPr>
      <w:r>
        <w:t xml:space="preserve">We have provided advice to Parliament in relation to several changes to the law in this area in recent years. This includes  protest and public order measures in the </w:t>
      </w:r>
      <w:r>
        <w:fldChar w:fldCharType="begin"/>
      </w:r>
      <w:r>
        <w:instrText xml:space="preserve"> HYPERLINK "https://www.equalityhumanrights.com/our-work/advising-parliament-and-governments/police-crime-sentencing-and-courts-bill-house-lords?return-url=https%3A%2F%2Fwww.equalityhumanrights.com%2Fsearch%3Fkeys%3Dlord%2520macdonald%26page%3D1" </w:instrText>
      </w:r>
      <w:r>
        <w:fldChar w:fldCharType="separate"/>
      </w:r>
      <w:r w:rsidRPr="04112C75">
        <w:rPr>
          <w:rStyle w:val="Hyperlink"/>
        </w:rPr>
        <w:t>Police, Crime, Sentencing and Courts Act 2022</w:t>
      </w:r>
      <w:r>
        <w:fldChar w:fldCharType="end"/>
      </w:r>
      <w:r>
        <w:t xml:space="preserve">, the </w:t>
      </w:r>
      <w:r>
        <w:fldChar w:fldCharType="begin"/>
      </w:r>
      <w:r>
        <w:instrText xml:space="preserve"> HYPERLINK "https://www.equalityhumanrights.com/our-work/advising-parliament-and-governments/parliamentary-briefings-public-order-bill?return-url=https%3A%2F%2Fwww.equalityhumanrights.com%2Fsearch%3Fkeys%3Dpublic%2Border%2Bbill" </w:instrText>
      </w:r>
      <w:r>
        <w:fldChar w:fldCharType="separate"/>
      </w:r>
      <w:r w:rsidRPr="04112C75">
        <w:rPr>
          <w:rStyle w:val="Hyperlink"/>
        </w:rPr>
        <w:t>Public Order Act 2023</w:t>
      </w:r>
      <w:r>
        <w:fldChar w:fldCharType="end"/>
      </w:r>
      <w:r>
        <w:t xml:space="preserve"> and the </w:t>
      </w:r>
      <w:r>
        <w:fldChar w:fldCharType="begin"/>
      </w:r>
      <w:r>
        <w:instrText xml:space="preserve"> HYPERLINK "https://www.equalityhumanrights.com/media-centre/news/lords-warned-crime-and-policing-bill-must-not-restrict-right-peaceful-protest?return-url=https%3A%2F%2Fwww.equalityhumanrights.com%2Fsearch%3Fkeys%3Dlord%2Bmacdonald" </w:instrText>
      </w:r>
      <w:r>
        <w:fldChar w:fldCharType="separate"/>
      </w:r>
      <w:r w:rsidRPr="04112C75">
        <w:rPr>
          <w:rStyle w:val="Hyperlink"/>
        </w:rPr>
        <w:t>Crime and Policing Act 2026</w:t>
      </w:r>
      <w:r>
        <w:fldChar w:fldCharType="end"/>
      </w:r>
      <w:r>
        <w:t xml:space="preserve">. </w:t>
      </w:r>
    </w:p>
    <w:p w:rsidR="000903C4" w:rsidRPr="00C43B89" w:rsidP="00F644BD">
      <w:pPr>
        <w:pStyle w:val="ListParagraph"/>
        <w:numPr>
          <w:ilvl w:val="0"/>
          <w:numId w:val="35"/>
        </w:numPr>
        <w:rPr>
          <w:szCs w:val="24"/>
        </w:rPr>
      </w:pPr>
      <w:r>
        <w:fldChar w:fldCharType="begin"/>
      </w:r>
      <w:r>
        <w:instrText xml:space="preserve"> HYPERLINK "https://www.equalityhumanrights.com/media-centre/news/ehrc-calls-proportionate-policing-protect-fundamental-protest-rights?return-url=https%3A%2F%2Fwww.equalityhumanrights.com%2Fsearch%3Fkeys%3Dhome%2520secretary%26sort_by%3Dcreated%26page%3D1" </w:instrText>
      </w:r>
      <w:r>
        <w:fldChar w:fldCharType="separate"/>
      </w:r>
      <w:r>
        <w:fldChar w:fldCharType="end"/>
      </w:r>
      <w:r>
        <w:rPr>
          <w:szCs w:val="24"/>
        </w:rPr>
        <w:t xml:space="preserve">We also provided evidence </w:t>
      </w:r>
      <w:r w:rsidRPr="00C43B89">
        <w:rPr>
          <w:szCs w:val="24"/>
        </w:rPr>
        <w:t xml:space="preserve">to </w:t>
      </w:r>
      <w:r>
        <w:fldChar w:fldCharType="begin"/>
      </w:r>
      <w:r>
        <w:instrText xml:space="preserve"> HYPERLINK "https://www.equalityhumanrights.com/our-work/advising-parliament-and-governments/independent-review-public-order-and-hate-crime?return-url=https%3A%2F%2Fwww.equalityhumanrights.com%2Fsearch%3Fkeys%3Dprotest" </w:instrText>
      </w:r>
      <w:r>
        <w:fldChar w:fldCharType="separate"/>
      </w:r>
      <w:r w:rsidRPr="002B67B6">
        <w:rPr>
          <w:rStyle w:val="Hyperlink"/>
          <w:szCs w:val="24"/>
        </w:rPr>
        <w:t xml:space="preserve">Lord MacDonald’s </w:t>
      </w:r>
      <w:r>
        <w:rPr>
          <w:rStyle w:val="Hyperlink"/>
          <w:szCs w:val="24"/>
        </w:rPr>
        <w:t>I</w:t>
      </w:r>
      <w:r w:rsidRPr="002B67B6">
        <w:rPr>
          <w:rStyle w:val="Hyperlink"/>
          <w:szCs w:val="24"/>
        </w:rPr>
        <w:t xml:space="preserve">ndependent </w:t>
      </w:r>
      <w:r>
        <w:rPr>
          <w:rStyle w:val="Hyperlink"/>
          <w:szCs w:val="24"/>
        </w:rPr>
        <w:t>R</w:t>
      </w:r>
      <w:r w:rsidRPr="002B67B6">
        <w:rPr>
          <w:rStyle w:val="Hyperlink"/>
          <w:szCs w:val="24"/>
        </w:rPr>
        <w:t xml:space="preserve">eview of </w:t>
      </w:r>
      <w:r>
        <w:rPr>
          <w:rStyle w:val="Hyperlink"/>
          <w:szCs w:val="24"/>
        </w:rPr>
        <w:t>P</w:t>
      </w:r>
      <w:r w:rsidRPr="002B67B6">
        <w:rPr>
          <w:rStyle w:val="Hyperlink"/>
          <w:szCs w:val="24"/>
        </w:rPr>
        <w:t xml:space="preserve">ublic </w:t>
      </w:r>
      <w:r>
        <w:rPr>
          <w:rStyle w:val="Hyperlink"/>
          <w:szCs w:val="24"/>
        </w:rPr>
        <w:t>O</w:t>
      </w:r>
      <w:r w:rsidRPr="002B67B6">
        <w:rPr>
          <w:rStyle w:val="Hyperlink"/>
          <w:szCs w:val="24"/>
        </w:rPr>
        <w:t xml:space="preserve">rder and </w:t>
      </w:r>
      <w:r>
        <w:rPr>
          <w:rStyle w:val="Hyperlink"/>
          <w:szCs w:val="24"/>
        </w:rPr>
        <w:t>Ha</w:t>
      </w:r>
      <w:r w:rsidRPr="002B67B6">
        <w:rPr>
          <w:rStyle w:val="Hyperlink"/>
          <w:szCs w:val="24"/>
        </w:rPr>
        <w:t xml:space="preserve">te </w:t>
      </w:r>
      <w:r>
        <w:rPr>
          <w:rStyle w:val="Hyperlink"/>
          <w:szCs w:val="24"/>
        </w:rPr>
        <w:t>C</w:t>
      </w:r>
      <w:r w:rsidRPr="002B67B6">
        <w:rPr>
          <w:rStyle w:val="Hyperlink"/>
          <w:szCs w:val="24"/>
        </w:rPr>
        <w:t xml:space="preserve">rime </w:t>
      </w:r>
      <w:r>
        <w:rPr>
          <w:rStyle w:val="Hyperlink"/>
          <w:szCs w:val="24"/>
        </w:rPr>
        <w:t>L</w:t>
      </w:r>
      <w:r w:rsidRPr="002B67B6">
        <w:rPr>
          <w:rStyle w:val="Hyperlink"/>
          <w:szCs w:val="24"/>
        </w:rPr>
        <w:t>egislation</w:t>
      </w:r>
      <w:r>
        <w:fldChar w:fldCharType="end"/>
      </w:r>
      <w:r>
        <w:rPr>
          <w:szCs w:val="24"/>
        </w:rPr>
        <w:t xml:space="preserve"> in February 2026</w:t>
      </w:r>
      <w:r w:rsidRPr="00C43B89">
        <w:rPr>
          <w:szCs w:val="24"/>
        </w:rPr>
        <w:t xml:space="preserve">. </w:t>
      </w:r>
    </w:p>
    <w:p w:rsidR="000903C4" w:rsidP="00F644BD">
      <w:pPr>
        <w:pStyle w:val="Heading3"/>
      </w:pPr>
      <w:r>
        <w:t>Summary</w:t>
      </w:r>
    </w:p>
    <w:p w:rsidR="000903C4" w:rsidP="00F644BD">
      <w:pPr>
        <w:pStyle w:val="ListParagraph"/>
        <w:numPr>
          <w:ilvl w:val="0"/>
          <w:numId w:val="34"/>
        </w:numPr>
      </w:pPr>
      <w:r>
        <w:t>The right to peaceful protest is principally protected by Articles 10 (freedom of expression) and 11 (freedom of assembly and association) of the ECHR.</w:t>
      </w:r>
    </w:p>
    <w:p w:rsidR="000903C4" w:rsidP="00F644BD">
      <w:pPr>
        <w:pStyle w:val="ListParagraph"/>
        <w:numPr>
          <w:ilvl w:val="0"/>
          <w:numId w:val="34"/>
        </w:numPr>
      </w:pPr>
      <w:r>
        <w:t>Under the ECHR, the State has a duty, or “positive obligation”, to secure the effective enjoyment of the right to peaceful protest.</w:t>
      </w:r>
    </w:p>
    <w:p w:rsidR="000903C4" w:rsidP="00F644BD">
      <w:pPr>
        <w:pStyle w:val="ListParagraph"/>
        <w:numPr>
          <w:ilvl w:val="0"/>
          <w:numId w:val="34"/>
        </w:numPr>
      </w:pPr>
      <w:r>
        <w:t xml:space="preserve">The State also has a duty, or “negative obligation”, to only restrict the right to protest in pursuit of a legitimate aim. Any restriction must be necessary and proportionate in a democratic society in response to a pressing social need. </w:t>
      </w:r>
    </w:p>
    <w:p w:rsidR="000903C4" w:rsidP="00F644BD">
      <w:pPr>
        <w:pStyle w:val="ListParagraph"/>
        <w:numPr>
          <w:ilvl w:val="0"/>
          <w:numId w:val="34"/>
        </w:numPr>
      </w:pPr>
      <w:r>
        <w:t>Changes to the legal framework on protest in recent years have tipped the balance away from the duty to facilitate and enable peaceful protest, and could create a chilling effect, deterring people from exercising their democratic rights.</w:t>
      </w:r>
    </w:p>
    <w:p w:rsidR="000903C4" w:rsidP="00F644BD">
      <w:pPr>
        <w:pStyle w:val="ListParagraph"/>
        <w:numPr>
          <w:ilvl w:val="0"/>
          <w:numId w:val="34"/>
        </w:numPr>
      </w:pPr>
      <w:r>
        <w:t xml:space="preserve">The complexity of the legal framework and proliferation of new protest-related powers that leave wide room for discretion, alongside new criminal sanctions, can cause or seem to cause difficulties for frontline officers in delivering legitimate, proportionate and necessary policing of protest. </w:t>
      </w:r>
    </w:p>
    <w:p w:rsidR="000903C4" w:rsidP="00F644BD">
      <w:pPr>
        <w:pStyle w:val="ListParagraph"/>
        <w:numPr>
          <w:ilvl w:val="0"/>
          <w:numId w:val="34"/>
        </w:numPr>
      </w:pPr>
      <w:r>
        <w:t xml:space="preserve">Following the abhorrent antisemitic attack in Golders Green, there have been calls for wide restriction on pro-Palestine demonstrations. Action must be taken to tackle increasing antisemitism and anti-Muslim, and other, hatred, but blanket restrictions on peaceful protests may amount to a disproportionate interference with fundamental Article 10 and 11 rights. </w:t>
      </w:r>
    </w:p>
    <w:p w:rsidR="000903C4" w:rsidRPr="001B5938" w:rsidP="00F644BD">
      <w:pPr>
        <w:pStyle w:val="ListParagraph"/>
        <w:ind w:left="720"/>
      </w:pPr>
    </w:p>
    <w:p w:rsidR="000903C4" w:rsidRPr="000530C5" w:rsidP="00F644BD">
      <w:pPr>
        <w:pStyle w:val="Heading3"/>
      </w:pPr>
      <w:bookmarkStart w:id="1" w:name="_Toc14869782"/>
      <w:bookmarkStart w:id="2" w:name="_Toc215657009"/>
      <w:r>
        <w:t>Legal framework and existing legislation</w:t>
      </w:r>
      <w:r w:rsidRPr="00032B23">
        <w:t xml:space="preserve"> </w:t>
      </w:r>
      <w:bookmarkEnd w:id="1"/>
      <w:bookmarkEnd w:id="2"/>
    </w:p>
    <w:p w:rsidR="000903C4" w:rsidP="00F644BD">
      <w:pPr>
        <w:pStyle w:val="ListParagraph"/>
        <w:keepLines w:val="0"/>
        <w:numPr>
          <w:ilvl w:val="0"/>
          <w:numId w:val="37"/>
        </w:numPr>
        <w:spacing w:before="0" w:after="160" w:line="259" w:lineRule="auto"/>
        <w:rPr>
          <w:b/>
          <w:bCs/>
        </w:rPr>
      </w:pPr>
      <w:r w:rsidRPr="00A658DA">
        <w:rPr>
          <w:b/>
          <w:bCs/>
        </w:rPr>
        <w:t xml:space="preserve">Recent legislation such as the Police, Crime, Sentencing and Courts Act 2022 and the Public Order Act 2023 have strengthened police powers to restrict protests and </w:t>
      </w:r>
      <w:r w:rsidRPr="00A658DA">
        <w:rPr>
          <w:b/>
          <w:bCs/>
        </w:rPr>
        <w:t xml:space="preserve">expanded the criminalisation of protest related activities. What has been the impact of recent legislation on the right to protest? </w:t>
      </w:r>
    </w:p>
    <w:p w:rsidR="000903C4" w:rsidP="00F644BD">
      <w:pPr>
        <w:pStyle w:val="ListParagraph"/>
        <w:numPr>
          <w:ilvl w:val="1"/>
          <w:numId w:val="37"/>
        </w:numPr>
      </w:pPr>
      <w:r>
        <w:t>We provided advice to Parliament indicating that provisions in the Police, Crime, Sentencing and Courts Act 2022 and Public Order Act 2023 could result in disproportionate interference with human rights leading to a chilling effect on the right to peaceful protest:</w:t>
      </w:r>
    </w:p>
    <w:p w:rsidR="000903C4" w:rsidP="00F644BD">
      <w:pPr>
        <w:pStyle w:val="ListParagraph"/>
        <w:numPr>
          <w:ilvl w:val="0"/>
          <w:numId w:val="36"/>
        </w:numPr>
      </w:pPr>
      <w:r>
        <w:t>Police, Crime, Sentencing and Courts Act 2022 (</w:t>
      </w:r>
      <w:r>
        <w:fldChar w:fldCharType="begin"/>
      </w:r>
      <w:r>
        <w:instrText xml:space="preserve"> HYPERLINK "https://www.equalityhumanrights.com/our-work/advising-parliament-and-governments/police-crime-sentencing-and-courts-bill-may-2021" </w:instrText>
      </w:r>
      <w:r>
        <w:fldChar w:fldCharType="separate"/>
      </w:r>
      <w:r w:rsidRPr="007D707E">
        <w:rPr>
          <w:rStyle w:val="Hyperlink"/>
        </w:rPr>
        <w:t>May 2021</w:t>
      </w:r>
      <w:r>
        <w:fldChar w:fldCharType="end"/>
      </w:r>
      <w:r>
        <w:t xml:space="preserve">; </w:t>
      </w:r>
      <w:r>
        <w:fldChar w:fldCharType="begin"/>
      </w:r>
      <w:r>
        <w:instrText xml:space="preserve"> HYPERLINK "https://www.equalityhumanrights.com/our-work/advising-parliament-and-governments/debate-police-crime-sentencing-and-courts-bill-july" </w:instrText>
      </w:r>
      <w:r>
        <w:fldChar w:fldCharType="separate"/>
      </w:r>
      <w:r w:rsidRPr="00D26C3E">
        <w:rPr>
          <w:rStyle w:val="Hyperlink"/>
        </w:rPr>
        <w:t>July 2021</w:t>
      </w:r>
      <w:r>
        <w:fldChar w:fldCharType="end"/>
      </w:r>
      <w:r>
        <w:t xml:space="preserve">; </w:t>
      </w:r>
      <w:r>
        <w:fldChar w:fldCharType="begin"/>
      </w:r>
      <w:r>
        <w:instrText xml:space="preserve"> HYPERLINK "https://www.equalityhumanrights.com/our-work/advising-parliament-and-governments/police-crime-sentencing-and-courts-bill-house-lords" </w:instrText>
      </w:r>
      <w:r>
        <w:fldChar w:fldCharType="separate"/>
      </w:r>
      <w:r w:rsidRPr="00EE11F6">
        <w:rPr>
          <w:rStyle w:val="Hyperlink"/>
        </w:rPr>
        <w:t>January 2022</w:t>
      </w:r>
      <w:r>
        <w:fldChar w:fldCharType="end"/>
      </w:r>
      <w:r>
        <w:t xml:space="preserve">; </w:t>
      </w:r>
      <w:r>
        <w:fldChar w:fldCharType="begin"/>
      </w:r>
      <w:r>
        <w:instrText xml:space="preserve"> HYPERLINK "https://www.equalityhumanrights.com/our-work/advising-parliament-and-governments/police-crime-sentencing-and-courts-bill-house-commons" </w:instrText>
      </w:r>
      <w:r>
        <w:fldChar w:fldCharType="separate"/>
      </w:r>
      <w:r w:rsidRPr="007A4A33">
        <w:rPr>
          <w:rStyle w:val="Hyperlink"/>
        </w:rPr>
        <w:t>February 2022</w:t>
      </w:r>
      <w:r>
        <w:fldChar w:fldCharType="end"/>
      </w:r>
      <w:r>
        <w:t xml:space="preserve">) </w:t>
      </w:r>
    </w:p>
    <w:p w:rsidR="000903C4" w:rsidP="00F644BD">
      <w:pPr>
        <w:pStyle w:val="ListParagraph"/>
        <w:numPr>
          <w:ilvl w:val="0"/>
          <w:numId w:val="36"/>
        </w:numPr>
      </w:pPr>
      <w:r w:rsidRPr="00C04024">
        <w:rPr>
          <w:u w:color="009C98"/>
        </w:rPr>
        <w:t xml:space="preserve">Public Order Act 2023 </w:t>
      </w:r>
      <w:r>
        <w:t>(</w:t>
      </w:r>
      <w:r>
        <w:fldChar w:fldCharType="begin"/>
      </w:r>
      <w:r>
        <w:instrText xml:space="preserve"> HYPERLINK "https://www.equalityhumanrights.com/sites/default/files/2023/Public%20Order%20Bill%2C%20Second%20Reading%20%281%20November%202022%29.docx" </w:instrText>
      </w:r>
      <w:r>
        <w:fldChar w:fldCharType="separate"/>
      </w:r>
      <w:r w:rsidRPr="00880FA0">
        <w:rPr>
          <w:rStyle w:val="Hyperlink"/>
        </w:rPr>
        <w:t>November 2022</w:t>
      </w:r>
      <w:r>
        <w:fldChar w:fldCharType="end"/>
      </w:r>
      <w:r>
        <w:t xml:space="preserve">; </w:t>
      </w:r>
      <w:r>
        <w:fldChar w:fldCharType="begin"/>
      </w:r>
      <w:r>
        <w:instrText xml:space="preserve"> HYPERLINK "https://www.equalityhumanrights.com/sites/default/files/2023/public-order-bill-parliamentary-briefing-26-january-2023-report-stage.docx" </w:instrText>
      </w:r>
      <w:r>
        <w:fldChar w:fldCharType="separate"/>
      </w:r>
      <w:r w:rsidRPr="003567D2">
        <w:rPr>
          <w:rStyle w:val="Hyperlink"/>
        </w:rPr>
        <w:t>January 2023</w:t>
      </w:r>
      <w:r>
        <w:fldChar w:fldCharType="end"/>
      </w:r>
      <w:r>
        <w:t>)</w:t>
      </w:r>
    </w:p>
    <w:p w:rsidR="000903C4" w:rsidP="00F644BD">
      <w:pPr>
        <w:pStyle w:val="ListParagraph"/>
        <w:numPr>
          <w:ilvl w:val="1"/>
          <w:numId w:val="38"/>
        </w:numPr>
      </w:pPr>
      <w:r>
        <w:t>Several of these provisions have lowered the threshold for placing conditions or restrictions on protests, are broadly drafted and leave wide</w:t>
      </w:r>
      <w:r w:rsidRPr="006879C2">
        <w:t xml:space="preserve"> </w:t>
      </w:r>
      <w:r w:rsidRPr="008E651C">
        <w:t>room for discretion, raising risk of unnecessary and disproportionate restrictions</w:t>
      </w:r>
      <w:r>
        <w:t>, for example:</w:t>
      </w:r>
    </w:p>
    <w:p w:rsidR="000903C4" w:rsidP="00F644BD">
      <w:pPr>
        <w:pStyle w:val="ListParagraph"/>
        <w:numPr>
          <w:ilvl w:val="0"/>
          <w:numId w:val="39"/>
        </w:numPr>
      </w:pPr>
      <w:r>
        <w:t>The definition of “serious disruption” as being anything more than minor (</w:t>
      </w:r>
      <w:r>
        <w:fldChar w:fldCharType="begin"/>
      </w:r>
      <w:r>
        <w:instrText xml:space="preserve"> HYPERLINK "https://www.legislation.gov.uk/ukpga/2023/15/section/34" </w:instrText>
      </w:r>
      <w:r>
        <w:fldChar w:fldCharType="separate"/>
      </w:r>
      <w:r w:rsidRPr="00B5532F">
        <w:rPr>
          <w:rStyle w:val="Hyperlink"/>
        </w:rPr>
        <w:t>S34, Public Order Act 2023</w:t>
      </w:r>
      <w:r>
        <w:fldChar w:fldCharType="end"/>
      </w:r>
      <w:r>
        <w:t>)</w:t>
      </w:r>
    </w:p>
    <w:p w:rsidR="000903C4" w:rsidP="00F644BD">
      <w:pPr>
        <w:pStyle w:val="ListParagraph"/>
        <w:numPr>
          <w:ilvl w:val="1"/>
          <w:numId w:val="35"/>
        </w:numPr>
      </w:pPr>
      <w:r>
        <w:t>Ability to impose restrictions on protest due to noise (</w:t>
      </w:r>
      <w:r>
        <w:fldChar w:fldCharType="begin"/>
      </w:r>
      <w:r>
        <w:instrText xml:space="preserve"> HYPERLINK "https://www.legislation.gov.uk/ukpga/2022/32/section/73" </w:instrText>
      </w:r>
      <w:r>
        <w:fldChar w:fldCharType="separate"/>
      </w:r>
      <w:r w:rsidRPr="008E1B33">
        <w:rPr>
          <w:rStyle w:val="Hyperlink"/>
        </w:rPr>
        <w:t>S73, Police, Crime, Sentencing and Courts Act 2022</w:t>
      </w:r>
      <w:r>
        <w:fldChar w:fldCharType="end"/>
      </w:r>
      <w:r>
        <w:t>)</w:t>
      </w:r>
    </w:p>
    <w:p w:rsidR="000903C4" w:rsidP="00F644BD">
      <w:pPr>
        <w:pStyle w:val="ListParagraph"/>
        <w:numPr>
          <w:ilvl w:val="1"/>
          <w:numId w:val="38"/>
        </w:numPr>
      </w:pPr>
      <w:r>
        <w:t>Several protest-related offences have been introduced that could capture and restrict activity that is not violent or linked to disorder, and which carry relatively severe penalties, including:</w:t>
      </w:r>
    </w:p>
    <w:p w:rsidR="000903C4" w:rsidP="00F644BD">
      <w:pPr>
        <w:pStyle w:val="ListParagraph"/>
        <w:numPr>
          <w:ilvl w:val="0"/>
          <w:numId w:val="40"/>
        </w:numPr>
      </w:pPr>
      <w:r>
        <w:t>Offences of locking on or being equipped for locking on (</w:t>
      </w:r>
      <w:r>
        <w:fldChar w:fldCharType="begin"/>
      </w:r>
      <w:r>
        <w:instrText xml:space="preserve"> HYPERLINK "https://www.legislation.gov.uk/ukpga/2023/15" </w:instrText>
      </w:r>
      <w:r>
        <w:fldChar w:fldCharType="separate"/>
      </w:r>
      <w:r w:rsidRPr="00BC141B">
        <w:rPr>
          <w:rStyle w:val="Hyperlink"/>
        </w:rPr>
        <w:t>S1 and 2, Public Order Act 2023</w:t>
      </w:r>
      <w:r>
        <w:fldChar w:fldCharType="end"/>
      </w:r>
      <w:r>
        <w:t>)</w:t>
      </w:r>
    </w:p>
    <w:p w:rsidR="000903C4" w:rsidP="00F644BD">
      <w:pPr>
        <w:pStyle w:val="ListParagraph"/>
        <w:numPr>
          <w:ilvl w:val="0"/>
          <w:numId w:val="40"/>
        </w:numPr>
      </w:pPr>
      <w:r>
        <w:t>Increased penalty for Wilful Obstruction of a Highway (</w:t>
      </w:r>
      <w:r>
        <w:fldChar w:fldCharType="begin"/>
      </w:r>
      <w:r>
        <w:instrText xml:space="preserve"> HYPERLINK "https://www.legislation.gov.uk/ukpga/2022/32/section/80" </w:instrText>
      </w:r>
      <w:r>
        <w:fldChar w:fldCharType="separate"/>
      </w:r>
      <w:r w:rsidRPr="00936A63">
        <w:rPr>
          <w:rStyle w:val="Hyperlink"/>
        </w:rPr>
        <w:t>S80, Police, Crime, Sentencing and Courts Act 2022</w:t>
      </w:r>
      <w:r>
        <w:fldChar w:fldCharType="end"/>
      </w:r>
      <w:r>
        <w:t>)</w:t>
      </w:r>
    </w:p>
    <w:p w:rsidR="000903C4" w:rsidP="00F644BD">
      <w:pPr>
        <w:pStyle w:val="ListParagraph"/>
        <w:numPr>
          <w:ilvl w:val="1"/>
          <w:numId w:val="38"/>
        </w:numPr>
      </w:pPr>
      <w:r>
        <w:t>We have also highlighted the potential for disproportionate interference with Article 8 (right to a private life) and for discrimination under Article 14 (prohibition of discrimination) arising from the exercise of powers to stop and search with and without suspicion in relation to protest offences. These powers are typically reserved for threats of serious violence and personal injury, such as threats related to gang and terrorist activity (</w:t>
      </w:r>
      <w:r>
        <w:fldChar w:fldCharType="begin"/>
      </w:r>
      <w:r>
        <w:instrText xml:space="preserve"> HYPERLINK "https://www.legislation.gov.uk/ukpga/2023/15/part/1/crossheading/powers-to-stop-and-search" </w:instrText>
      </w:r>
      <w:r>
        <w:fldChar w:fldCharType="separate"/>
      </w:r>
      <w:r w:rsidRPr="1BFCEDB3">
        <w:rPr>
          <w:rStyle w:val="Hyperlink"/>
        </w:rPr>
        <w:t>S10 and 11, Public Order Act 2023</w:t>
      </w:r>
      <w:r>
        <w:fldChar w:fldCharType="end"/>
      </w:r>
      <w:r>
        <w:t>).</w:t>
      </w:r>
    </w:p>
    <w:p w:rsidR="000903C4" w:rsidP="00F644BD">
      <w:pPr>
        <w:pStyle w:val="ListParagraph"/>
        <w:numPr>
          <w:ilvl w:val="1"/>
          <w:numId w:val="38"/>
        </w:numPr>
      </w:pPr>
      <w:r>
        <w:t>It is our view that these changes tip the balance away from the duty on the state to facilitate peaceful protest and have created a hostile environment around protesting.</w:t>
      </w:r>
    </w:p>
    <w:p w:rsidR="000903C4" w:rsidP="00F644BD">
      <w:pPr>
        <w:pStyle w:val="ListParagraph"/>
        <w:numPr>
          <w:ilvl w:val="1"/>
          <w:numId w:val="38"/>
        </w:numPr>
      </w:pPr>
      <w:r>
        <w:t xml:space="preserve">The changes have also created a confusing environment for police, with insufficient clarity on how to enable peaceful protest. </w:t>
      </w:r>
    </w:p>
    <w:p w:rsidR="000903C4" w:rsidP="00F644BD">
      <w:pPr>
        <w:pStyle w:val="ListParagraph"/>
        <w:numPr>
          <w:ilvl w:val="1"/>
          <w:numId w:val="38"/>
        </w:numPr>
      </w:pPr>
      <w:r>
        <w:t xml:space="preserve">The expansion of powers to restrict protest, a lack of clarity and consistency in the application of the law, and an increased number of potential criminal offences with excessive penalties for non-violent acts can all contribute to a chilling effect and deter people from exercising their rights through peaceful protest. </w:t>
      </w:r>
    </w:p>
    <w:p w:rsidR="000903C4" w:rsidRPr="0028112B" w:rsidP="00F644BD">
      <w:pPr>
        <w:keepLines w:val="0"/>
        <w:spacing w:before="0" w:after="160" w:line="259" w:lineRule="auto"/>
        <w:rPr>
          <w:b/>
          <w:bCs/>
        </w:rPr>
      </w:pPr>
    </w:p>
    <w:p w:rsidR="000903C4" w:rsidP="00F644BD">
      <w:pPr>
        <w:pStyle w:val="ListParagraph"/>
        <w:keepLines w:val="0"/>
        <w:numPr>
          <w:ilvl w:val="0"/>
          <w:numId w:val="37"/>
        </w:numPr>
        <w:spacing w:before="0" w:after="160" w:line="259" w:lineRule="auto"/>
        <w:rPr>
          <w:b/>
          <w:bCs/>
        </w:rPr>
      </w:pPr>
      <w:r>
        <w:rPr>
          <w:b/>
          <w:bCs/>
        </w:rPr>
        <w:t>How does the National Security Act 2023 operate in relation to protest at, or in the vicinity of, a “prohibited place”? Are the thresholds for police powers and offences related to prohibited places sufficiently precise and proportionate?</w:t>
      </w:r>
    </w:p>
    <w:p w:rsidR="000903C4" w:rsidP="00F644BD">
      <w:pPr>
        <w:pStyle w:val="ListParagraph"/>
        <w:keepLines w:val="0"/>
        <w:numPr>
          <w:ilvl w:val="1"/>
          <w:numId w:val="41"/>
        </w:numPr>
        <w:spacing w:before="0" w:after="160" w:line="259" w:lineRule="auto"/>
      </w:pPr>
      <w:r>
        <w:t xml:space="preserve">We have not considered the application of the National Security Act 2023 in relation to the exercise of the right to peaceful protest. </w:t>
      </w:r>
    </w:p>
    <w:p w:rsidR="000903C4" w:rsidRPr="009753FB" w:rsidP="00F644BD">
      <w:pPr>
        <w:pStyle w:val="ListParagraph"/>
        <w:keepLines w:val="0"/>
        <w:spacing w:before="0" w:after="160" w:line="259" w:lineRule="auto"/>
        <w:ind w:left="1080"/>
      </w:pPr>
    </w:p>
    <w:p w:rsidR="000903C4" w:rsidP="00F644BD">
      <w:pPr>
        <w:pStyle w:val="ListParagraph"/>
        <w:keepLines w:val="0"/>
        <w:numPr>
          <w:ilvl w:val="0"/>
          <w:numId w:val="37"/>
        </w:numPr>
        <w:spacing w:before="0" w:after="160" w:line="259" w:lineRule="auto"/>
        <w:rPr>
          <w:b/>
          <w:bCs/>
        </w:rPr>
      </w:pPr>
      <w:r>
        <w:rPr>
          <w:b/>
          <w:bCs/>
        </w:rPr>
        <w:t>To what extent are restrictions on individuals taking part in protest, for example Serious Disruption Prevention Orders, compatible with Articles 10 and 11 in design and in practice?</w:t>
      </w:r>
    </w:p>
    <w:p w:rsidR="000903C4" w:rsidRPr="0014320F" w:rsidP="00F644BD">
      <w:pPr>
        <w:pStyle w:val="ListParagraph"/>
        <w:keepLines w:val="0"/>
        <w:numPr>
          <w:ilvl w:val="1"/>
          <w:numId w:val="37"/>
        </w:numPr>
        <w:spacing w:before="0" w:after="160" w:line="259" w:lineRule="auto"/>
        <w:rPr>
          <w:b/>
          <w:bCs/>
        </w:rPr>
      </w:pPr>
      <w:r>
        <w:t xml:space="preserve">In our </w:t>
      </w:r>
      <w:r>
        <w:fldChar w:fldCharType="begin"/>
      </w:r>
      <w:r>
        <w:instrText xml:space="preserve"> HYPERLINK "https://www.equalityhumanrights.com/our-work/advising-parliament-and-governments/parliamentary-briefings-public-order-bill" </w:instrText>
      </w:r>
      <w:r>
        <w:fldChar w:fldCharType="separate"/>
      </w:r>
      <w:r w:rsidRPr="04112C75">
        <w:rPr>
          <w:rStyle w:val="Hyperlink"/>
        </w:rPr>
        <w:t>parliamentary briefing on the Public Order Act 2023</w:t>
      </w:r>
      <w:r>
        <w:fldChar w:fldCharType="end"/>
      </w:r>
      <w:r>
        <w:t xml:space="preserve"> we highlighted the risk that Serious Disruption Prevention Orders (SPDOs) may result in those subject to an Order being further criminalised for a very wide range of arbitrary and peaceful activities.  For example, an individual could be in breach of their SDPO if they post or repost protest-related content, including press articles, on social media.</w:t>
      </w:r>
    </w:p>
    <w:p w:rsidR="000903C4" w:rsidRPr="00B46A1F" w:rsidP="00F644BD">
      <w:pPr>
        <w:pStyle w:val="ListParagraph"/>
        <w:keepLines w:val="0"/>
        <w:numPr>
          <w:ilvl w:val="1"/>
          <w:numId w:val="37"/>
        </w:numPr>
        <w:spacing w:before="0" w:after="160" w:line="259" w:lineRule="auto"/>
        <w:rPr>
          <w:b/>
          <w:bCs/>
        </w:rPr>
      </w:pPr>
      <w:r>
        <w:t xml:space="preserve">This may result in disproportionate interference with Articles 10 and 11. The prospective nature of SPDOs mean that those subject to them will be limited in the type of activity in which they can partake, regardless of whether that activity is </w:t>
      </w:r>
      <w:r>
        <w:t xml:space="preserve">disruptive itself.  This risk was highlighted by </w:t>
      </w:r>
      <w:r>
        <w:fldChar w:fldCharType="begin"/>
      </w:r>
      <w:r>
        <w:instrText xml:space="preserve"> HYPERLINK "https://www.ohchr.org/en/press-releases/2023/04/un-human-rights-chief-urges-uk-reverse-deeply-troubling-public-order-bill" </w:instrText>
      </w:r>
      <w:r>
        <w:fldChar w:fldCharType="separate"/>
      </w:r>
      <w:r>
        <w:rPr>
          <w:rStyle w:val="Hyperlink"/>
        </w:rPr>
        <w:t>the UN High Commissioner for Human Rights, Volker Turk.</w:t>
      </w:r>
      <w:r>
        <w:fldChar w:fldCharType="end"/>
      </w:r>
      <w:r>
        <w:t xml:space="preserve"> </w:t>
      </w:r>
    </w:p>
    <w:p w:rsidR="000903C4" w:rsidRPr="0014320F" w:rsidP="00F644BD">
      <w:pPr>
        <w:pStyle w:val="ListParagraph"/>
        <w:keepLines w:val="0"/>
        <w:numPr>
          <w:ilvl w:val="1"/>
          <w:numId w:val="37"/>
        </w:numPr>
        <w:spacing w:before="0" w:after="160" w:line="259" w:lineRule="auto"/>
        <w:rPr>
          <w:b/>
          <w:bCs/>
        </w:rPr>
      </w:pPr>
      <w:r>
        <w:t>We are not aware of any data that has been published on the use of SPDOs.</w:t>
      </w:r>
    </w:p>
    <w:p w:rsidR="000903C4" w:rsidRPr="005C2680" w:rsidP="00F644BD">
      <w:pPr>
        <w:keepLines w:val="0"/>
        <w:spacing w:before="0" w:after="160" w:line="259" w:lineRule="auto"/>
        <w:rPr>
          <w:b/>
          <w:bCs/>
        </w:rPr>
      </w:pPr>
    </w:p>
    <w:p w:rsidR="000903C4" w:rsidRPr="00C20C1F" w:rsidP="00F644BD">
      <w:pPr>
        <w:pStyle w:val="ListParagraph"/>
        <w:keepLines w:val="0"/>
        <w:numPr>
          <w:ilvl w:val="0"/>
          <w:numId w:val="37"/>
        </w:numPr>
        <w:spacing w:before="0" w:after="160" w:line="259" w:lineRule="auto"/>
        <w:rPr>
          <w:b/>
          <w:bCs/>
        </w:rPr>
      </w:pPr>
      <w:r>
        <w:rPr>
          <w:b/>
          <w:bCs/>
        </w:rPr>
        <w:t xml:space="preserve">Does the current legal framework adequately balance protest rights against the rights of others? Do further changes to the law proposed in the Crime and Policing Bill affect that balance? </w:t>
      </w:r>
    </w:p>
    <w:p w:rsidR="000903C4" w:rsidP="00F644BD">
      <w:pPr>
        <w:pStyle w:val="ListParagraph"/>
        <w:numPr>
          <w:ilvl w:val="1"/>
          <w:numId w:val="42"/>
        </w:numPr>
        <w:ind w:left="1134"/>
      </w:pPr>
      <w:r>
        <w:t>Articles 10 and 11 are not absolute rights. There is a need to balance the exercise of those rights against the impact they can have on others. We explore the rights of others in further detail in response to Question 7.</w:t>
      </w:r>
    </w:p>
    <w:p w:rsidR="000903C4" w:rsidP="00F644BD">
      <w:pPr>
        <w:pStyle w:val="ListParagraph"/>
        <w:numPr>
          <w:ilvl w:val="1"/>
          <w:numId w:val="42"/>
        </w:numPr>
        <w:ind w:left="1134"/>
      </w:pPr>
      <w:r>
        <w:t>However, it is our view that the impact of the protest powers in the Crime and Policing Act 2026, the Police, Crime, Sentencing and Courts Act 2022 and the Public Order Act 2023, individually and collectively risk disproportionate interference with Article 10 and 11 rights. These changes have tipped the balance away from the state’s duty to facilitate and enable peaceful protest, and could create a chilling effect, deterring people from exercising their democratic rights through fear of possible consequence</w:t>
      </w:r>
      <w:r>
        <w:t>s.</w:t>
      </w:r>
    </w:p>
    <w:p w:rsidR="000903C4" w:rsidP="00F644BD">
      <w:pPr>
        <w:pStyle w:val="ListParagraph"/>
        <w:numPr>
          <w:ilvl w:val="1"/>
          <w:numId w:val="42"/>
        </w:numPr>
        <w:ind w:left="1134"/>
      </w:pPr>
      <w:r>
        <w:t xml:space="preserve">The </w:t>
      </w:r>
      <w:r>
        <w:fldChar w:fldCharType="begin"/>
      </w:r>
      <w:r>
        <w:instrText xml:space="preserve"> HYPERLINK "https://bills.parliament.uk/bills/3938" </w:instrText>
      </w:r>
      <w:r>
        <w:fldChar w:fldCharType="separate"/>
      </w:r>
      <w:r w:rsidRPr="63CD0B32">
        <w:rPr>
          <w:rStyle w:val="Hyperlink"/>
        </w:rPr>
        <w:t>Crime and Policing Act 2026</w:t>
      </w:r>
      <w:r>
        <w:fldChar w:fldCharType="end"/>
      </w:r>
      <w:r>
        <w:t xml:space="preserve"> continues that trajectory with further restrictions to protest rights and new protest-specific criminal offences including:</w:t>
      </w:r>
    </w:p>
    <w:p w:rsidR="000903C4" w:rsidP="00F644BD">
      <w:pPr>
        <w:pStyle w:val="ListParagraph"/>
        <w:numPr>
          <w:ilvl w:val="0"/>
          <w:numId w:val="43"/>
        </w:numPr>
      </w:pPr>
      <w:r>
        <w:t>An offence of concealing identity at protest (sections 157 – 159).</w:t>
      </w:r>
    </w:p>
    <w:p w:rsidR="000903C4" w:rsidP="00F644BD">
      <w:pPr>
        <w:pStyle w:val="ListParagraph"/>
        <w:numPr>
          <w:ilvl w:val="1"/>
          <w:numId w:val="35"/>
        </w:numPr>
      </w:pPr>
      <w:r>
        <w:t>Provision for restrictions on protests within the vicinity of a place of worship (section 164).</w:t>
      </w:r>
    </w:p>
    <w:p w:rsidR="000903C4" w:rsidP="00F644BD">
      <w:pPr>
        <w:pStyle w:val="ListParagraph"/>
        <w:numPr>
          <w:ilvl w:val="1"/>
          <w:numId w:val="35"/>
        </w:numPr>
      </w:pPr>
      <w:r>
        <w:t>A duty to take account of cumulative disruption to inform potential restrictions on protests (section 165).</w:t>
      </w:r>
    </w:p>
    <w:p w:rsidR="000903C4" w:rsidP="00F644BD">
      <w:pPr>
        <w:pStyle w:val="ListParagraph"/>
        <w:numPr>
          <w:ilvl w:val="1"/>
          <w:numId w:val="42"/>
        </w:numPr>
        <w:ind w:left="1134"/>
      </w:pPr>
      <w:r>
        <w:t xml:space="preserve">As </w:t>
      </w:r>
      <w:r w:rsidRPr="005A00ED">
        <w:t xml:space="preserve">set out </w:t>
      </w:r>
      <w:r w:rsidRPr="007012A1">
        <w:rPr>
          <w:rFonts w:ascii="Arial" w:eastAsia="Arial" w:hAnsi="Arial" w:cs="Arial"/>
        </w:rPr>
        <w:t xml:space="preserve">in our </w:t>
      </w:r>
      <w:r>
        <w:fldChar w:fldCharType="begin"/>
      </w:r>
      <w:r>
        <w:instrText xml:space="preserve"> HYPERLINK "https://www.equalityhumanrights.com/our-work/advising-parliament-and-governments/crime-and-policing-bill-house-lords-committee-stage" </w:instrText>
      </w:r>
      <w:r>
        <w:fldChar w:fldCharType="separate"/>
      </w:r>
      <w:r w:rsidRPr="00552421">
        <w:rPr>
          <w:rStyle w:val="Hyperlink"/>
          <w:rFonts w:ascii="Arial" w:eastAsia="Arial" w:hAnsi="Arial" w:cs="Arial"/>
        </w:rPr>
        <w:t>parliamentary briefing</w:t>
      </w:r>
      <w:r w:rsidRPr="00552421">
        <w:rPr>
          <w:rStyle w:val="Hyperlink"/>
        </w:rPr>
        <w:t xml:space="preserve"> on the Crime and Policing </w:t>
      </w:r>
      <w:r>
        <w:rPr>
          <w:rStyle w:val="Hyperlink"/>
        </w:rPr>
        <w:t>Act 2026</w:t>
      </w:r>
      <w:r>
        <w:fldChar w:fldCharType="end"/>
      </w:r>
      <w:r>
        <w:t xml:space="preserve">, the </w:t>
      </w:r>
      <w:r>
        <w:fldChar w:fldCharType="begin"/>
      </w:r>
      <w:r>
        <w:instrText xml:space="preserve"> HYPERLINK "https://www.legislation.gov.uk/ukpga/1986/64/contents" </w:instrText>
      </w:r>
      <w:r>
        <w:fldChar w:fldCharType="separate"/>
      </w:r>
      <w:r w:rsidRPr="006F6378">
        <w:rPr>
          <w:rStyle w:val="Hyperlink"/>
        </w:rPr>
        <w:t>Public Order Act 1986</w:t>
      </w:r>
      <w:r>
        <w:fldChar w:fldCharType="end"/>
      </w:r>
      <w:r>
        <w:t xml:space="preserve"> already gives the police powers to impose conditions on protests which ‘may result in serious public disorder, serious damage to property, or serious disruption to the life of the community.’ </w:t>
      </w:r>
    </w:p>
    <w:p w:rsidR="000903C4" w:rsidP="00F644BD">
      <w:pPr>
        <w:pStyle w:val="ListParagraph"/>
        <w:numPr>
          <w:ilvl w:val="1"/>
          <w:numId w:val="42"/>
        </w:numPr>
        <w:ind w:left="1134"/>
      </w:pPr>
      <w:r>
        <w:t xml:space="preserve">In November 2025, the Home Secretary </w:t>
      </w:r>
      <w:r>
        <w:fldChar w:fldCharType="begin"/>
      </w:r>
      <w:r>
        <w:instrText xml:space="preserve"> HYPERLINK "https://www.gov.uk/government/news/review-of-public-order-and-hate-crime-legislation" </w:instrText>
      </w:r>
      <w:r>
        <w:fldChar w:fldCharType="separate"/>
      </w:r>
      <w:r w:rsidRPr="4A15AFE9">
        <w:rPr>
          <w:rStyle w:val="Hyperlink"/>
        </w:rPr>
        <w:t>announced</w:t>
      </w:r>
      <w:r>
        <w:fldChar w:fldCharType="end"/>
      </w:r>
      <w:r>
        <w:t xml:space="preserve"> that Lord Macdonald KC would undertake an Independent Review of public order and hate crime legislation. However, at the same time, new public order measures were being introduced into the Crime and Policing Bill. We recommended that the UK government await the outcome of the Independent Review before introducing these new measures. It is important that the Government publishes the Independent Review as soon as possible after it is submitted to the Home Secretary and commits to responding to it in full.</w:t>
      </w:r>
    </w:p>
    <w:p w:rsidR="000903C4" w:rsidP="00F644BD">
      <w:pPr>
        <w:pStyle w:val="Heading3"/>
      </w:pPr>
      <w:r>
        <w:t>Protest rights and community safety / disruption</w:t>
      </w:r>
    </w:p>
    <w:p w:rsidR="000903C4" w:rsidP="00F644BD">
      <w:pPr>
        <w:pStyle w:val="ListParagraph"/>
        <w:keepLines w:val="0"/>
        <w:numPr>
          <w:ilvl w:val="0"/>
          <w:numId w:val="37"/>
        </w:numPr>
        <w:spacing w:before="0" w:after="160" w:line="259" w:lineRule="auto"/>
        <w:rPr>
          <w:b/>
          <w:bCs/>
        </w:rPr>
      </w:pPr>
      <w:r>
        <w:rPr>
          <w:b/>
          <w:bCs/>
        </w:rPr>
        <w:t>To what extent is the assessment that protest activity ‘has become faster, more decentralised and more disruptive’ accurate? What are the main issues police and public authorities face when managing protest?</w:t>
      </w:r>
    </w:p>
    <w:p w:rsidR="000903C4" w:rsidRPr="00D826D0" w:rsidP="00F644BD">
      <w:pPr>
        <w:pStyle w:val="ListParagraph"/>
        <w:keepLines w:val="0"/>
        <w:numPr>
          <w:ilvl w:val="1"/>
          <w:numId w:val="37"/>
        </w:numPr>
        <w:spacing w:before="0" w:after="160" w:line="259" w:lineRule="auto"/>
        <w:rPr>
          <w:b/>
          <w:bCs/>
        </w:rPr>
      </w:pPr>
      <w:r w:rsidRPr="00D826D0">
        <w:rPr>
          <w:szCs w:val="24"/>
        </w:rPr>
        <w:t>No response</w:t>
      </w:r>
    </w:p>
    <w:p w:rsidR="000903C4" w:rsidRPr="002471D4" w:rsidP="00F644BD">
      <w:pPr>
        <w:pStyle w:val="ListParagraph"/>
        <w:ind w:left="390"/>
      </w:pPr>
    </w:p>
    <w:p w:rsidR="000903C4" w:rsidP="00F644BD">
      <w:pPr>
        <w:pStyle w:val="ListParagraph"/>
        <w:keepLines w:val="0"/>
        <w:numPr>
          <w:ilvl w:val="0"/>
          <w:numId w:val="37"/>
        </w:numPr>
        <w:spacing w:before="0" w:after="160" w:line="259" w:lineRule="auto"/>
        <w:rPr>
          <w:b/>
          <w:bCs/>
        </w:rPr>
      </w:pPr>
      <w:r>
        <w:rPr>
          <w:b/>
          <w:bCs/>
        </w:rPr>
        <w:t>Much of the legal framework for controlling public protest focuses on whether it causes serious disruption. Is some disruption a necessary feature of protest? How serious must disruption be to justify restrictions on protest?</w:t>
      </w:r>
    </w:p>
    <w:p w:rsidR="000903C4" w:rsidRPr="005A212E" w:rsidP="00F644BD">
      <w:pPr>
        <w:pStyle w:val="ListParagraph"/>
        <w:numPr>
          <w:ilvl w:val="1"/>
          <w:numId w:val="47"/>
        </w:numPr>
      </w:pPr>
      <w:r>
        <w:t xml:space="preserve">Disruption is often a consequence of protest. In the case of </w:t>
      </w:r>
      <w:r>
        <w:fldChar w:fldCharType="begin"/>
      </w:r>
      <w:r>
        <w:instrText xml:space="preserve"> HYPERLINK "https://supremecourt.uk/uploads/uksc_2019_0106_judgment_0bf6f93fde.pdf" </w:instrText>
      </w:r>
      <w:r>
        <w:fldChar w:fldCharType="separate"/>
      </w:r>
      <w:r w:rsidRPr="04112C75">
        <w:rPr>
          <w:rStyle w:val="Hyperlink"/>
        </w:rPr>
        <w:t>Director of Public Prosecutions v. Ziegler and others</w:t>
      </w:r>
      <w:r>
        <w:fldChar w:fldCharType="end"/>
      </w:r>
      <w:r>
        <w:t xml:space="preserve"> the Supreme Court found that ‘there should be a certain degree of tolerance to disruption to ordinary life, including disruption of traffic, caused by the exercise of the right to freedom of expression or freedom of peaceful assembly’ (para 68).</w:t>
      </w:r>
    </w:p>
    <w:p w:rsidR="000903C4" w:rsidP="00F644BD">
      <w:pPr>
        <w:pStyle w:val="ListParagraph"/>
        <w:numPr>
          <w:ilvl w:val="1"/>
          <w:numId w:val="47"/>
        </w:numPr>
      </w:pPr>
      <w:r>
        <w:t>The extent to which disruption is tolerated therefore comes down to an assessment of proportionality. The courts are well versed in considering proportionality in relation to protests. There is a significant amount of case law, both domestic and from the European Court of Human Rights (ECtHR), which sets out the core considerations. These include the intentions of the protesters, extent and duration of any disruption, and whether the protest concerns ‘very important issues’ (City of London Corpn v Samede, p</w:t>
      </w:r>
      <w:r>
        <w:t xml:space="preserve">aras 40-41 as referenced in </w:t>
      </w:r>
      <w:r>
        <w:fldChar w:fldCharType="begin"/>
      </w:r>
      <w:r>
        <w:instrText xml:space="preserve"> HYPERLINK "https://supremecourt.uk/uploads/uksc_2019_0106_judgment_0bf6f93fde.pdf" </w:instrText>
      </w:r>
      <w:r>
        <w:fldChar w:fldCharType="separate"/>
      </w:r>
      <w:r w:rsidRPr="04112C75">
        <w:rPr>
          <w:rStyle w:val="Hyperlink"/>
        </w:rPr>
        <w:t>Director of Public Prosecutions v. Ziegler and others</w:t>
      </w:r>
      <w:r>
        <w:fldChar w:fldCharType="end"/>
      </w:r>
      <w:r>
        <w:t>, paragraph 72). </w:t>
      </w:r>
    </w:p>
    <w:p w:rsidR="000903C4" w:rsidP="00F644BD">
      <w:pPr>
        <w:pStyle w:val="ListParagraph"/>
        <w:numPr>
          <w:ilvl w:val="1"/>
          <w:numId w:val="47"/>
        </w:numPr>
      </w:pPr>
      <w:r>
        <w:t xml:space="preserve">However, there have been attempts to lower the threshold of ‘serious disruption’ in legislation in the </w:t>
      </w:r>
      <w:r>
        <w:fldChar w:fldCharType="begin"/>
      </w:r>
      <w:r>
        <w:instrText xml:space="preserve"> HYPERLINK "https://www.legislation.gov.uk/ukpga/2022/32/contents" </w:instrText>
      </w:r>
      <w:r>
        <w:fldChar w:fldCharType="separate"/>
      </w:r>
      <w:r w:rsidRPr="04112C75">
        <w:rPr>
          <w:rStyle w:val="Hyperlink"/>
        </w:rPr>
        <w:t>Police, Crime, Sentencing and Courts Act 2022</w:t>
      </w:r>
      <w:r>
        <w:fldChar w:fldCharType="end"/>
      </w:r>
      <w:r>
        <w:t xml:space="preserve"> and the </w:t>
      </w:r>
      <w:r>
        <w:fldChar w:fldCharType="begin"/>
      </w:r>
      <w:r>
        <w:instrText xml:space="preserve"> HYPERLINK "https://www.legislation.gov.uk/ukpga/2023/15" </w:instrText>
      </w:r>
      <w:r>
        <w:fldChar w:fldCharType="separate"/>
      </w:r>
      <w:r w:rsidRPr="04112C75">
        <w:rPr>
          <w:rStyle w:val="Hyperlink"/>
        </w:rPr>
        <w:t>Public Order Act 2023</w:t>
      </w:r>
      <w:r>
        <w:fldChar w:fldCharType="end"/>
      </w:r>
      <w:r>
        <w:t xml:space="preserve"> to be ‘anything more than minor’. This has enabled a wider range of peaceful protest activities to be restricted by the police. </w:t>
      </w:r>
    </w:p>
    <w:p w:rsidR="000903C4" w:rsidP="00F644BD">
      <w:pPr>
        <w:pStyle w:val="ListParagraph"/>
        <w:numPr>
          <w:ilvl w:val="1"/>
          <w:numId w:val="47"/>
        </w:numPr>
      </w:pPr>
      <w:r>
        <w:t>The new duty on the police to consider ‘cumulative disruption’ in the Crime and Policing Act 2026 adds a further dimension that extends the law in favour of restriction, risking disproportionate interference with the right to peaceful protest.</w:t>
      </w:r>
    </w:p>
    <w:p w:rsidR="000903C4" w:rsidRPr="000A0624" w:rsidP="00F644BD">
      <w:pPr>
        <w:pStyle w:val="ListParagraph"/>
        <w:keepLines w:val="0"/>
        <w:spacing w:before="0" w:after="160" w:line="259" w:lineRule="auto"/>
        <w:ind w:left="1080"/>
        <w:rPr>
          <w:b/>
          <w:bCs/>
          <w:szCs w:val="28"/>
        </w:rPr>
      </w:pPr>
    </w:p>
    <w:p w:rsidR="000903C4" w:rsidP="00F644BD">
      <w:pPr>
        <w:pStyle w:val="ListParagraph"/>
        <w:keepLines w:val="0"/>
        <w:numPr>
          <w:ilvl w:val="0"/>
          <w:numId w:val="37"/>
        </w:numPr>
        <w:spacing w:before="0" w:after="160" w:line="259" w:lineRule="auto"/>
        <w:rPr>
          <w:b/>
          <w:bCs/>
        </w:rPr>
      </w:pPr>
      <w:r>
        <w:rPr>
          <w:b/>
          <w:bCs/>
        </w:rPr>
        <w:t xml:space="preserve">What issues have been encountered by the police when protecting people from intimidation, harassment and hate at or around protest? Do the law and law enforcement do enough to provide this protection while safeguarding Article 10 and 11 rights for participants and counter protestors? </w:t>
      </w:r>
    </w:p>
    <w:p w:rsidR="000903C4" w:rsidRPr="00F809BB" w:rsidP="00F644BD">
      <w:pPr>
        <w:keepLines w:val="0"/>
        <w:spacing w:before="0" w:after="160" w:line="259" w:lineRule="auto"/>
        <w:ind w:left="1080" w:hanging="720"/>
        <w:rPr>
          <w:rFonts w:ascii="Arial" w:hAnsi="Arial" w:cs="Arial"/>
          <w:color w:val="000000" w:themeColor="text1"/>
          <w:szCs w:val="28"/>
        </w:rPr>
      </w:pPr>
      <w:r w:rsidRPr="004729DE">
        <w:t xml:space="preserve">7.1 </w:t>
      </w:r>
      <w:r>
        <w:tab/>
        <w:t>T</w:t>
      </w:r>
      <w:r w:rsidRPr="00F809BB">
        <w:rPr>
          <w:rFonts w:ascii="Arial" w:eastAsia="Times New Roman" w:hAnsi="Arial" w:cs="Arial"/>
          <w:color w:val="000000" w:themeColor="text1"/>
          <w:szCs w:val="28"/>
          <w:lang w:eastAsia="en-GB"/>
        </w:rPr>
        <w:t xml:space="preserve">here is a growing concern about the potential for hate crime </w:t>
      </w:r>
      <w:r>
        <w:rPr>
          <w:rFonts w:ascii="Arial" w:eastAsia="Times New Roman" w:hAnsi="Arial" w:cs="Arial"/>
          <w:color w:val="000000" w:themeColor="text1"/>
          <w:szCs w:val="28"/>
          <w:lang w:eastAsia="en-GB"/>
        </w:rPr>
        <w:t xml:space="preserve">and intimidation </w:t>
      </w:r>
      <w:r w:rsidRPr="00F809BB">
        <w:rPr>
          <w:rFonts w:ascii="Arial" w:eastAsia="Times New Roman" w:hAnsi="Arial" w:cs="Arial"/>
          <w:color w:val="000000" w:themeColor="text1"/>
          <w:szCs w:val="28"/>
          <w:lang w:eastAsia="en-GB"/>
        </w:rPr>
        <w:t xml:space="preserve">at protests, </w:t>
      </w:r>
      <w:r>
        <w:rPr>
          <w:rFonts w:ascii="Arial" w:eastAsia="Times New Roman" w:hAnsi="Arial" w:cs="Arial"/>
          <w:color w:val="000000" w:themeColor="text1"/>
          <w:szCs w:val="28"/>
          <w:lang w:eastAsia="en-GB"/>
        </w:rPr>
        <w:t>particularly in relation to antisemitism and anti-Muslim sentiments</w:t>
      </w:r>
      <w:r w:rsidRPr="00F809BB">
        <w:rPr>
          <w:rFonts w:ascii="Arial" w:eastAsia="Times New Roman" w:hAnsi="Arial" w:cs="Arial"/>
          <w:color w:val="000000" w:themeColor="text1"/>
          <w:szCs w:val="28"/>
          <w:lang w:eastAsia="en-GB"/>
        </w:rPr>
        <w:t>.</w:t>
      </w:r>
      <w:r>
        <w:rPr>
          <w:rFonts w:ascii="Arial" w:eastAsia="Times New Roman" w:hAnsi="Arial" w:cs="Arial"/>
          <w:color w:val="000000" w:themeColor="text1"/>
          <w:szCs w:val="28"/>
          <w:lang w:eastAsia="en-GB"/>
        </w:rPr>
        <w:t xml:space="preserve"> This was a catalyst for the Home Secretary commissioning the Independent Review of Public Order and Hate Crime Legislation.</w:t>
      </w:r>
    </w:p>
    <w:p w:rsidR="000903C4" w:rsidRPr="00F809BB" w:rsidP="00F644BD">
      <w:pPr>
        <w:pStyle w:val="ListParagraph"/>
        <w:keepLines w:val="0"/>
        <w:numPr>
          <w:ilvl w:val="1"/>
          <w:numId w:val="46"/>
        </w:numPr>
        <w:spacing w:before="0" w:after="160" w:line="259" w:lineRule="auto"/>
        <w:rPr>
          <w:rFonts w:ascii="Arial" w:hAnsi="Arial" w:cs="Arial"/>
        </w:rPr>
      </w:pPr>
      <w:r w:rsidRPr="04112C75">
        <w:rPr>
          <w:rFonts w:ascii="Arial" w:hAnsi="Arial" w:cs="Arial"/>
          <w:color w:val="000000" w:themeColor="text1"/>
        </w:rPr>
        <w:t xml:space="preserve">The prevention of disorder and the protection of the rights of others are legitimate reasons to impose restrictions on protest. The ECtHR has, for example, found that a failure of </w:t>
      </w:r>
      <w:r w:rsidRPr="04112C75">
        <w:rPr>
          <w:rFonts w:ascii="Arial" w:hAnsi="Arial" w:cs="Arial"/>
          <w:color w:val="000000" w:themeColor="text1"/>
        </w:rPr>
        <w:t xml:space="preserve">authorities to address verbal homophobic attacks by counter protestors to a gay rights demonstration (considered a failure to protect the rights of protesters fighting discrimination on the grounds of sexual orientation) was a failure to adhere to the positive obligations under Article 11 ECHR </w:t>
      </w:r>
      <w:r w:rsidRPr="04112C75">
        <w:rPr>
          <w:rFonts w:ascii="Arial" w:hAnsi="Arial" w:cs="Arial"/>
          <w:color w:val="3B5052"/>
        </w:rPr>
        <w:t>(</w:t>
      </w:r>
      <w:r>
        <w:fldChar w:fldCharType="begin"/>
      </w:r>
      <w:r>
        <w:instrText xml:space="preserve"> HYPERLINK "https://hudoc.echr.coe.int/fre" \l "{%22itemid%22:[%22001-206266%22]}" </w:instrText>
      </w:r>
      <w:r>
        <w:fldChar w:fldCharType="separate"/>
      </w:r>
      <w:r w:rsidRPr="04112C75">
        <w:rPr>
          <w:rStyle w:val="Hyperlink"/>
          <w:rFonts w:ascii="Arial" w:hAnsi="Arial" w:cs="Arial"/>
          <w:shd w:val="clear" w:color="auto" w:fill="FFFFFF"/>
        </w:rPr>
        <w:t>Berkman v. Russia</w:t>
      </w:r>
      <w:r>
        <w:fldChar w:fldCharType="end"/>
      </w:r>
      <w:r w:rsidRPr="04112C75">
        <w:rPr>
          <w:rFonts w:ascii="Arial" w:hAnsi="Arial" w:cs="Arial"/>
          <w:color w:val="3B5052"/>
        </w:rPr>
        <w:t xml:space="preserve">, </w:t>
      </w:r>
      <w:r w:rsidRPr="04112C75">
        <w:rPr>
          <w:rFonts w:ascii="Arial" w:hAnsi="Arial" w:cs="Arial"/>
          <w:color w:val="000000" w:themeColor="text1"/>
        </w:rPr>
        <w:t xml:space="preserve">2020, </w:t>
      </w:r>
      <w:r>
        <w:rPr>
          <w:rFonts w:ascii="Arial" w:hAnsi="Arial" w:cs="Arial"/>
          <w:color w:val="000000" w:themeColor="text1"/>
        </w:rPr>
        <w:t>paragraph</w:t>
      </w:r>
      <w:r w:rsidRPr="04112C75">
        <w:rPr>
          <w:rFonts w:ascii="Arial" w:hAnsi="Arial" w:cs="Arial"/>
          <w:color w:val="000000" w:themeColor="text1"/>
        </w:rPr>
        <w:t xml:space="preserve"> 56).</w:t>
      </w:r>
    </w:p>
    <w:p w:rsidR="000903C4" w:rsidRPr="00D94140" w:rsidP="00F644BD">
      <w:pPr>
        <w:pStyle w:val="ListParagraph"/>
        <w:keepLines w:val="0"/>
        <w:numPr>
          <w:ilvl w:val="1"/>
          <w:numId w:val="46"/>
        </w:numPr>
        <w:spacing w:before="0" w:after="160" w:line="259" w:lineRule="auto"/>
        <w:rPr>
          <w:rFonts w:ascii="Arial" w:hAnsi="Arial" w:cs="Arial"/>
          <w:color w:val="000000" w:themeColor="text1"/>
        </w:rPr>
      </w:pPr>
      <w:r w:rsidRPr="04112C75">
        <w:rPr>
          <w:rFonts w:ascii="Arial" w:eastAsia="Times New Roman" w:hAnsi="Arial" w:cs="Arial"/>
          <w:color w:val="000000" w:themeColor="text1"/>
          <w:lang w:eastAsia="en-GB"/>
        </w:rPr>
        <w:t xml:space="preserve">Protests inciting violence or a rejection of democratic principles, such as pluralism, tolerance and open-mindedness, can also be </w:t>
      </w:r>
      <w:r>
        <w:rPr>
          <w:rFonts w:ascii="Arial" w:eastAsia="Times New Roman" w:hAnsi="Arial" w:cs="Arial"/>
          <w:color w:val="000000" w:themeColor="text1"/>
          <w:lang w:eastAsia="en-GB"/>
        </w:rPr>
        <w:t>subject to proportionate</w:t>
      </w:r>
      <w:r w:rsidRPr="04112C75">
        <w:rPr>
          <w:rFonts w:ascii="Arial" w:eastAsia="Times New Roman" w:hAnsi="Arial" w:cs="Arial"/>
          <w:color w:val="000000" w:themeColor="text1"/>
          <w:lang w:eastAsia="en-GB"/>
        </w:rPr>
        <w:t xml:space="preserve"> restric</w:t>
      </w:r>
      <w:r>
        <w:rPr>
          <w:rFonts w:ascii="Arial" w:eastAsia="Times New Roman" w:hAnsi="Arial" w:cs="Arial"/>
          <w:color w:val="000000" w:themeColor="text1"/>
          <w:lang w:eastAsia="en-GB"/>
        </w:rPr>
        <w:t xml:space="preserve">tions </w:t>
      </w:r>
      <w:r>
        <w:fldChar w:fldCharType="begin"/>
      </w:r>
      <w:r>
        <w:instrText xml:space="preserve"> HYPERLINK "https://hudoc.echr.coe.int/eng?i=001-158200" </w:instrText>
      </w:r>
      <w:r>
        <w:fldChar w:fldCharType="separate"/>
      </w:r>
      <w:r>
        <w:rPr>
          <w:rStyle w:val="Hyperlink"/>
          <w:rFonts w:ascii="Arial" w:eastAsia="Times New Roman" w:hAnsi="Arial" w:cs="Arial"/>
          <w:lang w:eastAsia="en-GB"/>
        </w:rPr>
        <w:t>Kudrevičius and Others V. Lithuania, 2015, paragraph 145).</w:t>
      </w:r>
      <w:r>
        <w:fldChar w:fldCharType="end"/>
      </w:r>
      <w:r w:rsidRPr="04112C75">
        <w:rPr>
          <w:rFonts w:ascii="Arial" w:eastAsia="Times New Roman" w:hAnsi="Arial" w:cs="Arial"/>
          <w:color w:val="000000" w:themeColor="text1"/>
          <w:lang w:eastAsia="en-GB"/>
        </w:rPr>
        <w:t xml:space="preserve"> Hate crimes, harassment and other forms of intimidation that breach the criminal law are likely to fall into such a category. </w:t>
      </w:r>
    </w:p>
    <w:p w:rsidR="000903C4" w:rsidRPr="00D954B2" w:rsidP="00F644BD">
      <w:pPr>
        <w:pStyle w:val="ListParagraph"/>
        <w:keepLines w:val="0"/>
        <w:numPr>
          <w:ilvl w:val="1"/>
          <w:numId w:val="46"/>
        </w:numPr>
        <w:spacing w:before="0" w:after="160" w:line="259" w:lineRule="auto"/>
        <w:rPr>
          <w:rFonts w:ascii="Arial" w:hAnsi="Arial" w:cs="Arial"/>
          <w:color w:val="000000" w:themeColor="text1"/>
          <w:szCs w:val="28"/>
        </w:rPr>
      </w:pPr>
      <w:r>
        <w:rPr>
          <w:rFonts w:ascii="Arial" w:eastAsia="Times New Roman" w:hAnsi="Arial" w:cs="Arial"/>
          <w:color w:val="000000" w:themeColor="text1"/>
          <w:szCs w:val="28"/>
          <w:lang w:eastAsia="en-GB"/>
        </w:rPr>
        <w:t>The Independent Review of Public Order and Hate Crime Legislation is considering the sufficiency and interaction of the law in this area, and we look forward to its publication.</w:t>
      </w:r>
    </w:p>
    <w:p w:rsidR="000903C4" w:rsidP="00F644BD">
      <w:pPr>
        <w:pStyle w:val="ListParagraph"/>
        <w:keepLines w:val="0"/>
        <w:numPr>
          <w:ilvl w:val="1"/>
          <w:numId w:val="46"/>
        </w:numPr>
        <w:spacing w:before="0" w:after="160" w:line="259" w:lineRule="auto"/>
        <w:rPr>
          <w:rFonts w:ascii="Arial" w:hAnsi="Arial" w:cs="Arial"/>
          <w:color w:val="000000" w:themeColor="text1"/>
        </w:rPr>
      </w:pPr>
      <w:r w:rsidRPr="00E309B6">
        <w:rPr>
          <w:rFonts w:ascii="Arial" w:eastAsia="Times New Roman" w:hAnsi="Arial" w:cs="Arial"/>
          <w:color w:val="000000" w:themeColor="text1"/>
          <w:lang w:eastAsia="en-GB"/>
        </w:rPr>
        <w:t xml:space="preserve">There have been prominent calls, including from </w:t>
      </w:r>
      <w:r>
        <w:fldChar w:fldCharType="begin"/>
      </w:r>
      <w:r>
        <w:instrText xml:space="preserve"> HYPERLINK "https://www.bbc.co.uk/news/articles/cddp0021pq4o" </w:instrText>
      </w:r>
      <w:r>
        <w:fldChar w:fldCharType="separate"/>
      </w:r>
      <w:r w:rsidRPr="00E309B6">
        <w:rPr>
          <w:rStyle w:val="Hyperlink"/>
          <w:rFonts w:ascii="Arial" w:eastAsia="Times New Roman" w:hAnsi="Arial" w:cs="Arial"/>
          <w:lang w:eastAsia="en-GB"/>
        </w:rPr>
        <w:t>independent reviewer of terrorism legislation Jonathan Hall KC and the Chief Rabbi Sir Ephraim Mirvis</w:t>
      </w:r>
      <w:r>
        <w:fldChar w:fldCharType="end"/>
      </w:r>
      <w:r w:rsidRPr="00E309B6">
        <w:rPr>
          <w:rFonts w:ascii="Arial" w:eastAsia="Times New Roman" w:hAnsi="Arial" w:cs="Arial"/>
          <w:color w:val="000000" w:themeColor="text1"/>
          <w:lang w:eastAsia="en-GB"/>
        </w:rPr>
        <w:t xml:space="preserve">, to </w:t>
      </w:r>
      <w:r>
        <w:rPr>
          <w:rFonts w:ascii="Arial" w:eastAsia="Times New Roman" w:hAnsi="Arial" w:cs="Arial"/>
          <w:color w:val="000000" w:themeColor="text1"/>
          <w:lang w:eastAsia="en-GB"/>
        </w:rPr>
        <w:t>ban</w:t>
      </w:r>
      <w:r w:rsidRPr="00E309B6">
        <w:rPr>
          <w:rFonts w:ascii="Arial" w:eastAsia="Times New Roman" w:hAnsi="Arial" w:cs="Arial"/>
          <w:color w:val="000000" w:themeColor="text1"/>
          <w:lang w:eastAsia="en-GB"/>
        </w:rPr>
        <w:t xml:space="preserve"> pro-Palestine demonstrations following the abhorrent antisemitic attack in Golders Green</w:t>
      </w:r>
      <w:r>
        <w:rPr>
          <w:rFonts w:ascii="Arial" w:eastAsia="Times New Roman" w:hAnsi="Arial" w:cs="Arial"/>
          <w:color w:val="000000" w:themeColor="text1"/>
          <w:lang w:eastAsia="en-GB"/>
        </w:rPr>
        <w:t xml:space="preserve"> in April 2026</w:t>
      </w:r>
      <w:r w:rsidRPr="00E309B6">
        <w:rPr>
          <w:rFonts w:ascii="Arial" w:eastAsia="Times New Roman" w:hAnsi="Arial" w:cs="Arial"/>
          <w:color w:val="000000" w:themeColor="text1"/>
          <w:lang w:eastAsia="en-GB"/>
        </w:rPr>
        <w:t>.</w:t>
      </w:r>
    </w:p>
    <w:p w:rsidR="000903C4" w:rsidRPr="00E309B6" w:rsidP="00F644BD">
      <w:pPr>
        <w:pStyle w:val="ListParagraph"/>
        <w:keepLines w:val="0"/>
        <w:numPr>
          <w:ilvl w:val="1"/>
          <w:numId w:val="46"/>
        </w:numPr>
        <w:spacing w:before="0" w:after="160" w:line="259" w:lineRule="auto"/>
        <w:rPr>
          <w:rFonts w:ascii="Arial" w:hAnsi="Arial" w:cs="Arial"/>
          <w:color w:val="000000" w:themeColor="text1"/>
        </w:rPr>
      </w:pPr>
      <w:r w:rsidRPr="00E309B6">
        <w:rPr>
          <w:rFonts w:ascii="Arial" w:eastAsia="Times New Roman" w:hAnsi="Arial" w:cs="Arial"/>
          <w:color w:val="000000" w:themeColor="text1"/>
          <w:lang w:eastAsia="en-GB"/>
        </w:rPr>
        <w:t>There is an urgent need to tackle antisemitism, anti-Muslim h</w:t>
      </w:r>
      <w:r>
        <w:rPr>
          <w:rFonts w:ascii="Arial" w:eastAsia="Times New Roman" w:hAnsi="Arial" w:cs="Arial"/>
          <w:color w:val="000000" w:themeColor="text1"/>
          <w:lang w:eastAsia="en-GB"/>
        </w:rPr>
        <w:t>atred</w:t>
      </w:r>
      <w:r w:rsidRPr="00E309B6">
        <w:rPr>
          <w:rFonts w:ascii="Arial" w:eastAsia="Times New Roman" w:hAnsi="Arial" w:cs="Arial"/>
          <w:color w:val="000000" w:themeColor="text1"/>
          <w:lang w:eastAsia="en-GB"/>
        </w:rPr>
        <w:t xml:space="preserve"> and other hatred. The issues behind these tensions are complex and multifaceted. It is unlikely that </w:t>
      </w:r>
      <w:r>
        <w:rPr>
          <w:rFonts w:ascii="Arial" w:eastAsia="Times New Roman" w:hAnsi="Arial" w:cs="Arial"/>
          <w:color w:val="000000" w:themeColor="text1"/>
          <w:lang w:eastAsia="en-GB"/>
        </w:rPr>
        <w:t xml:space="preserve">blanket </w:t>
      </w:r>
      <w:r w:rsidRPr="00E309B6">
        <w:rPr>
          <w:rFonts w:ascii="Arial" w:eastAsia="Times New Roman" w:hAnsi="Arial" w:cs="Arial"/>
          <w:color w:val="000000" w:themeColor="text1"/>
          <w:lang w:eastAsia="en-GB"/>
        </w:rPr>
        <w:t>restrictions on fundamental rights and freedoms</w:t>
      </w:r>
      <w:r>
        <w:rPr>
          <w:rFonts w:ascii="Arial" w:eastAsia="Times New Roman" w:hAnsi="Arial" w:cs="Arial"/>
          <w:color w:val="000000" w:themeColor="text1"/>
          <w:lang w:eastAsia="en-GB"/>
        </w:rPr>
        <w:t xml:space="preserve"> such as a temporary ban</w:t>
      </w:r>
      <w:r w:rsidRPr="00E309B6">
        <w:rPr>
          <w:rFonts w:ascii="Arial" w:eastAsia="Times New Roman" w:hAnsi="Arial" w:cs="Arial"/>
          <w:color w:val="000000" w:themeColor="text1"/>
          <w:lang w:eastAsia="en-GB"/>
        </w:rPr>
        <w:t xml:space="preserve"> will present long-term solutions. </w:t>
      </w:r>
    </w:p>
    <w:p w:rsidR="000903C4" w:rsidRPr="00E309B6" w:rsidP="00F644BD">
      <w:pPr>
        <w:pStyle w:val="ListParagraph"/>
        <w:keepLines w:val="0"/>
        <w:numPr>
          <w:ilvl w:val="1"/>
          <w:numId w:val="46"/>
        </w:numPr>
        <w:spacing w:before="0" w:after="160" w:line="259" w:lineRule="auto"/>
        <w:rPr>
          <w:rFonts w:ascii="Arial" w:hAnsi="Arial" w:cs="Arial"/>
          <w:color w:val="000000" w:themeColor="text1"/>
        </w:rPr>
      </w:pPr>
      <w:r w:rsidRPr="00E309B6">
        <w:rPr>
          <w:rFonts w:ascii="Arial" w:eastAsia="Times New Roman" w:hAnsi="Arial" w:cs="Arial"/>
          <w:color w:val="000000" w:themeColor="text1"/>
          <w:lang w:eastAsia="en-GB"/>
        </w:rPr>
        <w:t>Furthermore, in addition to risking disproportionate interference with fundamental rights, blanket restrictions</w:t>
      </w:r>
      <w:r>
        <w:rPr>
          <w:rFonts w:ascii="Arial" w:eastAsia="Times New Roman" w:hAnsi="Arial" w:cs="Arial"/>
          <w:color w:val="000000" w:themeColor="text1"/>
          <w:lang w:eastAsia="en-GB"/>
        </w:rPr>
        <w:t xml:space="preserve"> on rights</w:t>
      </w:r>
      <w:r w:rsidRPr="00E309B6">
        <w:rPr>
          <w:rFonts w:ascii="Arial" w:eastAsia="Times New Roman" w:hAnsi="Arial" w:cs="Arial"/>
          <w:color w:val="000000" w:themeColor="text1"/>
          <w:lang w:eastAsia="en-GB"/>
        </w:rPr>
        <w:t>,</w:t>
      </w:r>
      <w:r>
        <w:rPr>
          <w:rFonts w:ascii="Arial" w:eastAsia="Times New Roman" w:hAnsi="Arial" w:cs="Arial"/>
          <w:color w:val="000000" w:themeColor="text1"/>
          <w:lang w:eastAsia="en-GB"/>
        </w:rPr>
        <w:t xml:space="preserve"> </w:t>
      </w:r>
      <w:r w:rsidRPr="00E309B6">
        <w:rPr>
          <w:rFonts w:ascii="Arial" w:eastAsia="Times New Roman" w:hAnsi="Arial" w:cs="Arial"/>
          <w:color w:val="000000" w:themeColor="text1"/>
          <w:lang w:eastAsia="en-GB"/>
        </w:rPr>
        <w:t>including bans on peaceful</w:t>
      </w:r>
      <w:r>
        <w:rPr>
          <w:rFonts w:ascii="Arial" w:eastAsia="Times New Roman" w:hAnsi="Arial" w:cs="Arial"/>
          <w:color w:val="000000" w:themeColor="text1"/>
          <w:lang w:eastAsia="en-GB"/>
        </w:rPr>
        <w:t xml:space="preserve"> protests, may exacerbate existing community tensions.</w:t>
      </w:r>
    </w:p>
    <w:p w:rsidR="000903C4" w:rsidP="00F644BD">
      <w:pPr>
        <w:pStyle w:val="ListParagraph"/>
        <w:keepLines w:val="0"/>
        <w:numPr>
          <w:ilvl w:val="1"/>
          <w:numId w:val="46"/>
        </w:numPr>
        <w:spacing w:before="0" w:after="160" w:line="259" w:lineRule="auto"/>
        <w:rPr>
          <w:rFonts w:ascii="Arial" w:hAnsi="Arial" w:cs="Arial"/>
          <w:color w:val="000000" w:themeColor="text1"/>
          <w:szCs w:val="28"/>
        </w:rPr>
      </w:pPr>
      <w:r>
        <w:rPr>
          <w:rFonts w:ascii="Arial" w:hAnsi="Arial" w:cs="Arial"/>
          <w:color w:val="000000" w:themeColor="text1"/>
          <w:szCs w:val="28"/>
        </w:rPr>
        <w:t xml:space="preserve">The ECtHR has consistently found that restricting </w:t>
      </w:r>
      <w:r w:rsidRPr="007978CD">
        <w:rPr>
          <w:rFonts w:ascii="Arial" w:hAnsi="Arial" w:cs="Arial"/>
          <w:color w:val="000000" w:themeColor="text1"/>
          <w:szCs w:val="28"/>
        </w:rPr>
        <w:t>protest</w:t>
      </w:r>
      <w:r>
        <w:rPr>
          <w:rFonts w:ascii="Arial" w:hAnsi="Arial" w:cs="Arial"/>
          <w:color w:val="000000" w:themeColor="text1"/>
          <w:szCs w:val="28"/>
        </w:rPr>
        <w:t xml:space="preserve">s </w:t>
      </w:r>
      <w:r w:rsidRPr="007978CD">
        <w:rPr>
          <w:rFonts w:ascii="Arial" w:hAnsi="Arial" w:cs="Arial"/>
          <w:color w:val="000000" w:themeColor="text1"/>
          <w:szCs w:val="28"/>
        </w:rPr>
        <w:t xml:space="preserve">based on </w:t>
      </w:r>
      <w:r>
        <w:rPr>
          <w:rFonts w:ascii="Arial" w:hAnsi="Arial" w:cs="Arial"/>
          <w:color w:val="000000" w:themeColor="text1"/>
          <w:szCs w:val="28"/>
        </w:rPr>
        <w:t xml:space="preserve">the </w:t>
      </w:r>
      <w:r w:rsidRPr="007978CD">
        <w:rPr>
          <w:rFonts w:ascii="Arial" w:hAnsi="Arial" w:cs="Arial"/>
          <w:color w:val="000000" w:themeColor="text1"/>
          <w:szCs w:val="28"/>
        </w:rPr>
        <w:t>subject or content matter</w:t>
      </w:r>
      <w:r>
        <w:rPr>
          <w:rFonts w:ascii="Arial" w:hAnsi="Arial" w:cs="Arial"/>
          <w:color w:val="000000" w:themeColor="text1"/>
          <w:szCs w:val="28"/>
        </w:rPr>
        <w:t xml:space="preserve"> </w:t>
      </w:r>
      <w:r w:rsidRPr="007978CD">
        <w:rPr>
          <w:rFonts w:ascii="Arial" w:hAnsi="Arial" w:cs="Arial"/>
          <w:color w:val="000000" w:themeColor="text1"/>
          <w:szCs w:val="28"/>
        </w:rPr>
        <w:t>other than in cases of incitement to violence or rejection of democratic principles – however shocking and unacceptable certain views or words used may appear to the authorities – do a disservice to democracy and can even endanger it (</w:t>
      </w:r>
      <w:r>
        <w:fldChar w:fldCharType="begin"/>
      </w:r>
      <w:r>
        <w:instrText xml:space="preserve"> HYPERLINK "https://hudoc.echr.coe.int/eng" \l "{%22itemid%22:[%22001-158200%22]}" </w:instrText>
      </w:r>
      <w:r>
        <w:fldChar w:fldCharType="separate"/>
      </w:r>
      <w:r>
        <w:rPr>
          <w:rStyle w:val="Hyperlink"/>
          <w:rFonts w:ascii="Arial" w:hAnsi="Arial" w:cs="Arial"/>
          <w:szCs w:val="28"/>
        </w:rPr>
        <w:t>Kudrevičius and Others v. Lithuania</w:t>
      </w:r>
      <w:r>
        <w:fldChar w:fldCharType="end"/>
      </w:r>
      <w:r w:rsidRPr="007978CD">
        <w:rPr>
          <w:rFonts w:ascii="Arial" w:hAnsi="Arial" w:cs="Arial"/>
          <w:color w:val="000000" w:themeColor="text1"/>
          <w:szCs w:val="28"/>
        </w:rPr>
        <w:t xml:space="preserve">, 2015, </w:t>
      </w:r>
      <w:r>
        <w:rPr>
          <w:rFonts w:ascii="Arial" w:hAnsi="Arial" w:cs="Arial"/>
          <w:color w:val="000000" w:themeColor="text1"/>
          <w:szCs w:val="28"/>
        </w:rPr>
        <w:t>paragraph</w:t>
      </w:r>
      <w:r w:rsidRPr="007978CD">
        <w:rPr>
          <w:rFonts w:ascii="Arial" w:hAnsi="Arial" w:cs="Arial"/>
          <w:color w:val="000000" w:themeColor="text1"/>
          <w:szCs w:val="28"/>
        </w:rPr>
        <w:t xml:space="preserve"> 145; </w:t>
      </w:r>
      <w:r>
        <w:fldChar w:fldCharType="begin"/>
      </w:r>
      <w:r>
        <w:instrText xml:space="preserve"> HYPERLINK "https://hudoc.echr.coe.int/eng" \l "{%22itemid%22:[%22001-59689%22]}" </w:instrText>
      </w:r>
      <w:r>
        <w:fldChar w:fldCharType="separate"/>
      </w:r>
      <w:r w:rsidRPr="007978CD">
        <w:rPr>
          <w:rStyle w:val="Hyperlink"/>
          <w:rFonts w:ascii="Arial" w:hAnsi="Arial" w:cs="Arial"/>
          <w:szCs w:val="28"/>
        </w:rPr>
        <w:t>Stankov and the United Macedonian Organisation Ilinden v. Bulgaria</w:t>
      </w:r>
      <w:r>
        <w:fldChar w:fldCharType="end"/>
      </w:r>
      <w:r w:rsidRPr="007978CD">
        <w:rPr>
          <w:rFonts w:ascii="Arial" w:hAnsi="Arial" w:cs="Arial"/>
          <w:color w:val="000000" w:themeColor="text1"/>
          <w:szCs w:val="28"/>
        </w:rPr>
        <w:t xml:space="preserve">, 2001, </w:t>
      </w:r>
      <w:r>
        <w:rPr>
          <w:rFonts w:ascii="Arial" w:hAnsi="Arial" w:cs="Arial"/>
          <w:color w:val="000000" w:themeColor="text1"/>
          <w:szCs w:val="28"/>
        </w:rPr>
        <w:t>paragraph</w:t>
      </w:r>
      <w:r w:rsidRPr="007978CD">
        <w:rPr>
          <w:rFonts w:ascii="Arial" w:hAnsi="Arial" w:cs="Arial"/>
          <w:color w:val="000000" w:themeColor="text1"/>
          <w:szCs w:val="28"/>
        </w:rPr>
        <w:t xml:space="preserve"> 97).</w:t>
      </w:r>
    </w:p>
    <w:p w:rsidR="000903C4" w:rsidP="00F644BD">
      <w:pPr>
        <w:pStyle w:val="ListParagraph"/>
        <w:keepLines w:val="0"/>
        <w:numPr>
          <w:ilvl w:val="1"/>
          <w:numId w:val="46"/>
        </w:numPr>
        <w:spacing w:before="0" w:after="160" w:line="259" w:lineRule="auto"/>
        <w:rPr>
          <w:rFonts w:ascii="Arial" w:hAnsi="Arial" w:cs="Arial"/>
          <w:color w:val="000000" w:themeColor="text1"/>
          <w:szCs w:val="28"/>
        </w:rPr>
      </w:pPr>
      <w:r>
        <w:rPr>
          <w:rFonts w:ascii="Arial" w:hAnsi="Arial" w:cs="Arial"/>
          <w:color w:val="000000" w:themeColor="text1"/>
          <w:szCs w:val="28"/>
        </w:rPr>
        <w:t>Individual acts of criminality must be addressed, but applying blanket restrictions on peaceful protests may amount to a disproportionate interference with Article 10 and 11 rights.</w:t>
      </w:r>
    </w:p>
    <w:p w:rsidR="000903C4" w:rsidRPr="004729DE" w:rsidP="00F644BD">
      <w:pPr>
        <w:keepLines w:val="0"/>
        <w:spacing w:before="0" w:after="160" w:line="259" w:lineRule="auto"/>
        <w:ind w:left="360"/>
      </w:pPr>
    </w:p>
    <w:p w:rsidR="000903C4" w:rsidP="00F644BD">
      <w:pPr>
        <w:pStyle w:val="ListParagraph"/>
        <w:keepLines w:val="0"/>
        <w:numPr>
          <w:ilvl w:val="0"/>
          <w:numId w:val="37"/>
        </w:numPr>
        <w:spacing w:before="0" w:after="160" w:line="259" w:lineRule="auto"/>
        <w:rPr>
          <w:b/>
          <w:bCs/>
        </w:rPr>
      </w:pPr>
      <w:r>
        <w:rPr>
          <w:b/>
          <w:bCs/>
        </w:rPr>
        <w:t>Are the thresholds and processes for proscription of groups concerned in terrorism sufficiently clear? To what extent do offences that concern encouraging support or creating a reasonable suspicion of support for proscribed groups interact with free expression and peaceful assembly?</w:t>
      </w:r>
    </w:p>
    <w:p w:rsidR="000903C4" w:rsidP="00F644BD">
      <w:pPr>
        <w:pStyle w:val="ListParagraph"/>
        <w:keepLines w:val="0"/>
        <w:numPr>
          <w:ilvl w:val="1"/>
          <w:numId w:val="37"/>
        </w:numPr>
        <w:spacing w:before="0" w:after="160" w:line="259" w:lineRule="auto"/>
      </w:pPr>
      <w:r>
        <w:t>As this issue is currently under active consideration by the Court of Appeal, it is inappropriate to comment at this time.</w:t>
      </w:r>
    </w:p>
    <w:p w:rsidR="000903C4" w:rsidRPr="001C5476" w:rsidP="00F644BD">
      <w:pPr>
        <w:keepLines w:val="0"/>
        <w:spacing w:before="0" w:after="160" w:line="259" w:lineRule="auto"/>
      </w:pPr>
    </w:p>
    <w:p w:rsidR="000903C4" w:rsidP="00F644BD">
      <w:pPr>
        <w:pStyle w:val="ListParagraph"/>
        <w:keepLines w:val="0"/>
        <w:numPr>
          <w:ilvl w:val="0"/>
          <w:numId w:val="37"/>
        </w:numPr>
        <w:spacing w:before="0" w:after="160" w:line="259" w:lineRule="auto"/>
        <w:rPr>
          <w:b/>
          <w:bCs/>
        </w:rPr>
      </w:pPr>
      <w:r>
        <w:rPr>
          <w:b/>
          <w:bCs/>
        </w:rPr>
        <w:t xml:space="preserve">How is the right to protest recognised and protected during prosecution and trial? Do “reasonable excuse” defences ensure the right to peaceful protest can be taken into account or create unacceptable uncertainty? Should sentencing be affected by a defendant’s involvement in protest? </w:t>
      </w:r>
    </w:p>
    <w:p w:rsidR="000903C4" w:rsidRPr="00D94140" w:rsidP="00F644BD">
      <w:pPr>
        <w:pStyle w:val="ListParagraph"/>
        <w:keepLines w:val="0"/>
        <w:numPr>
          <w:ilvl w:val="1"/>
          <w:numId w:val="45"/>
        </w:numPr>
        <w:spacing w:before="0" w:after="160" w:line="259" w:lineRule="auto"/>
        <w:rPr>
          <w:rFonts w:ascii="Arial" w:eastAsia="Arial" w:hAnsi="Arial" w:cs="Arial"/>
          <w:color w:val="1E1E1E"/>
          <w:sz w:val="24"/>
          <w:szCs w:val="24"/>
        </w:rPr>
      </w:pPr>
      <w:bookmarkStart w:id="3" w:name="_Hlk225955110"/>
      <w:r>
        <w:t xml:space="preserve">Courts are required under section 3 of the Human Rights Act 1998 to interpret legislation, in so far as it is possible, in a way which is compatible with the Convention rights </w:t>
      </w:r>
    </w:p>
    <w:p w:rsidR="000903C4" w:rsidRPr="00D94140" w:rsidP="00F644BD">
      <w:pPr>
        <w:pStyle w:val="ListParagraph"/>
        <w:keepLines w:val="0"/>
        <w:numPr>
          <w:ilvl w:val="1"/>
          <w:numId w:val="45"/>
        </w:numPr>
        <w:spacing w:before="0" w:after="160" w:line="259" w:lineRule="auto"/>
        <w:rPr>
          <w:b/>
          <w:bCs/>
        </w:rPr>
      </w:pPr>
      <w:r>
        <w:t>Case law, both domestic and from the ECtHR, has provided clear boundaries for when it is legitimate for the right to protest to be restricted. The key factor the courts must consider is the four-part</w:t>
      </w:r>
      <w:r w:rsidRPr="00803FBE">
        <w:t xml:space="preserve"> </w:t>
      </w:r>
      <w:r>
        <w:t xml:space="preserve">test for </w:t>
      </w:r>
      <w:r w:rsidRPr="00803FBE">
        <w:t>proportionality</w:t>
      </w:r>
      <w:r>
        <w:t xml:space="preserve"> for qualified rights, first set out by the Supreme Court in </w:t>
      </w:r>
      <w:r>
        <w:fldChar w:fldCharType="begin"/>
      </w:r>
      <w:r>
        <w:instrText xml:space="preserve"> HYPERLINK "https://www.bailii.org/uk/cases/UKSC/2013/39.html" </w:instrText>
      </w:r>
      <w:r>
        <w:fldChar w:fldCharType="separate"/>
      </w:r>
      <w:r w:rsidRPr="00E86D53">
        <w:rPr>
          <w:rStyle w:val="Hyperlink"/>
        </w:rPr>
        <w:t>Bank Mellat v HM Treasury</w:t>
      </w:r>
      <w:r>
        <w:fldChar w:fldCharType="end"/>
      </w:r>
      <w:r>
        <w:t xml:space="preserve"> </w:t>
      </w:r>
      <w:r w:rsidRPr="00803FBE">
        <w:t>(Paragraph 118)</w:t>
      </w:r>
    </w:p>
    <w:p w:rsidR="000903C4" w:rsidRPr="00D94140" w:rsidP="00F644BD">
      <w:pPr>
        <w:pStyle w:val="ListParagraph"/>
        <w:keepLines w:val="0"/>
        <w:numPr>
          <w:ilvl w:val="1"/>
          <w:numId w:val="45"/>
        </w:numPr>
        <w:spacing w:before="0" w:after="160" w:line="259" w:lineRule="auto"/>
        <w:rPr>
          <w:b/>
          <w:bCs/>
        </w:rPr>
      </w:pPr>
      <w:r>
        <w:t>This test enables the courts to balance the individual’s rights with the state’s broader responsibilities to maintain order, prevent crime and protect the rights of others. Human rights do not provide a de facto defence, but a framework to ensure that any interference with rights is proportionate.</w:t>
      </w:r>
    </w:p>
    <w:p w:rsidR="000903C4" w:rsidRPr="00C12979" w:rsidP="00F644BD">
      <w:pPr>
        <w:pStyle w:val="ListParagraph"/>
        <w:keepLines w:val="0"/>
        <w:numPr>
          <w:ilvl w:val="1"/>
          <w:numId w:val="45"/>
        </w:numPr>
        <w:spacing w:before="0" w:after="160" w:line="259" w:lineRule="auto"/>
        <w:rPr>
          <w:b/>
          <w:bCs/>
        </w:rPr>
      </w:pPr>
      <w:r>
        <w:t xml:space="preserve">A ‘reasonable excuse’ defence is therefore not always necessary, as it is implicit in the assessment of proportionality. However, as the legal framework around protest, including the proliferation of offences, has become </w:t>
      </w:r>
      <w:r>
        <w:t>more complex, a ‘reasonable excuse’ defence may give an additional element of protection for the right to peaceful protest as part of the wider assessment of proportionality. A ‘reasonable excuse’ defence should not replace the consideration of proportionality, which will consider whether a prosecution should have been brought at all.</w:t>
      </w:r>
    </w:p>
    <w:p w:rsidR="000903C4" w:rsidRPr="00AC4F92" w:rsidP="00F644BD">
      <w:pPr>
        <w:pStyle w:val="ListParagraph"/>
        <w:keepLines w:val="0"/>
        <w:numPr>
          <w:ilvl w:val="1"/>
          <w:numId w:val="45"/>
        </w:numPr>
        <w:spacing w:before="0" w:after="160" w:line="259" w:lineRule="auto"/>
        <w:rPr>
          <w:b/>
          <w:bCs/>
        </w:rPr>
      </w:pPr>
      <w:r>
        <w:t>We have highlighted that potential sentences for some of the new protest-related offences are unduly harsh for non-violent acts, risking disproportionate penalty. However, Articles 10 and 11 only protect peaceful protest. There is no protection where activity is, for example, violent or breaches the criminal law, for example causing intentional and extensive criminal damage. In such cases, the connection between criminality and protest is unlikely to be a mitigating factor.</w:t>
      </w:r>
    </w:p>
    <w:p w:rsidR="000903C4" w:rsidP="00F644BD">
      <w:pPr>
        <w:keepLines w:val="0"/>
        <w:spacing w:before="0" w:after="160" w:line="259" w:lineRule="auto"/>
        <w:rPr>
          <w:b/>
          <w:bCs/>
        </w:rPr>
      </w:pPr>
      <w:bookmarkEnd w:id="3"/>
    </w:p>
    <w:p w:rsidR="000903C4" w:rsidP="00F644BD">
      <w:pPr>
        <w:keepLines w:val="0"/>
        <w:spacing w:before="0" w:after="160" w:line="259" w:lineRule="auto"/>
        <w:rPr>
          <w:b/>
          <w:bCs/>
        </w:rPr>
      </w:pPr>
    </w:p>
    <w:p w:rsidR="000903C4" w:rsidP="00F644BD">
      <w:pPr>
        <w:pStyle w:val="Heading3"/>
      </w:pPr>
      <w:r>
        <w:t xml:space="preserve">Surveillance </w:t>
      </w:r>
    </w:p>
    <w:p w:rsidR="000903C4" w:rsidP="00F644BD">
      <w:pPr>
        <w:pStyle w:val="ListParagraph"/>
        <w:keepLines w:val="0"/>
        <w:numPr>
          <w:ilvl w:val="0"/>
          <w:numId w:val="37"/>
        </w:numPr>
        <w:spacing w:before="0" w:after="160" w:line="259" w:lineRule="auto"/>
        <w:rPr>
          <w:b/>
          <w:bCs/>
        </w:rPr>
      </w:pPr>
      <w:r>
        <w:rPr>
          <w:b/>
          <w:bCs/>
        </w:rPr>
        <w:t>How important is police surveillance of protestors in ensuring public safety? How does it affect engagement in protest and comply with the right to respect for private life?</w:t>
      </w:r>
    </w:p>
    <w:p w:rsidR="000903C4" w:rsidRPr="00D94140" w:rsidP="00F644BD">
      <w:pPr>
        <w:pStyle w:val="ListParagraph"/>
        <w:keepLines w:val="0"/>
        <w:numPr>
          <w:ilvl w:val="1"/>
          <w:numId w:val="37"/>
        </w:numPr>
        <w:spacing w:before="0" w:after="160" w:line="259" w:lineRule="auto"/>
        <w:rPr>
          <w:rFonts w:ascii="Arial" w:eastAsia="Arial" w:hAnsi="Arial" w:cs="Arial"/>
          <w:szCs w:val="24"/>
        </w:rPr>
      </w:pPr>
      <w:r>
        <w:t xml:space="preserve">We recognise the complex challenges facing law enforcement in maintaining public order and ensuring people have the right to peaceful protest. </w:t>
      </w:r>
    </w:p>
    <w:p w:rsidR="000903C4" w:rsidRPr="00AE0841" w:rsidP="00F644BD">
      <w:pPr>
        <w:pStyle w:val="ListParagraph"/>
        <w:keepLines w:val="0"/>
        <w:numPr>
          <w:ilvl w:val="1"/>
          <w:numId w:val="37"/>
        </w:numPr>
        <w:spacing w:before="0" w:after="160" w:line="259" w:lineRule="auto"/>
        <w:rPr>
          <w:rFonts w:ascii="Arial" w:eastAsia="Arial" w:hAnsi="Arial" w:cs="Arial"/>
        </w:rPr>
      </w:pPr>
      <w:r>
        <w:t>However, all surveillance methods, including the use of technologies like facial recognition technology, engage Article 8 rights to privacy. This is a qualified right, and, in some cases, surveillance may be lawful where it is proportionate to protect individuals from harm. This may include when there is a real threat of violence and disorder. Routine surveillance (overt or covert) of peaceful protesters and protest groups without such risk is unlikely to be in accordance with human rights.</w:t>
      </w:r>
    </w:p>
    <w:p w:rsidR="000903C4" w:rsidP="00F644BD">
      <w:pPr>
        <w:pStyle w:val="ListParagraph"/>
        <w:keepLines w:val="0"/>
        <w:spacing w:before="0" w:after="160" w:line="259" w:lineRule="auto"/>
        <w:ind w:left="720"/>
        <w:rPr>
          <w:b/>
          <w:bCs/>
        </w:rPr>
      </w:pPr>
    </w:p>
    <w:p w:rsidR="000903C4" w:rsidRPr="00067AEF" w:rsidP="00F644BD">
      <w:pPr>
        <w:pStyle w:val="ListParagraph"/>
        <w:keepLines w:val="0"/>
        <w:numPr>
          <w:ilvl w:val="0"/>
          <w:numId w:val="37"/>
        </w:numPr>
        <w:spacing w:before="0" w:after="160" w:line="259" w:lineRule="auto"/>
        <w:rPr>
          <w:b/>
          <w:bCs/>
        </w:rPr>
      </w:pPr>
      <w:r>
        <w:rPr>
          <w:b/>
          <w:bCs/>
        </w:rPr>
        <w:t>The Government is currently consulting on a “new legal framework for law enforcement use of biometrics, facial recognition and similar technologies.” Does the use of these technologies in respect of protest raise distinct human rights concerns and how best can they be addressed?</w:t>
      </w:r>
    </w:p>
    <w:p w:rsidR="000903C4" w:rsidP="00F644BD">
      <w:pPr>
        <w:pStyle w:val="ListParagraph"/>
        <w:keepLines w:val="0"/>
        <w:numPr>
          <w:ilvl w:val="1"/>
          <w:numId w:val="44"/>
        </w:numPr>
        <w:spacing w:before="0" w:after="160" w:line="259" w:lineRule="auto"/>
        <w:ind w:left="1134"/>
        <w:rPr>
          <w:rFonts w:ascii="Arial" w:eastAsia="Arial" w:hAnsi="Arial" w:cs="Arial"/>
        </w:rPr>
      </w:pPr>
      <w:r w:rsidRPr="04112C75">
        <w:rPr>
          <w:rFonts w:ascii="Arial" w:eastAsia="Arial" w:hAnsi="Arial" w:cs="Arial"/>
        </w:rPr>
        <w:t xml:space="preserve">In our </w:t>
      </w:r>
      <w:r>
        <w:fldChar w:fldCharType="begin"/>
      </w:r>
      <w:r>
        <w:instrText xml:space="preserve"> HYPERLINK "https://www.equalityhumanrights.com/our-work/advising-parliament-and-governments/consultation-new-legal-framework-law-enforcement-use?return-url=https%3A%2F%2Fwww.equalityhumanrights.com%2Fsearch%3Fkeys%3Dhome%2Boffice%2Bconsultation%2Bbiometrics%26sort_by%3Dsearch_api_relevance" </w:instrText>
      </w:r>
      <w:r>
        <w:fldChar w:fldCharType="separate"/>
      </w:r>
      <w:r w:rsidRPr="04112C75">
        <w:rPr>
          <w:rStyle w:val="Hyperlink"/>
          <w:rFonts w:ascii="Arial" w:eastAsia="Arial" w:hAnsi="Arial" w:cs="Arial"/>
        </w:rPr>
        <w:t>response to the Home Office consultation on a new legal framework on for law enforcement use of biometrics, facial recognition and similar technologies</w:t>
      </w:r>
      <w:r>
        <w:fldChar w:fldCharType="end"/>
      </w:r>
      <w:r w:rsidRPr="04112C75">
        <w:rPr>
          <w:rFonts w:ascii="Arial" w:eastAsia="Arial" w:hAnsi="Arial" w:cs="Arial"/>
        </w:rPr>
        <w:t xml:space="preserve"> we noted that surveillance technologies can </w:t>
      </w:r>
      <w:r>
        <w:rPr>
          <w:rFonts w:ascii="Arial" w:eastAsia="Arial" w:hAnsi="Arial" w:cs="Arial"/>
        </w:rPr>
        <w:t>significantly interfere with</w:t>
      </w:r>
      <w:r w:rsidRPr="04112C75">
        <w:rPr>
          <w:rFonts w:ascii="Arial" w:eastAsia="Arial" w:hAnsi="Arial" w:cs="Arial"/>
        </w:rPr>
        <w:t xml:space="preserve"> the rights to freedom of expression, and assembly and association, set out in Articles 10 and 11 ECHR. Live Facial Recognition (LFR) is the primary surveillance tool being used in public spaces by police forces in England and Wales and its use is expanding</w:t>
      </w:r>
      <w:r>
        <w:rPr>
          <w:rFonts w:ascii="Arial" w:eastAsia="Arial" w:hAnsi="Arial" w:cs="Arial"/>
        </w:rPr>
        <w:t>.</w:t>
      </w:r>
    </w:p>
    <w:p w:rsidR="000903C4" w:rsidRPr="00B135CA" w:rsidP="00F644BD">
      <w:pPr>
        <w:pStyle w:val="ListParagraph"/>
        <w:keepLines w:val="0"/>
        <w:numPr>
          <w:ilvl w:val="1"/>
          <w:numId w:val="44"/>
        </w:numPr>
        <w:spacing w:before="0" w:after="160" w:line="259" w:lineRule="auto"/>
        <w:ind w:left="1134"/>
        <w:rPr>
          <w:rFonts w:ascii="Arial" w:eastAsia="Arial" w:hAnsi="Arial" w:cs="Arial"/>
        </w:rPr>
      </w:pPr>
      <w:r>
        <w:t xml:space="preserve">The </w:t>
      </w:r>
      <w:r>
        <w:fldChar w:fldCharType="begin"/>
      </w:r>
      <w:r>
        <w:instrText xml:space="preserve"> HYPERLINK "https://docs.un.org/en/A/HRC/44/24" </w:instrText>
      </w:r>
      <w:r>
        <w:fldChar w:fldCharType="separate"/>
      </w:r>
      <w:r w:rsidRPr="04112C75">
        <w:rPr>
          <w:rStyle w:val="Hyperlink"/>
        </w:rPr>
        <w:t>UN High Commissioner for Human Rights</w:t>
      </w:r>
      <w:r>
        <w:fldChar w:fldCharType="end"/>
      </w:r>
      <w:r w:rsidRPr="003A7AD2">
        <w:t xml:space="preserve"> has </w:t>
      </w:r>
      <w:r>
        <w:t>questioned whether the use of LFR at a peaceful protest could ever meet the necessity and proportionality test.</w:t>
      </w:r>
      <w:r w:rsidRPr="003A7AD2">
        <w:t xml:space="preserve"> </w:t>
      </w:r>
      <w:r>
        <w:t xml:space="preserve">Furthermore, </w:t>
      </w:r>
      <w:r w:rsidRPr="003A7AD2">
        <w:t>surveillance of protesters should only be conducted on a targeted basis, and only when there is reasonable suspicion that they are engaging in</w:t>
      </w:r>
      <w:r>
        <w:t>,</w:t>
      </w:r>
      <w:r w:rsidRPr="003A7AD2">
        <w:t xml:space="preserve"> or planning to engage in</w:t>
      </w:r>
      <w:r>
        <w:t>,</w:t>
      </w:r>
      <w:r w:rsidRPr="003A7AD2">
        <w:t xml:space="preserve"> serious criminal offences</w:t>
      </w:r>
      <w:r>
        <w:t xml:space="preserve"> (Paragraph 35).</w:t>
      </w:r>
    </w:p>
    <w:p w:rsidR="000903C4" w:rsidRPr="00B135CA" w:rsidP="00F644BD">
      <w:pPr>
        <w:pStyle w:val="ListParagraph"/>
        <w:keepLines w:val="0"/>
        <w:numPr>
          <w:ilvl w:val="1"/>
          <w:numId w:val="44"/>
        </w:numPr>
        <w:spacing w:before="0" w:after="160" w:line="259" w:lineRule="auto"/>
        <w:ind w:left="1134"/>
        <w:rPr>
          <w:rFonts w:ascii="Arial" w:eastAsia="Arial" w:hAnsi="Arial" w:cs="Arial"/>
          <w:szCs w:val="24"/>
        </w:rPr>
      </w:pPr>
      <w:r>
        <w:t xml:space="preserve">Similarly, the </w:t>
      </w:r>
      <w:r>
        <w:fldChar w:fldCharType="begin"/>
      </w:r>
      <w:r>
        <w:instrText xml:space="preserve"> HYPERLINK "https://fra.europa.eu/en/publication/2019/facial-recognition-technology-fundamental-rights-considerations-context-law" </w:instrText>
      </w:r>
      <w:r>
        <w:fldChar w:fldCharType="separate"/>
      </w:r>
      <w:r w:rsidRPr="0068137E">
        <w:rPr>
          <w:rStyle w:val="Hyperlink"/>
        </w:rPr>
        <w:t>Fundamental Rights Agency of the European Union</w:t>
      </w:r>
      <w:r>
        <w:fldChar w:fldCharType="end"/>
      </w:r>
      <w:r>
        <w:t xml:space="preserve"> (EU FRA) has highlighted the impact of the use of FRT at protests and the risk of a chilling effect on the rights to freedom of expression and of peaceful assembly and association (p. 30). </w:t>
      </w:r>
    </w:p>
    <w:p w:rsidR="000903C4" w:rsidRPr="003A5A93" w:rsidP="00F644BD">
      <w:pPr>
        <w:pStyle w:val="ListParagraph"/>
        <w:keepLines w:val="0"/>
        <w:numPr>
          <w:ilvl w:val="1"/>
          <w:numId w:val="44"/>
        </w:numPr>
        <w:spacing w:before="0" w:after="160" w:line="259" w:lineRule="auto"/>
        <w:ind w:left="1134"/>
        <w:rPr>
          <w:rFonts w:ascii="Arial" w:eastAsia="Arial" w:hAnsi="Arial" w:cs="Arial"/>
          <w:szCs w:val="24"/>
        </w:rPr>
      </w:pPr>
      <w:r>
        <w:t xml:space="preserve">In </w:t>
      </w:r>
      <w:r>
        <w:fldChar w:fldCharType="begin"/>
      </w:r>
      <w:r>
        <w:instrText xml:space="preserve"> HYPERLINK "https://hudoc.echr.coe.int/eng" \l "{%22itemid%22:[%22001-225655%22]}" </w:instrText>
      </w:r>
      <w:r>
        <w:fldChar w:fldCharType="separate"/>
      </w:r>
      <w:r w:rsidRPr="00D81D5D">
        <w:rPr>
          <w:rStyle w:val="Hyperlink"/>
        </w:rPr>
        <w:t>Glukhin v Russia</w:t>
      </w:r>
      <w:r>
        <w:fldChar w:fldCharType="end"/>
      </w:r>
      <w:r>
        <w:t xml:space="preserve"> the ECtHR </w:t>
      </w:r>
      <w:r w:rsidRPr="005462D1">
        <w:t>found</w:t>
      </w:r>
      <w:r>
        <w:t xml:space="preserve"> that the use </w:t>
      </w:r>
      <w:r w:rsidRPr="00B8204B">
        <w:t xml:space="preserve">of </w:t>
      </w:r>
      <w:r>
        <w:t>FRT</w:t>
      </w:r>
      <w:r w:rsidRPr="00B8204B">
        <w:t xml:space="preserve"> to identify and arrest participants in peaceful protest actions could have a chilling effect in relation to the rights to freedom of expression and assembly</w:t>
      </w:r>
      <w:r>
        <w:t xml:space="preserve"> (Paragraph 88). </w:t>
      </w:r>
    </w:p>
    <w:p w:rsidR="000903C4" w:rsidRPr="003A5A93" w:rsidP="00F644BD">
      <w:pPr>
        <w:pStyle w:val="ListParagraph"/>
        <w:keepLines w:val="0"/>
        <w:numPr>
          <w:ilvl w:val="1"/>
          <w:numId w:val="44"/>
        </w:numPr>
        <w:spacing w:before="0" w:after="160" w:line="259" w:lineRule="auto"/>
        <w:ind w:left="1134"/>
        <w:rPr>
          <w:rFonts w:ascii="Arial" w:eastAsia="Arial" w:hAnsi="Arial" w:cs="Arial"/>
          <w:szCs w:val="24"/>
        </w:rPr>
      </w:pPr>
      <w:r>
        <w:t xml:space="preserve">It is our view that surveillance technologies </w:t>
      </w:r>
      <w:r w:rsidRPr="003A7AD2">
        <w:t xml:space="preserve">should only be </w:t>
      </w:r>
      <w:r>
        <w:t>deployed</w:t>
      </w:r>
      <w:r w:rsidRPr="003A7AD2">
        <w:t xml:space="preserve"> </w:t>
      </w:r>
      <w:r>
        <w:t xml:space="preserve">at protests </w:t>
      </w:r>
      <w:r w:rsidRPr="003A7AD2">
        <w:t xml:space="preserve">when </w:t>
      </w:r>
      <w:r>
        <w:t xml:space="preserve">there is strong intelligence to suggest that </w:t>
      </w:r>
      <w:r w:rsidRPr="003A7AD2">
        <w:t>serious criminal offences</w:t>
      </w:r>
      <w:r>
        <w:t xml:space="preserve"> are likely to take place and to maintain public safety. Any such use should also be subject to independent authorisation prior to deployment.</w:t>
      </w:r>
    </w:p>
    <w:p w:rsidR="000903C4" w:rsidP="00F644BD">
      <w:pPr>
        <w:pStyle w:val="Heading3"/>
      </w:pPr>
      <w:r>
        <w:t>Public scrutiny</w:t>
      </w:r>
    </w:p>
    <w:p w:rsidR="000903C4" w:rsidP="00F644BD">
      <w:pPr>
        <w:pStyle w:val="ListParagraph"/>
        <w:keepLines w:val="0"/>
        <w:numPr>
          <w:ilvl w:val="0"/>
          <w:numId w:val="37"/>
        </w:numPr>
        <w:spacing w:before="0" w:after="160" w:line="259" w:lineRule="auto"/>
        <w:rPr>
          <w:b/>
          <w:bCs/>
        </w:rPr>
      </w:pPr>
      <w:r>
        <w:rPr>
          <w:b/>
          <w:bCs/>
        </w:rPr>
        <w:t xml:space="preserve">The Home Office recently published statistics on the use of police powers to impose conditions on protests under sections 12, 14 and 14ZA of the Public Order Act 1986. How useful is the available data on police powers and protest collected and published by the government? </w:t>
      </w:r>
    </w:p>
    <w:p w:rsidR="000903C4" w:rsidRPr="009E445B" w:rsidP="00F644BD">
      <w:pPr>
        <w:pStyle w:val="ListParagraph"/>
        <w:keepLines w:val="0"/>
        <w:numPr>
          <w:ilvl w:val="1"/>
          <w:numId w:val="37"/>
        </w:numPr>
        <w:spacing w:before="0" w:after="160" w:line="259" w:lineRule="auto"/>
        <w:rPr>
          <w:b/>
          <w:bCs/>
        </w:rPr>
      </w:pPr>
      <w:r>
        <w:t xml:space="preserve">According to </w:t>
      </w:r>
      <w:r>
        <w:fldChar w:fldCharType="begin"/>
      </w:r>
      <w:r>
        <w:instrText xml:space="preserve"> HYPERLINK "https://www.gov.uk/government/statistics/police-protest-powers-june-2022-to-march-2025/police-protest-powers-june-2022-to-march-2025" </w:instrText>
      </w:r>
      <w:r>
        <w:fldChar w:fldCharType="separate"/>
      </w:r>
      <w:r w:rsidRPr="107985B6">
        <w:rPr>
          <w:rStyle w:val="Hyperlink"/>
        </w:rPr>
        <w:t>figures released by the Home Office covering June 2022 to March 2025</w:t>
      </w:r>
      <w:r>
        <w:fldChar w:fldCharType="end"/>
      </w:r>
      <w:r>
        <w:t xml:space="preserve">, 17 out of 43 police forces in England and Wales used Public Order Act 1986 powers to impose conditions on 640 protests. </w:t>
      </w:r>
    </w:p>
    <w:p w:rsidR="000903C4" w:rsidP="00F644BD">
      <w:pPr>
        <w:pStyle w:val="ListParagraph"/>
        <w:keepLines w:val="0"/>
        <w:numPr>
          <w:ilvl w:val="1"/>
          <w:numId w:val="37"/>
        </w:numPr>
        <w:spacing w:before="0" w:after="160" w:line="259" w:lineRule="auto"/>
      </w:pPr>
      <w:r>
        <w:t xml:space="preserve">Out of a total of 640 protests, the Metropolitan Police used these powers most often, applying them to 570 protests (89%). A total of 519 people were arrested for breaching conditions imposed at processions or assemblies. We understand that out of 464 processions where conditions were applied, 411 had an environmental theme (89%). Out of 174 assemblies where restrictions were applied, 145 were linked to pro-Palestinian protests and demonstrations (83%). </w:t>
      </w:r>
    </w:p>
    <w:p w:rsidR="000903C4" w:rsidP="00F644BD">
      <w:pPr>
        <w:pStyle w:val="ListParagraph"/>
        <w:keepLines w:val="0"/>
        <w:numPr>
          <w:ilvl w:val="1"/>
          <w:numId w:val="37"/>
        </w:numPr>
        <w:spacing w:before="0" w:after="160" w:line="259" w:lineRule="auto"/>
      </w:pPr>
      <w:r>
        <w:t>Publishing such data is helpful to understand how the police are using powers to restrict protest, including the trigger, type, frequency and duration of conditions applied. It is also important to understand the protest themes where conditions have been applied. However, it would aid further scrutiny to collect and publish detailed data on the specific offences applied. Similarly, publication of data where hate crime offences are applied at protest would be useful to understand the scale of this issue.</w:t>
      </w:r>
    </w:p>
    <w:p w:rsidR="000903C4" w:rsidP="00F644BD">
      <w:pPr>
        <w:pStyle w:val="ListParagraph"/>
        <w:keepLines w:val="0"/>
        <w:numPr>
          <w:ilvl w:val="1"/>
          <w:numId w:val="37"/>
        </w:numPr>
        <w:spacing w:before="0" w:after="160" w:line="259" w:lineRule="auto"/>
      </w:pPr>
      <w:r>
        <w:t>Where police powers interfere with fundamental rights, we would encourage the collection and publication of detailed data and statistics to allow for scrutiny.</w:t>
      </w:r>
    </w:p>
    <w:p w:rsidR="000903C4" w:rsidRPr="0018203F" w:rsidP="00F644BD">
      <w:pPr>
        <w:keepLines w:val="0"/>
        <w:spacing w:before="0" w:after="160" w:line="259" w:lineRule="auto"/>
        <w:ind w:left="360"/>
        <w:rPr>
          <w:szCs w:val="28"/>
        </w:rPr>
      </w:pPr>
    </w:p>
    <w:p w:rsidR="000903C4" w:rsidP="00F644BD">
      <w:pPr>
        <w:pStyle w:val="ListParagraph"/>
        <w:keepLines w:val="0"/>
        <w:numPr>
          <w:ilvl w:val="0"/>
          <w:numId w:val="37"/>
        </w:numPr>
        <w:spacing w:before="0" w:after="160" w:line="259" w:lineRule="auto"/>
        <w:rPr>
          <w:b/>
          <w:bCs/>
        </w:rPr>
      </w:pPr>
      <w:r>
        <w:rPr>
          <w:b/>
          <w:bCs/>
        </w:rPr>
        <w:t>What data on the policing of protest should be collected and made public (for example use of specific powers, arrests, use of individual data, equality impacts) to enable effective scrutiny?</w:t>
      </w:r>
    </w:p>
    <w:p w:rsidR="000903C4" w:rsidP="00F644BD">
      <w:pPr>
        <w:pStyle w:val="ListParagraph"/>
        <w:keepLines w:val="0"/>
        <w:numPr>
          <w:ilvl w:val="1"/>
          <w:numId w:val="37"/>
        </w:numPr>
        <w:spacing w:before="0" w:after="160" w:line="259" w:lineRule="auto"/>
      </w:pPr>
      <w:r>
        <w:fldChar w:fldCharType="begin"/>
      </w:r>
      <w:r>
        <w:instrText xml:space="preserve"> HYPERLINK "https://www.gov.uk/government/statistics/police-protest-powers-june-2022-to-march-2025/police-protest-powers-june-2022-to-march-2025" \l "persons-arrested-for-breaching-conditions-at-protests" </w:instrText>
      </w:r>
      <w:r>
        <w:fldChar w:fldCharType="separate"/>
      </w:r>
      <w:r w:rsidRPr="00B26566">
        <w:rPr>
          <w:rStyle w:val="Hyperlink"/>
        </w:rPr>
        <w:t>There is no mandatory requirement on the Home Office to collect disaggregated data on the characteristics of all people arrested at protests,</w:t>
      </w:r>
      <w:r>
        <w:fldChar w:fldCharType="end"/>
      </w:r>
      <w:r w:rsidRPr="00B26566">
        <w:t xml:space="preserve"> making it difficult to analyse the </w:t>
      </w:r>
      <w:r w:rsidRPr="00B26566">
        <w:t xml:space="preserve">impact of new legislative measures on </w:t>
      </w:r>
      <w:bookmarkStart w:id="4" w:name="_Int_49NMnm3P"/>
      <w:r w:rsidRPr="00B26566">
        <w:t>particular groups</w:t>
      </w:r>
      <w:bookmarkEnd w:id="4"/>
      <w:r w:rsidRPr="00B26566">
        <w:t>. Self-defined ethnicity was not stated or not recorded for 78% of arrests at protests between June 2022 to March 2025.</w:t>
      </w:r>
    </w:p>
    <w:p w:rsidR="000903C4" w:rsidRPr="00B26566" w:rsidP="00F644BD">
      <w:pPr>
        <w:pStyle w:val="ListParagraph"/>
        <w:keepLines w:val="0"/>
        <w:numPr>
          <w:ilvl w:val="1"/>
          <w:numId w:val="37"/>
        </w:numPr>
        <w:spacing w:before="0" w:after="160" w:line="259" w:lineRule="auto"/>
      </w:pPr>
      <w:r>
        <w:t xml:space="preserve">Therefore, police forces should be required to collect and the Home Office should publish data on the protected characteristics of every individual arrested at protests. </w:t>
      </w:r>
    </w:p>
    <w:p w:rsidR="000903C4" w:rsidRPr="007C1D79" w:rsidP="00F644BD">
      <w:pPr>
        <w:pStyle w:val="ListParagraph"/>
        <w:keepLines w:val="0"/>
        <w:numPr>
          <w:ilvl w:val="1"/>
          <w:numId w:val="37"/>
        </w:numPr>
        <w:spacing w:before="0" w:after="160" w:line="259" w:lineRule="auto"/>
        <w:rPr>
          <w:b/>
          <w:bCs/>
        </w:rPr>
      </w:pPr>
      <w:r>
        <w:t xml:space="preserve">Furthermore, data on the total number of people arrested at protests and the offence type should be collected and not just those arrested for breaching conditions imposed. </w:t>
      </w:r>
    </w:p>
    <w:p w:rsidR="000903C4" w:rsidRPr="00D52E95" w:rsidP="00F644BD">
      <w:pPr>
        <w:pStyle w:val="ListParagraph"/>
        <w:keepLines w:val="0"/>
        <w:numPr>
          <w:ilvl w:val="1"/>
          <w:numId w:val="37"/>
        </w:numPr>
        <w:spacing w:before="0" w:after="160" w:line="259" w:lineRule="auto"/>
        <w:rPr>
          <w:b/>
          <w:bCs/>
        </w:rPr>
      </w:pPr>
      <w:r>
        <w:t xml:space="preserve">There might be a perception that some examples of peaceful protest have attracted disproportionate police attention which has undermined the confidence of both protestors and the public in law enforcement. Therefore, the government should seek to understand if there is a disproportionate impact on certain protestors, including any disproportionate impact on groups of people who share particular protected characteristics. </w:t>
      </w:r>
    </w:p>
    <w:p w:rsidR="000903C4" w:rsidRPr="00193644" w:rsidP="00F644BD"/>
    <w:p w:rsidR="000903C4" w:rsidRPr="00524406" w:rsidP="00F644BD">
      <w:pPr>
        <w:rPr>
          <w:rFonts w:ascii="Calibri" w:hAnsi="Calibri" w:cs="Calibri"/>
          <w:b/>
          <w:bCs/>
          <w:i/>
          <w:iCs/>
          <w:sz w:val="24"/>
          <w:szCs w:val="24"/>
        </w:rPr>
      </w:pPr>
      <w:r w:rsidRPr="00524406">
        <w:rPr>
          <w:rFonts w:ascii="Calibri" w:hAnsi="Calibri" w:cs="Calibri"/>
          <w:b/>
          <w:bCs/>
          <w:i/>
          <w:iCs/>
          <w:sz w:val="24"/>
          <w:szCs w:val="24"/>
        </w:rPr>
        <w:t xml:space="preserve">(May 2026) </w:t>
      </w:r>
    </w:p>
    <w:sectPr w:rsidSect="00BD45D9">
      <w:footerReference w:type="even" r:id="rId8"/>
      <w:footerReference w:type="first" r:id="rId9"/>
      <w:pgSz w:w="11906" w:h="16838" w:code="9"/>
      <w:pgMar w:top="1814" w:right="1644" w:bottom="567" w:left="1644" w:header="340" w:footer="454" w:gutter="0"/>
      <w:pgNumType w:start="1"/>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03C4">
    <w:pPr>
      <w:pStyle w:val="Footer"/>
    </w:pPr>
  </w:p>
  <w:p w:rsidR="000903C4"/>
  <w:p w:rsidR="000903C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03C4" w:rsidRPr="00025F95" w:rsidP="007D5C48">
    <w:pPr>
      <w:pStyle w:val="Footer"/>
      <w:pBdr>
        <w:top w:val="single" w:sz="12" w:space="4" w:color="0B4E60" w:themeColor="text2"/>
      </w:pBdr>
      <w:ind w:left="-851" w:right="-738"/>
      <w:jc w:val="center"/>
      <w:rPr>
        <w:b/>
        <w:color w:val="009C98" w:themeColor="accent1"/>
        <w:sz w:val="32"/>
        <w:szCs w:val="32"/>
      </w:rPr>
    </w:pPr>
    <w:sdt>
      <w:sdtPr>
        <w:id w:val="-574517756"/>
        <w:docPartObj>
          <w:docPartGallery w:val="Page Numbers (Bottom of Page)"/>
          <w:docPartUnique/>
        </w:docPartObj>
      </w:sdtPr>
      <w:sdtEndPr>
        <w:rPr>
          <w:noProof/>
        </w:rPr>
      </w:sdtEndPr>
      <w:sdtContent>
        <w:r w:rsidRPr="00325310">
          <w:fldChar w:fldCharType="begin"/>
        </w:r>
        <w:r w:rsidRPr="00325310">
          <w:instrText xml:space="preserve"> PAGE   \* MERGEFORMAT </w:instrText>
        </w:r>
        <w:r w:rsidRPr="00325310">
          <w:fldChar w:fldCharType="separate"/>
        </w:r>
        <w:r>
          <w:t>2</w:t>
        </w:r>
        <w:r w:rsidRPr="00325310">
          <w:rPr>
            <w:noProof/>
          </w:rPr>
          <w:fldChar w:fldCharType="end"/>
        </w:r>
      </w:sdtContent>
    </w:sdt>
    <w:r>
      <w:fldChar w:fldCharType="begin"/>
    </w:r>
    <w:r>
      <w:instrText xml:space="preserve"> HYPERLINK "http://www.equalityhumanrights.com" </w:instrText>
    </w:r>
    <w:r>
      <w:fldChar w:fldCharType="separate"/>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6507616"/>
    <w:lvl w:ilvl="0">
      <w:start w:val="1"/>
      <w:numFmt w:val="decimal"/>
      <w:lvlText w:val="%1."/>
      <w:lvlJc w:val="left"/>
      <w:pPr>
        <w:tabs>
          <w:tab w:val="num" w:pos="1492"/>
        </w:tabs>
        <w:ind w:left="1492" w:hanging="360"/>
      </w:pPr>
    </w:lvl>
  </w:abstractNum>
  <w:abstractNum w:abstractNumId="1">
    <w:nsid w:val="FFFFFF7D"/>
    <w:multiLevelType w:val="singleLevel"/>
    <w:tmpl w:val="127A47C8"/>
    <w:lvl w:ilvl="0">
      <w:start w:val="1"/>
      <w:numFmt w:val="decimal"/>
      <w:lvlText w:val="%1."/>
      <w:lvlJc w:val="left"/>
      <w:pPr>
        <w:tabs>
          <w:tab w:val="num" w:pos="1209"/>
        </w:tabs>
        <w:ind w:left="1209" w:hanging="360"/>
      </w:pPr>
    </w:lvl>
  </w:abstractNum>
  <w:abstractNum w:abstractNumId="2">
    <w:nsid w:val="FFFFFF7E"/>
    <w:multiLevelType w:val="singleLevel"/>
    <w:tmpl w:val="D2269B0E"/>
    <w:lvl w:ilvl="0">
      <w:start w:val="1"/>
      <w:numFmt w:val="decimal"/>
      <w:lvlText w:val="%1."/>
      <w:lvlJc w:val="left"/>
      <w:pPr>
        <w:tabs>
          <w:tab w:val="num" w:pos="926"/>
        </w:tabs>
        <w:ind w:left="926" w:hanging="360"/>
      </w:pPr>
    </w:lvl>
  </w:abstractNum>
  <w:abstractNum w:abstractNumId="3">
    <w:nsid w:val="FFFFFF7F"/>
    <w:multiLevelType w:val="singleLevel"/>
    <w:tmpl w:val="852E9DF2"/>
    <w:lvl w:ilvl="0">
      <w:start w:val="1"/>
      <w:numFmt w:val="decimal"/>
      <w:lvlText w:val="%1."/>
      <w:lvlJc w:val="left"/>
      <w:pPr>
        <w:tabs>
          <w:tab w:val="num" w:pos="643"/>
        </w:tabs>
        <w:ind w:left="643" w:hanging="360"/>
      </w:pPr>
    </w:lvl>
  </w:abstractNum>
  <w:abstractNum w:abstractNumId="4">
    <w:nsid w:val="FFFFFF80"/>
    <w:multiLevelType w:val="singleLevel"/>
    <w:tmpl w:val="BFD83C1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5C4B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FF679D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228AA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118716C"/>
    <w:lvl w:ilvl="0">
      <w:start w:val="1"/>
      <w:numFmt w:val="decimal"/>
      <w:lvlText w:val="%1."/>
      <w:lvlJc w:val="left"/>
      <w:pPr>
        <w:tabs>
          <w:tab w:val="num" w:pos="360"/>
        </w:tabs>
        <w:ind w:left="360" w:hanging="360"/>
      </w:pPr>
    </w:lvl>
  </w:abstractNum>
  <w:abstractNum w:abstractNumId="9">
    <w:nsid w:val="FFFFFF89"/>
    <w:multiLevelType w:val="singleLevel"/>
    <w:tmpl w:val="D4846538"/>
    <w:lvl w:ilvl="0">
      <w:start w:val="1"/>
      <w:numFmt w:val="bullet"/>
      <w:lvlText w:val=""/>
      <w:lvlJc w:val="left"/>
      <w:pPr>
        <w:tabs>
          <w:tab w:val="num" w:pos="360"/>
        </w:tabs>
        <w:ind w:left="360" w:hanging="360"/>
      </w:pPr>
      <w:rPr>
        <w:rFonts w:ascii="Symbol" w:hAnsi="Symbol" w:hint="default"/>
      </w:rPr>
    </w:lvl>
  </w:abstractNum>
  <w:abstractNum w:abstractNumId="10">
    <w:nsid w:val="05361A4A"/>
    <w:multiLevelType w:val="hybridMultilevel"/>
    <w:tmpl w:val="8B0244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5C80531"/>
    <w:multiLevelType w:val="hybridMultilevel"/>
    <w:tmpl w:val="D0528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4E4BFE"/>
    <w:multiLevelType w:val="multilevel"/>
    <w:tmpl w:val="165ACE1C"/>
    <w:styleLink w:val="StyleBulletedSymbolsymbolLeft063cmHanging063cm1"/>
    <w:lvl w:ilvl="0">
      <w:start w:val="1"/>
      <w:numFmt w:val="bullet"/>
      <w:lvlText w:val=""/>
      <w:lvlJc w:val="left"/>
      <w:pPr>
        <w:ind w:left="539" w:hanging="539"/>
      </w:pPr>
      <w:rPr>
        <w:rFonts w:ascii="Symbol" w:hAnsi="Symbol" w:hint="default"/>
        <w:sz w:val="28"/>
      </w:rPr>
    </w:lvl>
    <w:lvl w:ilvl="1">
      <w:start w:val="1"/>
      <w:numFmt w:val="bullet"/>
      <w:lvlText w:val="̶"/>
      <w:lvlJc w:val="left"/>
      <w:pPr>
        <w:ind w:left="902" w:hanging="539"/>
      </w:pPr>
      <w:rPr>
        <w:rFonts w:ascii="Courier New" w:hAnsi="Courier New" w:hint="default"/>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13">
    <w:nsid w:val="089F74E2"/>
    <w:multiLevelType w:val="multilevel"/>
    <w:tmpl w:val="C966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B296468"/>
    <w:multiLevelType w:val="multilevel"/>
    <w:tmpl w:val="DE9827B8"/>
    <w:styleLink w:val="StyleOutlinenumberedLatinHeadingsArialComplexHeadi2"/>
    <w:lvl w:ilvl="0">
      <w:start w:val="1"/>
      <w:numFmt w:val="decimal"/>
      <w:lvlText w:val="%1"/>
      <w:lvlJc w:val="left"/>
      <w:pPr>
        <w:ind w:left="540" w:hanging="540"/>
      </w:pPr>
      <w:rPr>
        <w:rFonts w:hint="default"/>
        <w:sz w:val="32"/>
      </w:rPr>
    </w:lvl>
    <w:lvl w:ilvl="1">
      <w:start w:val="1"/>
      <w:numFmt w:val="decimal"/>
      <w:lvlText w:val="%1.%2"/>
      <w:lvlJc w:val="left"/>
      <w:pPr>
        <w:ind w:left="720" w:hanging="720"/>
      </w:pPr>
      <w:rPr>
        <w:rFonts w:asciiTheme="majorHAnsi" w:hAnsiTheme="majorHAnsi" w:cstheme="majorBidi"/>
        <w:b/>
        <w:color w:val="0B4E60" w:themeColor="text2"/>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77C382A"/>
    <w:multiLevelType w:val="multilevel"/>
    <w:tmpl w:val="DE9827B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9404F25"/>
    <w:multiLevelType w:val="multilevel"/>
    <w:tmpl w:val="2E18A506"/>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19B14E30"/>
    <w:multiLevelType w:val="multilevel"/>
    <w:tmpl w:val="9B34CA48"/>
    <w:lvl w:ilvl="0">
      <w:start w:val="2"/>
      <w:numFmt w:val="bullet"/>
      <w:pStyle w:val="Boxbullets"/>
      <w:lvlText w:val="̶"/>
      <w:lvlJc w:val="left"/>
      <w:pPr>
        <w:ind w:left="709" w:hanging="567"/>
      </w:pPr>
      <w:rPr>
        <w:rFonts w:ascii="Courier New" w:hAnsi="Courier New" w:hint="default"/>
      </w:rPr>
    </w:lvl>
    <w:lvl w:ilvl="1">
      <w:start w:val="1"/>
      <w:numFmt w:val="bullet"/>
      <w:lvlText w:val="­"/>
      <w:lvlJc w:val="left"/>
      <w:pPr>
        <w:ind w:left="902" w:hanging="539"/>
      </w:pPr>
      <w:rPr>
        <w:rFonts w:ascii="Courier New" w:hAnsi="Courier New" w:hint="default"/>
        <w:sz w:val="28"/>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18">
    <w:nsid w:val="1AC64DED"/>
    <w:multiLevelType w:val="hybridMultilevel"/>
    <w:tmpl w:val="59C2F1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1FC45341"/>
    <w:multiLevelType w:val="multilevel"/>
    <w:tmpl w:val="0809001D"/>
    <w:styleLink w:val="Basicbulletlist"/>
    <w:lvl w:ilvl="0">
      <w:start w:val="1"/>
      <w:numFmt w:val="bullet"/>
      <w:lvlText w:val="̶"/>
      <w:lvlJc w:val="left"/>
      <w:pPr>
        <w:ind w:left="360" w:hanging="360"/>
      </w:pPr>
      <w:rPr>
        <w:rFonts w:ascii="Courier New" w:hAnsi="Courier New"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5432820"/>
    <w:multiLevelType w:val="hybridMultilevel"/>
    <w:tmpl w:val="1D661D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297D5A1D"/>
    <w:multiLevelType w:val="multilevel"/>
    <w:tmpl w:val="AE50A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9DC196A"/>
    <w:multiLevelType w:val="multilevel"/>
    <w:tmpl w:val="EAB48ED2"/>
    <w:lvl w:ilvl="0">
      <w:start w:val="1"/>
      <w:numFmt w:val="bullet"/>
      <w:pStyle w:val="ListBullet"/>
      <w:lvlText w:val="̶"/>
      <w:lvlJc w:val="left"/>
      <w:pPr>
        <w:ind w:left="360" w:hanging="360"/>
      </w:pPr>
      <w:rPr>
        <w:rFonts w:ascii="Courier New" w:hAnsi="Courier New"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D8336BE"/>
    <w:multiLevelType w:val="multilevel"/>
    <w:tmpl w:val="48624524"/>
    <w:lvl w:ilvl="0">
      <w:start w:val="1"/>
      <w:numFmt w:val="bullet"/>
      <w:lvlText w:val="̶"/>
      <w:lvlJc w:val="left"/>
      <w:pPr>
        <w:ind w:left="360" w:hanging="360"/>
      </w:pPr>
      <w:rPr>
        <w:rFonts w:ascii="Courier New" w:hAnsi="Courier New"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0D942B4"/>
    <w:multiLevelType w:val="multilevel"/>
    <w:tmpl w:val="6F128D5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33601AAA"/>
    <w:multiLevelType w:val="multilevel"/>
    <w:tmpl w:val="4A04DED4"/>
    <w:lvl w:ilvl="0">
      <w:start w:val="2"/>
      <w:numFmt w:val="decimal"/>
      <w:lvlText w:val="%1"/>
      <w:lvlJc w:val="left"/>
      <w:pPr>
        <w:ind w:left="390" w:hanging="39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6">
    <w:nsid w:val="3C7637F6"/>
    <w:multiLevelType w:val="hybridMultilevel"/>
    <w:tmpl w:val="E3A27554"/>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369437D"/>
    <w:multiLevelType w:val="multilevel"/>
    <w:tmpl w:val="DE9827B8"/>
    <w:numStyleLink w:val="StyleOutlinenumberedLatinHeadingsArialComplexHeadi2"/>
  </w:abstractNum>
  <w:abstractNum w:abstractNumId="28">
    <w:nsid w:val="446E7419"/>
    <w:multiLevelType w:val="hybridMultilevel"/>
    <w:tmpl w:val="45BE0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9242756"/>
    <w:multiLevelType w:val="multilevel"/>
    <w:tmpl w:val="E33C0118"/>
    <w:styleLink w:val="StyleNumberedLeft0cmHanging127cm"/>
    <w:lvl w:ilvl="0">
      <w:start w:val="1"/>
      <w:numFmt w:val="decimal"/>
      <w:lvlText w:val="%1."/>
      <w:lvlJc w:val="left"/>
      <w:pPr>
        <w:ind w:left="539" w:hanging="539"/>
      </w:pPr>
      <w:rPr>
        <w:rFonts w:hint="default"/>
        <w:sz w:val="28"/>
      </w:rPr>
    </w:lvl>
    <w:lvl w:ilvl="1">
      <w:start w:val="1"/>
      <w:numFmt w:val="lowerLetter"/>
      <w:lvlText w:val="%2."/>
      <w:lvlJc w:val="left"/>
      <w:pPr>
        <w:ind w:left="902" w:hanging="539"/>
      </w:pPr>
      <w:rPr>
        <w:rFonts w:hint="default"/>
      </w:rPr>
    </w:lvl>
    <w:lvl w:ilvl="2">
      <w:start w:val="1"/>
      <w:numFmt w:val="lowerRoman"/>
      <w:lvlText w:val="%3."/>
      <w:lvlJc w:val="right"/>
      <w:pPr>
        <w:ind w:left="1265" w:hanging="539"/>
      </w:pPr>
      <w:rPr>
        <w:rFonts w:hint="default"/>
      </w:rPr>
    </w:lvl>
    <w:lvl w:ilvl="3">
      <w:start w:val="1"/>
      <w:numFmt w:val="decimal"/>
      <w:lvlText w:val="%4."/>
      <w:lvlJc w:val="left"/>
      <w:pPr>
        <w:ind w:left="1628" w:hanging="539"/>
      </w:pPr>
      <w:rPr>
        <w:rFonts w:hint="default"/>
      </w:rPr>
    </w:lvl>
    <w:lvl w:ilvl="4">
      <w:start w:val="1"/>
      <w:numFmt w:val="lowerLetter"/>
      <w:lvlText w:val="%5."/>
      <w:lvlJc w:val="left"/>
      <w:pPr>
        <w:ind w:left="1991" w:hanging="539"/>
      </w:pPr>
      <w:rPr>
        <w:rFonts w:hint="default"/>
      </w:rPr>
    </w:lvl>
    <w:lvl w:ilvl="5">
      <w:start w:val="1"/>
      <w:numFmt w:val="lowerRoman"/>
      <w:lvlText w:val="%6."/>
      <w:lvlJc w:val="right"/>
      <w:pPr>
        <w:ind w:left="2354" w:hanging="539"/>
      </w:pPr>
      <w:rPr>
        <w:rFonts w:hint="default"/>
      </w:rPr>
    </w:lvl>
    <w:lvl w:ilvl="6">
      <w:start w:val="1"/>
      <w:numFmt w:val="decimal"/>
      <w:lvlText w:val="%7."/>
      <w:lvlJc w:val="left"/>
      <w:pPr>
        <w:ind w:left="2717" w:hanging="539"/>
      </w:pPr>
      <w:rPr>
        <w:rFonts w:hint="default"/>
      </w:rPr>
    </w:lvl>
    <w:lvl w:ilvl="7">
      <w:start w:val="1"/>
      <w:numFmt w:val="lowerLetter"/>
      <w:lvlText w:val="%8."/>
      <w:lvlJc w:val="left"/>
      <w:pPr>
        <w:ind w:left="3080" w:hanging="539"/>
      </w:pPr>
      <w:rPr>
        <w:rFonts w:hint="default"/>
      </w:rPr>
    </w:lvl>
    <w:lvl w:ilvl="8">
      <w:start w:val="1"/>
      <w:numFmt w:val="lowerRoman"/>
      <w:lvlText w:val="%9."/>
      <w:lvlJc w:val="right"/>
      <w:pPr>
        <w:ind w:left="3443" w:hanging="539"/>
      </w:pPr>
      <w:rPr>
        <w:rFonts w:hint="default"/>
      </w:rPr>
    </w:lvl>
  </w:abstractNum>
  <w:abstractNum w:abstractNumId="30">
    <w:nsid w:val="4D3E00BD"/>
    <w:multiLevelType w:val="hybridMultilevel"/>
    <w:tmpl w:val="E1D0818C"/>
    <w:lvl w:ilvl="0">
      <w:start w:val="1"/>
      <w:numFmt w:val="bullet"/>
      <w:lvlText w:val=""/>
      <w:lvlJc w:val="left"/>
      <w:pPr>
        <w:ind w:left="1110" w:hanging="360"/>
      </w:pPr>
      <w:rPr>
        <w:rFonts w:ascii="Symbol" w:hAnsi="Symbol" w:hint="default"/>
      </w:rPr>
    </w:lvl>
    <w:lvl w:ilvl="1" w:tentative="1">
      <w:start w:val="1"/>
      <w:numFmt w:val="bullet"/>
      <w:lvlText w:val="o"/>
      <w:lvlJc w:val="left"/>
      <w:pPr>
        <w:ind w:left="1830" w:hanging="360"/>
      </w:pPr>
      <w:rPr>
        <w:rFonts w:ascii="Courier New" w:hAnsi="Courier New" w:cs="Courier New" w:hint="default"/>
      </w:rPr>
    </w:lvl>
    <w:lvl w:ilvl="2" w:tentative="1">
      <w:start w:val="1"/>
      <w:numFmt w:val="bullet"/>
      <w:lvlText w:val=""/>
      <w:lvlJc w:val="left"/>
      <w:pPr>
        <w:ind w:left="2550" w:hanging="360"/>
      </w:pPr>
      <w:rPr>
        <w:rFonts w:ascii="Wingdings" w:hAnsi="Wingdings" w:hint="default"/>
      </w:rPr>
    </w:lvl>
    <w:lvl w:ilvl="3" w:tentative="1">
      <w:start w:val="1"/>
      <w:numFmt w:val="bullet"/>
      <w:lvlText w:val=""/>
      <w:lvlJc w:val="left"/>
      <w:pPr>
        <w:ind w:left="3270" w:hanging="360"/>
      </w:pPr>
      <w:rPr>
        <w:rFonts w:ascii="Symbol" w:hAnsi="Symbol" w:hint="default"/>
      </w:rPr>
    </w:lvl>
    <w:lvl w:ilvl="4" w:tentative="1">
      <w:start w:val="1"/>
      <w:numFmt w:val="bullet"/>
      <w:lvlText w:val="o"/>
      <w:lvlJc w:val="left"/>
      <w:pPr>
        <w:ind w:left="3990" w:hanging="360"/>
      </w:pPr>
      <w:rPr>
        <w:rFonts w:ascii="Courier New" w:hAnsi="Courier New" w:cs="Courier New" w:hint="default"/>
      </w:rPr>
    </w:lvl>
    <w:lvl w:ilvl="5" w:tentative="1">
      <w:start w:val="1"/>
      <w:numFmt w:val="bullet"/>
      <w:lvlText w:val=""/>
      <w:lvlJc w:val="left"/>
      <w:pPr>
        <w:ind w:left="4710" w:hanging="360"/>
      </w:pPr>
      <w:rPr>
        <w:rFonts w:ascii="Wingdings" w:hAnsi="Wingdings" w:hint="default"/>
      </w:rPr>
    </w:lvl>
    <w:lvl w:ilvl="6" w:tentative="1">
      <w:start w:val="1"/>
      <w:numFmt w:val="bullet"/>
      <w:lvlText w:val=""/>
      <w:lvlJc w:val="left"/>
      <w:pPr>
        <w:ind w:left="5430" w:hanging="360"/>
      </w:pPr>
      <w:rPr>
        <w:rFonts w:ascii="Symbol" w:hAnsi="Symbol" w:hint="default"/>
      </w:rPr>
    </w:lvl>
    <w:lvl w:ilvl="7" w:tentative="1">
      <w:start w:val="1"/>
      <w:numFmt w:val="bullet"/>
      <w:lvlText w:val="o"/>
      <w:lvlJc w:val="left"/>
      <w:pPr>
        <w:ind w:left="6150" w:hanging="360"/>
      </w:pPr>
      <w:rPr>
        <w:rFonts w:ascii="Courier New" w:hAnsi="Courier New" w:cs="Courier New" w:hint="default"/>
      </w:rPr>
    </w:lvl>
    <w:lvl w:ilvl="8" w:tentative="1">
      <w:start w:val="1"/>
      <w:numFmt w:val="bullet"/>
      <w:lvlText w:val=""/>
      <w:lvlJc w:val="left"/>
      <w:pPr>
        <w:ind w:left="6870" w:hanging="360"/>
      </w:pPr>
      <w:rPr>
        <w:rFonts w:ascii="Wingdings" w:hAnsi="Wingdings" w:hint="default"/>
      </w:rPr>
    </w:lvl>
  </w:abstractNum>
  <w:abstractNum w:abstractNumId="31">
    <w:nsid w:val="4F633DE4"/>
    <w:multiLevelType w:val="multilevel"/>
    <w:tmpl w:val="74404BA8"/>
    <w:styleLink w:val="Boxbulletlist"/>
    <w:lvl w:ilvl="0">
      <w:start w:val="2"/>
      <w:numFmt w:val="bullet"/>
      <w:lvlText w:val="̶"/>
      <w:lvlJc w:val="left"/>
      <w:pPr>
        <w:ind w:left="539" w:hanging="539"/>
      </w:pPr>
      <w:rPr>
        <w:rFonts w:ascii="Courier New" w:hAnsi="Courier New" w:hint="default"/>
      </w:rPr>
    </w:lvl>
    <w:lvl w:ilvl="1">
      <w:start w:val="1"/>
      <w:numFmt w:val="bullet"/>
      <w:lvlText w:val="­"/>
      <w:lvlJc w:val="left"/>
      <w:pPr>
        <w:ind w:left="902" w:hanging="539"/>
      </w:pPr>
      <w:rPr>
        <w:rFonts w:ascii="Courier New" w:hAnsi="Courier New" w:hint="default"/>
        <w:sz w:val="28"/>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32">
    <w:nsid w:val="53825B74"/>
    <w:multiLevelType w:val="multilevel"/>
    <w:tmpl w:val="DE9827B8"/>
    <w:styleLink w:val="StyleOutlinenumberedLatinHeadingsArialComplexHeadi"/>
    <w:lvl w:ilvl="0">
      <w:start w:val="1"/>
      <w:numFmt w:val="decimal"/>
      <w:lvlText w:val="%1"/>
      <w:lvlJc w:val="left"/>
      <w:pPr>
        <w:ind w:left="540" w:hanging="540"/>
      </w:pPr>
      <w:rPr>
        <w:rFonts w:hint="default"/>
        <w:sz w:val="24"/>
      </w:rPr>
    </w:lvl>
    <w:lvl w:ilvl="1">
      <w:start w:val="1"/>
      <w:numFmt w:val="decimal"/>
      <w:lvlText w:val="%1.%2"/>
      <w:lvlJc w:val="left"/>
      <w:pPr>
        <w:ind w:left="720" w:hanging="720"/>
      </w:pPr>
      <w:rPr>
        <w:rFonts w:asciiTheme="majorHAnsi" w:hAnsiTheme="majorHAnsi" w:cstheme="majorBidi"/>
        <w:b/>
        <w:color w:val="0B4E60" w:themeColor="text2"/>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57F3D2B"/>
    <w:multiLevelType w:val="multilevel"/>
    <w:tmpl w:val="C778C7E0"/>
    <w:lvl w:ilvl="0">
      <w:start w:val="1"/>
      <w:numFmt w:val="decimal"/>
      <w:pStyle w:val="ListNumber"/>
      <w:lvlText w:val="%1."/>
      <w:lvlJc w:val="left"/>
      <w:pPr>
        <w:ind w:left="567" w:hanging="567"/>
      </w:pPr>
      <w:rPr>
        <w:rFonts w:hint="default"/>
        <w:color w:val="722856" w:themeColor="accent5"/>
      </w:rPr>
    </w:lvl>
    <w:lvl w:ilvl="1">
      <w:start w:val="1"/>
      <w:numFmt w:val="lowerLetter"/>
      <w:lvlText w:val="%2."/>
      <w:lvlJc w:val="left"/>
      <w:pPr>
        <w:ind w:left="1134" w:hanging="567"/>
      </w:pPr>
      <w:rPr>
        <w:rFonts w:hint="default"/>
      </w:rPr>
    </w:lvl>
    <w:lvl w:ilvl="2">
      <w:start w:val="1"/>
      <w:numFmt w:val="lowerRoman"/>
      <w:lvlText w:val="%3"/>
      <w:lvlJc w:val="left"/>
      <w:pPr>
        <w:ind w:left="187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56844DFB"/>
    <w:multiLevelType w:val="multilevel"/>
    <w:tmpl w:val="31FA925A"/>
    <w:lvl w:ilvl="0">
      <w:start w:val="1"/>
      <w:numFmt w:val="bullet"/>
      <w:lvlText w:val=""/>
      <w:lvlJc w:val="left"/>
      <w:pPr>
        <w:ind w:left="425" w:hanging="425"/>
      </w:pPr>
      <w:rPr>
        <w:rFonts w:ascii="Symbol" w:hAnsi="Symbol" w:hint="default"/>
        <w:sz w:val="28"/>
      </w:rPr>
    </w:lvl>
    <w:lvl w:ilvl="1">
      <w:start w:val="1"/>
      <w:numFmt w:val="bullet"/>
      <w:lvlText w:val="̶"/>
      <w:lvlJc w:val="left"/>
      <w:pPr>
        <w:ind w:left="782" w:hanging="425"/>
      </w:pPr>
      <w:rPr>
        <w:rFonts w:ascii="Courier New" w:hAnsi="Courier New" w:hint="default"/>
      </w:rPr>
    </w:lvl>
    <w:lvl w:ilvl="2">
      <w:start w:val="1"/>
      <w:numFmt w:val="bullet"/>
      <w:lvlText w:val=""/>
      <w:lvlJc w:val="left"/>
      <w:pPr>
        <w:ind w:left="1139" w:hanging="425"/>
      </w:pPr>
      <w:rPr>
        <w:rFonts w:ascii="Wingdings" w:hAnsi="Wingdings" w:hint="default"/>
      </w:rPr>
    </w:lvl>
    <w:lvl w:ilvl="3">
      <w:start w:val="1"/>
      <w:numFmt w:val="bullet"/>
      <w:lvlText w:val=""/>
      <w:lvlJc w:val="left"/>
      <w:pPr>
        <w:ind w:left="1496" w:hanging="425"/>
      </w:pPr>
      <w:rPr>
        <w:rFonts w:ascii="Symbol" w:hAnsi="Symbol" w:hint="default"/>
      </w:rPr>
    </w:lvl>
    <w:lvl w:ilvl="4">
      <w:start w:val="1"/>
      <w:numFmt w:val="bullet"/>
      <w:lvlText w:val="o"/>
      <w:lvlJc w:val="left"/>
      <w:pPr>
        <w:ind w:left="1853" w:hanging="425"/>
      </w:pPr>
      <w:rPr>
        <w:rFonts w:ascii="Courier New" w:hAnsi="Courier New" w:cs="Courier New" w:hint="default"/>
      </w:rPr>
    </w:lvl>
    <w:lvl w:ilvl="5">
      <w:start w:val="1"/>
      <w:numFmt w:val="bullet"/>
      <w:lvlText w:val=""/>
      <w:lvlJc w:val="left"/>
      <w:pPr>
        <w:ind w:left="2210" w:hanging="425"/>
      </w:pPr>
      <w:rPr>
        <w:rFonts w:ascii="Wingdings" w:hAnsi="Wingdings" w:hint="default"/>
      </w:rPr>
    </w:lvl>
    <w:lvl w:ilvl="6">
      <w:start w:val="1"/>
      <w:numFmt w:val="bullet"/>
      <w:pStyle w:val="Heading7"/>
      <w:lvlText w:val=""/>
      <w:lvlJc w:val="left"/>
      <w:pPr>
        <w:ind w:left="2567" w:hanging="425"/>
      </w:pPr>
      <w:rPr>
        <w:rFonts w:ascii="Symbol" w:hAnsi="Symbol" w:hint="default"/>
      </w:rPr>
    </w:lvl>
    <w:lvl w:ilvl="7">
      <w:start w:val="1"/>
      <w:numFmt w:val="bullet"/>
      <w:lvlText w:val="o"/>
      <w:lvlJc w:val="left"/>
      <w:pPr>
        <w:ind w:left="2924" w:hanging="425"/>
      </w:pPr>
      <w:rPr>
        <w:rFonts w:ascii="Courier New" w:hAnsi="Courier New" w:cs="Courier New" w:hint="default"/>
      </w:rPr>
    </w:lvl>
    <w:lvl w:ilvl="8">
      <w:start w:val="1"/>
      <w:numFmt w:val="bullet"/>
      <w:lvlText w:val=""/>
      <w:lvlJc w:val="left"/>
      <w:pPr>
        <w:ind w:left="3281" w:hanging="425"/>
      </w:pPr>
      <w:rPr>
        <w:rFonts w:ascii="Wingdings" w:hAnsi="Wingdings" w:hint="default"/>
      </w:rPr>
    </w:lvl>
  </w:abstractNum>
  <w:abstractNum w:abstractNumId="35">
    <w:nsid w:val="57D436A0"/>
    <w:multiLevelType w:val="multilevel"/>
    <w:tmpl w:val="DE9827B8"/>
    <w:numStyleLink w:val="StyleOutlinenumberedLatinHeadingsArialComplexHeadi"/>
  </w:abstractNum>
  <w:abstractNum w:abstractNumId="36">
    <w:nsid w:val="5E036B92"/>
    <w:multiLevelType w:val="multilevel"/>
    <w:tmpl w:val="31FA925A"/>
    <w:lvl w:ilvl="0">
      <w:start w:val="1"/>
      <w:numFmt w:val="bullet"/>
      <w:lvlText w:val=""/>
      <w:lvlJc w:val="left"/>
      <w:pPr>
        <w:ind w:left="425" w:hanging="425"/>
      </w:pPr>
      <w:rPr>
        <w:rFonts w:ascii="Symbol" w:hAnsi="Symbol" w:hint="default"/>
        <w:sz w:val="28"/>
      </w:rPr>
    </w:lvl>
    <w:lvl w:ilvl="1">
      <w:start w:val="1"/>
      <w:numFmt w:val="bullet"/>
      <w:lvlText w:val="̶"/>
      <w:lvlJc w:val="left"/>
      <w:pPr>
        <w:ind w:left="782" w:hanging="425"/>
      </w:pPr>
      <w:rPr>
        <w:rFonts w:ascii="Courier New" w:hAnsi="Courier New" w:hint="default"/>
      </w:rPr>
    </w:lvl>
    <w:lvl w:ilvl="2">
      <w:start w:val="1"/>
      <w:numFmt w:val="bullet"/>
      <w:lvlText w:val=""/>
      <w:lvlJc w:val="left"/>
      <w:pPr>
        <w:ind w:left="1139" w:hanging="425"/>
      </w:pPr>
      <w:rPr>
        <w:rFonts w:ascii="Wingdings" w:hAnsi="Wingdings" w:hint="default"/>
      </w:rPr>
    </w:lvl>
    <w:lvl w:ilvl="3">
      <w:start w:val="1"/>
      <w:numFmt w:val="bullet"/>
      <w:lvlText w:val=""/>
      <w:lvlJc w:val="left"/>
      <w:pPr>
        <w:ind w:left="1496" w:hanging="425"/>
      </w:pPr>
      <w:rPr>
        <w:rFonts w:ascii="Symbol" w:hAnsi="Symbol" w:hint="default"/>
      </w:rPr>
    </w:lvl>
    <w:lvl w:ilvl="4">
      <w:start w:val="1"/>
      <w:numFmt w:val="bullet"/>
      <w:lvlText w:val="o"/>
      <w:lvlJc w:val="left"/>
      <w:pPr>
        <w:ind w:left="1853" w:hanging="425"/>
      </w:pPr>
      <w:rPr>
        <w:rFonts w:ascii="Courier New" w:hAnsi="Courier New" w:cs="Courier New" w:hint="default"/>
      </w:rPr>
    </w:lvl>
    <w:lvl w:ilvl="5">
      <w:start w:val="1"/>
      <w:numFmt w:val="bullet"/>
      <w:lvlText w:val=""/>
      <w:lvlJc w:val="left"/>
      <w:pPr>
        <w:ind w:left="2210" w:hanging="425"/>
      </w:pPr>
      <w:rPr>
        <w:rFonts w:ascii="Wingdings" w:hAnsi="Wingdings" w:hint="default"/>
      </w:rPr>
    </w:lvl>
    <w:lvl w:ilvl="6">
      <w:start w:val="1"/>
      <w:numFmt w:val="bullet"/>
      <w:lvlText w:val=""/>
      <w:lvlJc w:val="left"/>
      <w:pPr>
        <w:ind w:left="2567" w:hanging="425"/>
      </w:pPr>
      <w:rPr>
        <w:rFonts w:ascii="Symbol" w:hAnsi="Symbol" w:hint="default"/>
      </w:rPr>
    </w:lvl>
    <w:lvl w:ilvl="7">
      <w:start w:val="1"/>
      <w:numFmt w:val="bullet"/>
      <w:lvlText w:val="o"/>
      <w:lvlJc w:val="left"/>
      <w:pPr>
        <w:ind w:left="2924" w:hanging="425"/>
      </w:pPr>
      <w:rPr>
        <w:rFonts w:ascii="Courier New" w:hAnsi="Courier New" w:cs="Courier New" w:hint="default"/>
      </w:rPr>
    </w:lvl>
    <w:lvl w:ilvl="8">
      <w:start w:val="1"/>
      <w:numFmt w:val="bullet"/>
      <w:lvlText w:val=""/>
      <w:lvlJc w:val="left"/>
      <w:pPr>
        <w:ind w:left="3281" w:hanging="425"/>
      </w:pPr>
      <w:rPr>
        <w:rFonts w:ascii="Wingdings" w:hAnsi="Wingdings" w:hint="default"/>
      </w:rPr>
    </w:lvl>
  </w:abstractNum>
  <w:abstractNum w:abstractNumId="37">
    <w:nsid w:val="61A42AA3"/>
    <w:multiLevelType w:val="multilevel"/>
    <w:tmpl w:val="AFC470DA"/>
    <w:lvl w:ilvl="0">
      <w:start w:val="11"/>
      <w:numFmt w:val="decimal"/>
      <w:lvlText w:val="%1"/>
      <w:lvlJc w:val="left"/>
      <w:pPr>
        <w:ind w:left="548" w:hanging="5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6EA7569"/>
    <w:multiLevelType w:val="multilevel"/>
    <w:tmpl w:val="DE9827B8"/>
    <w:styleLink w:val="StyleOutlinenumberedLatinHeadingsArialComplexHeadi1"/>
    <w:lvl w:ilvl="0">
      <w:start w:val="1"/>
      <w:numFmt w:val="decimal"/>
      <w:lvlText w:val="%1"/>
      <w:lvlJc w:val="left"/>
      <w:pPr>
        <w:ind w:left="540" w:hanging="540"/>
      </w:pPr>
      <w:rPr>
        <w:rFonts w:hint="default"/>
        <w:sz w:val="28"/>
      </w:rPr>
    </w:lvl>
    <w:lvl w:ilvl="1">
      <w:start w:val="1"/>
      <w:numFmt w:val="decimal"/>
      <w:lvlText w:val="%1.%2"/>
      <w:lvlJc w:val="left"/>
      <w:pPr>
        <w:ind w:left="720" w:hanging="720"/>
      </w:pPr>
      <w:rPr>
        <w:rFonts w:asciiTheme="majorHAnsi" w:hAnsiTheme="majorHAnsi" w:cstheme="majorBidi"/>
        <w:b/>
        <w:color w:val="0B4E60" w:themeColor="text2"/>
        <w:sz w:val="28"/>
        <w:szCs w:val="32"/>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39">
    <w:nsid w:val="6E5D2AF2"/>
    <w:multiLevelType w:val="hybridMultilevel"/>
    <w:tmpl w:val="625498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6F1C42E1"/>
    <w:multiLevelType w:val="hybridMultilevel"/>
    <w:tmpl w:val="54968D48"/>
    <w:lvl w:ilvl="0">
      <w:start w:val="1"/>
      <w:numFmt w:val="decimal"/>
      <w:pStyle w:val="Boxnumberedlist"/>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41">
    <w:nsid w:val="72573954"/>
    <w:multiLevelType w:val="multilevel"/>
    <w:tmpl w:val="4AE4A4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2">
    <w:nsid w:val="72586039"/>
    <w:multiLevelType w:val="multilevel"/>
    <w:tmpl w:val="2DCAF8B0"/>
    <w:styleLink w:val="StyleBulletedLatinCourierNewLeft19cmHanging063"/>
    <w:lvl w:ilvl="0">
      <w:start w:val="2"/>
      <w:numFmt w:val="bullet"/>
      <w:lvlText w:val="̶"/>
      <w:lvlJc w:val="left"/>
      <w:pPr>
        <w:ind w:left="539" w:hanging="539"/>
      </w:pPr>
      <w:rPr>
        <w:rFonts w:ascii="Courier New" w:hAnsi="Courier New" w:hint="default"/>
      </w:rPr>
    </w:lvl>
    <w:lvl w:ilvl="1">
      <w:start w:val="1"/>
      <w:numFmt w:val="bullet"/>
      <w:lvlText w:val="­"/>
      <w:lvlJc w:val="left"/>
      <w:pPr>
        <w:ind w:left="902" w:hanging="539"/>
      </w:pPr>
      <w:rPr>
        <w:rFonts w:ascii="Courier New" w:hAnsi="Courier New" w:hint="default"/>
        <w:sz w:val="28"/>
      </w:rPr>
    </w:lvl>
    <w:lvl w:ilvl="2">
      <w:start w:val="1"/>
      <w:numFmt w:val="bullet"/>
      <w:lvlText w:val=""/>
      <w:lvlJc w:val="left"/>
      <w:pPr>
        <w:ind w:left="1265" w:hanging="539"/>
      </w:pPr>
      <w:rPr>
        <w:rFonts w:ascii="Wingdings" w:hAnsi="Wingdings" w:hint="default"/>
      </w:rPr>
    </w:lvl>
    <w:lvl w:ilvl="3">
      <w:start w:val="1"/>
      <w:numFmt w:val="bullet"/>
      <w:lvlText w:val=""/>
      <w:lvlJc w:val="left"/>
      <w:pPr>
        <w:ind w:left="1628" w:hanging="539"/>
      </w:pPr>
      <w:rPr>
        <w:rFonts w:ascii="Symbol" w:hAnsi="Symbol" w:hint="default"/>
      </w:rPr>
    </w:lvl>
    <w:lvl w:ilvl="4">
      <w:start w:val="1"/>
      <w:numFmt w:val="bullet"/>
      <w:lvlText w:val="o"/>
      <w:lvlJc w:val="left"/>
      <w:pPr>
        <w:ind w:left="1991" w:hanging="539"/>
      </w:pPr>
      <w:rPr>
        <w:rFonts w:ascii="Courier New" w:hAnsi="Courier New" w:cs="Courier New" w:hint="default"/>
      </w:rPr>
    </w:lvl>
    <w:lvl w:ilvl="5">
      <w:start w:val="1"/>
      <w:numFmt w:val="bullet"/>
      <w:lvlText w:val=""/>
      <w:lvlJc w:val="left"/>
      <w:pPr>
        <w:ind w:left="2354" w:hanging="539"/>
      </w:pPr>
      <w:rPr>
        <w:rFonts w:ascii="Wingdings" w:hAnsi="Wingdings" w:hint="default"/>
      </w:rPr>
    </w:lvl>
    <w:lvl w:ilvl="6">
      <w:start w:val="1"/>
      <w:numFmt w:val="bullet"/>
      <w:lvlText w:val=""/>
      <w:lvlJc w:val="left"/>
      <w:pPr>
        <w:ind w:left="2717" w:hanging="539"/>
      </w:pPr>
      <w:rPr>
        <w:rFonts w:ascii="Symbol" w:hAnsi="Symbol" w:hint="default"/>
      </w:rPr>
    </w:lvl>
    <w:lvl w:ilvl="7">
      <w:start w:val="1"/>
      <w:numFmt w:val="bullet"/>
      <w:lvlText w:val="o"/>
      <w:lvlJc w:val="left"/>
      <w:pPr>
        <w:ind w:left="3080" w:hanging="539"/>
      </w:pPr>
      <w:rPr>
        <w:rFonts w:ascii="Courier New" w:hAnsi="Courier New" w:cs="Courier New" w:hint="default"/>
      </w:rPr>
    </w:lvl>
    <w:lvl w:ilvl="8">
      <w:start w:val="1"/>
      <w:numFmt w:val="bullet"/>
      <w:lvlText w:val=""/>
      <w:lvlJc w:val="left"/>
      <w:pPr>
        <w:ind w:left="3443" w:hanging="539"/>
      </w:pPr>
      <w:rPr>
        <w:rFonts w:ascii="Wingdings" w:hAnsi="Wingdings" w:hint="default"/>
      </w:rPr>
    </w:lvl>
  </w:abstractNum>
  <w:abstractNum w:abstractNumId="43">
    <w:nsid w:val="734850F1"/>
    <w:multiLevelType w:val="multilevel"/>
    <w:tmpl w:val="FAA663A4"/>
    <w:lvl w:ilvl="0">
      <w:start w:val="7"/>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746A4627"/>
    <w:multiLevelType w:val="multilevel"/>
    <w:tmpl w:val="DE9827B8"/>
    <w:numStyleLink w:val="StyleOutlinenumberedLatinHeadingsArialComplexHeadi1"/>
  </w:abstractNum>
  <w:abstractNum w:abstractNumId="45">
    <w:nsid w:val="74803126"/>
    <w:multiLevelType w:val="multilevel"/>
    <w:tmpl w:val="85322FF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6D34264"/>
    <w:multiLevelType w:val="multilevel"/>
    <w:tmpl w:val="2E18A506"/>
    <w:lvl w:ilvl="0">
      <w:start w:val="9"/>
      <w:numFmt w:val="decimal"/>
      <w:lvlText w:val="%1"/>
      <w:lvlJc w:val="left"/>
      <w:pPr>
        <w:ind w:left="390" w:hanging="39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abstractNumId w:val="9"/>
  </w:num>
  <w:num w:numId="2">
    <w:abstractNumId w:val="7"/>
  </w:num>
  <w:num w:numId="3">
    <w:abstractNumId w:val="6"/>
  </w:num>
  <w:num w:numId="4">
    <w:abstractNumId w:val="5"/>
  </w:num>
  <w:num w:numId="5">
    <w:abstractNumId w:val="36"/>
  </w:num>
  <w:num w:numId="6">
    <w:abstractNumId w:val="34"/>
  </w:num>
  <w:num w:numId="7">
    <w:abstractNumId w:val="12"/>
  </w:num>
  <w:num w:numId="8">
    <w:abstractNumId w:val="33"/>
  </w:num>
  <w:num w:numId="9">
    <w:abstractNumId w:val="29"/>
  </w:num>
  <w:num w:numId="10">
    <w:abstractNumId w:val="42"/>
  </w:num>
  <w:num w:numId="11">
    <w:abstractNumId w:val="40"/>
  </w:num>
  <w:num w:numId="12">
    <w:abstractNumId w:val="19"/>
  </w:num>
  <w:num w:numId="13">
    <w:abstractNumId w:val="31"/>
  </w:num>
  <w:num w:numId="14">
    <w:abstractNumId w:val="17"/>
  </w:num>
  <w:num w:numId="15">
    <w:abstractNumId w:val="22"/>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8"/>
  </w:num>
  <w:num w:numId="23">
    <w:abstractNumId w:val="23"/>
  </w:num>
  <w:num w:numId="24">
    <w:abstractNumId w:val="21"/>
  </w:num>
  <w:num w:numId="25">
    <w:abstractNumId w:val="15"/>
  </w:num>
  <w:num w:numId="26">
    <w:abstractNumId w:val="10"/>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5"/>
  </w:num>
  <w:num w:numId="30">
    <w:abstractNumId w:val="38"/>
  </w:num>
  <w:num w:numId="31">
    <w:abstractNumId w:val="44"/>
  </w:num>
  <w:num w:numId="32">
    <w:abstractNumId w:val="14"/>
  </w:num>
  <w:num w:numId="33">
    <w:abstractNumId w:val="27"/>
  </w:num>
  <w:num w:numId="34">
    <w:abstractNumId w:val="11"/>
  </w:num>
  <w:num w:numId="35">
    <w:abstractNumId w:val="26"/>
  </w:num>
  <w:num w:numId="36">
    <w:abstractNumId w:val="20"/>
  </w:num>
  <w:num w:numId="37">
    <w:abstractNumId w:val="41"/>
  </w:num>
  <w:num w:numId="38">
    <w:abstractNumId w:val="16"/>
  </w:num>
  <w:num w:numId="39">
    <w:abstractNumId w:val="39"/>
  </w:num>
  <w:num w:numId="40">
    <w:abstractNumId w:val="18"/>
  </w:num>
  <w:num w:numId="41">
    <w:abstractNumId w:val="25"/>
  </w:num>
  <w:num w:numId="42">
    <w:abstractNumId w:val="45"/>
  </w:num>
  <w:num w:numId="43">
    <w:abstractNumId w:val="30"/>
  </w:num>
  <w:num w:numId="44">
    <w:abstractNumId w:val="37"/>
  </w:num>
  <w:num w:numId="45">
    <w:abstractNumId w:val="46"/>
  </w:num>
  <w:num w:numId="46">
    <w:abstractNumId w:val="43"/>
  </w:num>
  <w:num w:numId="47">
    <w:abstractNumId w:val="24"/>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421" w:allStyles="1" w:alternateStyleNames="0" w:clearFormatting="1" w:customStyles="0" w:directFormattingOnNumbering="1" w:directFormattingOnParagraphs="0" w:directFormattingOnRuns="0" w:directFormattingOnTables="0" w:headingStyles="1" w:latentStyles="0"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1" w:unhideWhenUsed="1"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644BD"/>
    <w:pPr>
      <w:keepLines/>
      <w:spacing w:before="240" w:after="0" w:line="276" w:lineRule="auto"/>
    </w:pPr>
    <w:rPr>
      <w:sz w:val="28"/>
    </w:rPr>
  </w:style>
  <w:style w:type="paragraph" w:styleId="Heading1">
    <w:name w:val="heading 1"/>
    <w:basedOn w:val="Normal"/>
    <w:next w:val="Normal"/>
    <w:link w:val="Heading1Char"/>
    <w:uiPriority w:val="1"/>
    <w:qFormat/>
    <w:rsid w:val="008D6677"/>
    <w:pPr>
      <w:keepNext/>
      <w:pageBreakBefore/>
      <w:spacing w:after="720" w:line="240" w:lineRule="auto"/>
      <w:outlineLvl w:val="0"/>
    </w:pPr>
    <w:rPr>
      <w:rFonts w:asciiTheme="majorHAnsi" w:eastAsiaTheme="majorEastAsia" w:hAnsiTheme="majorHAnsi" w:cstheme="majorBidi"/>
      <w:color w:val="FFFFFF" w:themeColor="background1"/>
      <w:sz w:val="64"/>
      <w:szCs w:val="52"/>
      <w:bdr w:val="single" w:sz="48" w:space="0" w:color="009C98" w:themeColor="accent1"/>
      <w:shd w:val="clear" w:color="auto" w:fill="009C98" w:themeFill="accent1"/>
    </w:rPr>
  </w:style>
  <w:style w:type="paragraph" w:styleId="Heading2">
    <w:name w:val="heading 2"/>
    <w:basedOn w:val="Heading1"/>
    <w:next w:val="Normal"/>
    <w:link w:val="Heading2Char"/>
    <w:uiPriority w:val="1"/>
    <w:unhideWhenUsed/>
    <w:qFormat/>
    <w:rsid w:val="008D6677"/>
    <w:pPr>
      <w:pageBreakBefore w:val="0"/>
      <w:pBdr>
        <w:top w:val="single" w:sz="24" w:space="9" w:color="009C98" w:themeColor="accent1"/>
      </w:pBdr>
      <w:spacing w:before="720" w:after="60"/>
      <w:outlineLvl w:val="1"/>
    </w:pPr>
    <w:rPr>
      <w:b/>
      <w:color w:val="0B4E60" w:themeColor="text2"/>
      <w:sz w:val="44"/>
      <w:szCs w:val="32"/>
      <w:bdr w:val="nil"/>
      <w:shd w:val="clear" w:color="auto" w:fill="auto"/>
    </w:rPr>
  </w:style>
  <w:style w:type="paragraph" w:styleId="Heading3">
    <w:name w:val="heading 3"/>
    <w:basedOn w:val="Heading2"/>
    <w:next w:val="Normal"/>
    <w:link w:val="Heading3Char"/>
    <w:uiPriority w:val="1"/>
    <w:unhideWhenUsed/>
    <w:qFormat/>
    <w:rsid w:val="008D6677"/>
    <w:pPr>
      <w:pBdr>
        <w:top w:val="nil"/>
      </w:pBdr>
      <w:spacing w:before="400" w:after="40"/>
      <w:outlineLvl w:val="2"/>
    </w:pPr>
    <w:rPr>
      <w:color w:val="auto"/>
      <w:sz w:val="40"/>
      <w:szCs w:val="30"/>
    </w:rPr>
  </w:style>
  <w:style w:type="paragraph" w:styleId="Heading4">
    <w:name w:val="heading 4"/>
    <w:basedOn w:val="Heading3"/>
    <w:next w:val="Normal"/>
    <w:link w:val="Heading4Char"/>
    <w:uiPriority w:val="1"/>
    <w:unhideWhenUsed/>
    <w:qFormat/>
    <w:rsid w:val="008D6677"/>
    <w:pPr>
      <w:spacing w:before="360"/>
      <w:outlineLvl w:val="3"/>
    </w:pPr>
    <w:rPr>
      <w:color w:val="004E4B" w:themeColor="accent1" w:themeShade="80"/>
      <w:sz w:val="36"/>
      <w:szCs w:val="29"/>
    </w:rPr>
  </w:style>
  <w:style w:type="paragraph" w:styleId="Heading5">
    <w:name w:val="heading 5"/>
    <w:basedOn w:val="Normal"/>
    <w:next w:val="Normal"/>
    <w:link w:val="Heading5Char1"/>
    <w:uiPriority w:val="9"/>
    <w:unhideWhenUsed/>
    <w:rsid w:val="004E2C9C"/>
    <w:pPr>
      <w:keepNext/>
      <w:spacing w:before="160"/>
      <w:outlineLvl w:val="4"/>
    </w:pPr>
    <w:rPr>
      <w:rFonts w:asciiTheme="majorHAnsi" w:eastAsiaTheme="majorEastAsia" w:hAnsiTheme="majorHAnsi" w:cstheme="majorBidi"/>
      <w:b/>
    </w:rPr>
  </w:style>
  <w:style w:type="paragraph" w:styleId="Heading6">
    <w:name w:val="heading 6"/>
    <w:basedOn w:val="Normal"/>
    <w:next w:val="Normal"/>
    <w:link w:val="Heading6Char1"/>
    <w:uiPriority w:val="9"/>
    <w:semiHidden/>
    <w:unhideWhenUsed/>
    <w:rsid w:val="004E2C9C"/>
    <w:pPr>
      <w:keepNext/>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3B7D03"/>
    <w:pPr>
      <w:keepNext/>
      <w:numPr>
        <w:ilvl w:val="6"/>
        <w:numId w:val="6"/>
      </w:numPr>
      <w:spacing w:before="40"/>
      <w:outlineLvl w:val="6"/>
    </w:pPr>
    <w:rPr>
      <w:rFonts w:asciiTheme="majorHAnsi" w:eastAsiaTheme="majorEastAsia" w:hAnsiTheme="majorHAnsi" w:cstheme="majorBidi"/>
      <w:i/>
      <w:iCs/>
      <w:color w:val="004D4B" w:themeColor="accent1" w:themeShade="7F"/>
    </w:rPr>
  </w:style>
  <w:style w:type="paragraph" w:styleId="Heading8">
    <w:name w:val="heading 8"/>
    <w:basedOn w:val="Normal"/>
    <w:next w:val="Normal"/>
    <w:link w:val="Heading8Char1"/>
    <w:uiPriority w:val="9"/>
    <w:semiHidden/>
    <w:unhideWhenUsed/>
    <w:qFormat/>
    <w:rsid w:val="00F644BD"/>
    <w:pPr>
      <w:keepNext/>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1"/>
    <w:uiPriority w:val="9"/>
    <w:semiHidden/>
    <w:unhideWhenUsed/>
    <w:qFormat/>
    <w:rsid w:val="00F644BD"/>
    <w:pPr>
      <w:keepNext/>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
    <w:qFormat/>
    <w:rsid w:val="004A5BF6"/>
    <w:pPr>
      <w:pBdr>
        <w:top w:val="single" w:sz="48" w:space="0" w:color="009C98" w:themeColor="accent1"/>
        <w:left w:val="single" w:sz="48" w:space="0" w:color="009C98" w:themeColor="accent1"/>
        <w:bottom w:val="single" w:sz="48" w:space="0" w:color="009C98" w:themeColor="accent1"/>
        <w:right w:val="single" w:sz="48" w:space="0" w:color="009C98" w:themeColor="accent1"/>
      </w:pBdr>
      <w:shd w:val="clear" w:color="auto" w:fill="009C98" w:themeFill="accent1"/>
      <w:spacing w:line="216" w:lineRule="auto"/>
      <w:contextualSpacing/>
    </w:pPr>
    <w:rPr>
      <w:rFonts w:asciiTheme="majorHAnsi" w:eastAsiaTheme="majorEastAsia" w:hAnsiTheme="majorHAnsi" w:cstheme="majorBidi"/>
      <w:color w:val="FFFFFF" w:themeColor="background1"/>
      <w:spacing w:val="2"/>
      <w:kern w:val="28"/>
      <w:sz w:val="104"/>
      <w:szCs w:val="104"/>
      <w:bdr w:val="single" w:sz="48" w:space="0" w:color="009C98" w:themeColor="accent1"/>
      <w:shd w:val="clear" w:color="auto" w:fill="009C98" w:themeFill="accent1"/>
    </w:rPr>
  </w:style>
  <w:style w:type="character" w:customStyle="1" w:styleId="TitleChar">
    <w:name w:val="Title Char"/>
    <w:basedOn w:val="DefaultParagraphFont"/>
    <w:link w:val="Title"/>
    <w:uiPriority w:val="9"/>
    <w:rsid w:val="00457EE1"/>
    <w:rPr>
      <w:rFonts w:asciiTheme="majorHAnsi" w:eastAsiaTheme="majorEastAsia" w:hAnsiTheme="majorHAnsi" w:cstheme="majorBidi"/>
      <w:color w:val="FFFFFF" w:themeColor="background1"/>
      <w:spacing w:val="2"/>
      <w:kern w:val="28"/>
      <w:sz w:val="104"/>
      <w:szCs w:val="104"/>
      <w:bdr w:val="single" w:sz="48" w:space="0" w:color="009C98" w:themeColor="accent1"/>
      <w:shd w:val="clear" w:color="auto" w:fill="009C98" w:themeFill="accent1"/>
    </w:rPr>
  </w:style>
  <w:style w:type="paragraph" w:styleId="Header">
    <w:name w:val="header"/>
    <w:basedOn w:val="Normal"/>
    <w:link w:val="HeaderChar"/>
    <w:uiPriority w:val="99"/>
    <w:unhideWhenUsed/>
    <w:rsid w:val="00A26DF5"/>
    <w:pPr>
      <w:tabs>
        <w:tab w:val="center" w:pos="4513"/>
        <w:tab w:val="right" w:pos="9026"/>
      </w:tabs>
      <w:spacing w:line="240" w:lineRule="auto"/>
    </w:pPr>
  </w:style>
  <w:style w:type="character" w:customStyle="1" w:styleId="HeaderChar">
    <w:name w:val="Header Char"/>
    <w:basedOn w:val="DefaultParagraphFont"/>
    <w:link w:val="Header"/>
    <w:uiPriority w:val="99"/>
    <w:rsid w:val="00A26DF5"/>
    <w:rPr>
      <w:sz w:val="24"/>
    </w:rPr>
  </w:style>
  <w:style w:type="paragraph" w:styleId="Footer">
    <w:name w:val="footer"/>
    <w:basedOn w:val="Normal"/>
    <w:link w:val="FooterChar"/>
    <w:uiPriority w:val="99"/>
    <w:unhideWhenUsed/>
    <w:rsid w:val="00A26DF5"/>
    <w:pPr>
      <w:tabs>
        <w:tab w:val="center" w:pos="4513"/>
        <w:tab w:val="right" w:pos="9026"/>
      </w:tabs>
      <w:spacing w:line="240" w:lineRule="auto"/>
    </w:pPr>
    <w:rPr>
      <w:color w:val="0B4E60" w:themeColor="text2"/>
    </w:rPr>
  </w:style>
  <w:style w:type="character" w:customStyle="1" w:styleId="FooterChar">
    <w:name w:val="Footer Char"/>
    <w:basedOn w:val="DefaultParagraphFont"/>
    <w:link w:val="Footer"/>
    <w:uiPriority w:val="99"/>
    <w:rsid w:val="00A26DF5"/>
    <w:rPr>
      <w:color w:val="0B4E60" w:themeColor="text2"/>
      <w:sz w:val="24"/>
    </w:rPr>
  </w:style>
  <w:style w:type="character" w:customStyle="1" w:styleId="Heading1Char">
    <w:name w:val="Heading 1 Char"/>
    <w:basedOn w:val="DefaultParagraphFont"/>
    <w:link w:val="Heading1"/>
    <w:uiPriority w:val="1"/>
    <w:rsid w:val="008D6677"/>
    <w:rPr>
      <w:rFonts w:asciiTheme="majorHAnsi" w:eastAsiaTheme="majorEastAsia" w:hAnsiTheme="majorHAnsi" w:cstheme="majorBidi"/>
      <w:color w:val="FFFFFF" w:themeColor="background1"/>
      <w:sz w:val="64"/>
      <w:szCs w:val="52"/>
      <w:bdr w:val="single" w:sz="48" w:space="0" w:color="009C98" w:themeColor="accent1"/>
    </w:rPr>
  </w:style>
  <w:style w:type="character" w:customStyle="1" w:styleId="Heading2Char">
    <w:name w:val="Heading 2 Char"/>
    <w:basedOn w:val="DefaultParagraphFont"/>
    <w:link w:val="Heading2"/>
    <w:uiPriority w:val="1"/>
    <w:rsid w:val="008D6677"/>
    <w:rPr>
      <w:rFonts w:asciiTheme="majorHAnsi" w:eastAsiaTheme="majorEastAsia" w:hAnsiTheme="majorHAnsi" w:cstheme="majorBidi"/>
      <w:b/>
      <w:color w:val="0B4E60" w:themeColor="text2"/>
      <w:sz w:val="44"/>
      <w:szCs w:val="32"/>
    </w:rPr>
  </w:style>
  <w:style w:type="character" w:customStyle="1" w:styleId="Heading3Char">
    <w:name w:val="Heading 3 Char"/>
    <w:basedOn w:val="DefaultParagraphFont"/>
    <w:link w:val="Heading3"/>
    <w:uiPriority w:val="1"/>
    <w:rsid w:val="008D6677"/>
    <w:rPr>
      <w:rFonts w:asciiTheme="majorHAnsi" w:eastAsiaTheme="majorEastAsia" w:hAnsiTheme="majorHAnsi" w:cstheme="majorBidi"/>
      <w:b/>
      <w:sz w:val="40"/>
      <w:szCs w:val="30"/>
    </w:rPr>
  </w:style>
  <w:style w:type="character" w:customStyle="1" w:styleId="Heading4Char">
    <w:name w:val="Heading 4 Char"/>
    <w:basedOn w:val="DefaultParagraphFont"/>
    <w:link w:val="Heading4"/>
    <w:uiPriority w:val="1"/>
    <w:rsid w:val="008D6677"/>
    <w:rPr>
      <w:rFonts w:asciiTheme="majorHAnsi" w:eastAsiaTheme="majorEastAsia" w:hAnsiTheme="majorHAnsi" w:cstheme="majorBidi"/>
      <w:b/>
      <w:color w:val="004E4B" w:themeColor="accent1" w:themeShade="80"/>
      <w:sz w:val="36"/>
      <w:szCs w:val="29"/>
    </w:rPr>
  </w:style>
  <w:style w:type="paragraph" w:styleId="Subtitle">
    <w:name w:val="Subtitle"/>
    <w:basedOn w:val="Title"/>
    <w:next w:val="Normal"/>
    <w:link w:val="SubtitleChar"/>
    <w:uiPriority w:val="10"/>
    <w:qFormat/>
    <w:rsid w:val="00972D5B"/>
    <w:rPr>
      <w:sz w:val="44"/>
      <w:szCs w:val="44"/>
    </w:rPr>
  </w:style>
  <w:style w:type="character" w:customStyle="1" w:styleId="SubtitleChar">
    <w:name w:val="Subtitle Char"/>
    <w:basedOn w:val="DefaultParagraphFont"/>
    <w:link w:val="Subtitle"/>
    <w:uiPriority w:val="10"/>
    <w:rsid w:val="00457EE1"/>
    <w:rPr>
      <w:rFonts w:asciiTheme="majorHAnsi" w:eastAsiaTheme="majorEastAsia" w:hAnsiTheme="majorHAnsi" w:cstheme="majorBidi"/>
      <w:color w:val="FFFFFF" w:themeColor="background1"/>
      <w:spacing w:val="2"/>
      <w:kern w:val="28"/>
      <w:sz w:val="44"/>
      <w:szCs w:val="44"/>
      <w:bdr w:val="single" w:sz="48" w:space="0" w:color="009C98" w:themeColor="accent1"/>
      <w:shd w:val="clear" w:color="auto" w:fill="009C98" w:themeFill="accent1"/>
    </w:rPr>
  </w:style>
  <w:style w:type="paragraph" w:styleId="FootnoteText">
    <w:name w:val="footnote text"/>
    <w:basedOn w:val="Normal"/>
    <w:link w:val="FootnoteTextChar"/>
    <w:uiPriority w:val="99"/>
    <w:unhideWhenUsed/>
    <w:rsid w:val="00A26DF5"/>
    <w:pPr>
      <w:spacing w:before="160" w:after="120" w:line="240" w:lineRule="auto"/>
    </w:pPr>
    <w:rPr>
      <w:noProof/>
      <w:color w:val="0B4E60" w:themeColor="text2"/>
      <w:szCs w:val="20"/>
    </w:rPr>
  </w:style>
  <w:style w:type="character" w:customStyle="1" w:styleId="FootnoteTextChar">
    <w:name w:val="Footnote Text Char"/>
    <w:basedOn w:val="DefaultParagraphFont"/>
    <w:link w:val="FootnoteText"/>
    <w:uiPriority w:val="99"/>
    <w:rsid w:val="00A26DF5"/>
    <w:rPr>
      <w:noProof/>
      <w:color w:val="0B4E60" w:themeColor="text2"/>
      <w:sz w:val="24"/>
      <w:szCs w:val="20"/>
    </w:rPr>
  </w:style>
  <w:style w:type="character" w:styleId="FootnoteReference">
    <w:name w:val="footnote reference"/>
    <w:basedOn w:val="DefaultParagraphFont"/>
    <w:uiPriority w:val="99"/>
    <w:semiHidden/>
    <w:unhideWhenUsed/>
    <w:rsid w:val="0038266E"/>
    <w:rPr>
      <w:vertAlign w:val="superscript"/>
    </w:rPr>
  </w:style>
  <w:style w:type="character" w:styleId="Emphasis">
    <w:name w:val="Emphasis"/>
    <w:basedOn w:val="DefaultParagraphFont"/>
    <w:uiPriority w:val="20"/>
    <w:rsid w:val="008D6677"/>
    <w:rPr>
      <w:b/>
      <w:i w:val="0"/>
      <w:iCs/>
      <w:sz w:val="28"/>
    </w:rPr>
  </w:style>
  <w:style w:type="character" w:styleId="IntenseEmphasis">
    <w:name w:val="Intense Emphasis"/>
    <w:basedOn w:val="DefaultParagraphFont"/>
    <w:uiPriority w:val="21"/>
    <w:rsid w:val="008D6677"/>
    <w:rPr>
      <w:b/>
      <w:i w:val="0"/>
      <w:iCs/>
      <w:color w:val="007471" w:themeColor="accent1" w:themeShade="BF"/>
      <w:sz w:val="28"/>
    </w:rPr>
  </w:style>
  <w:style w:type="numbering" w:customStyle="1" w:styleId="StyleOutlinenumberedLatinHeadingsArialComplexHeadi1">
    <w:name w:val="Style Outline numbered (Latin) +Headings (Arial) (Complex) +Headi...1"/>
    <w:basedOn w:val="NoList"/>
    <w:rsid w:val="004E2C9C"/>
    <w:pPr>
      <w:numPr>
        <w:numId w:val="30"/>
      </w:numPr>
    </w:pPr>
  </w:style>
  <w:style w:type="character" w:styleId="Hyperlink">
    <w:name w:val="Hyperlink"/>
    <w:basedOn w:val="DefaultParagraphFont"/>
    <w:uiPriority w:val="99"/>
    <w:unhideWhenUsed/>
    <w:rsid w:val="008D6677"/>
    <w:rPr>
      <w:color w:val="auto"/>
      <w:sz w:val="28"/>
      <w:u w:val="single" w:color="009C98"/>
    </w:rPr>
  </w:style>
  <w:style w:type="character" w:styleId="FollowedHyperlink">
    <w:name w:val="FollowedHyperlink"/>
    <w:basedOn w:val="DefaultParagraphFont"/>
    <w:uiPriority w:val="99"/>
    <w:semiHidden/>
    <w:unhideWhenUsed/>
    <w:rsid w:val="00277333"/>
    <w:rPr>
      <w:color w:val="auto"/>
      <w:u w:val="single" w:color="009C98"/>
    </w:rPr>
  </w:style>
  <w:style w:type="paragraph" w:styleId="Quote">
    <w:name w:val="Quote"/>
    <w:basedOn w:val="Normal"/>
    <w:next w:val="Normal"/>
    <w:link w:val="QuoteChar"/>
    <w:uiPriority w:val="29"/>
    <w:qFormat/>
    <w:rsid w:val="00A82FF5"/>
    <w:pPr>
      <w:ind w:left="680" w:right="963"/>
    </w:pPr>
  </w:style>
  <w:style w:type="character" w:customStyle="1" w:styleId="QuoteChar">
    <w:name w:val="Quote Char"/>
    <w:basedOn w:val="DefaultParagraphFont"/>
    <w:link w:val="Quote"/>
    <w:uiPriority w:val="29"/>
    <w:rsid w:val="00A82FF5"/>
    <w:rPr>
      <w:sz w:val="24"/>
    </w:rPr>
  </w:style>
  <w:style w:type="paragraph" w:styleId="IntenseQuote">
    <w:name w:val="Intense Quote"/>
    <w:basedOn w:val="Normal"/>
    <w:next w:val="Normal"/>
    <w:link w:val="IntenseQuoteChar"/>
    <w:uiPriority w:val="30"/>
    <w:rsid w:val="00B14602"/>
    <w:pPr>
      <w:pBdr>
        <w:top w:val="single" w:sz="18" w:space="12" w:color="009C98" w:themeColor="accent1"/>
        <w:bottom w:val="single" w:sz="18" w:space="12" w:color="009C98" w:themeColor="accent1"/>
      </w:pBdr>
      <w:spacing w:before="360" w:after="480"/>
      <w:ind w:left="454" w:right="454"/>
    </w:pPr>
  </w:style>
  <w:style w:type="character" w:customStyle="1" w:styleId="IntenseQuoteChar">
    <w:name w:val="Intense Quote Char"/>
    <w:basedOn w:val="DefaultParagraphFont"/>
    <w:link w:val="IntenseQuote"/>
    <w:uiPriority w:val="30"/>
    <w:rsid w:val="00B14602"/>
    <w:rPr>
      <w:sz w:val="28"/>
    </w:rPr>
  </w:style>
  <w:style w:type="paragraph" w:styleId="ListParagraph">
    <w:name w:val="List Paragraph"/>
    <w:basedOn w:val="Normal"/>
    <w:uiPriority w:val="34"/>
    <w:qFormat/>
    <w:rsid w:val="00E3122A"/>
    <w:pPr>
      <w:spacing w:before="60"/>
      <w:ind w:left="227"/>
    </w:pPr>
  </w:style>
  <w:style w:type="paragraph" w:styleId="NoSpacing">
    <w:name w:val="No Spacing"/>
    <w:uiPriority w:val="1"/>
    <w:semiHidden/>
    <w:rsid w:val="00B14602"/>
    <w:pPr>
      <w:spacing w:after="0" w:line="240" w:lineRule="auto"/>
    </w:pPr>
    <w:rPr>
      <w:sz w:val="28"/>
    </w:rPr>
  </w:style>
  <w:style w:type="paragraph" w:styleId="ListBullet">
    <w:name w:val="List Bullet"/>
    <w:basedOn w:val="ListParagraph"/>
    <w:uiPriority w:val="1"/>
    <w:qFormat/>
    <w:rsid w:val="001253D3"/>
    <w:pPr>
      <w:numPr>
        <w:numId w:val="15"/>
      </w:numPr>
    </w:pPr>
  </w:style>
  <w:style w:type="paragraph" w:styleId="ListBullet2">
    <w:name w:val="List Bullet 2"/>
    <w:basedOn w:val="Normal"/>
    <w:uiPriority w:val="99"/>
    <w:unhideWhenUsed/>
    <w:rsid w:val="00B14602"/>
    <w:pPr>
      <w:numPr>
        <w:numId w:val="2"/>
      </w:numPr>
      <w:contextualSpacing/>
    </w:pPr>
  </w:style>
  <w:style w:type="paragraph" w:styleId="ListBullet3">
    <w:name w:val="List Bullet 3"/>
    <w:basedOn w:val="Normal"/>
    <w:uiPriority w:val="99"/>
    <w:unhideWhenUsed/>
    <w:rsid w:val="00B14602"/>
    <w:pPr>
      <w:numPr>
        <w:numId w:val="3"/>
      </w:numPr>
      <w:contextualSpacing/>
    </w:pPr>
  </w:style>
  <w:style w:type="paragraph" w:styleId="ListBullet4">
    <w:name w:val="List Bullet 4"/>
    <w:basedOn w:val="Normal"/>
    <w:uiPriority w:val="99"/>
    <w:unhideWhenUsed/>
    <w:rsid w:val="00B14602"/>
    <w:pPr>
      <w:numPr>
        <w:numId w:val="4"/>
      </w:numPr>
      <w:contextualSpacing/>
    </w:pPr>
  </w:style>
  <w:style w:type="paragraph" w:styleId="List">
    <w:name w:val="List"/>
    <w:basedOn w:val="Normal"/>
    <w:uiPriority w:val="99"/>
    <w:unhideWhenUsed/>
    <w:rsid w:val="00A26DF5"/>
    <w:pPr>
      <w:ind w:left="283" w:hanging="283"/>
      <w:contextualSpacing/>
    </w:pPr>
  </w:style>
  <w:style w:type="paragraph" w:customStyle="1" w:styleId="Figureparagraphnocaption">
    <w:name w:val="Figure paragraph no caption"/>
    <w:basedOn w:val="Normal"/>
    <w:uiPriority w:val="3"/>
    <w:semiHidden/>
    <w:unhideWhenUsed/>
    <w:qFormat/>
    <w:rsid w:val="00880F69"/>
    <w:pPr>
      <w:spacing w:after="480"/>
    </w:pPr>
  </w:style>
  <w:style w:type="character" w:customStyle="1" w:styleId="Howtousethistemplate">
    <w:name w:val="How to use this template"/>
    <w:basedOn w:val="DefaultParagraphFont"/>
    <w:uiPriority w:val="99"/>
    <w:rsid w:val="008D6677"/>
    <w:rPr>
      <w:color w:val="722856" w:themeColor="accent5"/>
      <w:sz w:val="28"/>
    </w:rPr>
  </w:style>
  <w:style w:type="paragraph" w:styleId="Date">
    <w:name w:val="Date"/>
    <w:basedOn w:val="Subtitle"/>
    <w:next w:val="Normal"/>
    <w:link w:val="DateChar"/>
    <w:uiPriority w:val="11"/>
    <w:qFormat/>
    <w:rsid w:val="00F171F1"/>
  </w:style>
  <w:style w:type="character" w:customStyle="1" w:styleId="DateChar">
    <w:name w:val="Date Char"/>
    <w:basedOn w:val="DefaultParagraphFont"/>
    <w:link w:val="Date"/>
    <w:uiPriority w:val="11"/>
    <w:rsid w:val="00457EE1"/>
    <w:rPr>
      <w:rFonts w:asciiTheme="majorHAnsi" w:eastAsiaTheme="majorEastAsia" w:hAnsiTheme="majorHAnsi" w:cstheme="majorBidi"/>
      <w:color w:val="FFFFFF" w:themeColor="background1"/>
      <w:spacing w:val="2"/>
      <w:kern w:val="28"/>
      <w:sz w:val="44"/>
      <w:szCs w:val="44"/>
      <w:bdr w:val="single" w:sz="48" w:space="0" w:color="009C98" w:themeColor="accent1"/>
      <w:shd w:val="clear" w:color="auto" w:fill="009C98" w:themeFill="accent1"/>
    </w:rPr>
  </w:style>
  <w:style w:type="paragraph" w:styleId="TOC2">
    <w:name w:val="toc 2"/>
    <w:basedOn w:val="Normal"/>
    <w:next w:val="Normal"/>
    <w:autoRedefine/>
    <w:uiPriority w:val="39"/>
    <w:unhideWhenUsed/>
    <w:rsid w:val="00A82FF5"/>
    <w:pPr>
      <w:spacing w:after="100"/>
      <w:ind w:left="280"/>
    </w:pPr>
  </w:style>
  <w:style w:type="paragraph" w:styleId="TOC1">
    <w:name w:val="toc 1"/>
    <w:basedOn w:val="Normal"/>
    <w:next w:val="Normal"/>
    <w:autoRedefine/>
    <w:uiPriority w:val="39"/>
    <w:unhideWhenUsed/>
    <w:rsid w:val="00A82FF5"/>
    <w:pPr>
      <w:spacing w:after="100"/>
    </w:pPr>
    <w:rPr>
      <w:b/>
    </w:rPr>
  </w:style>
  <w:style w:type="paragraph" w:styleId="ListNumber">
    <w:name w:val="List Number"/>
    <w:basedOn w:val="Normal"/>
    <w:uiPriority w:val="1"/>
    <w:qFormat/>
    <w:rsid w:val="00230678"/>
    <w:pPr>
      <w:numPr>
        <w:numId w:val="8"/>
      </w:numPr>
      <w:spacing w:before="60"/>
      <w:contextualSpacing/>
    </w:pPr>
  </w:style>
  <w:style w:type="paragraph" w:customStyle="1" w:styleId="FigureTabletitle">
    <w:name w:val="Figure / Table title"/>
    <w:basedOn w:val="Normal"/>
    <w:uiPriority w:val="2"/>
    <w:qFormat/>
    <w:rsid w:val="00A26DF5"/>
    <w:pPr>
      <w:keepNext/>
      <w:spacing w:before="480" w:after="120"/>
    </w:pPr>
    <w:rPr>
      <w:b/>
    </w:rPr>
  </w:style>
  <w:style w:type="paragraph" w:customStyle="1" w:styleId="FigureTablesource">
    <w:name w:val="Figure / Table source"/>
    <w:basedOn w:val="Normal"/>
    <w:uiPriority w:val="3"/>
    <w:qFormat/>
    <w:rsid w:val="00D93B3E"/>
    <w:pPr>
      <w:spacing w:after="360"/>
    </w:pPr>
    <w:rPr>
      <w:szCs w:val="24"/>
    </w:rPr>
  </w:style>
  <w:style w:type="table" w:styleId="TableGrid">
    <w:name w:val="Table Grid"/>
    <w:basedOn w:val="TableNormal"/>
    <w:uiPriority w:val="39"/>
    <w:rsid w:val="00EF1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Boxtitle"/>
    <w:uiPriority w:val="5"/>
    <w:qFormat/>
    <w:rsid w:val="00A26DF5"/>
    <w:rPr>
      <w:b w:val="0"/>
    </w:rPr>
  </w:style>
  <w:style w:type="paragraph" w:customStyle="1" w:styleId="Boxtitle">
    <w:name w:val="Box title"/>
    <w:basedOn w:val="FigureTabletitle"/>
    <w:uiPriority w:val="4"/>
    <w:qFormat/>
    <w:rsid w:val="004E2C9C"/>
    <w:pPr>
      <w:pBdr>
        <w:top w:val="single" w:sz="24" w:space="8" w:color="DDDE45" w:themeColor="accent3"/>
        <w:left w:val="single" w:sz="24" w:space="4" w:color="F1F1B4" w:themeColor="accent3" w:themeTint="66"/>
        <w:bottom w:val="single" w:sz="48" w:space="1" w:color="F1F1B4" w:themeColor="accent3" w:themeTint="66"/>
        <w:right w:val="single" w:sz="24" w:space="4" w:color="F1F1B4" w:themeColor="accent3" w:themeTint="66"/>
      </w:pBdr>
      <w:shd w:val="clear" w:color="auto" w:fill="F1F1B4" w:themeFill="accent3" w:themeFillTint="66"/>
      <w:spacing w:before="400" w:after="240"/>
      <w:ind w:left="142" w:right="198"/>
    </w:pPr>
  </w:style>
  <w:style w:type="paragraph" w:customStyle="1" w:styleId="Boxsource">
    <w:name w:val="Box source"/>
    <w:basedOn w:val="Boxtext"/>
    <w:uiPriority w:val="6"/>
    <w:rsid w:val="004E2C9C"/>
    <w:pPr>
      <w:spacing w:after="400"/>
    </w:pPr>
  </w:style>
  <w:style w:type="character" w:customStyle="1" w:styleId="Heading7Char">
    <w:name w:val="Heading 7 Char"/>
    <w:basedOn w:val="DefaultParagraphFont"/>
    <w:link w:val="Heading7"/>
    <w:uiPriority w:val="9"/>
    <w:semiHidden/>
    <w:rsid w:val="003B7D03"/>
    <w:rPr>
      <w:rFonts w:asciiTheme="majorHAnsi" w:eastAsiaTheme="majorEastAsia" w:hAnsiTheme="majorHAnsi" w:cstheme="majorBidi"/>
      <w:i/>
      <w:iCs/>
      <w:color w:val="004D4B" w:themeColor="accent1" w:themeShade="7F"/>
      <w:sz w:val="28"/>
    </w:rPr>
  </w:style>
  <w:style w:type="paragraph" w:customStyle="1" w:styleId="Boxstandfirst">
    <w:name w:val="Box standfirst"/>
    <w:basedOn w:val="Boxtext"/>
    <w:uiPriority w:val="6"/>
    <w:unhideWhenUsed/>
    <w:rsid w:val="00A26DF5"/>
    <w:pPr>
      <w:spacing w:before="0"/>
    </w:pPr>
    <w:rPr>
      <w:color w:val="0B4E60" w:themeColor="text2"/>
    </w:rPr>
  </w:style>
  <w:style w:type="paragraph" w:customStyle="1" w:styleId="TableParagraph">
    <w:name w:val="Table Paragraph"/>
    <w:basedOn w:val="FigureTabletitle"/>
    <w:uiPriority w:val="1"/>
    <w:rsid w:val="00A82FF5"/>
    <w:pPr>
      <w:spacing w:before="120"/>
    </w:pPr>
    <w:rPr>
      <w:rFonts w:asciiTheme="majorHAnsi" w:hAnsiTheme="majorHAnsi" w:cstheme="majorHAnsi"/>
      <w:b w:val="0"/>
      <w:szCs w:val="28"/>
    </w:rPr>
  </w:style>
  <w:style w:type="paragraph" w:styleId="BodyText">
    <w:name w:val="Body Text"/>
    <w:basedOn w:val="Normal"/>
    <w:link w:val="BodyTextChar"/>
    <w:uiPriority w:val="99"/>
    <w:semiHidden/>
    <w:unhideWhenUsed/>
    <w:rsid w:val="00A82FF5"/>
    <w:pPr>
      <w:spacing w:after="120"/>
    </w:pPr>
  </w:style>
  <w:style w:type="character" w:customStyle="1" w:styleId="BodyTextChar">
    <w:name w:val="Body Text Char"/>
    <w:basedOn w:val="DefaultParagraphFont"/>
    <w:link w:val="BodyText"/>
    <w:uiPriority w:val="99"/>
    <w:semiHidden/>
    <w:rsid w:val="00A82FF5"/>
    <w:rPr>
      <w:sz w:val="24"/>
    </w:rPr>
  </w:style>
  <w:style w:type="paragraph" w:styleId="TOC3">
    <w:name w:val="toc 3"/>
    <w:basedOn w:val="Normal"/>
    <w:next w:val="Normal"/>
    <w:autoRedefine/>
    <w:uiPriority w:val="39"/>
    <w:unhideWhenUsed/>
    <w:rsid w:val="00A82FF5"/>
    <w:pPr>
      <w:spacing w:after="100"/>
      <w:ind w:left="560"/>
    </w:pPr>
  </w:style>
  <w:style w:type="numbering" w:customStyle="1" w:styleId="StyleBulletedSymbolsymbolLeft063cmHanging063cm1">
    <w:name w:val="Style Bulleted Symbol (symbol) Left:  0.63 cm Hanging:  0.63 cm1"/>
    <w:basedOn w:val="NoList"/>
    <w:rsid w:val="00841C02"/>
    <w:pPr>
      <w:numPr>
        <w:numId w:val="7"/>
      </w:numPr>
    </w:pPr>
  </w:style>
  <w:style w:type="numbering" w:customStyle="1" w:styleId="StyleNumberedLeft0cmHanging127cm">
    <w:name w:val="Style Numbered Left:  0 cm Hanging:  1.27 cm"/>
    <w:basedOn w:val="NoList"/>
    <w:rsid w:val="00420E5D"/>
    <w:pPr>
      <w:numPr>
        <w:numId w:val="9"/>
      </w:numPr>
    </w:pPr>
  </w:style>
  <w:style w:type="character" w:customStyle="1" w:styleId="Heading5Char">
    <w:name w:val="Heading 5 Char"/>
    <w:basedOn w:val="DefaultParagraphFont"/>
    <w:uiPriority w:val="9"/>
    <w:semiHidden/>
    <w:rsid w:val="004A47A5"/>
    <w:rPr>
      <w:rFonts w:asciiTheme="majorHAnsi" w:eastAsiaTheme="majorEastAsia" w:hAnsiTheme="majorHAnsi" w:cstheme="majorBidi"/>
      <w:color w:val="007471" w:themeColor="accent1" w:themeShade="BF"/>
      <w:sz w:val="28"/>
    </w:rPr>
  </w:style>
  <w:style w:type="character" w:customStyle="1" w:styleId="Heading6Char">
    <w:name w:val="Heading 6 Char"/>
    <w:basedOn w:val="DefaultParagraphFont"/>
    <w:uiPriority w:val="9"/>
    <w:semiHidden/>
    <w:rsid w:val="004A47A5"/>
    <w:rPr>
      <w:rFonts w:asciiTheme="majorHAnsi" w:eastAsiaTheme="majorEastAsia" w:hAnsiTheme="majorHAnsi" w:cstheme="majorBidi"/>
      <w:color w:val="004D4B" w:themeColor="accent1" w:themeShade="7F"/>
      <w:sz w:val="28"/>
    </w:rPr>
  </w:style>
  <w:style w:type="character" w:customStyle="1" w:styleId="Heading8Char">
    <w:name w:val="Heading 8 Char"/>
    <w:basedOn w:val="DefaultParagraphFont"/>
    <w:uiPriority w:val="9"/>
    <w:semiHidden/>
    <w:rsid w:val="004A47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
    <w:semiHidden/>
    <w:rsid w:val="004A47A5"/>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457FE"/>
    <w:rPr>
      <w:sz w:val="16"/>
      <w:szCs w:val="16"/>
    </w:rPr>
  </w:style>
  <w:style w:type="paragraph" w:styleId="CommentText">
    <w:name w:val="annotation text"/>
    <w:basedOn w:val="Normal"/>
    <w:link w:val="CommentTextChar"/>
    <w:uiPriority w:val="99"/>
    <w:semiHidden/>
    <w:unhideWhenUsed/>
    <w:rsid w:val="00A457FE"/>
    <w:pPr>
      <w:spacing w:line="240" w:lineRule="auto"/>
    </w:pPr>
    <w:rPr>
      <w:sz w:val="20"/>
      <w:szCs w:val="20"/>
    </w:rPr>
  </w:style>
  <w:style w:type="character" w:customStyle="1" w:styleId="CommentTextChar">
    <w:name w:val="Comment Text Char"/>
    <w:basedOn w:val="DefaultParagraphFont"/>
    <w:link w:val="CommentText"/>
    <w:uiPriority w:val="99"/>
    <w:semiHidden/>
    <w:rsid w:val="00A457FE"/>
    <w:rPr>
      <w:sz w:val="20"/>
      <w:szCs w:val="20"/>
    </w:rPr>
  </w:style>
  <w:style w:type="paragraph" w:styleId="CommentSubject">
    <w:name w:val="annotation subject"/>
    <w:basedOn w:val="CommentText"/>
    <w:next w:val="CommentText"/>
    <w:link w:val="CommentSubjectChar"/>
    <w:uiPriority w:val="99"/>
    <w:semiHidden/>
    <w:unhideWhenUsed/>
    <w:rsid w:val="00A457FE"/>
    <w:rPr>
      <w:b/>
      <w:bCs/>
    </w:rPr>
  </w:style>
  <w:style w:type="character" w:customStyle="1" w:styleId="CommentSubjectChar">
    <w:name w:val="Comment Subject Char"/>
    <w:basedOn w:val="CommentTextChar"/>
    <w:link w:val="CommentSubject"/>
    <w:uiPriority w:val="99"/>
    <w:semiHidden/>
    <w:rsid w:val="00A457FE"/>
    <w:rPr>
      <w:b/>
      <w:bCs/>
      <w:sz w:val="20"/>
      <w:szCs w:val="20"/>
    </w:rPr>
  </w:style>
  <w:style w:type="paragraph" w:styleId="BalloonText">
    <w:name w:val="Balloon Text"/>
    <w:basedOn w:val="Normal"/>
    <w:link w:val="BalloonTextChar"/>
    <w:uiPriority w:val="99"/>
    <w:semiHidden/>
    <w:unhideWhenUsed/>
    <w:rsid w:val="00A457FE"/>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7FE"/>
    <w:rPr>
      <w:rFonts w:ascii="Segoe UI" w:hAnsi="Segoe UI" w:cs="Segoe UI"/>
      <w:sz w:val="18"/>
      <w:szCs w:val="18"/>
    </w:rPr>
  </w:style>
  <w:style w:type="numbering" w:customStyle="1" w:styleId="StyleBulletedLatinCourierNewLeft19cmHanging063">
    <w:name w:val="Style Bulleted (Latin) Courier New Left:  1.9 cm Hanging:  0.63 ..."/>
    <w:basedOn w:val="NoList"/>
    <w:rsid w:val="009D0D69"/>
    <w:pPr>
      <w:numPr>
        <w:numId w:val="10"/>
      </w:numPr>
    </w:pPr>
  </w:style>
  <w:style w:type="character" w:styleId="PlaceholderText">
    <w:name w:val="Placeholder Text"/>
    <w:basedOn w:val="DefaultParagraphFont"/>
    <w:uiPriority w:val="99"/>
    <w:semiHidden/>
    <w:rsid w:val="00A82FF5"/>
    <w:rPr>
      <w:color w:val="808080"/>
      <w:sz w:val="24"/>
    </w:rPr>
  </w:style>
  <w:style w:type="paragraph" w:customStyle="1" w:styleId="Standfirst">
    <w:name w:val="Standfirst"/>
    <w:basedOn w:val="Normal"/>
    <w:uiPriority w:val="3"/>
    <w:semiHidden/>
    <w:unhideWhenUsed/>
    <w:rsid w:val="00A82FF5"/>
    <w:rPr>
      <w:color w:val="0B4E60" w:themeColor="text2"/>
    </w:rPr>
  </w:style>
  <w:style w:type="paragraph" w:styleId="TOC6">
    <w:name w:val="toc 6"/>
    <w:basedOn w:val="Normal"/>
    <w:next w:val="Normal"/>
    <w:autoRedefine/>
    <w:uiPriority w:val="39"/>
    <w:semiHidden/>
    <w:unhideWhenUsed/>
    <w:rsid w:val="00A82FF5"/>
    <w:pPr>
      <w:spacing w:after="100"/>
      <w:ind w:left="1400"/>
    </w:pPr>
  </w:style>
  <w:style w:type="character" w:customStyle="1" w:styleId="Heading5Char1">
    <w:name w:val="Heading 5 Char1"/>
    <w:basedOn w:val="DefaultParagraphFont"/>
    <w:link w:val="Heading5"/>
    <w:uiPriority w:val="9"/>
    <w:rsid w:val="004E2C9C"/>
    <w:rPr>
      <w:rFonts w:asciiTheme="majorHAnsi" w:eastAsiaTheme="majorEastAsia" w:hAnsiTheme="majorHAnsi" w:cstheme="majorBidi"/>
      <w:b/>
      <w:sz w:val="24"/>
    </w:rPr>
  </w:style>
  <w:style w:type="paragraph" w:styleId="TOCHeading">
    <w:name w:val="TOC Heading"/>
    <w:basedOn w:val="Normal"/>
    <w:next w:val="Normal"/>
    <w:uiPriority w:val="39"/>
    <w:unhideWhenUsed/>
    <w:qFormat/>
    <w:rsid w:val="00A82FF5"/>
    <w:rPr>
      <w:color w:val="009C98" w:themeColor="accent1"/>
      <w:sz w:val="52"/>
      <w:szCs w:val="56"/>
    </w:rPr>
  </w:style>
  <w:style w:type="paragraph" w:customStyle="1" w:styleId="Author">
    <w:name w:val="Author"/>
    <w:basedOn w:val="Normal"/>
    <w:uiPriority w:val="12"/>
    <w:rsid w:val="00E15F4E"/>
    <w:rPr>
      <w:sz w:val="36"/>
    </w:rPr>
  </w:style>
  <w:style w:type="paragraph" w:customStyle="1" w:styleId="Boxbullets">
    <w:name w:val="Box bullets"/>
    <w:basedOn w:val="Boxtext"/>
    <w:uiPriority w:val="6"/>
    <w:qFormat/>
    <w:rsid w:val="00A82FF5"/>
    <w:pPr>
      <w:numPr>
        <w:numId w:val="14"/>
      </w:numPr>
    </w:pPr>
  </w:style>
  <w:style w:type="paragraph" w:customStyle="1" w:styleId="Boxnumberedlist">
    <w:name w:val="Box numbered list"/>
    <w:basedOn w:val="Boxtext"/>
    <w:uiPriority w:val="6"/>
    <w:rsid w:val="00A82FF5"/>
    <w:pPr>
      <w:numPr>
        <w:numId w:val="11"/>
      </w:numPr>
      <w:ind w:left="709" w:hanging="567"/>
    </w:pPr>
  </w:style>
  <w:style w:type="numbering" w:customStyle="1" w:styleId="Basicbulletlist">
    <w:name w:val="Basic bullet list"/>
    <w:uiPriority w:val="99"/>
    <w:rsid w:val="00283666"/>
    <w:pPr>
      <w:numPr>
        <w:numId w:val="12"/>
      </w:numPr>
    </w:pPr>
  </w:style>
  <w:style w:type="numbering" w:customStyle="1" w:styleId="Boxbulletlist">
    <w:name w:val="Box bullet list"/>
    <w:uiPriority w:val="99"/>
    <w:rsid w:val="00283666"/>
    <w:pPr>
      <w:numPr>
        <w:numId w:val="13"/>
      </w:numPr>
    </w:pPr>
  </w:style>
  <w:style w:type="table" w:customStyle="1" w:styleId="EHRCTable1">
    <w:name w:val="EHRC Table 1"/>
    <w:basedOn w:val="TableNormal"/>
    <w:uiPriority w:val="99"/>
    <w:rsid w:val="00CC0205"/>
    <w:pPr>
      <w:spacing w:after="60" w:line="264" w:lineRule="auto"/>
      <w:jc w:val="right"/>
    </w:pPr>
    <w:rPr>
      <w:sz w:val="28"/>
    </w:rPr>
    <w:tblPr>
      <w:tblBorders>
        <w:top w:val="single" w:sz="4" w:space="0" w:color="7DCAC7" w:themeColor="background2"/>
        <w:bottom w:val="single" w:sz="2" w:space="0" w:color="7DCAC7" w:themeColor="background2"/>
        <w:insideH w:val="single" w:sz="2" w:space="0" w:color="7DCAC7" w:themeColor="background2"/>
        <w:insideV w:val="single" w:sz="2" w:space="0" w:color="7DCAC7" w:themeColor="background2"/>
      </w:tblBorders>
    </w:tblPr>
    <w:tcPr>
      <w:shd w:val="clear" w:color="auto" w:fill="auto"/>
      <w:tcMar>
        <w:top w:w="57" w:type="dxa"/>
        <w:bottom w:w="57" w:type="dxa"/>
      </w:tcMar>
    </w:tcPr>
    <w:tblStylePr w:type="firstRow">
      <w:pPr>
        <w:wordWrap/>
        <w:spacing w:before="60" w:beforeLines="0" w:beforeAutospacing="0" w:after="60" w:afterLines="0" w:afterAutospacing="0" w:line="264" w:lineRule="auto"/>
      </w:pPr>
      <w:rPr>
        <w:b/>
        <w:color w:val="FFFFFF" w:themeColor="background1"/>
      </w:rPr>
      <w:tblPr/>
      <w:tcPr>
        <w:tcBorders>
          <w:top w:val="nil"/>
          <w:insideV w:val="single" w:sz="4" w:space="0" w:color="FFFFFF" w:themeColor="background1"/>
        </w:tcBorders>
        <w:shd w:val="clear" w:color="auto" w:fill="009C98" w:themeFill="accent1"/>
      </w:tcPr>
    </w:tblStylePr>
    <w:tblStylePr w:type="lastRow">
      <w:rPr>
        <w:b/>
      </w:rPr>
      <w:tblPr/>
      <w:tcPr>
        <w:shd w:val="clear" w:color="auto" w:fill="E4F4F3" w:themeFill="background2" w:themeFillTint="33"/>
      </w:tcPr>
    </w:tblStylePr>
    <w:tblStylePr w:type="firstCol">
      <w:pPr>
        <w:jc w:val="left"/>
      </w:pPr>
    </w:tblStylePr>
  </w:style>
  <w:style w:type="table" w:customStyle="1" w:styleId="EHRCTable2">
    <w:name w:val="EHRC Table 2"/>
    <w:basedOn w:val="EHRCTable1"/>
    <w:uiPriority w:val="99"/>
    <w:rsid w:val="00CC0205"/>
    <w:pPr>
      <w:spacing w:after="0" w:line="240" w:lineRule="auto"/>
      <w:jc w:val="left"/>
    </w:pPr>
    <w:tblPr/>
    <w:tblStylePr w:type="firstRow">
      <w:pPr>
        <w:wordWrap/>
        <w:spacing w:before="60" w:beforeLines="0" w:beforeAutospacing="0" w:after="60" w:afterLines="0" w:afterAutospacing="0" w:line="264" w:lineRule="auto"/>
      </w:pPr>
      <w:rPr>
        <w:b/>
        <w:color w:val="FFFFFF" w:themeColor="background1"/>
      </w:rPr>
      <w:tblPr/>
      <w:tcPr>
        <w:tcBorders>
          <w:top w:val="nil"/>
          <w:insideV w:val="single" w:sz="4" w:space="0" w:color="FFFFFF" w:themeColor="background1"/>
        </w:tcBorders>
        <w:shd w:val="clear" w:color="auto" w:fill="009C98" w:themeFill="accent1"/>
      </w:tcPr>
    </w:tblStylePr>
    <w:tblStylePr w:type="lastRow">
      <w:rPr>
        <w:b/>
      </w:rPr>
      <w:tblPr/>
      <w:tcPr>
        <w:shd w:val="clear" w:color="auto" w:fill="E4F4F3" w:themeFill="background2" w:themeFillTint="33"/>
      </w:tcPr>
    </w:tblStylePr>
    <w:tblStylePr w:type="firstCol">
      <w:pPr>
        <w:jc w:val="left"/>
      </w:pPr>
    </w:tblStylePr>
  </w:style>
  <w:style w:type="paragraph" w:styleId="EndnoteText">
    <w:name w:val="endnote text"/>
    <w:basedOn w:val="Normal"/>
    <w:link w:val="EndnoteTextChar"/>
    <w:uiPriority w:val="99"/>
    <w:unhideWhenUsed/>
    <w:rsid w:val="00A26DF5"/>
    <w:pPr>
      <w:spacing w:before="0" w:line="240" w:lineRule="auto"/>
    </w:pPr>
    <w:rPr>
      <w:szCs w:val="20"/>
    </w:rPr>
  </w:style>
  <w:style w:type="character" w:customStyle="1" w:styleId="EndnoteTextChar">
    <w:name w:val="Endnote Text Char"/>
    <w:basedOn w:val="DefaultParagraphFont"/>
    <w:link w:val="EndnoteText"/>
    <w:uiPriority w:val="99"/>
    <w:rsid w:val="00A26DF5"/>
    <w:rPr>
      <w:sz w:val="24"/>
      <w:szCs w:val="20"/>
    </w:rPr>
  </w:style>
  <w:style w:type="character" w:styleId="PageNumber">
    <w:name w:val="page number"/>
    <w:basedOn w:val="DefaultParagraphFont"/>
    <w:uiPriority w:val="99"/>
    <w:semiHidden/>
    <w:unhideWhenUsed/>
    <w:rsid w:val="00A82FF5"/>
    <w:rPr>
      <w:color w:val="0B4E60" w:themeColor="text2"/>
      <w:sz w:val="24"/>
    </w:rPr>
  </w:style>
  <w:style w:type="paragraph" w:customStyle="1" w:styleId="Casestudytext">
    <w:name w:val="Case study text"/>
    <w:basedOn w:val="Boxtext"/>
    <w:uiPriority w:val="8"/>
    <w:qFormat/>
    <w:rsid w:val="004E2C9C"/>
    <w:pPr>
      <w:pBdr>
        <w:top w:val="single" w:sz="2" w:space="8" w:color="FFFFFF" w:themeColor="background1"/>
        <w:left w:val="single" w:sz="2" w:space="6" w:color="FFFFFF" w:themeColor="background1"/>
        <w:bottom w:val="single" w:sz="2" w:space="4" w:color="FFFFFF" w:themeColor="background1"/>
        <w:right w:val="single" w:sz="2" w:space="6" w:color="FFFFFF" w:themeColor="background1"/>
      </w:pBdr>
      <w:shd w:val="clear" w:color="auto" w:fill="E4F4F3" w:themeFill="background2" w:themeFillTint="33"/>
      <w:spacing w:after="400"/>
    </w:pPr>
  </w:style>
  <w:style w:type="paragraph" w:customStyle="1" w:styleId="Casestudysource">
    <w:name w:val="Case study source"/>
    <w:basedOn w:val="Boxsource"/>
    <w:uiPriority w:val="8"/>
    <w:rsid w:val="004E2C9C"/>
    <w:pPr>
      <w:pBdr>
        <w:top w:val="single" w:sz="2" w:space="8" w:color="FFFFFF" w:themeColor="background1"/>
        <w:left w:val="single" w:sz="2" w:space="6" w:color="FFFFFF" w:themeColor="background1"/>
        <w:bottom w:val="single" w:sz="2" w:space="4" w:color="FFFFFF" w:themeColor="background1"/>
        <w:right w:val="single" w:sz="2" w:space="6" w:color="FFFFFF" w:themeColor="background1"/>
      </w:pBdr>
      <w:shd w:val="clear" w:color="auto" w:fill="E4F4F3" w:themeFill="background2" w:themeFillTint="33"/>
    </w:pPr>
    <w:rPr>
      <w:color w:val="0B4E60" w:themeColor="text2"/>
    </w:rPr>
  </w:style>
  <w:style w:type="paragraph" w:customStyle="1" w:styleId="Casestudytitle">
    <w:name w:val="Case study title"/>
    <w:basedOn w:val="Boxtitle"/>
    <w:uiPriority w:val="7"/>
    <w:qFormat/>
    <w:rsid w:val="00AA5BFB"/>
    <w:pPr>
      <w:pBdr>
        <w:top w:val="single" w:sz="2" w:space="8" w:color="FFFFFF" w:themeColor="background1"/>
        <w:left w:val="single" w:sz="2" w:space="6" w:color="FFFFFF" w:themeColor="background1"/>
        <w:bottom w:val="single" w:sz="2" w:space="4" w:color="FFFFFF" w:themeColor="background1"/>
        <w:right w:val="single" w:sz="2" w:space="6" w:color="FFFFFF" w:themeColor="background1"/>
      </w:pBdr>
      <w:shd w:val="clear" w:color="auto" w:fill="0B4E60" w:themeFill="text2"/>
      <w:tabs>
        <w:tab w:val="left" w:pos="7938"/>
      </w:tabs>
      <w:spacing w:after="120"/>
    </w:pPr>
    <w:rPr>
      <w:color w:val="FFFFFF" w:themeColor="background1"/>
    </w:rPr>
  </w:style>
  <w:style w:type="paragraph" w:customStyle="1" w:styleId="Documenttype">
    <w:name w:val="Document type"/>
    <w:basedOn w:val="Date"/>
    <w:rsid w:val="00A444F9"/>
    <w:pPr>
      <w:pBdr>
        <w:top w:val="single" w:sz="48" w:space="0" w:color="0B4E60" w:themeColor="text2"/>
        <w:left w:val="single" w:sz="48" w:space="0" w:color="0B4E60" w:themeColor="text2"/>
        <w:bottom w:val="single" w:sz="48" w:space="0" w:color="0B4E60" w:themeColor="text2"/>
        <w:right w:val="single" w:sz="48" w:space="0" w:color="0B4E60" w:themeColor="text2"/>
      </w:pBdr>
      <w:shd w:val="clear" w:color="auto" w:fill="0B4E60" w:themeFill="text2"/>
    </w:pPr>
    <w:rPr>
      <w:sz w:val="40"/>
      <w:bdr w:val="single" w:sz="48" w:space="0" w:color="0B4E60" w:themeColor="text2"/>
      <w:shd w:val="clear" w:color="auto" w:fill="auto"/>
    </w:rPr>
  </w:style>
  <w:style w:type="paragraph" w:customStyle="1" w:styleId="Documentstatus">
    <w:name w:val="Document status"/>
    <w:basedOn w:val="Author"/>
    <w:rsid w:val="00605567"/>
    <w:rPr>
      <w:sz w:val="32"/>
    </w:rPr>
  </w:style>
  <w:style w:type="paragraph" w:styleId="BodyText2">
    <w:name w:val="Body Text 2"/>
    <w:basedOn w:val="Normal"/>
    <w:link w:val="BodyText2Char"/>
    <w:uiPriority w:val="99"/>
    <w:semiHidden/>
    <w:unhideWhenUsed/>
    <w:rsid w:val="00A82FF5"/>
    <w:pPr>
      <w:spacing w:after="120" w:line="480" w:lineRule="auto"/>
    </w:pPr>
  </w:style>
  <w:style w:type="character" w:customStyle="1" w:styleId="BodyText2Char">
    <w:name w:val="Body Text 2 Char"/>
    <w:basedOn w:val="DefaultParagraphFont"/>
    <w:link w:val="BodyText2"/>
    <w:uiPriority w:val="99"/>
    <w:semiHidden/>
    <w:rsid w:val="00A82FF5"/>
    <w:rPr>
      <w:sz w:val="24"/>
    </w:rPr>
  </w:style>
  <w:style w:type="paragraph" w:styleId="BodyTextFirstIndent">
    <w:name w:val="Body Text First Indent"/>
    <w:basedOn w:val="BodyText"/>
    <w:link w:val="BodyTextFirstIndentChar"/>
    <w:uiPriority w:val="99"/>
    <w:semiHidden/>
    <w:unhideWhenUsed/>
    <w:rsid w:val="00A82FF5"/>
    <w:pPr>
      <w:spacing w:after="0"/>
      <w:ind w:firstLine="360"/>
    </w:pPr>
  </w:style>
  <w:style w:type="character" w:customStyle="1" w:styleId="BodyTextFirstIndentChar">
    <w:name w:val="Body Text First Indent Char"/>
    <w:basedOn w:val="BodyTextChar"/>
    <w:link w:val="BodyTextFirstIndent"/>
    <w:uiPriority w:val="99"/>
    <w:semiHidden/>
    <w:rsid w:val="00A82FF5"/>
    <w:rPr>
      <w:sz w:val="24"/>
    </w:rPr>
  </w:style>
  <w:style w:type="paragraph" w:styleId="BodyTextIndent">
    <w:name w:val="Body Text Indent"/>
    <w:basedOn w:val="Normal"/>
    <w:link w:val="BodyTextIndentChar"/>
    <w:uiPriority w:val="99"/>
    <w:semiHidden/>
    <w:unhideWhenUsed/>
    <w:rsid w:val="00A82FF5"/>
    <w:pPr>
      <w:spacing w:after="120"/>
      <w:ind w:left="283"/>
    </w:pPr>
  </w:style>
  <w:style w:type="character" w:customStyle="1" w:styleId="BodyTextIndentChar">
    <w:name w:val="Body Text Indent Char"/>
    <w:basedOn w:val="DefaultParagraphFont"/>
    <w:link w:val="BodyTextIndent"/>
    <w:uiPriority w:val="99"/>
    <w:semiHidden/>
    <w:rsid w:val="00A82FF5"/>
    <w:rPr>
      <w:sz w:val="24"/>
    </w:rPr>
  </w:style>
  <w:style w:type="paragraph" w:styleId="BodyTextFirstIndent2">
    <w:name w:val="Body Text First Indent 2"/>
    <w:basedOn w:val="BodyTextIndent"/>
    <w:link w:val="BodyTextFirstIndent2Char"/>
    <w:uiPriority w:val="99"/>
    <w:semiHidden/>
    <w:unhideWhenUsed/>
    <w:rsid w:val="00A82FF5"/>
    <w:pPr>
      <w:spacing w:after="0"/>
      <w:ind w:left="360" w:firstLine="360"/>
    </w:pPr>
  </w:style>
  <w:style w:type="character" w:customStyle="1" w:styleId="BodyTextFirstIndent2Char">
    <w:name w:val="Body Text First Indent 2 Char"/>
    <w:basedOn w:val="BodyTextIndentChar"/>
    <w:link w:val="BodyTextFirstIndent2"/>
    <w:uiPriority w:val="99"/>
    <w:semiHidden/>
    <w:rsid w:val="00A82FF5"/>
    <w:rPr>
      <w:sz w:val="24"/>
    </w:rPr>
  </w:style>
  <w:style w:type="paragraph" w:styleId="BodyTextIndent2">
    <w:name w:val="Body Text Indent 2"/>
    <w:basedOn w:val="Normal"/>
    <w:link w:val="BodyTextIndent2Char"/>
    <w:uiPriority w:val="99"/>
    <w:semiHidden/>
    <w:unhideWhenUsed/>
    <w:rsid w:val="00A82FF5"/>
    <w:pPr>
      <w:spacing w:after="120" w:line="480" w:lineRule="auto"/>
      <w:ind w:left="283"/>
    </w:pPr>
  </w:style>
  <w:style w:type="character" w:customStyle="1" w:styleId="BodyTextIndent2Char">
    <w:name w:val="Body Text Indent 2 Char"/>
    <w:basedOn w:val="DefaultParagraphFont"/>
    <w:link w:val="BodyTextIndent2"/>
    <w:uiPriority w:val="99"/>
    <w:semiHidden/>
    <w:rsid w:val="00A82FF5"/>
    <w:rPr>
      <w:sz w:val="24"/>
    </w:rPr>
  </w:style>
  <w:style w:type="paragraph" w:styleId="TOC7">
    <w:name w:val="toc 7"/>
    <w:basedOn w:val="Normal"/>
    <w:next w:val="Normal"/>
    <w:autoRedefine/>
    <w:uiPriority w:val="39"/>
    <w:semiHidden/>
    <w:unhideWhenUsed/>
    <w:rsid w:val="00A82FF5"/>
    <w:pPr>
      <w:spacing w:after="100"/>
      <w:ind w:left="1680"/>
    </w:pPr>
  </w:style>
  <w:style w:type="paragraph" w:styleId="TOC8">
    <w:name w:val="toc 8"/>
    <w:basedOn w:val="Normal"/>
    <w:next w:val="Normal"/>
    <w:autoRedefine/>
    <w:uiPriority w:val="39"/>
    <w:semiHidden/>
    <w:unhideWhenUsed/>
    <w:rsid w:val="00A82FF5"/>
    <w:pPr>
      <w:spacing w:after="100"/>
      <w:ind w:left="1960"/>
    </w:pPr>
  </w:style>
  <w:style w:type="paragraph" w:styleId="TOC9">
    <w:name w:val="toc 9"/>
    <w:basedOn w:val="Normal"/>
    <w:next w:val="Normal"/>
    <w:autoRedefine/>
    <w:uiPriority w:val="39"/>
    <w:semiHidden/>
    <w:unhideWhenUsed/>
    <w:rsid w:val="00A82FF5"/>
    <w:pPr>
      <w:spacing w:after="100"/>
      <w:ind w:left="2240"/>
    </w:pPr>
  </w:style>
  <w:style w:type="paragraph" w:styleId="TOC5">
    <w:name w:val="toc 5"/>
    <w:basedOn w:val="Normal"/>
    <w:next w:val="Normal"/>
    <w:autoRedefine/>
    <w:uiPriority w:val="39"/>
    <w:semiHidden/>
    <w:unhideWhenUsed/>
    <w:rsid w:val="00A82FF5"/>
    <w:pPr>
      <w:spacing w:after="100"/>
      <w:ind w:left="1120"/>
    </w:pPr>
  </w:style>
  <w:style w:type="paragraph" w:styleId="TOC4">
    <w:name w:val="toc 4"/>
    <w:basedOn w:val="Normal"/>
    <w:next w:val="Normal"/>
    <w:autoRedefine/>
    <w:uiPriority w:val="39"/>
    <w:semiHidden/>
    <w:unhideWhenUsed/>
    <w:rsid w:val="00A82FF5"/>
    <w:pPr>
      <w:spacing w:after="100"/>
      <w:ind w:left="840"/>
    </w:pPr>
  </w:style>
  <w:style w:type="paragraph" w:styleId="TOAHeading">
    <w:name w:val="toa heading"/>
    <w:basedOn w:val="Normal"/>
    <w:next w:val="Normal"/>
    <w:uiPriority w:val="99"/>
    <w:semiHidden/>
    <w:unhideWhenUsed/>
    <w:rsid w:val="00A82FF5"/>
    <w:pPr>
      <w:spacing w:before="120"/>
    </w:pPr>
    <w:rPr>
      <w:rFonts w:asciiTheme="majorHAnsi" w:eastAsiaTheme="majorEastAsia" w:hAnsiTheme="majorHAnsi" w:cstheme="majorBidi"/>
      <w:b/>
      <w:bCs/>
      <w:szCs w:val="24"/>
    </w:rPr>
  </w:style>
  <w:style w:type="paragraph" w:styleId="TableofFigures">
    <w:name w:val="table of figures"/>
    <w:basedOn w:val="Normal"/>
    <w:next w:val="Normal"/>
    <w:uiPriority w:val="99"/>
    <w:semiHidden/>
    <w:unhideWhenUsed/>
    <w:rsid w:val="00A82FF5"/>
  </w:style>
  <w:style w:type="paragraph" w:styleId="TableofAuthorities">
    <w:name w:val="table of authorities"/>
    <w:basedOn w:val="Normal"/>
    <w:next w:val="Normal"/>
    <w:uiPriority w:val="99"/>
    <w:semiHidden/>
    <w:unhideWhenUsed/>
    <w:rsid w:val="00A82FF5"/>
    <w:pPr>
      <w:ind w:left="280" w:hanging="280"/>
    </w:pPr>
  </w:style>
  <w:style w:type="character" w:styleId="SubtleReference">
    <w:name w:val="Subtle Reference"/>
    <w:basedOn w:val="DefaultParagraphFont"/>
    <w:uiPriority w:val="31"/>
    <w:rsid w:val="008D6677"/>
    <w:rPr>
      <w:smallCaps/>
      <w:color w:val="5A5A5A" w:themeColor="text1" w:themeTint="A5"/>
      <w:sz w:val="28"/>
    </w:rPr>
  </w:style>
  <w:style w:type="character" w:styleId="Strong">
    <w:name w:val="Strong"/>
    <w:basedOn w:val="DefaultParagraphFont"/>
    <w:uiPriority w:val="22"/>
    <w:rsid w:val="008D6677"/>
    <w:rPr>
      <w:b/>
      <w:bCs/>
      <w:sz w:val="28"/>
    </w:rPr>
  </w:style>
  <w:style w:type="paragraph" w:styleId="Signature">
    <w:name w:val="Signature"/>
    <w:basedOn w:val="Normal"/>
    <w:link w:val="SignatureChar"/>
    <w:uiPriority w:val="99"/>
    <w:semiHidden/>
    <w:unhideWhenUsed/>
    <w:rsid w:val="00A82FF5"/>
    <w:pPr>
      <w:spacing w:before="0" w:line="240" w:lineRule="auto"/>
      <w:ind w:left="4252"/>
    </w:pPr>
  </w:style>
  <w:style w:type="character" w:customStyle="1" w:styleId="SignatureChar">
    <w:name w:val="Signature Char"/>
    <w:basedOn w:val="DefaultParagraphFont"/>
    <w:link w:val="Signature"/>
    <w:uiPriority w:val="99"/>
    <w:semiHidden/>
    <w:rsid w:val="00A82FF5"/>
    <w:rPr>
      <w:sz w:val="24"/>
    </w:rPr>
  </w:style>
  <w:style w:type="paragraph" w:styleId="NormalIndent">
    <w:name w:val="Normal Indent"/>
    <w:basedOn w:val="Normal"/>
    <w:uiPriority w:val="99"/>
    <w:semiHidden/>
    <w:unhideWhenUsed/>
    <w:rsid w:val="00A82FF5"/>
    <w:pPr>
      <w:ind w:left="720"/>
    </w:pPr>
  </w:style>
  <w:style w:type="paragraph" w:customStyle="1" w:styleId="NoteHeading1">
    <w:name w:val="Note Heading1"/>
    <w:basedOn w:val="Normal"/>
    <w:next w:val="Normal"/>
    <w:link w:val="NoteHeadingChar"/>
    <w:uiPriority w:val="99"/>
    <w:semiHidden/>
    <w:unhideWhenUsed/>
    <w:rsid w:val="00A82FF5"/>
    <w:pPr>
      <w:spacing w:before="0" w:line="240" w:lineRule="auto"/>
    </w:pPr>
  </w:style>
  <w:style w:type="character" w:customStyle="1" w:styleId="NoteHeadingChar">
    <w:name w:val="Note Heading Char"/>
    <w:basedOn w:val="DefaultParagraphFont"/>
    <w:link w:val="NoteHeading1"/>
    <w:uiPriority w:val="99"/>
    <w:semiHidden/>
    <w:rsid w:val="00A82FF5"/>
    <w:rPr>
      <w:sz w:val="24"/>
    </w:rPr>
  </w:style>
  <w:style w:type="numbering" w:customStyle="1" w:styleId="StyleOutlinenumberedLatinHeadingsArialComplexHeadi">
    <w:name w:val="Style Outline numbered (Latin) +Headings (Arial) (Complex) +Headi..."/>
    <w:basedOn w:val="NoList"/>
    <w:rsid w:val="00A82FF5"/>
    <w:pPr>
      <w:numPr>
        <w:numId w:val="28"/>
      </w:numPr>
    </w:pPr>
  </w:style>
  <w:style w:type="numbering" w:customStyle="1" w:styleId="StyleOutlinenumberedLatinHeadingsArialComplexHeadi2">
    <w:name w:val="Style Outline numbered (Latin) +Headings (Arial) (Complex) +Headi...2"/>
    <w:basedOn w:val="NoList"/>
    <w:rsid w:val="004E2C9C"/>
    <w:pPr>
      <w:numPr>
        <w:numId w:val="32"/>
      </w:numPr>
    </w:pPr>
  </w:style>
  <w:style w:type="character" w:customStyle="1" w:styleId="Heading6Char1">
    <w:name w:val="Heading 6 Char1"/>
    <w:basedOn w:val="DefaultParagraphFont"/>
    <w:link w:val="Heading6"/>
    <w:uiPriority w:val="9"/>
    <w:semiHidden/>
    <w:rsid w:val="004E2C9C"/>
    <w:rPr>
      <w:rFonts w:asciiTheme="majorHAnsi" w:eastAsiaTheme="majorEastAsia" w:hAnsiTheme="majorHAnsi" w:cstheme="majorBidi"/>
      <w:sz w:val="24"/>
    </w:rPr>
  </w:style>
  <w:style w:type="character" w:styleId="HTMLCite">
    <w:name w:val="HTML Cite"/>
    <w:basedOn w:val="DefaultParagraphFont"/>
    <w:uiPriority w:val="99"/>
    <w:semiHidden/>
    <w:unhideWhenUsed/>
    <w:rsid w:val="00A82FF5"/>
    <w:rPr>
      <w:i/>
      <w:iCs/>
      <w:sz w:val="24"/>
    </w:rPr>
  </w:style>
  <w:style w:type="paragraph" w:styleId="NormalWeb">
    <w:name w:val="Normal (Web)"/>
    <w:basedOn w:val="Normal"/>
    <w:uiPriority w:val="99"/>
    <w:semiHidden/>
    <w:unhideWhenUsed/>
    <w:rsid w:val="00A444F9"/>
    <w:pPr>
      <w:keepLines w:val="0"/>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8Char1">
    <w:name w:val="Heading 8 Char1"/>
    <w:basedOn w:val="DefaultParagraphFont"/>
    <w:link w:val="Heading8"/>
    <w:uiPriority w:val="9"/>
    <w:semiHidden/>
    <w:rsid w:val="00F644BD"/>
    <w:rPr>
      <w:rFonts w:eastAsiaTheme="majorEastAsia" w:cstheme="majorBidi"/>
      <w:i/>
      <w:iCs/>
      <w:color w:val="272727" w:themeColor="text1" w:themeTint="D8"/>
      <w:sz w:val="28"/>
    </w:rPr>
  </w:style>
  <w:style w:type="character" w:customStyle="1" w:styleId="Heading9Char1">
    <w:name w:val="Heading 9 Char1"/>
    <w:basedOn w:val="DefaultParagraphFont"/>
    <w:link w:val="Heading9"/>
    <w:uiPriority w:val="9"/>
    <w:semiHidden/>
    <w:rsid w:val="00F644BD"/>
    <w:rPr>
      <w:rFonts w:eastAsiaTheme="majorEastAsia" w:cstheme="majorBidi"/>
      <w:color w:val="272727" w:themeColor="text1" w:themeTint="D8"/>
      <w:sz w:val="28"/>
    </w:rPr>
  </w:style>
  <w:style w:type="character" w:styleId="IntenseReference">
    <w:name w:val="Intense Reference"/>
    <w:basedOn w:val="DefaultParagraphFont"/>
    <w:uiPriority w:val="32"/>
    <w:rsid w:val="00F644BD"/>
    <w:rPr>
      <w:b/>
      <w:bCs/>
      <w:smallCaps/>
      <w:color w:val="00747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EHRC Arial">
  <a:themeElements>
    <a:clrScheme name="EHRC primary teal">
      <a:dk1>
        <a:sysClr val="windowText" lastClr="000000"/>
      </a:dk1>
      <a:lt1>
        <a:sysClr val="window" lastClr="FFFFFF"/>
      </a:lt1>
      <a:dk2>
        <a:srgbClr val="0B4E60"/>
      </a:dk2>
      <a:lt2>
        <a:srgbClr val="7DCAC7"/>
      </a:lt2>
      <a:accent1>
        <a:srgbClr val="009C98"/>
      </a:accent1>
      <a:accent2>
        <a:srgbClr val="64A230"/>
      </a:accent2>
      <a:accent3>
        <a:srgbClr val="DDDE45"/>
      </a:accent3>
      <a:accent4>
        <a:srgbClr val="E0AACC"/>
      </a:accent4>
      <a:accent5>
        <a:srgbClr val="722856"/>
      </a:accent5>
      <a:accent6>
        <a:srgbClr val="8B9292"/>
      </a:accent6>
      <a:hlink>
        <a:srgbClr val="009C98"/>
      </a:hlink>
      <a:folHlink>
        <a:srgbClr val="009C9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8d09e7-cc88-459c-9cac-d39a9efb22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29C123616FE4418A2C7311181ACC75" ma:contentTypeVersion="13" ma:contentTypeDescription="Create a new document." ma:contentTypeScope="" ma:versionID="28326fe0c1ca0e52b9586049b4cc306c">
  <xsd:schema xmlns:xsd="http://www.w3.org/2001/XMLSchema" xmlns:xs="http://www.w3.org/2001/XMLSchema" xmlns:p="http://schemas.microsoft.com/office/2006/metadata/properties" xmlns:ns2="768d09e7-cc88-459c-9cac-d39a9efb2276" xmlns:ns3="2b965070-72fa-44fe-9c21-9480271deb76" targetNamespace="http://schemas.microsoft.com/office/2006/metadata/properties" ma:root="true" ma:fieldsID="f4104c4519fb0e9da36889cdfad56a24" ns2:_="" ns3:_="">
    <xsd:import namespace="768d09e7-cc88-459c-9cac-d39a9efb2276"/>
    <xsd:import namespace="2b965070-72fa-44fe-9c21-9480271deb7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d09e7-cc88-459c-9cac-d39a9efb2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b5d5cc5-4017-4f9e-949a-8e239b1b99a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965070-72fa-44fe-9c21-9480271deb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9D079-D849-4DC1-A44A-7FCA7DFC47B4}">
  <ds:schemaRefs>
    <ds:schemaRef ds:uri="http://schemas.openxmlformats.org/officeDocument/2006/bibliography"/>
  </ds:schemaRefs>
</ds:datastoreItem>
</file>

<file path=customXml/itemProps2.xml><?xml version="1.0" encoding="utf-8"?>
<ds:datastoreItem xmlns:ds="http://schemas.openxmlformats.org/officeDocument/2006/customXml" ds:itemID="{A94D4678-FCCB-4955-9695-2DA57A8ECC68}">
  <ds:schemaRefs>
    <ds:schemaRef ds:uri="http://schemas.microsoft.com/office/2006/metadata/properties"/>
    <ds:schemaRef ds:uri="http://schemas.microsoft.com/office/infopath/2007/PartnerControls"/>
    <ds:schemaRef ds:uri="768d09e7-cc88-459c-9cac-d39a9efb2276"/>
  </ds:schemaRefs>
</ds:datastoreItem>
</file>

<file path=customXml/itemProps3.xml><?xml version="1.0" encoding="utf-8"?>
<ds:datastoreItem xmlns:ds="http://schemas.openxmlformats.org/officeDocument/2006/customXml" ds:itemID="{54B895DA-70D0-4A74-ABD3-21D9B0E0F422}">
  <ds:schemaRefs>
    <ds:schemaRef ds:uri="http://schemas.microsoft.com/sharepoint/v3/contenttype/forms"/>
  </ds:schemaRefs>
</ds:datastoreItem>
</file>

<file path=customXml/itemProps4.xml><?xml version="1.0" encoding="utf-8"?>
<ds:datastoreItem xmlns:ds="http://schemas.openxmlformats.org/officeDocument/2006/customXml" ds:itemID="{A8E47DAF-834E-4375-8BCF-F19436815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d09e7-cc88-459c-9cac-d39a9efb2276"/>
    <ds:schemaRef ds:uri="2b965070-72fa-44fe-9c21-9480271de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SSP0051</dc:title>
  <cp:revision>0</cp:revision>
</cp:coreProperties>
</file>