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3FDF" w:rsidRPr="00560C4C" w:rsidP="00DF3FDF">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540FF">
        <w:rPr>
          <w:rFonts w:ascii="Calibri" w:hAnsi="Calibri" w:cs="Calibri"/>
          <w:sz w:val="28"/>
          <w:szCs w:val="28"/>
        </w:rPr>
        <w:t xml:space="preserve"> </w:t>
      </w:r>
      <w:r>
        <w:rPr>
          <w:rFonts w:ascii="Calibri" w:hAnsi="Calibri" w:cs="Calibri"/>
          <w:sz w:val="28"/>
          <w:szCs w:val="28"/>
        </w:rPr>
        <w:t>the</w:t>
      </w:r>
      <w:r>
        <w:rPr>
          <w:rFonts w:ascii="Calibri" w:hAnsi="Calibri" w:cs="Calibri"/>
          <w:sz w:val="28"/>
          <w:szCs w:val="28"/>
        </w:rPr>
        <w:br/>
      </w:r>
      <w:r w:rsidRPr="00DF3FDF">
        <w:rPr>
          <w:rFonts w:ascii="Calibri" w:hAnsi="Calibri" w:cs="Calibri"/>
          <w:sz w:val="28"/>
          <w:szCs w:val="28"/>
        </w:rPr>
        <w:t xml:space="preserve"> East Midlands Combined County Authority (EMCCA)</w:t>
      </w: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Introduction</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 East Midlands Combined County Authority (EMCCA) welcomes the opportunity to respond to the Culture, Media and Sport Committee inquiry into tourism.</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The visitor economy is a core driver of regional and national economic growth. In the East Midlands it already supports over 55,000 jobs and generates </w:t>
      </w:r>
      <w:r>
        <w:rPr>
          <w:rFonts w:ascii="Arial" w:eastAsia="Times New Roman" w:hAnsi="Arial" w:cs="Arial"/>
          <w:kern w:val="0"/>
          <w:sz w:val="22"/>
          <w:szCs w:val="22"/>
          <w:lang w:eastAsia="en-GB"/>
        </w:rPr>
        <w:t>over</w:t>
      </w:r>
      <w:r w:rsidRPr="00235AB7">
        <w:rPr>
          <w:rFonts w:ascii="Arial" w:eastAsia="Times New Roman" w:hAnsi="Arial" w:cs="Arial"/>
          <w:kern w:val="0"/>
          <w:sz w:val="22"/>
          <w:szCs w:val="22"/>
          <w:lang w:eastAsia="en-GB"/>
        </w:rPr>
        <w:t xml:space="preserve"> £5.5 billion </w:t>
      </w:r>
      <w:r w:rsidRPr="00235AB7">
        <w:rPr>
          <w:rFonts w:ascii="Arial" w:eastAsia="Times New Roman" w:hAnsi="Arial" w:cs="Arial"/>
          <w:kern w:val="0"/>
          <w:sz w:val="22"/>
          <w:szCs w:val="22"/>
          <w:lang w:eastAsia="en-GB"/>
        </w:rPr>
        <w:t>GVA annually</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However, despite its scale and strength, the region structurally underperform</w:t>
      </w:r>
      <w:r>
        <w:rPr>
          <w:rFonts w:ascii="Arial" w:eastAsia="Times New Roman" w:hAnsi="Arial" w:cs="Arial"/>
          <w:kern w:val="0"/>
          <w:sz w:val="22"/>
          <w:szCs w:val="22"/>
          <w:lang w:eastAsia="en-GB"/>
        </w:rPr>
        <w:t>s</w:t>
      </w:r>
      <w:r w:rsidRPr="00235AB7">
        <w:rPr>
          <w:rFonts w:ascii="Arial" w:eastAsia="Times New Roman" w:hAnsi="Arial" w:cs="Arial"/>
          <w:kern w:val="0"/>
          <w:sz w:val="22"/>
          <w:szCs w:val="22"/>
          <w:lang w:eastAsia="en-GB"/>
        </w:rPr>
        <w:t xml:space="preserve"> relative to its potential. The visitor economy is characterised by a high reliance on domestic demand, strong seasonality, and lower productivity than the UK average. </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The east </w:t>
      </w:r>
      <w:r w:rsidRPr="00235AB7">
        <w:rPr>
          <w:rFonts w:ascii="Arial" w:eastAsia="Times New Roman" w:hAnsi="Arial" w:cs="Arial"/>
          <w:kern w:val="0"/>
          <w:sz w:val="22"/>
          <w:szCs w:val="22"/>
          <w:lang w:eastAsia="en-GB"/>
        </w:rPr>
        <w:t>midlands Growth</w:t>
      </w:r>
      <w:r w:rsidRPr="00235AB7">
        <w:rPr>
          <w:rFonts w:ascii="Arial" w:eastAsia="Times New Roman" w:hAnsi="Arial" w:cs="Arial"/>
          <w:kern w:val="0"/>
          <w:sz w:val="22"/>
          <w:szCs w:val="22"/>
          <w:lang w:eastAsia="en-GB"/>
        </w:rPr>
        <w:t xml:space="preserve"> Plan and </w:t>
      </w:r>
      <w:r w:rsidRPr="00235AB7">
        <w:rPr>
          <w:rFonts w:ascii="Arial" w:eastAsia="Times New Roman" w:hAnsi="Arial" w:cs="Arial"/>
          <w:kern w:val="0"/>
          <w:sz w:val="22"/>
          <w:szCs w:val="22"/>
          <w:lang w:eastAsia="en-GB"/>
        </w:rPr>
        <w:t>emerging visitor economy framework</w:t>
      </w:r>
      <w:r w:rsidRPr="00235AB7">
        <w:rPr>
          <w:rFonts w:ascii="Arial" w:eastAsia="Times New Roman" w:hAnsi="Arial" w:cs="Arial"/>
          <w:kern w:val="0"/>
          <w:sz w:val="22"/>
          <w:szCs w:val="22"/>
          <w:lang w:eastAsia="en-GB"/>
        </w:rPr>
        <w:t xml:space="preserve"> are designed to address this structural challenge. The region has set out a clear and quantified ambition: to increase overnight visitors by 50% and increase visitor spend per trip by 50% by 2035, contributing at least £1 billion in additional GVA to the regional economy. </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This reflects a shift to a higher-value, more productive and more spatially balanced visitor economy, aligned with national priorities on growth, productivity and </w:t>
      </w:r>
      <w:r w:rsidRPr="00235AB7">
        <w:rPr>
          <w:rFonts w:ascii="Arial" w:eastAsia="Times New Roman" w:hAnsi="Arial" w:cs="Arial"/>
          <w:kern w:val="0"/>
          <w:sz w:val="22"/>
          <w:szCs w:val="22"/>
          <w:lang w:eastAsia="en-GB"/>
        </w:rPr>
        <w:t>attractin</w:t>
      </w:r>
      <w:r w:rsidRPr="00235AB7">
        <w:rPr>
          <w:rFonts w:ascii="Arial" w:eastAsia="Times New Roman" w:hAnsi="Arial" w:cs="Arial"/>
          <w:kern w:val="0"/>
          <w:sz w:val="22"/>
          <w:szCs w:val="22"/>
          <w:lang w:eastAsia="en-GB"/>
        </w:rPr>
        <w:t>g more inbound visitors beyond London.</w:t>
      </w:r>
    </w:p>
    <w:p w:rsidR="00281C43" w:rsidRPr="00235AB7" w:rsidP="00E053D5">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Delivering this transformation requires </w:t>
      </w:r>
      <w:r w:rsidRPr="00235AB7">
        <w:rPr>
          <w:rFonts w:ascii="Arial" w:eastAsia="Times New Roman" w:hAnsi="Arial" w:cs="Arial"/>
          <w:kern w:val="0"/>
          <w:sz w:val="22"/>
          <w:szCs w:val="22"/>
          <w:lang w:eastAsia="en-GB"/>
        </w:rPr>
        <w:t>a more</w:t>
      </w:r>
      <w:r w:rsidRPr="00235AB7">
        <w:rPr>
          <w:rFonts w:ascii="Arial" w:eastAsia="Times New Roman" w:hAnsi="Arial" w:cs="Arial"/>
          <w:kern w:val="0"/>
          <w:sz w:val="22"/>
          <w:szCs w:val="22"/>
          <w:lang w:eastAsia="en-GB"/>
        </w:rPr>
        <w:t xml:space="preserve"> coordinated approach to governance, investment and delivery.</w:t>
      </w: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Is the Government’s current approach to tourism supporting growth and competitiveness?</w:t>
      </w:r>
    </w:p>
    <w:p w:rsidR="00281C43" w:rsidRPr="00321655" w:rsidP="00121252">
      <w:pPr>
        <w:spacing w:before="100" w:beforeAutospacing="1" w:after="100" w:afterAutospacing="1" w:line="300" w:lineRule="atLeast"/>
        <w:rPr>
          <w:rFonts w:ascii="Arial" w:eastAsia="Times New Roman" w:hAnsi="Arial" w:cs="Arial"/>
          <w:kern w:val="0"/>
          <w:sz w:val="22"/>
          <w:szCs w:val="22"/>
          <w:lang w:eastAsia="en-GB"/>
        </w:rPr>
      </w:pPr>
      <w:r w:rsidRPr="00321655">
        <w:rPr>
          <w:rFonts w:ascii="Arial" w:eastAsia="Times New Roman" w:hAnsi="Arial" w:cs="Arial"/>
          <w:kern w:val="0"/>
          <w:sz w:val="22"/>
          <w:szCs w:val="22"/>
          <w:lang w:eastAsia="en-GB"/>
        </w:rPr>
        <w:t>The Government’s renewed focus on tourism growth is welcome, particularly its ambition to increase international visitor numbers and support regional dispersal.</w:t>
      </w:r>
    </w:p>
    <w:p w:rsidR="00281C43" w:rsidRPr="00321655" w:rsidP="007B6C80">
      <w:pPr>
        <w:spacing w:before="100" w:beforeAutospacing="1" w:after="100" w:afterAutospacing="1" w:line="240" w:lineRule="auto"/>
        <w:rPr>
          <w:rFonts w:ascii="Arial" w:eastAsia="Times New Roman" w:hAnsi="Arial" w:cs="Arial"/>
          <w:kern w:val="0"/>
          <w:sz w:val="22"/>
          <w:szCs w:val="22"/>
          <w:lang w:eastAsia="en-GB"/>
        </w:rPr>
      </w:pPr>
      <w:r w:rsidRPr="00321655">
        <w:rPr>
          <w:rFonts w:ascii="Arial" w:eastAsia="Times New Roman" w:hAnsi="Arial" w:cs="Arial"/>
          <w:kern w:val="0"/>
          <w:sz w:val="22"/>
          <w:szCs w:val="22"/>
          <w:lang w:eastAsia="en-GB"/>
        </w:rPr>
        <w:t>However, the current national architecture remains fragmented and insufficiently aligned to the realities of English devolution.</w:t>
      </w:r>
    </w:p>
    <w:p w:rsidR="00281C43" w:rsidRPr="00321655" w:rsidP="007B6C80">
      <w:pPr>
        <w:spacing w:before="100" w:beforeAutospacing="1" w:after="100" w:afterAutospacing="1" w:line="240" w:lineRule="auto"/>
        <w:rPr>
          <w:rFonts w:ascii="Arial" w:eastAsia="Times New Roman" w:hAnsi="Arial" w:cs="Arial"/>
          <w:kern w:val="0"/>
          <w:sz w:val="22"/>
          <w:szCs w:val="22"/>
          <w:lang w:eastAsia="en-GB"/>
        </w:rPr>
      </w:pPr>
      <w:r w:rsidRPr="00321655">
        <w:rPr>
          <w:rFonts w:ascii="Arial" w:eastAsia="Times New Roman" w:hAnsi="Arial" w:cs="Arial"/>
          <w:kern w:val="0"/>
          <w:sz w:val="22"/>
          <w:szCs w:val="22"/>
          <w:lang w:eastAsia="en-GB"/>
        </w:rPr>
        <w:t xml:space="preserve">Tourism policy and investment </w:t>
      </w:r>
      <w:r>
        <w:rPr>
          <w:rFonts w:ascii="Arial" w:eastAsia="Times New Roman" w:hAnsi="Arial" w:cs="Arial"/>
          <w:kern w:val="0"/>
          <w:sz w:val="22"/>
          <w:szCs w:val="22"/>
          <w:lang w:eastAsia="en-GB"/>
        </w:rPr>
        <w:t>is</w:t>
      </w:r>
      <w:r w:rsidRPr="00321655">
        <w:rPr>
          <w:rFonts w:ascii="Arial" w:eastAsia="Times New Roman" w:hAnsi="Arial" w:cs="Arial"/>
          <w:kern w:val="0"/>
          <w:sz w:val="22"/>
          <w:szCs w:val="22"/>
          <w:lang w:eastAsia="en-GB"/>
        </w:rPr>
        <w:t xml:space="preserve"> too often</w:t>
      </w:r>
      <w:r>
        <w:rPr>
          <w:rFonts w:ascii="Arial" w:eastAsia="Times New Roman" w:hAnsi="Arial" w:cs="Arial"/>
          <w:kern w:val="0"/>
          <w:sz w:val="22"/>
          <w:szCs w:val="22"/>
          <w:lang w:eastAsia="en-GB"/>
        </w:rPr>
        <w:t xml:space="preserve"> </w:t>
      </w:r>
      <w:r>
        <w:rPr>
          <w:rFonts w:ascii="Arial" w:eastAsia="Times New Roman" w:hAnsi="Arial" w:cs="Arial"/>
          <w:kern w:val="0"/>
          <w:sz w:val="22"/>
          <w:szCs w:val="22"/>
          <w:lang w:eastAsia="en-GB"/>
        </w:rPr>
        <w:t xml:space="preserve">made up of </w:t>
      </w:r>
      <w:r w:rsidRPr="00321655">
        <w:rPr>
          <w:rFonts w:ascii="Arial" w:eastAsia="Times New Roman" w:hAnsi="Arial" w:cs="Arial"/>
          <w:kern w:val="0"/>
          <w:sz w:val="22"/>
          <w:szCs w:val="22"/>
          <w:lang w:eastAsia="en-GB"/>
        </w:rPr>
        <w:t>short-term programmes, fragmented funding streams and institutional silos between culture, heritage, transport, sport, business support and destination promotion. This creates inefficiency and weakens the ability of places to develop coherent long-term visitor economy strategies.</w:t>
      </w:r>
    </w:p>
    <w:p w:rsidR="00281C43" w:rsidRPr="00321655" w:rsidP="007B6C80">
      <w:pPr>
        <w:spacing w:before="100" w:beforeAutospacing="1" w:after="100" w:afterAutospacing="1" w:line="240" w:lineRule="auto"/>
        <w:rPr>
          <w:rFonts w:ascii="Arial" w:eastAsia="Times New Roman" w:hAnsi="Arial" w:cs="Arial"/>
          <w:kern w:val="0"/>
          <w:sz w:val="22"/>
          <w:szCs w:val="22"/>
          <w:lang w:eastAsia="en-GB"/>
        </w:rPr>
      </w:pPr>
      <w:r w:rsidRPr="00321655">
        <w:rPr>
          <w:rFonts w:ascii="Arial" w:eastAsia="Times New Roman" w:hAnsi="Arial" w:cs="Arial"/>
          <w:kern w:val="0"/>
          <w:sz w:val="22"/>
          <w:szCs w:val="22"/>
          <w:lang w:eastAsia="en-GB"/>
        </w:rPr>
        <w:t xml:space="preserve">Combined authorities and mayoral strategic authorities </w:t>
      </w:r>
      <w:r>
        <w:rPr>
          <w:rFonts w:ascii="Arial" w:eastAsia="Times New Roman" w:hAnsi="Arial" w:cs="Arial"/>
          <w:kern w:val="0"/>
          <w:sz w:val="22"/>
          <w:szCs w:val="22"/>
          <w:lang w:eastAsia="en-GB"/>
        </w:rPr>
        <w:t>have</w:t>
      </w:r>
      <w:r w:rsidRPr="00321655">
        <w:rPr>
          <w:rFonts w:ascii="Arial" w:eastAsia="Times New Roman" w:hAnsi="Arial" w:cs="Arial"/>
          <w:kern w:val="0"/>
          <w:sz w:val="22"/>
          <w:szCs w:val="22"/>
          <w:lang w:eastAsia="en-GB"/>
        </w:rPr>
        <w:t xml:space="preserve"> with responsibilities spanning transport, regeneration, skills, housing, economic development and </w:t>
      </w:r>
      <w:r>
        <w:rPr>
          <w:rFonts w:ascii="Arial" w:eastAsia="Times New Roman" w:hAnsi="Arial" w:cs="Arial"/>
          <w:kern w:val="0"/>
          <w:sz w:val="22"/>
          <w:szCs w:val="22"/>
          <w:lang w:eastAsia="en-GB"/>
        </w:rPr>
        <w:t>now</w:t>
      </w:r>
      <w:r w:rsidRPr="00321655">
        <w:rPr>
          <w:rFonts w:ascii="Arial" w:eastAsia="Times New Roman" w:hAnsi="Arial" w:cs="Arial"/>
          <w:kern w:val="0"/>
          <w:sz w:val="22"/>
          <w:szCs w:val="22"/>
          <w:lang w:eastAsia="en-GB"/>
        </w:rPr>
        <w:t xml:space="preserve"> culture</w:t>
      </w:r>
      <w:r>
        <w:rPr>
          <w:rFonts w:ascii="Arial" w:eastAsia="Times New Roman" w:hAnsi="Arial" w:cs="Arial"/>
          <w:kern w:val="0"/>
          <w:sz w:val="22"/>
          <w:szCs w:val="22"/>
          <w:lang w:eastAsia="en-GB"/>
        </w:rPr>
        <w:t xml:space="preserve">. </w:t>
      </w:r>
      <w:r w:rsidRPr="00321655">
        <w:rPr>
          <w:rFonts w:ascii="Arial" w:eastAsia="Times New Roman" w:hAnsi="Arial" w:cs="Arial"/>
          <w:kern w:val="0"/>
          <w:sz w:val="22"/>
          <w:szCs w:val="22"/>
          <w:lang w:eastAsia="en-GB"/>
        </w:rPr>
        <w:t>National policy has not yet fully caught up with this shift.</w:t>
      </w:r>
    </w:p>
    <w:p w:rsidR="00281C43" w:rsidRPr="00321655" w:rsidP="000B64D7">
      <w:pPr>
        <w:spacing w:before="100" w:beforeAutospacing="1" w:after="100" w:afterAutospacing="1" w:line="240" w:lineRule="auto"/>
        <w:rPr>
          <w:rFonts w:ascii="Arial" w:eastAsia="Times New Roman" w:hAnsi="Arial" w:cs="Arial"/>
          <w:kern w:val="0"/>
          <w:sz w:val="22"/>
          <w:szCs w:val="22"/>
          <w:lang w:eastAsia="en-GB"/>
        </w:rPr>
      </w:pPr>
      <w:r>
        <w:rPr>
          <w:rFonts w:ascii="Arial" w:eastAsia="Times New Roman" w:hAnsi="Arial" w:cs="Arial"/>
          <w:kern w:val="0"/>
          <w:sz w:val="22"/>
          <w:szCs w:val="22"/>
          <w:lang w:eastAsia="en-GB"/>
        </w:rPr>
        <w:t xml:space="preserve">We have therefore established </w:t>
      </w:r>
      <w:r w:rsidRPr="00321655">
        <w:rPr>
          <w:rFonts w:ascii="Arial" w:eastAsia="Times New Roman" w:hAnsi="Arial" w:cs="Arial"/>
          <w:kern w:val="0"/>
          <w:sz w:val="22"/>
          <w:szCs w:val="22"/>
          <w:lang w:eastAsia="en-GB"/>
        </w:rPr>
        <w:t xml:space="preserve">Visit East Midlands </w:t>
      </w:r>
      <w:r w:rsidRPr="00321655">
        <w:rPr>
          <w:rFonts w:ascii="Arial" w:eastAsia="Times New Roman" w:hAnsi="Arial" w:cs="Arial"/>
          <w:kern w:val="0"/>
          <w:sz w:val="22"/>
          <w:szCs w:val="22"/>
          <w:lang w:eastAsia="en-GB"/>
        </w:rPr>
        <w:t xml:space="preserve">as a partnership, supporting a </w:t>
      </w:r>
      <w:r w:rsidRPr="00321655">
        <w:rPr>
          <w:rFonts w:ascii="Arial" w:eastAsia="Times New Roman" w:hAnsi="Arial" w:cs="Arial"/>
          <w:kern w:val="0"/>
          <w:sz w:val="22"/>
          <w:szCs w:val="22"/>
          <w:lang w:eastAsia="en-GB"/>
        </w:rPr>
        <w:t xml:space="preserve">coherent regional proposition that can operate strategically with VisitBritain, Government departments, </w:t>
      </w:r>
      <w:r w:rsidRPr="00321655">
        <w:rPr>
          <w:rFonts w:ascii="Arial" w:eastAsia="Times New Roman" w:hAnsi="Arial" w:cs="Arial"/>
          <w:kern w:val="0"/>
          <w:sz w:val="22"/>
          <w:szCs w:val="22"/>
          <w:lang w:eastAsia="en-GB"/>
        </w:rPr>
        <w:t xml:space="preserve">international markets and investors while </w:t>
      </w:r>
      <w:r w:rsidRPr="00321655">
        <w:rPr>
          <w:rFonts w:ascii="Arial" w:eastAsia="Times New Roman" w:hAnsi="Arial" w:cs="Arial"/>
          <w:kern w:val="0"/>
          <w:sz w:val="22"/>
          <w:szCs w:val="22"/>
          <w:lang w:eastAsia="en-GB"/>
        </w:rPr>
        <w:t xml:space="preserve">working with LVEP’s </w:t>
      </w:r>
      <w:r w:rsidRPr="00321655">
        <w:rPr>
          <w:rFonts w:ascii="Arial" w:eastAsia="Times New Roman" w:hAnsi="Arial" w:cs="Arial"/>
          <w:kern w:val="0"/>
          <w:sz w:val="22"/>
          <w:szCs w:val="22"/>
          <w:lang w:eastAsia="en-GB"/>
        </w:rPr>
        <w:t>and constituent local authorities.</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This is particularly significant given the national context. The UK visitor economy contributes £206 billion to GDP and supports over 3 million jobs, yet remains highly spatially concentrated, with London alone attracting over half of inbound international visitors. </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While the</w:t>
      </w:r>
      <w:r>
        <w:rPr>
          <w:rFonts w:ascii="Arial" w:eastAsia="Times New Roman" w:hAnsi="Arial" w:cs="Arial"/>
          <w:kern w:val="0"/>
          <w:sz w:val="22"/>
          <w:szCs w:val="22"/>
          <w:lang w:eastAsia="en-GB"/>
        </w:rPr>
        <w:t xml:space="preserve"> emerging</w:t>
      </w:r>
      <w:r w:rsidRPr="00235AB7">
        <w:rPr>
          <w:rFonts w:ascii="Arial" w:eastAsia="Times New Roman" w:hAnsi="Arial" w:cs="Arial"/>
          <w:kern w:val="0"/>
          <w:sz w:val="22"/>
          <w:szCs w:val="22"/>
          <w:lang w:eastAsia="en-GB"/>
        </w:rPr>
        <w:t xml:space="preserve"> national strategy recognises the importance of regional dispersal, there is currently no fully aligned delivery model at a regional scale to achieve it.</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EMCCA’s experience illustrates that regions have both the assets and the ambition to contribute more significantly to national </w:t>
      </w:r>
      <w:r w:rsidRPr="00235AB7">
        <w:rPr>
          <w:rFonts w:ascii="Arial" w:eastAsia="Times New Roman" w:hAnsi="Arial" w:cs="Arial"/>
          <w:kern w:val="0"/>
          <w:sz w:val="22"/>
          <w:szCs w:val="22"/>
          <w:lang w:eastAsia="en-GB"/>
        </w:rPr>
        <w:t>growth but</w:t>
      </w:r>
      <w:r w:rsidRPr="00235AB7">
        <w:rPr>
          <w:rFonts w:ascii="Arial" w:eastAsia="Times New Roman" w:hAnsi="Arial" w:cs="Arial"/>
          <w:kern w:val="0"/>
          <w:sz w:val="22"/>
          <w:szCs w:val="22"/>
          <w:lang w:eastAsia="en-GB"/>
        </w:rPr>
        <w:t xml:space="preserve"> require a more integrated and long-term framework in which to do so.</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A more effective approach would explicitly treat mayoral combined authorities as partners within a national growth framework, with greater alignment between national policy, funding and regional economic strategies.</w:t>
      </w:r>
    </w:p>
    <w:p w:rsidR="00281C43" w:rsidRPr="00235AB7" w:rsidP="00121252">
      <w:pPr>
        <w:spacing w:after="0" w:line="300" w:lineRule="atLeast"/>
        <w:rPr>
          <w:rFonts w:ascii="Arial" w:eastAsia="Times New Roman" w:hAnsi="Arial" w:cs="Arial"/>
          <w:kern w:val="0"/>
          <w:sz w:val="22"/>
          <w:szCs w:val="22"/>
          <w:lang w:eastAsia="en-GB"/>
        </w:rPr>
      </w:pP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What role should combined authorities and mayors play in tourism?</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Combined authorities and mayors should play a central strategic role in the future of tourism and visitor economy development.</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 visitor economy is not a stand-alone sector. Its performance is shaped by wider economic systems, including transport connectivity, skills and workforce development, cultural infrastructure, regeneration and place-making. These policy levers are increasingly held at the level of mayoral combined authorities.</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In the East Midlands, the </w:t>
      </w:r>
      <w:r>
        <w:rPr>
          <w:rFonts w:ascii="Arial" w:eastAsia="Times New Roman" w:hAnsi="Arial" w:cs="Arial"/>
          <w:kern w:val="0"/>
          <w:sz w:val="22"/>
          <w:szCs w:val="22"/>
          <w:lang w:eastAsia="en-GB"/>
        </w:rPr>
        <w:t xml:space="preserve">emerging </w:t>
      </w:r>
      <w:r w:rsidRPr="00235AB7">
        <w:rPr>
          <w:rFonts w:ascii="Arial" w:eastAsia="Times New Roman" w:hAnsi="Arial" w:cs="Arial"/>
          <w:kern w:val="0"/>
          <w:sz w:val="22"/>
          <w:szCs w:val="22"/>
          <w:lang w:eastAsia="en-GB"/>
        </w:rPr>
        <w:t xml:space="preserve">Visitor Economy </w:t>
      </w:r>
      <w:r>
        <w:rPr>
          <w:rFonts w:ascii="Arial" w:eastAsia="Times New Roman" w:hAnsi="Arial" w:cs="Arial"/>
          <w:kern w:val="0"/>
          <w:sz w:val="22"/>
          <w:szCs w:val="22"/>
          <w:lang w:eastAsia="en-GB"/>
        </w:rPr>
        <w:t>framework</w:t>
      </w:r>
      <w:r w:rsidRPr="00235AB7">
        <w:rPr>
          <w:rFonts w:ascii="Arial" w:eastAsia="Times New Roman" w:hAnsi="Arial" w:cs="Arial"/>
          <w:kern w:val="0"/>
          <w:sz w:val="22"/>
          <w:szCs w:val="22"/>
          <w:lang w:eastAsia="en-GB"/>
        </w:rPr>
        <w:t xml:space="preserve"> is designed to align these levers to support growth. This includes strengthening the regional experience </w:t>
      </w:r>
      <w:r>
        <w:rPr>
          <w:rFonts w:ascii="Arial" w:eastAsia="Times New Roman" w:hAnsi="Arial" w:cs="Arial"/>
          <w:kern w:val="0"/>
          <w:sz w:val="22"/>
          <w:szCs w:val="22"/>
          <w:lang w:eastAsia="en-GB"/>
        </w:rPr>
        <w:t xml:space="preserve">and product </w:t>
      </w:r>
      <w:r w:rsidRPr="00235AB7">
        <w:rPr>
          <w:rFonts w:ascii="Arial" w:eastAsia="Times New Roman" w:hAnsi="Arial" w:cs="Arial"/>
          <w:kern w:val="0"/>
          <w:sz w:val="22"/>
          <w:szCs w:val="22"/>
          <w:lang w:eastAsia="en-GB"/>
        </w:rPr>
        <w:t>offer, improving connectivity between key destinations, supporting workforce development, and coordinating a pipeline of priority investment projects.</w:t>
      </w:r>
    </w:p>
    <w:p w:rsidR="00281C43" w:rsidRPr="00235AB7" w:rsidP="00C36931">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Formal recognition of this role within national policy would improve clarity, strengthen accountability, and provide greater confidence for long-term investment.</w:t>
      </w: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How effective are current destination management structures?</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Current destination management arrangements across England remain inconsistent</w:t>
      </w:r>
      <w:r>
        <w:rPr>
          <w:rFonts w:ascii="Arial" w:eastAsia="Times New Roman" w:hAnsi="Arial" w:cs="Arial"/>
          <w:kern w:val="0"/>
          <w:sz w:val="22"/>
          <w:szCs w:val="22"/>
          <w:lang w:eastAsia="en-GB"/>
        </w:rPr>
        <w:t>.</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 Local Visitor Economy Partnership (LVEP) programme has provided an important foundation for reform, but in many areas fragmentation persists, limiting the ability to operate at the scale required f</w:t>
      </w:r>
      <w:r>
        <w:rPr>
          <w:rFonts w:ascii="Arial" w:eastAsia="Times New Roman" w:hAnsi="Arial" w:cs="Arial"/>
          <w:kern w:val="0"/>
          <w:sz w:val="22"/>
          <w:szCs w:val="22"/>
          <w:lang w:eastAsia="en-GB"/>
        </w:rPr>
        <w:t>or regional and pan-regional impact</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The East Midlands has responded to this challenge through the creation of Visit East Midlands, a single regional strategic partnership designed to operate across </w:t>
      </w:r>
      <w:r>
        <w:rPr>
          <w:rFonts w:ascii="Arial" w:eastAsia="Times New Roman" w:hAnsi="Arial" w:cs="Arial"/>
          <w:kern w:val="0"/>
          <w:sz w:val="22"/>
          <w:szCs w:val="22"/>
          <w:lang w:eastAsia="en-GB"/>
        </w:rPr>
        <w:t xml:space="preserve">our </w:t>
      </w:r>
      <w:r w:rsidRPr="00235AB7">
        <w:rPr>
          <w:rFonts w:ascii="Arial" w:eastAsia="Times New Roman" w:hAnsi="Arial" w:cs="Arial"/>
          <w:kern w:val="0"/>
          <w:sz w:val="22"/>
          <w:szCs w:val="22"/>
          <w:lang w:eastAsia="en-GB"/>
        </w:rPr>
        <w:t>functional economic geography.</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This model enables:</w:t>
      </w:r>
    </w:p>
    <w:p w:rsidR="00281C43" w:rsidRPr="00235AB7" w:rsidP="00121252">
      <w:pPr>
        <w:numPr>
          <w:ilvl w:val="0"/>
          <w:numId w:val="5"/>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stronger strategic coordination across local destinations</w:t>
      </w:r>
    </w:p>
    <w:p w:rsidR="00281C43" w:rsidRPr="00235AB7" w:rsidP="00121252">
      <w:pPr>
        <w:numPr>
          <w:ilvl w:val="0"/>
          <w:numId w:val="5"/>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alignment with regional economic growth priorities</w:t>
      </w:r>
    </w:p>
    <w:p w:rsidR="00281C43" w:rsidRPr="00235AB7" w:rsidP="00121252">
      <w:pPr>
        <w:numPr>
          <w:ilvl w:val="0"/>
          <w:numId w:val="5"/>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improved engagement with national agencies and international markets</w:t>
      </w:r>
    </w:p>
    <w:p w:rsidR="00281C43" w:rsidRPr="00235AB7" w:rsidP="00121252">
      <w:pPr>
        <w:numPr>
          <w:ilvl w:val="0"/>
          <w:numId w:val="5"/>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a platform for coordinated investment and product development</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Importantly, this approach operates alongside strong local delivery partnerships, ensuring that local identity and sector engagement are maintained.</w:t>
      </w:r>
    </w:p>
    <w:p w:rsidR="00281C43" w:rsidRPr="00235AB7" w:rsidP="009D1924">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As visitor economy policy continues to evolve, there is an opportunity for Government to</w:t>
      </w:r>
      <w:r>
        <w:rPr>
          <w:rFonts w:ascii="Arial" w:eastAsia="Times New Roman" w:hAnsi="Arial" w:cs="Arial"/>
          <w:kern w:val="0"/>
          <w:sz w:val="22"/>
          <w:szCs w:val="22"/>
          <w:lang w:eastAsia="en-GB"/>
        </w:rPr>
        <w:t xml:space="preserve"> recognise</w:t>
      </w:r>
      <w:r w:rsidRPr="00235AB7">
        <w:rPr>
          <w:rFonts w:ascii="Arial" w:eastAsia="Times New Roman" w:hAnsi="Arial" w:cs="Arial"/>
          <w:kern w:val="0"/>
          <w:sz w:val="22"/>
          <w:szCs w:val="22"/>
          <w:lang w:eastAsia="en-GB"/>
        </w:rPr>
        <w:t xml:space="preserve"> this type of regional model, aligned with devolved governance structures.</w:t>
      </w: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What more should Government and VisitBritain do to support regional tourism growth?</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There is a significant opportunity to strengthen the impact of national policy by aligning it more closely with regional delivery.</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To support regional tourism growth, Government and VisitBritain should consider:</w:t>
      </w:r>
    </w:p>
    <w:p w:rsidR="00281C43" w:rsidRPr="00235AB7" w:rsidP="00121252">
      <w:pPr>
        <w:numPr>
          <w:ilvl w:val="0"/>
          <w:numId w:val="6"/>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establishing multi-year regional investment settlements aligned to devolution agreements and growth plans</w:t>
      </w:r>
    </w:p>
    <w:p w:rsidR="00281C43" w:rsidRPr="00235AB7" w:rsidP="00121252">
      <w:pPr>
        <w:numPr>
          <w:ilvl w:val="0"/>
          <w:numId w:val="6"/>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strengthening co-investment in international market development with mayoral combined authorities</w:t>
      </w:r>
    </w:p>
    <w:p w:rsidR="00281C43" w:rsidRPr="00235AB7" w:rsidP="00121252">
      <w:pPr>
        <w:numPr>
          <w:ilvl w:val="0"/>
          <w:numId w:val="6"/>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aligning national promotional activity more closely with regional growth priorities</w:t>
      </w:r>
    </w:p>
    <w:p w:rsidR="00281C43" w:rsidRPr="00235AB7" w:rsidP="00121252">
      <w:pPr>
        <w:numPr>
          <w:ilvl w:val="0"/>
          <w:numId w:val="6"/>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supporting integrated product development, particularly linking culture, heritage, sport and major events</w:t>
      </w:r>
    </w:p>
    <w:p w:rsidR="00281C43" w:rsidRPr="00235AB7" w:rsidP="00121252">
      <w:pPr>
        <w:numPr>
          <w:ilvl w:val="0"/>
          <w:numId w:val="6"/>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prioritising transport connectivity between key visitor assets and international gateways</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 East Midlands evidence base demonstrates that targeted intervention could unlock substantial growth. For example, increasing overnight stays and visitor spend in line with sector plan assumptions would generate over £4 billion in direct expenditure annually and deliver a material uplift in regional GVA</w:t>
      </w:r>
    </w:p>
    <w:p w:rsidR="00281C43" w:rsidRPr="00235AB7" w:rsidP="00121252">
      <w:pPr>
        <w:spacing w:after="0" w:line="300" w:lineRule="atLeast"/>
        <w:rPr>
          <w:rFonts w:ascii="Arial" w:eastAsia="Times New Roman" w:hAnsi="Arial" w:cs="Arial"/>
          <w:kern w:val="0"/>
          <w:sz w:val="22"/>
          <w:szCs w:val="22"/>
          <w:lang w:eastAsia="en-GB"/>
        </w:rPr>
      </w:pP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What are the main barriers to tourism growth?</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 barriers to visitor economy growth in the East Midlands are structural and reflect wider national challenges.</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These include:</w:t>
      </w:r>
    </w:p>
    <w:p w:rsidR="00281C43" w:rsidRPr="00235AB7" w:rsidP="00121252">
      <w:pPr>
        <w:numPr>
          <w:ilvl w:val="0"/>
          <w:numId w:val="7"/>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fragmentation in destination governance and coordination</w:t>
      </w:r>
    </w:p>
    <w:p w:rsidR="00281C43" w:rsidRPr="00235AB7" w:rsidP="00121252">
      <w:pPr>
        <w:numPr>
          <w:ilvl w:val="0"/>
          <w:numId w:val="7"/>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limited long-term investment in destination development</w:t>
      </w:r>
    </w:p>
    <w:p w:rsidR="00281C43" w:rsidRPr="00235AB7" w:rsidP="00121252">
      <w:pPr>
        <w:numPr>
          <w:ilvl w:val="0"/>
          <w:numId w:val="7"/>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transport and accessibility constraints, particularly in rural areas</w:t>
      </w:r>
    </w:p>
    <w:p w:rsidR="00281C43" w:rsidRPr="00235AB7" w:rsidP="00121252">
      <w:pPr>
        <w:numPr>
          <w:ilvl w:val="0"/>
          <w:numId w:val="7"/>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labour market challenges, including skills shortages and retention</w:t>
      </w:r>
    </w:p>
    <w:p w:rsidR="00281C43" w:rsidRPr="00235AB7" w:rsidP="00121252">
      <w:pPr>
        <w:numPr>
          <w:ilvl w:val="0"/>
          <w:numId w:val="7"/>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constrained data and market intelligence infrastructure</w:t>
      </w:r>
    </w:p>
    <w:p w:rsidR="00281C43" w:rsidRPr="00235AB7" w:rsidP="00121252">
      <w:pPr>
        <w:numPr>
          <w:ilvl w:val="0"/>
          <w:numId w:val="7"/>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strong seasonality linked to a reliance on domestic markets </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These issues limit productivity, reduce dwell time, and constrain the ability to attract higher-value and international visitors.</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Addressing these barriers requires coordinated action across multiple policy areas, reinforcing the importance of aligning tourism with wider economic and place-based policy.</w:t>
      </w:r>
    </w:p>
    <w:p w:rsidR="00281C43" w:rsidRPr="00235AB7" w:rsidP="00121252">
      <w:pPr>
        <w:spacing w:after="0" w:line="300" w:lineRule="atLeast"/>
        <w:rPr>
          <w:rFonts w:ascii="Arial" w:eastAsia="Times New Roman" w:hAnsi="Arial" w:cs="Arial"/>
          <w:kern w:val="0"/>
          <w:sz w:val="22"/>
          <w:szCs w:val="22"/>
          <w:lang w:eastAsia="en-GB"/>
        </w:rPr>
      </w:pP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What role can culture, heritage and sport play in tourism growth?</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Culture, heritage and sport are central to the future growth of the visitor economy.</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The East Midlands has a strong asset base, including internationally recognised heritage, landscapes and cultural </w:t>
      </w:r>
      <w:r>
        <w:rPr>
          <w:rFonts w:ascii="Arial" w:eastAsia="Times New Roman" w:hAnsi="Arial" w:cs="Arial"/>
          <w:kern w:val="0"/>
          <w:sz w:val="22"/>
          <w:szCs w:val="22"/>
          <w:lang w:eastAsia="en-GB"/>
        </w:rPr>
        <w:t xml:space="preserve">and sport </w:t>
      </w:r>
      <w:r w:rsidRPr="00235AB7">
        <w:rPr>
          <w:rFonts w:ascii="Arial" w:eastAsia="Times New Roman" w:hAnsi="Arial" w:cs="Arial"/>
          <w:kern w:val="0"/>
          <w:sz w:val="22"/>
          <w:szCs w:val="22"/>
          <w:lang w:eastAsia="en-GB"/>
        </w:rPr>
        <w:t>brands</w:t>
      </w:r>
      <w:r>
        <w:rPr>
          <w:rFonts w:ascii="Arial" w:eastAsia="Times New Roman" w:hAnsi="Arial" w:cs="Arial"/>
          <w:kern w:val="0"/>
          <w:sz w:val="22"/>
          <w:szCs w:val="22"/>
          <w:lang w:eastAsia="en-GB"/>
        </w:rPr>
        <w:t>; Chatsworth House, Derwent Valley Mills World Heritage Site</w:t>
      </w:r>
      <w:r>
        <w:rPr>
          <w:rFonts w:ascii="Arial" w:eastAsia="Times New Roman" w:hAnsi="Arial" w:cs="Arial"/>
          <w:kern w:val="0"/>
          <w:sz w:val="22"/>
          <w:szCs w:val="22"/>
          <w:lang w:eastAsia="en-GB"/>
        </w:rPr>
        <w:t>, Trent Sports District, Peak District National Park, and of course, Robin Hood.</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Pr>
          <w:rFonts w:ascii="Arial" w:eastAsia="Times New Roman" w:hAnsi="Arial" w:cs="Arial"/>
          <w:kern w:val="0"/>
          <w:sz w:val="22"/>
          <w:szCs w:val="22"/>
          <w:lang w:eastAsia="en-GB"/>
        </w:rPr>
        <w:t>Our sector plan</w:t>
      </w:r>
      <w:r w:rsidRPr="00235AB7">
        <w:rPr>
          <w:rFonts w:ascii="Arial" w:eastAsia="Times New Roman" w:hAnsi="Arial" w:cs="Arial"/>
          <w:kern w:val="0"/>
          <w:sz w:val="22"/>
          <w:szCs w:val="22"/>
          <w:lang w:eastAsia="en-GB"/>
        </w:rPr>
        <w:t xml:space="preserve"> reflects a shift toward an experience economy model, where growth is driven by the quality, distinctiveness and integration of experiences.</w:t>
      </w:r>
    </w:p>
    <w:p w:rsidR="00281C43" w:rsidRPr="00DC3F42" w:rsidP="00121252">
      <w:pPr>
        <w:spacing w:before="100" w:beforeAutospacing="1" w:after="100" w:afterAutospacing="1" w:line="300" w:lineRule="atLeast"/>
        <w:rPr>
          <w:rFonts w:ascii="Arial" w:eastAsia="Times New Roman" w:hAnsi="Arial" w:cs="Arial"/>
          <w:kern w:val="0"/>
          <w:sz w:val="22"/>
          <w:szCs w:val="22"/>
          <w:lang w:eastAsia="en-GB"/>
        </w:rPr>
      </w:pPr>
      <w:r w:rsidRPr="00DC3F42">
        <w:rPr>
          <w:rFonts w:ascii="Arial" w:eastAsia="Times New Roman" w:hAnsi="Arial" w:cs="Arial"/>
          <w:kern w:val="0"/>
          <w:sz w:val="22"/>
          <w:szCs w:val="22"/>
          <w:lang w:eastAsia="en-GB"/>
        </w:rPr>
        <w:t>This includes aligning cultural investment, heritage-led regeneration, and sporting infrastructure with visitor economy strategy, as well as strengthening the year-round offer to reduce seasonality and support business sustainability.</w:t>
      </w:r>
    </w:p>
    <w:p w:rsidR="00281C43" w:rsidRPr="00DC3F42" w:rsidP="00121252">
      <w:pPr>
        <w:spacing w:before="100" w:beforeAutospacing="1" w:after="100" w:afterAutospacing="1" w:line="300" w:lineRule="atLeast"/>
        <w:rPr>
          <w:rFonts w:ascii="Arial" w:eastAsia="Times New Roman" w:hAnsi="Arial" w:cs="Arial"/>
          <w:kern w:val="0"/>
          <w:sz w:val="21"/>
          <w:szCs w:val="21"/>
          <w:lang w:eastAsia="en-GB"/>
        </w:rPr>
      </w:pPr>
      <w:r w:rsidRPr="00DC3F42">
        <w:rPr>
          <w:rFonts w:ascii="Arial" w:eastAsia="Times New Roman" w:hAnsi="Arial" w:cs="Arial"/>
          <w:kern w:val="0"/>
          <w:sz w:val="21"/>
          <w:szCs w:val="21"/>
          <w:lang w:eastAsia="en-GB"/>
        </w:rPr>
        <w:t>In the East Midlands, this approach is already being applied through a coordinated pipeline of cultural, heritage and sporting investments, demonstrating how place-based projects can directly support visitor economy growth when aligned with regional strategy.</w:t>
      </w:r>
    </w:p>
    <w:p w:rsidR="00281C43" w:rsidRPr="00DC3F42" w:rsidP="001559CA">
      <w:pPr>
        <w:spacing w:before="100" w:beforeAutospacing="1" w:after="100" w:afterAutospacing="1" w:line="300" w:lineRule="atLeast"/>
        <w:rPr>
          <w:rFonts w:ascii="Arial" w:eastAsia="Times New Roman" w:hAnsi="Arial" w:cs="Arial"/>
          <w:kern w:val="0"/>
          <w:sz w:val="22"/>
          <w:szCs w:val="22"/>
          <w:lang w:eastAsia="en-GB"/>
        </w:rPr>
      </w:pPr>
      <w:r w:rsidRPr="00DC3F42">
        <w:rPr>
          <w:rFonts w:ascii="Arial" w:eastAsia="Times New Roman" w:hAnsi="Arial" w:cs="Arial"/>
          <w:kern w:val="0"/>
          <w:sz w:val="22"/>
          <w:szCs w:val="22"/>
          <w:lang w:eastAsia="en-GB"/>
        </w:rPr>
        <w:t>There is an opportunity for Government to strengthen alignment between DCMS and its arm’s-length bodies and mayoral combined authorities, ensuring that cultural and heritage investment contributes more directly to place-based economic growth.</w:t>
      </w:r>
    </w:p>
    <w:p w:rsidR="00281C43" w:rsidRPr="00235AB7" w:rsidP="001559CA">
      <w:pPr>
        <w:spacing w:before="100" w:beforeAutospacing="1" w:after="100" w:afterAutospacing="1" w:line="300" w:lineRule="atLeast"/>
        <w:rPr>
          <w:rFonts w:ascii="Arial" w:eastAsia="Times New Roman" w:hAnsi="Arial" w:cs="Arial"/>
          <w:kern w:val="0"/>
          <w:sz w:val="22"/>
          <w:szCs w:val="22"/>
          <w:lang w:eastAsia="en-GB"/>
        </w:rPr>
      </w:pPr>
    </w:p>
    <w:p w:rsidR="00281C43" w:rsidRPr="00235AB7" w:rsidP="00121252">
      <w:pPr>
        <w:spacing w:before="100" w:beforeAutospacing="1" w:after="100" w:afterAutospacing="1" w:line="300" w:lineRule="atLeast"/>
        <w:outlineLvl w:val="1"/>
        <w:rPr>
          <w:rFonts w:ascii="Arial" w:eastAsia="Times New Roman" w:hAnsi="Arial" w:cs="Arial"/>
          <w:b/>
          <w:bCs/>
          <w:kern w:val="0"/>
          <w:sz w:val="22"/>
          <w:szCs w:val="22"/>
          <w:lang w:eastAsia="en-GB"/>
        </w:rPr>
      </w:pPr>
      <w:r w:rsidRPr="00235AB7">
        <w:rPr>
          <w:rFonts w:ascii="Arial" w:eastAsia="Times New Roman" w:hAnsi="Arial" w:cs="Arial"/>
          <w:b/>
          <w:bCs/>
          <w:kern w:val="0"/>
          <w:sz w:val="22"/>
          <w:szCs w:val="22"/>
          <w:lang w:eastAsia="en-GB"/>
        </w:rPr>
        <w:t>What should success look like for English tourism over the next decade?</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Success should be measured not by visitor numbers, but by productivity, value and regional balance.</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For the East Midlands, this means:</w:t>
      </w:r>
    </w:p>
    <w:p w:rsidR="00281C43" w:rsidRPr="00235AB7" w:rsidP="00121252">
      <w:pPr>
        <w:numPr>
          <w:ilvl w:val="0"/>
          <w:numId w:val="8"/>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increasing overnight stays and extending dwell time</w:t>
      </w:r>
    </w:p>
    <w:p w:rsidR="00281C43" w:rsidRPr="00235AB7" w:rsidP="00121252">
      <w:pPr>
        <w:numPr>
          <w:ilvl w:val="0"/>
          <w:numId w:val="8"/>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increasing average visitor spend per trip</w:t>
      </w:r>
    </w:p>
    <w:p w:rsidR="00281C43" w:rsidRPr="00235AB7" w:rsidP="00121252">
      <w:pPr>
        <w:numPr>
          <w:ilvl w:val="0"/>
          <w:numId w:val="8"/>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improving productivity and wage levels within the sector</w:t>
      </w:r>
    </w:p>
    <w:p w:rsidR="00281C43" w:rsidRPr="00235AB7" w:rsidP="00121252">
      <w:pPr>
        <w:numPr>
          <w:ilvl w:val="0"/>
          <w:numId w:val="8"/>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strengthening international market share</w:t>
      </w:r>
    </w:p>
    <w:p w:rsidR="00281C43" w:rsidRPr="00235AB7" w:rsidP="00121252">
      <w:pPr>
        <w:numPr>
          <w:ilvl w:val="0"/>
          <w:numId w:val="8"/>
        </w:num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enabling more places to benefit from visitor economy growth</w:t>
      </w:r>
    </w:p>
    <w:p w:rsidR="00281C43" w:rsidRPr="00235AB7" w:rsidP="00121252">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 xml:space="preserve">These outcomes align with both regional and national ambitions, including the Growth Plan target of delivering an additional £1 billion in visitor economy GVA by 2035. </w:t>
      </w:r>
    </w:p>
    <w:p w:rsidR="00281C43" w:rsidRPr="003C18AC" w:rsidP="003C18AC">
      <w:pPr>
        <w:spacing w:before="100" w:beforeAutospacing="1" w:after="100" w:afterAutospacing="1" w:line="300" w:lineRule="atLeast"/>
        <w:rPr>
          <w:rFonts w:ascii="Arial" w:eastAsia="Times New Roman" w:hAnsi="Arial" w:cs="Arial"/>
          <w:kern w:val="0"/>
          <w:sz w:val="22"/>
          <w:szCs w:val="22"/>
          <w:lang w:eastAsia="en-GB"/>
        </w:rPr>
      </w:pPr>
      <w:r w:rsidRPr="00235AB7">
        <w:rPr>
          <w:rFonts w:ascii="Arial" w:eastAsia="Times New Roman" w:hAnsi="Arial" w:cs="Arial"/>
          <w:kern w:val="0"/>
          <w:sz w:val="22"/>
          <w:szCs w:val="22"/>
          <w:lang w:eastAsia="en-GB"/>
        </w:rPr>
        <w:t>More broadly, success for English tourism should be defined by the extent to which all regions are enabled to contribute meaningfully to national growth, supported by coherent governance, long-term investment and aligned policy frameworks.</w:t>
      </w:r>
    </w:p>
    <w:p w:rsidR="00281C43" w:rsidRPr="00235AB7">
      <w:pPr>
        <w:rPr>
          <w:rFonts w:ascii="Arial" w:hAnsi="Arial" w:cs="Arial"/>
          <w:sz w:val="22"/>
          <w:szCs w:val="22"/>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E41EF2"/>
    <w:multiLevelType w:val="multilevel"/>
    <w:tmpl w:val="F4C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333134"/>
    <w:multiLevelType w:val="multilevel"/>
    <w:tmpl w:val="A1B6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A41F2"/>
    <w:multiLevelType w:val="multilevel"/>
    <w:tmpl w:val="33DE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A1BFC"/>
    <w:multiLevelType w:val="multilevel"/>
    <w:tmpl w:val="827E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F239D6"/>
    <w:multiLevelType w:val="multilevel"/>
    <w:tmpl w:val="E948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46533A"/>
    <w:multiLevelType w:val="multilevel"/>
    <w:tmpl w:val="527A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8E59EA"/>
    <w:multiLevelType w:val="multilevel"/>
    <w:tmpl w:val="3E0E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1D461D"/>
    <w:multiLevelType w:val="multilevel"/>
    <w:tmpl w:val="F39E9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95276D"/>
    <w:multiLevelType w:val="multilevel"/>
    <w:tmpl w:val="6EC4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8"/>
  </w:num>
  <w:num w:numId="5">
    <w:abstractNumId w:val="1"/>
  </w:num>
  <w:num w:numId="6">
    <w:abstractNumId w:val="2"/>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21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252"/>
    <w:rPr>
      <w:rFonts w:eastAsiaTheme="majorEastAsia" w:cstheme="majorBidi"/>
      <w:color w:val="272727" w:themeColor="text1" w:themeTint="D8"/>
    </w:rPr>
  </w:style>
  <w:style w:type="paragraph" w:styleId="Title">
    <w:name w:val="Title"/>
    <w:basedOn w:val="Normal"/>
    <w:next w:val="Normal"/>
    <w:link w:val="TitleChar"/>
    <w:uiPriority w:val="10"/>
    <w:qFormat/>
    <w:rsid w:val="00121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252"/>
    <w:pPr>
      <w:spacing w:before="160"/>
      <w:jc w:val="center"/>
    </w:pPr>
    <w:rPr>
      <w:i/>
      <w:iCs/>
      <w:color w:val="404040" w:themeColor="text1" w:themeTint="BF"/>
    </w:rPr>
  </w:style>
  <w:style w:type="character" w:customStyle="1" w:styleId="QuoteChar">
    <w:name w:val="Quote Char"/>
    <w:basedOn w:val="DefaultParagraphFont"/>
    <w:link w:val="Quote"/>
    <w:uiPriority w:val="29"/>
    <w:rsid w:val="00121252"/>
    <w:rPr>
      <w:i/>
      <w:iCs/>
      <w:color w:val="404040" w:themeColor="text1" w:themeTint="BF"/>
    </w:rPr>
  </w:style>
  <w:style w:type="paragraph" w:styleId="ListParagraph">
    <w:name w:val="List Paragraph"/>
    <w:basedOn w:val="Normal"/>
    <w:uiPriority w:val="34"/>
    <w:qFormat/>
    <w:rsid w:val="00121252"/>
    <w:pPr>
      <w:ind w:left="720"/>
      <w:contextualSpacing/>
    </w:pPr>
  </w:style>
  <w:style w:type="character" w:styleId="IntenseEmphasis">
    <w:name w:val="Intense Emphasis"/>
    <w:basedOn w:val="DefaultParagraphFont"/>
    <w:uiPriority w:val="21"/>
    <w:qFormat/>
    <w:rsid w:val="00121252"/>
    <w:rPr>
      <w:i/>
      <w:iCs/>
      <w:color w:val="0F4761" w:themeColor="accent1" w:themeShade="BF"/>
    </w:rPr>
  </w:style>
  <w:style w:type="paragraph" w:styleId="IntenseQuote">
    <w:name w:val="Intense Quote"/>
    <w:basedOn w:val="Normal"/>
    <w:next w:val="Normal"/>
    <w:link w:val="IntenseQuoteChar"/>
    <w:uiPriority w:val="30"/>
    <w:qFormat/>
    <w:rsid w:val="00121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252"/>
    <w:rPr>
      <w:i/>
      <w:iCs/>
      <w:color w:val="0F4761" w:themeColor="accent1" w:themeShade="BF"/>
    </w:rPr>
  </w:style>
  <w:style w:type="character" w:styleId="IntenseReference">
    <w:name w:val="Intense Reference"/>
    <w:basedOn w:val="DefaultParagraphFont"/>
    <w:uiPriority w:val="32"/>
    <w:qFormat/>
    <w:rsid w:val="001212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TOU0113</dc:title>
  <cp:revision>0</cp:revision>
</cp:coreProperties>
</file>