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54B45" w:rsidRPr="00560C4C" w:rsidP="00854B45">
      <w:pPr>
        <w:spacing w:line="360" w:lineRule="auto"/>
        <w:jc w:val="center"/>
        <w:rPr>
          <w:rFonts w:ascii="Calibri" w:hAnsi="Calibri" w:cs="Calibri"/>
          <w:sz w:val="28"/>
          <w:szCs w:val="28"/>
        </w:rPr>
      </w:pPr>
      <w:r w:rsidRPr="00560C4C">
        <w:rPr>
          <w:rFonts w:ascii="Calibri" w:hAnsi="Calibri" w:cs="Calibri"/>
          <w:sz w:val="28"/>
          <w:szCs w:val="28"/>
        </w:rPr>
        <w:t>Written evidence submitted by</w:t>
      </w:r>
      <w:r w:rsidRPr="009540FF">
        <w:rPr>
          <w:rFonts w:ascii="Calibri" w:hAnsi="Calibri" w:cs="Calibri"/>
          <w:sz w:val="28"/>
          <w:szCs w:val="28"/>
        </w:rPr>
        <w:t xml:space="preserve"> </w:t>
      </w:r>
      <w:r>
        <w:rPr>
          <w:rFonts w:ascii="Calibri" w:hAnsi="Calibri" w:cs="Calibri"/>
          <w:sz w:val="28"/>
          <w:szCs w:val="28"/>
        </w:rPr>
        <w:t>t</w:t>
      </w:r>
      <w:r w:rsidRPr="00854B45">
        <w:rPr>
          <w:rFonts w:ascii="Calibri" w:hAnsi="Calibri" w:cs="Calibri"/>
          <w:sz w:val="28"/>
          <w:szCs w:val="28"/>
        </w:rPr>
        <w:t xml:space="preserve">he </w:t>
      </w:r>
      <w:r>
        <w:rPr>
          <w:rFonts w:ascii="Calibri" w:hAnsi="Calibri" w:cs="Calibri"/>
          <w:sz w:val="28"/>
          <w:szCs w:val="28"/>
        </w:rPr>
        <w:br/>
      </w:r>
      <w:r w:rsidRPr="00854B45">
        <w:rPr>
          <w:rFonts w:ascii="Calibri" w:hAnsi="Calibri" w:cs="Calibri"/>
          <w:sz w:val="28"/>
          <w:szCs w:val="28"/>
        </w:rPr>
        <w:t>Catholic Bishops’ Conference of England and Wales</w:t>
      </w:r>
    </w:p>
    <w:p w:rsidR="00854B45" w:rsidRPr="00854B45" w:rsidP="00653B30">
      <w:pPr>
        <w:pStyle w:val="paragraph"/>
        <w:spacing w:before="0" w:beforeAutospacing="0" w:after="0" w:afterAutospacing="0"/>
        <w:jc w:val="center"/>
        <w:textAlignment w:val="baseline"/>
        <w:rPr>
          <w:rStyle w:val="normaltextrun"/>
          <w:rFonts w:ascii="Aptos" w:hAnsi="Aptos" w:cs="Segoe UI"/>
        </w:rPr>
      </w:pPr>
    </w:p>
    <w:p w:rsidR="00E37A35" w:rsidP="00653B30">
      <w:pPr>
        <w:pStyle w:val="paragraph"/>
        <w:spacing w:before="0" w:beforeAutospacing="0" w:after="0" w:afterAutospacing="0"/>
        <w:jc w:val="center"/>
        <w:textAlignment w:val="baseline"/>
        <w:rPr>
          <w:rFonts w:ascii="Segoe UI" w:hAnsi="Segoe UI" w:cs="Segoe UI"/>
          <w:sz w:val="18"/>
          <w:szCs w:val="18"/>
        </w:rPr>
      </w:pPr>
      <w:r>
        <w:rPr>
          <w:rStyle w:val="eop"/>
          <w:rFonts w:ascii="Aptos" w:hAnsi="Aptos" w:cs="Segoe UI"/>
        </w:rPr>
        <w:t> </w:t>
      </w:r>
    </w:p>
    <w:p w:rsidR="00E37A35" w:rsidP="00653B30">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Executive summary</w:t>
      </w:r>
      <w:r>
        <w:rPr>
          <w:rStyle w:val="normaltextrun"/>
          <w:rFonts w:ascii="Aptos" w:hAnsi="Aptos" w:cs="Segoe UI"/>
        </w:rPr>
        <w:t> – The Government has an opportunity to work with the Catholic community to support the tourism sector by supporting our cultural heritage and creative assets. This includes over 3000 Catholic churches, approximately a quarter of them are listed. The upcoming 200 year anniversary of Catholic emancipation will also be a particularly strong focus point for Catholic tourism. The Catholic community also has a strong tradition of pilgrimage, one which is growing in popularity and public interest.</w:t>
      </w:r>
      <w:r>
        <w:rPr>
          <w:rStyle w:val="eop"/>
          <w:rFonts w:ascii="Aptos" w:hAnsi="Aptos" w:cs="Segoe UI"/>
        </w:rPr>
        <w:t> </w:t>
      </w:r>
    </w:p>
    <w:p w:rsidR="00E37A35" w:rsidP="00653B30">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Introduction</w:t>
      </w:r>
      <w:r>
        <w:rPr>
          <w:rStyle w:val="eop"/>
          <w:rFonts w:ascii="Aptos" w:hAnsi="Aptos" w:cs="Segoe UI"/>
        </w:rPr>
        <w:t> </w:t>
      </w:r>
    </w:p>
    <w:p w:rsidR="00E37A35" w:rsidP="00653B30">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rPr>
        <w:t>1. The Catholic Bishops’ Conference of England and Wales</w:t>
      </w:r>
      <w:r>
        <w:rPr>
          <w:rStyle w:val="normaltextrun"/>
          <w:rFonts w:ascii="Arial" w:hAnsi="Arial" w:cs="Arial"/>
        </w:rPr>
        <w:t> </w:t>
      </w:r>
      <w:r>
        <w:rPr>
          <w:rStyle w:val="normaltextrun"/>
          <w:rFonts w:ascii="Aptos" w:hAnsi="Aptos" w:cs="Segoe UI"/>
        </w:rPr>
        <w:t>is</w:t>
      </w:r>
      <w:r>
        <w:rPr>
          <w:rStyle w:val="normaltextrun"/>
          <w:rFonts w:ascii="Arial" w:hAnsi="Arial" w:cs="Arial"/>
        </w:rPr>
        <w:t> </w:t>
      </w:r>
      <w:r>
        <w:rPr>
          <w:rStyle w:val="normaltextrun"/>
          <w:rFonts w:ascii="Aptos" w:hAnsi="Aptos" w:cs="Segoe UI"/>
        </w:rPr>
        <w:t>the permanent assembly of Catholic bishops across the two member nations and acts as a national representative body of the Catholic Church in England and Wales. There are 6.2 million Catholics in England and Wales, making it the largest religious minority, with 1.75 million Catholics attending Mass on a regular basis. The most Catholic areas are Greater London and the Northwest of England. In this submission we will be addressing question 7 of the inquiry’s call for evidence “</w:t>
      </w:r>
      <w:r>
        <w:rPr>
          <w:rStyle w:val="normaltextrun"/>
          <w:rFonts w:ascii="Aptos" w:hAnsi="Aptos" w:cs="Segoe UI"/>
          <w:i/>
          <w:iCs/>
        </w:rPr>
        <w:t xml:space="preserve">How can the Government and </w:t>
      </w:r>
      <w:r>
        <w:rPr>
          <w:rStyle w:val="normaltextrun"/>
          <w:rFonts w:ascii="Aptos" w:hAnsi="Aptos" w:cs="Segoe UI"/>
          <w:i/>
          <w:iCs/>
        </w:rPr>
        <w:t>tourism sector maximise the potential of cultural heritage and creative assets to attract visitors”</w:t>
      </w:r>
      <w:r>
        <w:rPr>
          <w:rStyle w:val="eop"/>
          <w:rFonts w:ascii="Aptos" w:hAnsi="Aptos" w:cs="Segoe UI"/>
        </w:rPr>
        <w:t> </w:t>
      </w:r>
    </w:p>
    <w:p w:rsidR="00E37A35" w:rsidP="00653B30">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Catholic Historic Buildings</w:t>
      </w:r>
      <w:r>
        <w:rPr>
          <w:rStyle w:val="eop"/>
          <w:rFonts w:ascii="Aptos" w:hAnsi="Aptos" w:cs="Segoe UI"/>
        </w:rPr>
        <w:t> </w:t>
      </w:r>
    </w:p>
    <w:p w:rsidR="00E37A35" w:rsidP="00653B30">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rPr>
        <w:t>2. The Catholic community has over 3000 churches across England and Wales, with approximately a quarter of them having listed status. This cultural heritage represents a profound opportunity to attract visitors, in particular many people from disadvantaged communities, for whom their local Catholic church is the first/only listed building they have visited. These sites are not only active places of worship and sacred spaces but also architectural and historical landmarks that tell the story of faith through</w:t>
      </w:r>
      <w:r>
        <w:rPr>
          <w:rStyle w:val="normaltextrun"/>
          <w:rFonts w:ascii="Aptos" w:hAnsi="Aptos" w:cs="Segoe UI"/>
        </w:rPr>
        <w:t xml:space="preserve"> centuries of social change, persecution, and renewal. Government recognition of churches as both living places of worship and heritage destinations is essential to ensuring their sustainable use and preservation. The Catholic Bishops’ Conference has had a long working relationship with Historic England and the Department for Culture, Media and Sport and will continue to work with them in support of these aims.</w:t>
      </w:r>
      <w:r>
        <w:rPr>
          <w:rStyle w:val="eop"/>
          <w:rFonts w:ascii="Aptos" w:hAnsi="Aptos" w:cs="Segoe UI"/>
        </w:rPr>
        <w:t> </w:t>
      </w:r>
    </w:p>
    <w:p w:rsidR="00E37A35" w:rsidP="00653B30">
      <w:pPr>
        <w:pStyle w:val="paragraph"/>
        <w:spacing w:before="0" w:beforeAutospacing="0" w:after="0" w:afterAutospacing="0"/>
        <w:textAlignment w:val="baseline"/>
        <w:rPr>
          <w:rStyle w:val="eop"/>
          <w:rFonts w:ascii="Aptos" w:hAnsi="Aptos" w:cs="Segoe UI"/>
        </w:rPr>
      </w:pPr>
      <w:r>
        <w:rPr>
          <w:rStyle w:val="normaltextrun"/>
          <w:rFonts w:ascii="Aptos" w:hAnsi="Aptos" w:cs="Segoe UI"/>
        </w:rPr>
        <w:t>3. </w:t>
      </w:r>
      <w:r>
        <w:fldChar w:fldCharType="begin"/>
      </w:r>
      <w:r>
        <w:instrText xml:space="preserve"> HYPERLINK "https://taking-stock.org.uk/" \t "_blank" </w:instrText>
      </w:r>
      <w:r>
        <w:fldChar w:fldCharType="separate"/>
      </w:r>
      <w:r>
        <w:rPr>
          <w:rStyle w:val="normaltextrun"/>
          <w:rFonts w:ascii="Aptos" w:hAnsi="Aptos" w:cs="Segoe UI"/>
          <w:color w:val="467886"/>
          <w:u w:val="single"/>
        </w:rPr>
        <w:t>https://taking-stock.org.uk/</w:t>
      </w:r>
      <w:r>
        <w:fldChar w:fldCharType="end"/>
      </w:r>
      <w:r>
        <w:rPr>
          <w:rStyle w:val="normaltextrun"/>
          <w:rFonts w:ascii="Aptos" w:hAnsi="Aptos" w:cs="Segoe UI"/>
        </w:rPr>
        <w:t> Taking Stock is a project of the Catholic Bishops’ Conference of England and Wales. It provides an architectural and historical assessment of churches in regular use for public worship. These are mainly diocesan parish churches, but the project also includes churches owned by religious orders and institutions, where these are in regular public use and where the owners have agreed to participate in the project. The purpose of Taking Stock is to provide an architectural and historical audit of Catholic churc</w:t>
      </w:r>
      <w:r>
        <w:rPr>
          <w:rStyle w:val="normaltextrun"/>
          <w:rFonts w:ascii="Aptos" w:hAnsi="Aptos" w:cs="Segoe UI"/>
        </w:rPr>
        <w:t>hes in England and Wales. It is intended to be an aid to dioceses, parishes, statutory authorities and the </w:t>
      </w:r>
      <w:r>
        <w:rPr>
          <w:rStyle w:val="normaltextrun"/>
          <w:rFonts w:ascii="Aptos" w:hAnsi="Aptos" w:cs="Segoe UI"/>
        </w:rPr>
        <w:t>general public</w:t>
      </w:r>
      <w:r>
        <w:rPr>
          <w:rStyle w:val="normaltextrun"/>
          <w:rFonts w:ascii="Aptos" w:hAnsi="Aptos" w:cs="Segoe UI"/>
        </w:rPr>
        <w:t>, so that the heritage significance of buildings may be given due weight when proposals for change come forward.</w:t>
      </w:r>
      <w:r>
        <w:rPr>
          <w:rStyle w:val="eop"/>
          <w:rFonts w:ascii="Aptos" w:hAnsi="Aptos" w:cs="Segoe UI"/>
        </w:rPr>
        <w:t> </w:t>
      </w:r>
    </w:p>
    <w:p w:rsidR="00854B45" w:rsidP="00653B30">
      <w:pPr>
        <w:pStyle w:val="paragraph"/>
        <w:spacing w:before="0" w:beforeAutospacing="0" w:after="0" w:afterAutospacing="0"/>
        <w:textAlignment w:val="baseline"/>
        <w:rPr>
          <w:rFonts w:ascii="Segoe UI" w:hAnsi="Segoe UI" w:cs="Segoe UI"/>
          <w:sz w:val="18"/>
          <w:szCs w:val="18"/>
        </w:rPr>
      </w:pPr>
    </w:p>
    <w:p w:rsidR="00E37A35" w:rsidP="00653B30">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200-year anniversary of Catholic Emancipation</w:t>
      </w:r>
      <w:r>
        <w:rPr>
          <w:rStyle w:val="eop"/>
          <w:rFonts w:ascii="Aptos" w:hAnsi="Aptos" w:cs="Segoe UI"/>
        </w:rPr>
        <w:t> </w:t>
      </w:r>
    </w:p>
    <w:p w:rsidR="00E37A35" w:rsidP="00653B30">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rPr>
        <w:t>4. The forthcoming 200th anniversary of Catholic Emancipation in 2029 presents a timely and significant opportunity to celebrate Catholic heritage on a national scale. This bicentenary marks a turning point in British history, when most penal restrictions on Catholics were revoked. This brought an end to almost 3 centuries of persecution of Catholics, whereby Catholics were heavily fined, barred from public, many were even tortured and executed for their faith. A coordinated programme of events, exhibitions</w:t>
      </w:r>
      <w:r>
        <w:rPr>
          <w:rStyle w:val="normaltextrun"/>
          <w:rFonts w:ascii="Aptos" w:hAnsi="Aptos" w:cs="Segoe UI"/>
        </w:rPr>
        <w:t xml:space="preserve"> and educational initiatives could draw both domestic and international visitors, highlighting the historical journey of Catholic communities and their contributions to national life. The Government and tourism bodies should collaborate with the Catholic community to promote this anniversary as a landmark cultural moment. Such a celebration would not only attract visitors but also foster greater social cohesion and historical awareness.</w:t>
      </w:r>
      <w:r>
        <w:rPr>
          <w:rStyle w:val="eop"/>
          <w:rFonts w:ascii="Aptos" w:hAnsi="Aptos" w:cs="Segoe UI"/>
        </w:rPr>
        <w:t> </w:t>
      </w:r>
    </w:p>
    <w:p w:rsidR="00E37A35" w:rsidP="00653B30">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Pilgrimage</w:t>
      </w:r>
      <w:r>
        <w:rPr>
          <w:rStyle w:val="eop"/>
          <w:rFonts w:ascii="Aptos" w:hAnsi="Aptos" w:cs="Segoe UI"/>
        </w:rPr>
        <w:t> </w:t>
      </w:r>
    </w:p>
    <w:p w:rsidR="00E37A35" w:rsidP="00653B30">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rPr>
        <w:t>5. Within the Catholic community itself we have seen growing interest in pilgrimage as a form of tourism, reflecting a wider desire for meaningful and reflective travel experiences. The website Pilgrim Ways holds information on pilgrimages across the British Isles and Europe </w:t>
      </w:r>
      <w:r>
        <w:fldChar w:fldCharType="begin"/>
      </w:r>
      <w:r>
        <w:instrText xml:space="preserve"> HYPERLINK "https://www.pilgrimways.org.uk/" \t "_blank" </w:instrText>
      </w:r>
      <w:r>
        <w:fldChar w:fldCharType="separate"/>
      </w:r>
      <w:r>
        <w:rPr>
          <w:rStyle w:val="normaltextrun"/>
          <w:rFonts w:ascii="Aptos" w:hAnsi="Aptos" w:cs="Segoe UI"/>
          <w:color w:val="467886"/>
          <w:u w:val="single"/>
        </w:rPr>
        <w:t>https://www.pilgrimways.org.uk/.</w:t>
      </w:r>
      <w:r>
        <w:fldChar w:fldCharType="end"/>
      </w:r>
      <w:r>
        <w:rPr>
          <w:rStyle w:val="normaltextrun"/>
          <w:rFonts w:ascii="Aptos" w:hAnsi="Aptos" w:cs="Segoe UI"/>
        </w:rPr>
        <w:t> Pilgrimage routes offer opportunities for spiritual enrichment, cultural discovery, and engagement with local communities. Collaboration with Catholic dioceses and organisations is crucial to ensuring that these experiences remain authentic and respectful of their spiritual significance. </w:t>
      </w:r>
      <w:r>
        <w:rPr>
          <w:rStyle w:val="eop"/>
          <w:rFonts w:ascii="Aptos" w:hAnsi="Aptos" w:cs="Segoe UI"/>
        </w:rPr>
        <w:t> </w:t>
      </w:r>
    </w:p>
    <w:p w:rsidR="00E37A35" w:rsidP="00653B30">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Recognition of the importance of Catholic culture in tourism</w:t>
      </w:r>
      <w:r>
        <w:rPr>
          <w:rStyle w:val="eop"/>
          <w:rFonts w:ascii="Aptos" w:hAnsi="Aptos" w:cs="Segoe UI"/>
        </w:rPr>
        <w:t> </w:t>
      </w:r>
    </w:p>
    <w:p w:rsidR="00E37A35" w:rsidP="00653B30">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rPr>
        <w:t>6. In conclusion, maximising the potential of cultural heritage and creative assets requires a partnership approach that values the unique contribution of Catholic heritage. By investing in historic churches, leveraging the 2029 bicentenary of Catholic Emancipation, and supporting the growth of pilgrimage tourism, the Government and tourism sector can unlock new opportunities for visitors while preserving and celebrating a vital part of the nation’s cultural and spiritual identity.</w:t>
      </w:r>
    </w:p>
    <w:p w:rsidR="00E37A35"/>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653B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3B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3B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3B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3B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3B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3B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3B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3B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3B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3B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3B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3B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3B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3B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3B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3B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3B30"/>
    <w:rPr>
      <w:rFonts w:eastAsiaTheme="majorEastAsia" w:cstheme="majorBidi"/>
      <w:color w:val="272727" w:themeColor="text1" w:themeTint="D8"/>
    </w:rPr>
  </w:style>
  <w:style w:type="paragraph" w:styleId="Title">
    <w:name w:val="Title"/>
    <w:basedOn w:val="Normal"/>
    <w:next w:val="Normal"/>
    <w:link w:val="TitleChar"/>
    <w:uiPriority w:val="10"/>
    <w:qFormat/>
    <w:rsid w:val="00653B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3B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3B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3B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3B30"/>
    <w:pPr>
      <w:spacing w:before="160"/>
      <w:jc w:val="center"/>
    </w:pPr>
    <w:rPr>
      <w:i/>
      <w:iCs/>
      <w:color w:val="404040" w:themeColor="text1" w:themeTint="BF"/>
    </w:rPr>
  </w:style>
  <w:style w:type="character" w:customStyle="1" w:styleId="QuoteChar">
    <w:name w:val="Quote Char"/>
    <w:basedOn w:val="DefaultParagraphFont"/>
    <w:link w:val="Quote"/>
    <w:uiPriority w:val="29"/>
    <w:rsid w:val="00653B30"/>
    <w:rPr>
      <w:i/>
      <w:iCs/>
      <w:color w:val="404040" w:themeColor="text1" w:themeTint="BF"/>
    </w:rPr>
  </w:style>
  <w:style w:type="paragraph" w:styleId="ListParagraph">
    <w:name w:val="List Paragraph"/>
    <w:basedOn w:val="Normal"/>
    <w:uiPriority w:val="34"/>
    <w:qFormat/>
    <w:rsid w:val="00653B30"/>
    <w:pPr>
      <w:ind w:left="720"/>
      <w:contextualSpacing/>
    </w:pPr>
  </w:style>
  <w:style w:type="character" w:styleId="IntenseEmphasis">
    <w:name w:val="Intense Emphasis"/>
    <w:basedOn w:val="DefaultParagraphFont"/>
    <w:uiPriority w:val="21"/>
    <w:qFormat/>
    <w:rsid w:val="00653B30"/>
    <w:rPr>
      <w:i/>
      <w:iCs/>
      <w:color w:val="0F4761" w:themeColor="accent1" w:themeShade="BF"/>
    </w:rPr>
  </w:style>
  <w:style w:type="paragraph" w:styleId="IntenseQuote">
    <w:name w:val="Intense Quote"/>
    <w:basedOn w:val="Normal"/>
    <w:next w:val="Normal"/>
    <w:link w:val="IntenseQuoteChar"/>
    <w:uiPriority w:val="30"/>
    <w:qFormat/>
    <w:rsid w:val="00653B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3B30"/>
    <w:rPr>
      <w:i/>
      <w:iCs/>
      <w:color w:val="0F4761" w:themeColor="accent1" w:themeShade="BF"/>
    </w:rPr>
  </w:style>
  <w:style w:type="character" w:styleId="IntenseReference">
    <w:name w:val="Intense Reference"/>
    <w:basedOn w:val="DefaultParagraphFont"/>
    <w:uiPriority w:val="32"/>
    <w:qFormat/>
    <w:rsid w:val="00653B30"/>
    <w:rPr>
      <w:b/>
      <w:bCs/>
      <w:smallCaps/>
      <w:color w:val="0F4761" w:themeColor="accent1" w:themeShade="BF"/>
      <w:spacing w:val="5"/>
    </w:rPr>
  </w:style>
  <w:style w:type="character" w:styleId="Hyperlink">
    <w:name w:val="Hyperlink"/>
    <w:basedOn w:val="DefaultParagraphFont"/>
    <w:uiPriority w:val="99"/>
    <w:unhideWhenUsed/>
    <w:rsid w:val="00653B30"/>
    <w:rPr>
      <w:color w:val="467886" w:themeColor="hyperlink"/>
      <w:u w:val="single"/>
    </w:rPr>
  </w:style>
  <w:style w:type="character" w:customStyle="1" w:styleId="UnresolvedMention1">
    <w:name w:val="Unresolved Mention1"/>
    <w:basedOn w:val="DefaultParagraphFont"/>
    <w:uiPriority w:val="99"/>
    <w:semiHidden/>
    <w:unhideWhenUsed/>
    <w:rsid w:val="00653B30"/>
    <w:rPr>
      <w:color w:val="605E5C"/>
      <w:shd w:val="clear" w:color="auto" w:fill="E1DFDD"/>
    </w:rPr>
  </w:style>
  <w:style w:type="paragraph" w:customStyle="1" w:styleId="paragraph">
    <w:name w:val="paragraph"/>
    <w:basedOn w:val="Normal"/>
    <w:rsid w:val="00653B30"/>
    <w:pPr>
      <w:spacing w:before="100" w:beforeAutospacing="1" w:after="100" w:afterAutospacing="1" w:line="240" w:lineRule="auto"/>
    </w:pPr>
    <w:rPr>
      <w:rFonts w:ascii="Times New Roman" w:eastAsia="Times New Roman" w:hAnsi="Times New Roman" w:cs="Times New Roman"/>
      <w:kern w:val="0"/>
      <w:lang w:eastAsia="en-GB"/>
    </w:rPr>
  </w:style>
  <w:style w:type="character" w:customStyle="1" w:styleId="normaltextrun">
    <w:name w:val="normaltextrun"/>
    <w:basedOn w:val="DefaultParagraphFont"/>
    <w:rsid w:val="00653B30"/>
  </w:style>
  <w:style w:type="character" w:customStyle="1" w:styleId="eop">
    <w:name w:val="eop"/>
    <w:basedOn w:val="DefaultParagraphFont"/>
    <w:rsid w:val="00653B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TOU0112</dc:title>
  <cp:revision>0</cp:revision>
</cp:coreProperties>
</file>