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D00CB" w:rsidRPr="00560C4C" w:rsidP="00FD00CB">
      <w:pPr>
        <w:spacing w:line="360" w:lineRule="auto"/>
        <w:jc w:val="center"/>
        <w:rPr>
          <w:rFonts w:ascii="Calibri" w:hAnsi="Calibri" w:cs="Calibri"/>
          <w:sz w:val="28"/>
          <w:szCs w:val="28"/>
        </w:rPr>
      </w:pPr>
      <w:bookmarkStart w:id="0" w:name="Xbad349214193752ea81a4029c04b36620d67c01"/>
      <w:r w:rsidRPr="00560C4C">
        <w:rPr>
          <w:rFonts w:ascii="Calibri" w:hAnsi="Calibri" w:cs="Calibri"/>
          <w:sz w:val="28"/>
          <w:szCs w:val="28"/>
        </w:rPr>
        <w:t>Written evidence submitted by</w:t>
      </w:r>
      <w:r w:rsidRPr="00922D69">
        <w:rPr>
          <w:rFonts w:ascii="Calibri" w:hAnsi="Calibri" w:cs="Calibri"/>
          <w:sz w:val="28"/>
          <w:szCs w:val="28"/>
        </w:rPr>
        <w:t xml:space="preserve"> </w:t>
      </w:r>
      <w:r w:rsidRPr="00FD00CB">
        <w:rPr>
          <w:rFonts w:ascii="Calibri" w:hAnsi="Calibri" w:cs="Calibri"/>
          <w:sz w:val="28"/>
          <w:szCs w:val="28"/>
        </w:rPr>
        <w:t>Global Travel Tech</w:t>
      </w:r>
    </w:p>
    <w:p w:rsidR="00A00B2A" w:rsidRPr="00C74E54" w:rsidP="005F1A8D">
      <w:pPr>
        <w:pStyle w:val="Heading2"/>
        <w:jc w:val="both"/>
        <w:rPr>
          <w:rFonts w:ascii="Centra No2" w:hAnsi="Centra No2"/>
          <w:b/>
          <w:bCs/>
          <w:color w:val="auto"/>
          <w:sz w:val="24"/>
          <w:szCs w:val="24"/>
        </w:rPr>
      </w:pPr>
      <w:bookmarkStart w:id="1" w:name="about-global-travel-tech"/>
      <w:r w:rsidRPr="00C74E54">
        <w:rPr>
          <w:rFonts w:ascii="Centra No2" w:hAnsi="Centra No2"/>
          <w:b/>
          <w:bCs/>
          <w:color w:val="auto"/>
          <w:sz w:val="24"/>
          <w:szCs w:val="24"/>
        </w:rPr>
        <w:t>About Global Travel Tech</w:t>
      </w:r>
    </w:p>
    <w:p w:rsidR="00A00B2A" w:rsidRPr="00B22EB1" w:rsidP="005F1A8D">
      <w:pPr>
        <w:jc w:val="both"/>
        <w:rPr>
          <w:rFonts w:ascii="Centra No2" w:hAnsi="Centra No2"/>
          <w:sz w:val="22"/>
          <w:szCs w:val="22"/>
        </w:rPr>
      </w:pPr>
      <w:r w:rsidRPr="00B22EB1">
        <w:rPr>
          <w:rFonts w:ascii="Centra No2" w:hAnsi="Centra No2"/>
          <w:sz w:val="22"/>
          <w:szCs w:val="22"/>
        </w:rPr>
        <w:t xml:space="preserve">Global Travel Tech is the preeminent global advocate for the travel technology industry, representing the world’s leading online travel agencies (OTAs), metasearch sites and B2B distribution platforms. Our members — including Booking Holdings, </w:t>
      </w:r>
      <w:r>
        <w:rPr>
          <w:rFonts w:ascii="Centra No2" w:hAnsi="Centra No2"/>
          <w:sz w:val="22"/>
          <w:szCs w:val="22"/>
        </w:rPr>
        <w:t>Expedia Group, Skyscanner and Travelport</w:t>
      </w:r>
      <w:r w:rsidRPr="00B22EB1">
        <w:rPr>
          <w:rFonts w:ascii="Centra No2" w:hAnsi="Centra No2"/>
          <w:sz w:val="22"/>
          <w:szCs w:val="22"/>
        </w:rPr>
        <w:t>— have transformed how travellers search, plan and book trips, and how suppliers market and sell to their customers, creating a travel economy that is more efficient, more affordable and more accessible for consumers and businesses alike.</w:t>
      </w:r>
    </w:p>
    <w:p w:rsidR="00A00B2A" w:rsidRPr="00B22EB1" w:rsidP="005F1A8D">
      <w:pPr>
        <w:jc w:val="both"/>
        <w:rPr>
          <w:rFonts w:ascii="Centra No2" w:hAnsi="Centra No2"/>
          <w:sz w:val="22"/>
          <w:szCs w:val="22"/>
        </w:rPr>
      </w:pPr>
      <w:r w:rsidRPr="00B22EB1">
        <w:rPr>
          <w:rFonts w:ascii="Centra No2" w:hAnsi="Centra No2"/>
          <w:sz w:val="22"/>
          <w:szCs w:val="22"/>
        </w:rPr>
        <w:t>Travel technology companies are critical to the UK’s inbound tourism value chain. We bring travellers to the UK — spending their money in British hotels, restaurants, attractions, and high streets across every nation and region — rather than shipping profits away from it.</w:t>
      </w:r>
    </w:p>
    <w:p w:rsidR="00A00B2A" w:rsidRPr="00C74E54" w:rsidP="005F1A8D">
      <w:pPr>
        <w:jc w:val="both"/>
        <w:rPr>
          <w:rFonts w:ascii="Centra No2" w:hAnsi="Centra No2"/>
          <w:b/>
          <w:bCs/>
        </w:rPr>
      </w:pPr>
      <w:r w:rsidRPr="00C74E54">
        <w:rPr>
          <w:rFonts w:ascii="Centra No2" w:hAnsi="Centra No2"/>
          <w:b/>
          <w:bCs/>
        </w:rPr>
        <w:t>Introduction and scope of this submission</w:t>
      </w:r>
    </w:p>
    <w:p w:rsidR="00A00B2A" w:rsidRPr="00B22EB1" w:rsidP="005F1A8D">
      <w:pPr>
        <w:jc w:val="both"/>
        <w:rPr>
          <w:rFonts w:ascii="Centra No2" w:hAnsi="Centra No2"/>
          <w:sz w:val="22"/>
          <w:szCs w:val="22"/>
        </w:rPr>
      </w:pPr>
      <w:r w:rsidRPr="00B22EB1">
        <w:rPr>
          <w:rFonts w:ascii="Centra No2" w:hAnsi="Centra No2"/>
          <w:sz w:val="22"/>
          <w:szCs w:val="22"/>
        </w:rPr>
        <w:t>As a global organisation</w:t>
      </w:r>
      <w:r>
        <w:rPr>
          <w:rFonts w:ascii="Centra No2" w:hAnsi="Centra No2"/>
          <w:sz w:val="22"/>
          <w:szCs w:val="22"/>
        </w:rPr>
        <w:t>,</w:t>
      </w:r>
      <w:r w:rsidRPr="00B22EB1">
        <w:rPr>
          <w:rFonts w:ascii="Centra No2" w:hAnsi="Centra No2"/>
          <w:sz w:val="22"/>
          <w:szCs w:val="22"/>
        </w:rPr>
        <w:t xml:space="preserve"> one of our key campaigns has been to raise awareness of the impact of </w:t>
      </w:r>
      <w:r w:rsidRPr="00B22EB1">
        <w:rPr>
          <w:rFonts w:ascii="Centra No2" w:hAnsi="Centra No2"/>
          <w:sz w:val="22"/>
          <w:szCs w:val="22"/>
        </w:rPr>
        <w:t xml:space="preserve">some </w:t>
      </w:r>
      <w:r w:rsidRPr="00905AC0">
        <w:rPr>
          <w:rFonts w:ascii="Centra No2" w:hAnsi="Centra No2"/>
          <w:sz w:val="22"/>
          <w:szCs w:val="22"/>
          <w:lang w:val="en-GB"/>
        </w:rPr>
        <w:t>country’s</w:t>
      </w:r>
      <w:r w:rsidRPr="00B22EB1">
        <w:rPr>
          <w:rFonts w:ascii="Centra No2" w:hAnsi="Centra No2"/>
          <w:sz w:val="22"/>
          <w:szCs w:val="22"/>
        </w:rPr>
        <w:t xml:space="preserve"> Digital Services Taxes on the market for international travellers. As we will explain, this is a significant issue for our members, but not one that is usually </w:t>
      </w:r>
      <w:r w:rsidRPr="00B22EB1">
        <w:rPr>
          <w:rFonts w:ascii="Centra No2" w:hAnsi="Centra No2"/>
          <w:sz w:val="22"/>
          <w:szCs w:val="22"/>
        </w:rPr>
        <w:t xml:space="preserve">part of the discussion about </w:t>
      </w:r>
      <w:r w:rsidRPr="00B22EB1">
        <w:rPr>
          <w:rFonts w:ascii="Centra No2" w:hAnsi="Centra No2"/>
          <w:sz w:val="22"/>
          <w:szCs w:val="22"/>
        </w:rPr>
        <w:t xml:space="preserve">how to encourage tourism. </w:t>
      </w:r>
      <w:r w:rsidRPr="00B22EB1">
        <w:rPr>
          <w:rFonts w:ascii="Centra No2" w:hAnsi="Centra No2"/>
          <w:sz w:val="22"/>
          <w:szCs w:val="22"/>
        </w:rPr>
        <w:t>Nevertheless,</w:t>
      </w:r>
      <w:r w:rsidRPr="00B22EB1">
        <w:rPr>
          <w:rFonts w:ascii="Centra No2" w:hAnsi="Centra No2"/>
          <w:sz w:val="22"/>
          <w:szCs w:val="22"/>
        </w:rPr>
        <w:t xml:space="preserve"> the DST is </w:t>
      </w:r>
      <w:r w:rsidRPr="00B22EB1">
        <w:rPr>
          <w:rFonts w:ascii="Centra No2" w:hAnsi="Centra No2"/>
          <w:sz w:val="22"/>
          <w:szCs w:val="22"/>
        </w:rPr>
        <w:t xml:space="preserve">a significant </w:t>
      </w:r>
      <w:r w:rsidRPr="00B22EB1">
        <w:rPr>
          <w:rFonts w:ascii="Centra No2" w:hAnsi="Centra No2"/>
          <w:sz w:val="22"/>
          <w:szCs w:val="22"/>
        </w:rPr>
        <w:t xml:space="preserve">disincentive </w:t>
      </w:r>
      <w:r w:rsidRPr="00B22EB1">
        <w:rPr>
          <w:rFonts w:ascii="Centra No2" w:hAnsi="Centra No2"/>
          <w:sz w:val="22"/>
          <w:szCs w:val="22"/>
        </w:rPr>
        <w:t xml:space="preserve">to the travel tech industry to </w:t>
      </w:r>
      <w:r w:rsidRPr="00B22EB1">
        <w:rPr>
          <w:rFonts w:ascii="Centra No2" w:hAnsi="Centra No2"/>
          <w:sz w:val="22"/>
          <w:szCs w:val="22"/>
        </w:rPr>
        <w:t xml:space="preserve">promote </w:t>
      </w:r>
      <w:r w:rsidRPr="00B22EB1">
        <w:rPr>
          <w:rFonts w:ascii="Centra No2" w:hAnsi="Centra No2"/>
          <w:sz w:val="22"/>
          <w:szCs w:val="22"/>
        </w:rPr>
        <w:t xml:space="preserve">destinations in </w:t>
      </w:r>
      <w:r w:rsidRPr="00B22EB1">
        <w:rPr>
          <w:rFonts w:ascii="Centra No2" w:hAnsi="Centra No2"/>
          <w:sz w:val="22"/>
          <w:szCs w:val="22"/>
        </w:rPr>
        <w:t>the UK,</w:t>
      </w:r>
      <w:r w:rsidRPr="00B22EB1">
        <w:rPr>
          <w:rFonts w:ascii="Centra No2" w:hAnsi="Centra No2"/>
          <w:sz w:val="22"/>
          <w:szCs w:val="22"/>
        </w:rPr>
        <w:t xml:space="preserve"> </w:t>
      </w:r>
      <w:r w:rsidRPr="00B22EB1">
        <w:rPr>
          <w:rFonts w:ascii="Centra No2" w:hAnsi="Centra No2"/>
          <w:sz w:val="22"/>
          <w:szCs w:val="22"/>
        </w:rPr>
        <w:t xml:space="preserve">which is </w:t>
      </w:r>
      <w:r w:rsidRPr="00B22EB1">
        <w:rPr>
          <w:rFonts w:ascii="Centra No2" w:hAnsi="Centra No2"/>
          <w:sz w:val="22"/>
          <w:szCs w:val="22"/>
        </w:rPr>
        <w:t>particularly unfortunate, as international travellers are more likely than domestic tourists to book using</w:t>
      </w:r>
      <w:r w:rsidRPr="00B22EB1">
        <w:rPr>
          <w:rFonts w:ascii="Centra No2" w:hAnsi="Centra No2"/>
          <w:sz w:val="22"/>
          <w:szCs w:val="22"/>
        </w:rPr>
        <w:t xml:space="preserve"> online platforms.</w:t>
      </w:r>
    </w:p>
    <w:p w:rsidR="00A00B2A" w:rsidRPr="00B22EB1" w:rsidP="005F1A8D">
      <w:pPr>
        <w:jc w:val="both"/>
        <w:rPr>
          <w:rFonts w:ascii="Centra No2" w:hAnsi="Centra No2"/>
          <w:sz w:val="22"/>
          <w:szCs w:val="22"/>
        </w:rPr>
      </w:pPr>
      <w:r w:rsidRPr="00B22EB1">
        <w:rPr>
          <w:rFonts w:ascii="Centra No2" w:hAnsi="Centra No2"/>
          <w:sz w:val="22"/>
          <w:szCs w:val="22"/>
        </w:rPr>
        <w:t>Accordingly, t</w:t>
      </w:r>
      <w:r w:rsidRPr="00B22EB1">
        <w:rPr>
          <w:rFonts w:ascii="Centra No2" w:hAnsi="Centra No2"/>
          <w:sz w:val="22"/>
          <w:szCs w:val="22"/>
        </w:rPr>
        <w:t xml:space="preserve">his submission responds </w:t>
      </w:r>
      <w:r w:rsidRPr="00B22EB1">
        <w:rPr>
          <w:rFonts w:ascii="Centra No2" w:hAnsi="Centra No2"/>
          <w:sz w:val="22"/>
          <w:szCs w:val="22"/>
        </w:rPr>
        <w:t xml:space="preserve">principally to question one of the </w:t>
      </w:r>
      <w:r w:rsidRPr="00B22EB1">
        <w:rPr>
          <w:rFonts w:ascii="Centra No2" w:hAnsi="Centra No2"/>
          <w:sz w:val="22"/>
          <w:szCs w:val="22"/>
        </w:rPr>
        <w:t xml:space="preserve">Committee’s </w:t>
      </w:r>
      <w:r w:rsidRPr="00B22EB1">
        <w:rPr>
          <w:rFonts w:ascii="Centra No2" w:hAnsi="Centra No2"/>
          <w:sz w:val="22"/>
          <w:szCs w:val="22"/>
        </w:rPr>
        <w:t>terms of reference: “How effective are government policies in supporting the growth, competitiveness and long-term resilience of the tourism sector?”</w:t>
      </w:r>
      <w:r w:rsidRPr="00B22EB1">
        <w:rPr>
          <w:rFonts w:ascii="Centra No2" w:hAnsi="Centra No2"/>
          <w:sz w:val="22"/>
          <w:szCs w:val="22"/>
          <w:vertAlign w:val="superscript"/>
        </w:rPr>
        <w:t>1</w:t>
      </w:r>
      <w:r w:rsidRPr="00B22EB1">
        <w:rPr>
          <w:rFonts w:ascii="Centra No2" w:hAnsi="Centra No2"/>
          <w:sz w:val="22"/>
          <w:szCs w:val="22"/>
        </w:rPr>
        <w:t>.</w:t>
      </w:r>
      <w:r w:rsidRPr="00B22EB1">
        <w:rPr>
          <w:rFonts w:ascii="Centra No2" w:hAnsi="Centra No2"/>
          <w:sz w:val="22"/>
          <w:szCs w:val="22"/>
        </w:rPr>
        <w:t xml:space="preserve"> </w:t>
      </w:r>
      <w:r w:rsidRPr="00B22EB1">
        <w:rPr>
          <w:rFonts w:ascii="Centra No2" w:hAnsi="Centra No2"/>
          <w:sz w:val="22"/>
          <w:szCs w:val="22"/>
        </w:rPr>
        <w:t>W</w:t>
      </w:r>
      <w:r w:rsidRPr="00B22EB1">
        <w:rPr>
          <w:rFonts w:ascii="Centra No2" w:hAnsi="Centra No2"/>
          <w:sz w:val="22"/>
          <w:szCs w:val="22"/>
        </w:rPr>
        <w:t>e believe the travel technology sector can offer evidence</w:t>
      </w:r>
      <w:r w:rsidRPr="00B22EB1">
        <w:rPr>
          <w:rFonts w:ascii="Centra No2" w:hAnsi="Centra No2"/>
          <w:sz w:val="22"/>
          <w:szCs w:val="22"/>
        </w:rPr>
        <w:t xml:space="preserve"> </w:t>
      </w:r>
      <w:r w:rsidRPr="00B22EB1">
        <w:rPr>
          <w:rFonts w:ascii="Centra No2" w:hAnsi="Centra No2"/>
          <w:sz w:val="22"/>
          <w:szCs w:val="22"/>
        </w:rPr>
        <w:t>around the following themes</w:t>
      </w:r>
      <w:r w:rsidRPr="00B22EB1">
        <w:rPr>
          <w:rFonts w:ascii="Centra No2" w:hAnsi="Centra No2"/>
          <w:sz w:val="22"/>
          <w:szCs w:val="22"/>
        </w:rPr>
        <w:t>, which we address in the sections of our response</w:t>
      </w:r>
      <w:r w:rsidRPr="00B22EB1">
        <w:rPr>
          <w:rFonts w:ascii="Centra No2" w:hAnsi="Centra No2"/>
          <w:sz w:val="22"/>
          <w:szCs w:val="22"/>
        </w:rPr>
        <w:t>:</w:t>
      </w:r>
    </w:p>
    <w:p w:rsidR="00A00B2A" w:rsidRPr="00B22EB1" w:rsidP="005F1A8D">
      <w:pPr>
        <w:pStyle w:val="Compact"/>
        <w:numPr>
          <w:ilvl w:val="0"/>
          <w:numId w:val="14"/>
        </w:numPr>
        <w:jc w:val="both"/>
        <w:rPr>
          <w:rFonts w:ascii="Centra No2" w:hAnsi="Centra No2"/>
          <w:sz w:val="22"/>
          <w:szCs w:val="22"/>
        </w:rPr>
      </w:pPr>
      <w:r w:rsidRPr="00B22EB1">
        <w:rPr>
          <w:rFonts w:ascii="Centra No2" w:hAnsi="Centra No2"/>
          <w:sz w:val="22"/>
          <w:szCs w:val="22"/>
        </w:rPr>
        <w:t>How the UK competes with other destinations for international visitors, and whether the Government’s current policy mix supports its ambition of welcoming 50 million international visitors a year by 2030.</w:t>
      </w:r>
    </w:p>
    <w:p w:rsidR="00A00B2A" w:rsidRPr="00B22EB1" w:rsidP="005F1A8D">
      <w:pPr>
        <w:pStyle w:val="Compact"/>
        <w:numPr>
          <w:ilvl w:val="0"/>
          <w:numId w:val="14"/>
        </w:numPr>
        <w:jc w:val="both"/>
        <w:rPr>
          <w:rFonts w:ascii="Centra No2" w:hAnsi="Centra No2"/>
          <w:sz w:val="22"/>
          <w:szCs w:val="22"/>
        </w:rPr>
      </w:pPr>
      <w:r w:rsidRPr="00B22EB1">
        <w:rPr>
          <w:rFonts w:ascii="Centra No2" w:hAnsi="Centra No2"/>
          <w:sz w:val="22"/>
          <w:szCs w:val="22"/>
        </w:rPr>
        <w:t xml:space="preserve">The impact of specific tax and policy changes on the UK’s attractiveness to inbound visitors — focusing in particular on the application of the Digital Services Tax (DST) to online travel </w:t>
      </w:r>
      <w:r>
        <w:rPr>
          <w:rFonts w:ascii="Centra No2" w:hAnsi="Centra No2"/>
          <w:sz w:val="22"/>
          <w:szCs w:val="22"/>
        </w:rPr>
        <w:t>marketplaces</w:t>
      </w:r>
      <w:r w:rsidRPr="00B22EB1">
        <w:rPr>
          <w:rFonts w:ascii="Centra No2" w:hAnsi="Centra No2"/>
          <w:sz w:val="22"/>
          <w:szCs w:val="22"/>
        </w:rPr>
        <w:t>.</w:t>
      </w:r>
    </w:p>
    <w:p w:rsidR="00A00B2A" w:rsidRPr="00B22EB1" w:rsidP="009C0CDA">
      <w:pPr>
        <w:pStyle w:val="Compact"/>
        <w:numPr>
          <w:ilvl w:val="0"/>
          <w:numId w:val="14"/>
        </w:numPr>
        <w:spacing w:after="200"/>
        <w:ind w:left="714" w:hanging="357"/>
        <w:jc w:val="both"/>
        <w:rPr>
          <w:rFonts w:ascii="Centra No2" w:hAnsi="Centra No2"/>
          <w:sz w:val="22"/>
          <w:szCs w:val="22"/>
        </w:rPr>
      </w:pPr>
      <w:r w:rsidRPr="00B22EB1">
        <w:rPr>
          <w:rFonts w:ascii="Centra No2" w:hAnsi="Centra No2"/>
          <w:sz w:val="22"/>
          <w:szCs w:val="22"/>
        </w:rPr>
        <w:t>The long-term resilience and competitiveness of the inbound visitor economy, including the role of online distribution in converting international demand into UK bookings.</w:t>
      </w:r>
    </w:p>
    <w:p w:rsidR="00A00B2A" w:rsidRPr="00B22EB1" w:rsidP="005F1A8D">
      <w:pPr>
        <w:jc w:val="both"/>
        <w:rPr>
          <w:rFonts w:ascii="Centra No2" w:hAnsi="Centra No2"/>
          <w:sz w:val="22"/>
          <w:szCs w:val="22"/>
        </w:rPr>
      </w:pPr>
      <w:r w:rsidRPr="00B22EB1">
        <w:rPr>
          <w:rFonts w:ascii="Centra No2" w:hAnsi="Centra No2"/>
          <w:sz w:val="22"/>
          <w:szCs w:val="22"/>
        </w:rPr>
        <w:t xml:space="preserve">Our core recommendation is targeted, proportionate, and relevant to the growth of the tourism economy in the UK. We do not call for the abolition of the DST, which we acknowledge makes a useful and growing contribution to UK revenues. We ask instead that the Government exempt travel </w:t>
      </w:r>
      <w:r>
        <w:rPr>
          <w:rFonts w:ascii="Centra No2" w:hAnsi="Centra No2"/>
          <w:sz w:val="22"/>
          <w:szCs w:val="22"/>
        </w:rPr>
        <w:t>marketplaces</w:t>
      </w:r>
      <w:r w:rsidRPr="00B22EB1">
        <w:rPr>
          <w:rFonts w:ascii="Centra No2" w:hAnsi="Centra No2"/>
          <w:sz w:val="22"/>
          <w:szCs w:val="22"/>
        </w:rPr>
        <w:t xml:space="preserve"> from the scope of the DST, in line with the existing precedent for financial services marketplaces</w:t>
      </w:r>
      <w:r w:rsidRPr="00B22EB1">
        <w:rPr>
          <w:rFonts w:ascii="Centra No2" w:hAnsi="Centra No2"/>
          <w:sz w:val="22"/>
          <w:szCs w:val="22"/>
        </w:rPr>
        <w:t>, which are exempt</w:t>
      </w:r>
      <w:r w:rsidRPr="00B22EB1">
        <w:rPr>
          <w:rFonts w:ascii="Centra No2" w:hAnsi="Centra No2"/>
          <w:sz w:val="22"/>
          <w:szCs w:val="22"/>
        </w:rPr>
        <w:t xml:space="preserve">ed as part of </w:t>
      </w:r>
      <w:r w:rsidRPr="00B22EB1">
        <w:rPr>
          <w:rFonts w:ascii="Centra No2" w:hAnsi="Centra No2"/>
          <w:sz w:val="22"/>
          <w:szCs w:val="22"/>
        </w:rPr>
        <w:t xml:space="preserve">the </w:t>
      </w:r>
      <w:r w:rsidRPr="00B22EB1">
        <w:rPr>
          <w:rFonts w:ascii="Centra No2" w:hAnsi="Centra No2"/>
          <w:sz w:val="22"/>
          <w:szCs w:val="22"/>
        </w:rPr>
        <w:t>Finance Act 2020</w:t>
      </w:r>
      <w:r w:rsidRPr="00B22EB1">
        <w:rPr>
          <w:rFonts w:ascii="Centra No2" w:hAnsi="Centra No2"/>
          <w:sz w:val="22"/>
          <w:szCs w:val="22"/>
        </w:rPr>
        <w:t xml:space="preserve">. </w:t>
      </w:r>
    </w:p>
    <w:p w:rsidR="00A00B2A" w:rsidRPr="00B22EB1" w:rsidP="005F1A8D">
      <w:pPr>
        <w:jc w:val="both"/>
        <w:rPr>
          <w:rFonts w:ascii="Centra No2" w:hAnsi="Centra No2"/>
          <w:sz w:val="22"/>
          <w:szCs w:val="22"/>
        </w:rPr>
      </w:pPr>
      <w:r w:rsidRPr="00B22EB1">
        <w:rPr>
          <w:rFonts w:ascii="Centra No2" w:hAnsi="Centra No2"/>
          <w:sz w:val="22"/>
          <w:szCs w:val="22"/>
        </w:rPr>
        <w:t>This would remove a quiet but growing drag on inbound demand, at a minimal cost to the Exchequer, at precisely the moment the UK is trying to close a 7.5 million-visitor gap to its 2030 target.</w:t>
      </w:r>
    </w:p>
    <w:p w:rsidR="00A00B2A" w:rsidRPr="00B22EB1" w:rsidP="005F1A8D">
      <w:pPr>
        <w:pStyle w:val="Heading2"/>
        <w:jc w:val="both"/>
        <w:rPr>
          <w:rFonts w:ascii="Centra No2" w:hAnsi="Centra No2"/>
          <w:b/>
          <w:bCs/>
          <w:color w:val="auto"/>
          <w:sz w:val="28"/>
          <w:szCs w:val="28"/>
          <w:u w:val="single"/>
        </w:rPr>
      </w:pPr>
      <w:bookmarkStart w:id="2" w:name="X5021f9561890de68033d33354463d1e5e00207e"/>
      <w:bookmarkEnd w:id="1"/>
      <w:r w:rsidRPr="00B22EB1">
        <w:rPr>
          <w:rFonts w:ascii="Centra No2" w:hAnsi="Centra No2"/>
          <w:b/>
          <w:bCs/>
          <w:color w:val="auto"/>
          <w:sz w:val="28"/>
          <w:szCs w:val="28"/>
          <w:u w:val="single"/>
        </w:rPr>
        <w:t>(i) How does the UK compete internationally, and is it on course for 50 million visitors by 2030?</w:t>
      </w:r>
    </w:p>
    <w:p w:rsidR="00A00B2A" w:rsidRPr="00B22EB1" w:rsidP="005F1A8D">
      <w:pPr>
        <w:jc w:val="both"/>
        <w:rPr>
          <w:rFonts w:ascii="Centra No2" w:hAnsi="Centra No2"/>
          <w:sz w:val="22"/>
          <w:szCs w:val="22"/>
        </w:rPr>
      </w:pPr>
      <w:r w:rsidRPr="00B22EB1">
        <w:rPr>
          <w:rFonts w:ascii="Centra No2" w:hAnsi="Centra No2"/>
          <w:sz w:val="22"/>
          <w:szCs w:val="22"/>
        </w:rPr>
        <w:t>The 2030 target is ambitious</w:t>
      </w:r>
      <w:r w:rsidRPr="00B22EB1">
        <w:rPr>
          <w:rFonts w:ascii="Centra No2" w:hAnsi="Centra No2"/>
          <w:sz w:val="22"/>
          <w:szCs w:val="22"/>
        </w:rPr>
        <w:t xml:space="preserve">, </w:t>
      </w:r>
      <w:r w:rsidRPr="00B22EB1">
        <w:rPr>
          <w:rFonts w:ascii="Centra No2" w:hAnsi="Centra No2"/>
          <w:sz w:val="22"/>
          <w:szCs w:val="22"/>
        </w:rPr>
        <w:t>and the UK is currently off-pace. In November 2024 the Tourism Minister set “a new ambition for the United Kingdom to welcome 50 million international visitors per year by 2030”.</w:t>
      </w:r>
      <w:r>
        <w:fldChar w:fldCharType="begin"/>
      </w:r>
      <w:r>
        <w:instrText xml:space="preserve"> HYPERLINK \l "user-content-fn-2" </w:instrText>
      </w:r>
      <w:r>
        <w:fldChar w:fldCharType="separate"/>
      </w:r>
      <w:r w:rsidRPr="00B22EB1">
        <w:rPr>
          <w:rStyle w:val="Hyperlink"/>
          <w:rFonts w:ascii="Centra No2" w:hAnsi="Centra No2"/>
          <w:color w:val="auto"/>
          <w:sz w:val="22"/>
          <w:szCs w:val="22"/>
          <w:vertAlign w:val="superscript"/>
        </w:rPr>
        <w:t>2</w:t>
      </w:r>
      <w:r>
        <w:fldChar w:fldCharType="end"/>
      </w:r>
      <w:r w:rsidRPr="00B22EB1">
        <w:rPr>
          <w:rFonts w:ascii="Centra No2" w:hAnsi="Centra No2"/>
          <w:sz w:val="22"/>
          <w:szCs w:val="22"/>
        </w:rPr>
        <w:t xml:space="preserve"> The UK received 42.5 million inbound visits in 2024,</w:t>
      </w:r>
      <w:r>
        <w:fldChar w:fldCharType="begin"/>
      </w:r>
      <w:r>
        <w:instrText xml:space="preserve"> HYPERLINK \l "user-content-fn-3" </w:instrText>
      </w:r>
      <w:r>
        <w:fldChar w:fldCharType="separate"/>
      </w:r>
      <w:r w:rsidRPr="00B22EB1">
        <w:rPr>
          <w:rStyle w:val="Hyperlink"/>
          <w:rFonts w:ascii="Centra No2" w:hAnsi="Centra No2"/>
          <w:color w:val="auto"/>
          <w:sz w:val="22"/>
          <w:szCs w:val="22"/>
          <w:vertAlign w:val="superscript"/>
        </w:rPr>
        <w:t>3</w:t>
      </w:r>
      <w:r>
        <w:fldChar w:fldCharType="end"/>
      </w:r>
      <w:r w:rsidRPr="00B22EB1">
        <w:rPr>
          <w:rFonts w:ascii="Centra No2" w:hAnsi="Centra No2"/>
          <w:sz w:val="22"/>
          <w:szCs w:val="22"/>
        </w:rPr>
        <w:t xml:space="preserve"> meaning roughly 7.5 million additional annual visitors need to be secured in the </w:t>
      </w:r>
      <w:r w:rsidRPr="00B22EB1">
        <w:rPr>
          <w:rFonts w:ascii="Centra No2" w:hAnsi="Centra No2"/>
          <w:sz w:val="22"/>
          <w:szCs w:val="22"/>
        </w:rPr>
        <w:t xml:space="preserve">(then) </w:t>
      </w:r>
      <w:r w:rsidRPr="00B22EB1">
        <w:rPr>
          <w:rFonts w:ascii="Centra No2" w:hAnsi="Centra No2"/>
          <w:sz w:val="22"/>
          <w:szCs w:val="22"/>
        </w:rPr>
        <w:t>six years to 2030 — a ~18% increase on current levels.</w:t>
      </w:r>
    </w:p>
    <w:p w:rsidR="00A00B2A" w:rsidRPr="00B22EB1" w:rsidP="005F1A8D">
      <w:pPr>
        <w:jc w:val="both"/>
        <w:rPr>
          <w:rFonts w:ascii="Centra No2" w:hAnsi="Centra No2"/>
          <w:sz w:val="22"/>
          <w:szCs w:val="22"/>
        </w:rPr>
      </w:pPr>
      <w:r w:rsidRPr="00B22EB1">
        <w:rPr>
          <w:rFonts w:ascii="Centra No2" w:hAnsi="Centra No2"/>
          <w:sz w:val="22"/>
          <w:szCs w:val="22"/>
        </w:rPr>
        <w:t xml:space="preserve">By international benchmarks, the UK is losing ground, not gaining it. Oxford Economics’ latest forecasts, published by the World Travel &amp; Tourism Council (WTTC), show the UK’s projected </w:t>
      </w:r>
      <w:r>
        <w:rPr>
          <w:rFonts w:ascii="Centra No2" w:hAnsi="Centra No2"/>
          <w:sz w:val="22"/>
          <w:szCs w:val="22"/>
        </w:rPr>
        <w:t xml:space="preserve">growth rate </w:t>
      </w:r>
      <w:r w:rsidRPr="00B22EB1">
        <w:rPr>
          <w:rFonts w:ascii="Centra No2" w:hAnsi="Centra No2"/>
          <w:sz w:val="22"/>
          <w:szCs w:val="22"/>
        </w:rPr>
        <w:t xml:space="preserve">for overnight international arrivals over 2024–2029 sitting </w:t>
      </w:r>
      <w:r w:rsidRPr="00B22EB1">
        <w:rPr>
          <w:rFonts w:ascii="Centra No2" w:hAnsi="Centra No2"/>
          <w:sz w:val="22"/>
          <w:szCs w:val="22"/>
        </w:rPr>
        <w:t xml:space="preserve">almost </w:t>
      </w:r>
      <w:r w:rsidRPr="00B22EB1">
        <w:rPr>
          <w:rFonts w:ascii="Centra No2" w:hAnsi="Centra No2"/>
          <w:sz w:val="22"/>
          <w:szCs w:val="22"/>
        </w:rPr>
        <w:t xml:space="preserve">at the </w:t>
      </w:r>
      <w:r w:rsidRPr="00B22EB1">
        <w:rPr>
          <w:rFonts w:ascii="Centra No2" w:hAnsi="Centra No2"/>
          <w:sz w:val="22"/>
          <w:szCs w:val="22"/>
        </w:rPr>
        <w:t xml:space="preserve">very </w:t>
      </w:r>
      <w:r w:rsidRPr="00B22EB1">
        <w:rPr>
          <w:rFonts w:ascii="Centra No2" w:hAnsi="Centra No2"/>
          <w:sz w:val="22"/>
          <w:szCs w:val="22"/>
        </w:rPr>
        <w:t>bottom of the European league table:</w:t>
      </w:r>
      <w:r>
        <w:fldChar w:fldCharType="begin"/>
      </w:r>
      <w:r>
        <w:instrText xml:space="preserve"> HYPERLINK \l "user-content-fn-4" </w:instrText>
      </w:r>
      <w:r>
        <w:fldChar w:fldCharType="separate"/>
      </w:r>
      <w:r w:rsidRPr="00B22EB1">
        <w:rPr>
          <w:rStyle w:val="Hyperlink"/>
          <w:rFonts w:ascii="Centra No2" w:hAnsi="Centra No2"/>
          <w:color w:val="auto"/>
          <w:sz w:val="22"/>
          <w:szCs w:val="22"/>
          <w:vertAlign w:val="superscript"/>
        </w:rPr>
        <w:t>4</w:t>
      </w:r>
      <w:r>
        <w:fldChar w:fldCharType="end"/>
      </w:r>
      <w:r w:rsidRPr="00B22EB1">
        <w:rPr>
          <w:rFonts w:ascii="Centra No2" w:hAnsi="Centra No2"/>
          <w:sz w:val="22"/>
          <w:szCs w:val="22"/>
        </w:rPr>
        <w:t xml:space="preserve"> </w:t>
      </w:r>
    </w:p>
    <w:p w:rsidR="00A00B2A" w:rsidRPr="00B22EB1" w:rsidP="00BA7D82">
      <w:pPr>
        <w:jc w:val="center"/>
        <w:rPr>
          <w:rFonts w:ascii="Centra No2" w:hAnsi="Centra No2"/>
          <w:sz w:val="22"/>
          <w:szCs w:val="22"/>
          <w:u w:val="single"/>
        </w:rPr>
      </w:pPr>
      <w:r w:rsidRPr="00B22EB1">
        <w:rPr>
          <w:rFonts w:ascii="Centra No2" w:hAnsi="Centra No2"/>
          <w:sz w:val="22"/>
          <w:szCs w:val="22"/>
          <w:u w:val="single"/>
        </w:rPr>
        <w:t>Table 1</w:t>
      </w:r>
      <w:r w:rsidRPr="00B22EB1">
        <w:rPr>
          <w:rFonts w:ascii="Centra No2" w:hAnsi="Centra No2"/>
          <w:sz w:val="22"/>
          <w:szCs w:val="22"/>
          <w:u w:val="single"/>
        </w:rPr>
        <w:t xml:space="preserve"> – forecast growth in </w:t>
      </w:r>
      <w:r w:rsidRPr="00B22EB1">
        <w:rPr>
          <w:rFonts w:ascii="Centra No2" w:hAnsi="Centra No2"/>
          <w:sz w:val="22"/>
          <w:szCs w:val="22"/>
          <w:u w:val="single"/>
        </w:rPr>
        <w:t>overnight internation</w:t>
      </w:r>
      <w:r>
        <w:rPr>
          <w:rFonts w:ascii="Centra No2" w:hAnsi="Centra No2"/>
          <w:sz w:val="22"/>
          <w:szCs w:val="22"/>
          <w:u w:val="single"/>
        </w:rPr>
        <w:t>al</w:t>
      </w:r>
      <w:r w:rsidRPr="00B22EB1">
        <w:rPr>
          <w:rFonts w:ascii="Centra No2" w:hAnsi="Centra No2"/>
          <w:sz w:val="22"/>
          <w:szCs w:val="22"/>
          <w:u w:val="single"/>
        </w:rPr>
        <w:t xml:space="preserve"> visitors</w:t>
      </w:r>
    </w:p>
    <w:tbl>
      <w:tblPr>
        <w:tblStyle w:val="TableGrid"/>
        <w:tblW w:w="0" w:type="auto"/>
        <w:jc w:val="center"/>
        <w:tblLook w:val="04A0"/>
      </w:tblPr>
      <w:tblGrid>
        <w:gridCol w:w="3397"/>
        <w:gridCol w:w="3675"/>
      </w:tblGrid>
      <w:tr w:rsidTr="00BA7D82">
        <w:tblPrEx>
          <w:tblW w:w="0" w:type="auto"/>
          <w:jc w:val="center"/>
          <w:tblLook w:val="04A0"/>
        </w:tblPrEx>
        <w:trPr>
          <w:jc w:val="center"/>
        </w:trPr>
        <w:tc>
          <w:tcPr>
            <w:tcW w:w="3397" w:type="dxa"/>
            <w:shd w:val="clear" w:color="auto" w:fill="0E2841" w:themeFill="text2"/>
          </w:tcPr>
          <w:p w:rsidR="00A00B2A" w:rsidRPr="00B22EB1" w:rsidP="005F1A8D">
            <w:pPr>
              <w:jc w:val="both"/>
              <w:rPr>
                <w:rFonts w:ascii="Centra No2" w:hAnsi="Centra No2"/>
                <w:sz w:val="22"/>
                <w:szCs w:val="22"/>
              </w:rPr>
            </w:pPr>
            <w:r w:rsidRPr="00B22EB1">
              <w:rPr>
                <w:rFonts w:ascii="Centra No2" w:hAnsi="Centra No2"/>
                <w:sz w:val="22"/>
                <w:szCs w:val="22"/>
              </w:rPr>
              <w:t>Country</w:t>
            </w:r>
          </w:p>
        </w:tc>
        <w:tc>
          <w:tcPr>
            <w:tcW w:w="3675" w:type="dxa"/>
            <w:shd w:val="clear" w:color="auto" w:fill="0E2841" w:themeFill="text2"/>
          </w:tcPr>
          <w:p w:rsidR="00A00B2A" w:rsidRPr="00B22EB1" w:rsidP="00BA7D82">
            <w:pPr>
              <w:rPr>
                <w:rFonts w:ascii="Centra No2" w:hAnsi="Centra No2"/>
                <w:sz w:val="22"/>
                <w:szCs w:val="22"/>
              </w:rPr>
            </w:pPr>
            <w:r w:rsidRPr="00B22EB1">
              <w:rPr>
                <w:rFonts w:ascii="Centra No2" w:hAnsi="Centra No2"/>
                <w:sz w:val="22"/>
                <w:szCs w:val="22"/>
              </w:rPr>
              <w:t>Forecast CAGR</w:t>
            </w:r>
          </w:p>
        </w:tc>
      </w:tr>
      <w:tr w:rsidTr="00BA7D82">
        <w:tblPrEx>
          <w:tblW w:w="0" w:type="auto"/>
          <w:jc w:val="center"/>
          <w:tblLook w:val="04A0"/>
        </w:tblPrEx>
        <w:trPr>
          <w:jc w:val="center"/>
        </w:trPr>
        <w:tc>
          <w:tcPr>
            <w:tcW w:w="3397" w:type="dxa"/>
          </w:tcPr>
          <w:p w:rsidR="00A00B2A" w:rsidRPr="00B22EB1" w:rsidP="005F1A8D">
            <w:pPr>
              <w:jc w:val="both"/>
              <w:rPr>
                <w:rFonts w:ascii="Centra No2" w:hAnsi="Centra No2"/>
                <w:sz w:val="22"/>
                <w:szCs w:val="22"/>
              </w:rPr>
            </w:pPr>
            <w:r w:rsidRPr="00B22EB1">
              <w:rPr>
                <w:rFonts w:ascii="Centra No2" w:hAnsi="Centra No2"/>
                <w:sz w:val="22"/>
                <w:szCs w:val="22"/>
              </w:rPr>
              <w:t>Switzerland</w:t>
            </w:r>
          </w:p>
        </w:tc>
        <w:tc>
          <w:tcPr>
            <w:tcW w:w="3675" w:type="dxa"/>
          </w:tcPr>
          <w:p w:rsidR="00A00B2A" w:rsidRPr="00B22EB1" w:rsidP="005F1A8D">
            <w:pPr>
              <w:jc w:val="both"/>
              <w:rPr>
                <w:rFonts w:ascii="Centra No2" w:hAnsi="Centra No2"/>
                <w:sz w:val="22"/>
                <w:szCs w:val="22"/>
              </w:rPr>
            </w:pPr>
            <w:r w:rsidRPr="00B22EB1">
              <w:rPr>
                <w:rFonts w:ascii="Centra No2" w:hAnsi="Centra No2"/>
                <w:sz w:val="22"/>
                <w:szCs w:val="22"/>
              </w:rPr>
              <w:t>7.4%</w:t>
            </w:r>
          </w:p>
        </w:tc>
      </w:tr>
      <w:tr w:rsidTr="00BA7D82">
        <w:tblPrEx>
          <w:tblW w:w="0" w:type="auto"/>
          <w:jc w:val="center"/>
          <w:tblLook w:val="04A0"/>
        </w:tblPrEx>
        <w:trPr>
          <w:jc w:val="center"/>
        </w:trPr>
        <w:tc>
          <w:tcPr>
            <w:tcW w:w="3397" w:type="dxa"/>
          </w:tcPr>
          <w:p w:rsidR="00A00B2A" w:rsidRPr="00B22EB1" w:rsidP="005F1A8D">
            <w:pPr>
              <w:jc w:val="both"/>
              <w:rPr>
                <w:rFonts w:ascii="Centra No2" w:hAnsi="Centra No2"/>
                <w:sz w:val="22"/>
                <w:szCs w:val="22"/>
              </w:rPr>
            </w:pPr>
            <w:r w:rsidRPr="00B22EB1">
              <w:rPr>
                <w:rFonts w:ascii="Centra No2" w:hAnsi="Centra No2"/>
                <w:sz w:val="22"/>
                <w:szCs w:val="22"/>
              </w:rPr>
              <w:t>Germany</w:t>
            </w:r>
          </w:p>
        </w:tc>
        <w:tc>
          <w:tcPr>
            <w:tcW w:w="3675" w:type="dxa"/>
          </w:tcPr>
          <w:p w:rsidR="00A00B2A" w:rsidRPr="00B22EB1" w:rsidP="005F1A8D">
            <w:pPr>
              <w:jc w:val="both"/>
              <w:rPr>
                <w:rFonts w:ascii="Centra No2" w:hAnsi="Centra No2"/>
                <w:sz w:val="22"/>
                <w:szCs w:val="22"/>
              </w:rPr>
            </w:pPr>
            <w:r w:rsidRPr="00B22EB1">
              <w:rPr>
                <w:rFonts w:ascii="Centra No2" w:hAnsi="Centra No2"/>
                <w:sz w:val="22"/>
                <w:szCs w:val="22"/>
              </w:rPr>
              <w:t>5.9%</w:t>
            </w:r>
          </w:p>
        </w:tc>
      </w:tr>
      <w:tr w:rsidTr="00BA7D82">
        <w:tblPrEx>
          <w:tblW w:w="0" w:type="auto"/>
          <w:jc w:val="center"/>
          <w:tblLook w:val="04A0"/>
        </w:tblPrEx>
        <w:trPr>
          <w:jc w:val="center"/>
        </w:trPr>
        <w:tc>
          <w:tcPr>
            <w:tcW w:w="3397" w:type="dxa"/>
          </w:tcPr>
          <w:p w:rsidR="00A00B2A" w:rsidRPr="00B22EB1" w:rsidP="005F1A8D">
            <w:pPr>
              <w:jc w:val="both"/>
              <w:rPr>
                <w:rFonts w:ascii="Centra No2" w:hAnsi="Centra No2"/>
                <w:sz w:val="22"/>
                <w:szCs w:val="22"/>
              </w:rPr>
            </w:pPr>
            <w:r w:rsidRPr="00B22EB1">
              <w:rPr>
                <w:rFonts w:ascii="Centra No2" w:hAnsi="Centra No2"/>
                <w:sz w:val="22"/>
                <w:szCs w:val="22"/>
              </w:rPr>
              <w:t>Italy</w:t>
            </w:r>
          </w:p>
        </w:tc>
        <w:tc>
          <w:tcPr>
            <w:tcW w:w="3675" w:type="dxa"/>
          </w:tcPr>
          <w:p w:rsidR="00A00B2A" w:rsidRPr="00B22EB1" w:rsidP="005F1A8D">
            <w:pPr>
              <w:jc w:val="both"/>
              <w:rPr>
                <w:rFonts w:ascii="Centra No2" w:hAnsi="Centra No2"/>
                <w:sz w:val="22"/>
                <w:szCs w:val="22"/>
              </w:rPr>
            </w:pPr>
            <w:r w:rsidRPr="00B22EB1">
              <w:rPr>
                <w:rFonts w:ascii="Centra No2" w:hAnsi="Centra No2"/>
                <w:sz w:val="22"/>
                <w:szCs w:val="22"/>
              </w:rPr>
              <w:t>5.7%</w:t>
            </w:r>
          </w:p>
        </w:tc>
      </w:tr>
      <w:tr w:rsidTr="00BA7D82">
        <w:tblPrEx>
          <w:tblW w:w="0" w:type="auto"/>
          <w:jc w:val="center"/>
          <w:tblLook w:val="04A0"/>
        </w:tblPrEx>
        <w:trPr>
          <w:jc w:val="center"/>
        </w:trPr>
        <w:tc>
          <w:tcPr>
            <w:tcW w:w="3397" w:type="dxa"/>
          </w:tcPr>
          <w:p w:rsidR="00A00B2A" w:rsidRPr="00B22EB1" w:rsidP="005F1A8D">
            <w:pPr>
              <w:jc w:val="both"/>
              <w:rPr>
                <w:rFonts w:ascii="Centra No2" w:hAnsi="Centra No2"/>
                <w:sz w:val="22"/>
                <w:szCs w:val="22"/>
              </w:rPr>
            </w:pPr>
            <w:r w:rsidRPr="00B22EB1">
              <w:rPr>
                <w:rFonts w:ascii="Centra No2" w:hAnsi="Centra No2"/>
                <w:sz w:val="22"/>
                <w:szCs w:val="22"/>
              </w:rPr>
              <w:t>Spain</w:t>
            </w:r>
          </w:p>
        </w:tc>
        <w:tc>
          <w:tcPr>
            <w:tcW w:w="3675" w:type="dxa"/>
          </w:tcPr>
          <w:p w:rsidR="00A00B2A" w:rsidRPr="00B22EB1" w:rsidP="005F1A8D">
            <w:pPr>
              <w:jc w:val="both"/>
              <w:rPr>
                <w:rFonts w:ascii="Centra No2" w:hAnsi="Centra No2"/>
                <w:sz w:val="22"/>
                <w:szCs w:val="22"/>
              </w:rPr>
            </w:pPr>
            <w:r w:rsidRPr="00B22EB1">
              <w:rPr>
                <w:rFonts w:ascii="Centra No2" w:hAnsi="Centra No2"/>
                <w:sz w:val="22"/>
                <w:szCs w:val="22"/>
              </w:rPr>
              <w:t>4.9%</w:t>
            </w:r>
          </w:p>
        </w:tc>
      </w:tr>
      <w:tr w:rsidTr="00BA7D82">
        <w:tblPrEx>
          <w:tblW w:w="0" w:type="auto"/>
          <w:jc w:val="center"/>
          <w:tblLook w:val="04A0"/>
        </w:tblPrEx>
        <w:trPr>
          <w:jc w:val="center"/>
        </w:trPr>
        <w:tc>
          <w:tcPr>
            <w:tcW w:w="3397" w:type="dxa"/>
          </w:tcPr>
          <w:p w:rsidR="00A00B2A" w:rsidRPr="00B22EB1" w:rsidP="005F1A8D">
            <w:pPr>
              <w:jc w:val="both"/>
              <w:rPr>
                <w:rFonts w:ascii="Centra No2" w:hAnsi="Centra No2"/>
                <w:sz w:val="22"/>
                <w:szCs w:val="22"/>
              </w:rPr>
            </w:pPr>
            <w:r w:rsidRPr="00B22EB1">
              <w:rPr>
                <w:rFonts w:ascii="Centra No2" w:hAnsi="Centra No2"/>
                <w:sz w:val="22"/>
                <w:szCs w:val="22"/>
              </w:rPr>
              <w:t>Ireland</w:t>
            </w:r>
          </w:p>
        </w:tc>
        <w:tc>
          <w:tcPr>
            <w:tcW w:w="3675" w:type="dxa"/>
          </w:tcPr>
          <w:p w:rsidR="00A00B2A" w:rsidRPr="00B22EB1" w:rsidP="005F1A8D">
            <w:pPr>
              <w:jc w:val="both"/>
              <w:rPr>
                <w:rFonts w:ascii="Centra No2" w:hAnsi="Centra No2"/>
                <w:sz w:val="22"/>
                <w:szCs w:val="22"/>
              </w:rPr>
            </w:pPr>
            <w:r w:rsidRPr="00B22EB1">
              <w:rPr>
                <w:rFonts w:ascii="Centra No2" w:hAnsi="Centra No2"/>
                <w:sz w:val="22"/>
                <w:szCs w:val="22"/>
              </w:rPr>
              <w:t>3.2%</w:t>
            </w:r>
          </w:p>
        </w:tc>
      </w:tr>
      <w:tr w:rsidTr="00BA7D82">
        <w:tblPrEx>
          <w:tblW w:w="0" w:type="auto"/>
          <w:jc w:val="center"/>
          <w:tblLook w:val="04A0"/>
        </w:tblPrEx>
        <w:trPr>
          <w:jc w:val="center"/>
        </w:trPr>
        <w:tc>
          <w:tcPr>
            <w:tcW w:w="3397" w:type="dxa"/>
          </w:tcPr>
          <w:p w:rsidR="00A00B2A" w:rsidRPr="00B22EB1" w:rsidP="005F1A8D">
            <w:pPr>
              <w:jc w:val="both"/>
              <w:rPr>
                <w:rFonts w:ascii="Centra No2" w:hAnsi="Centra No2"/>
                <w:sz w:val="22"/>
                <w:szCs w:val="22"/>
              </w:rPr>
            </w:pPr>
            <w:r w:rsidRPr="00B22EB1">
              <w:rPr>
                <w:rFonts w:ascii="Centra No2" w:hAnsi="Centra No2"/>
                <w:sz w:val="22"/>
                <w:szCs w:val="22"/>
              </w:rPr>
              <w:t>UK</w:t>
            </w:r>
          </w:p>
        </w:tc>
        <w:tc>
          <w:tcPr>
            <w:tcW w:w="3675" w:type="dxa"/>
          </w:tcPr>
          <w:p w:rsidR="00A00B2A" w:rsidRPr="00B22EB1" w:rsidP="005F1A8D">
            <w:pPr>
              <w:jc w:val="both"/>
              <w:rPr>
                <w:rFonts w:ascii="Centra No2" w:hAnsi="Centra No2"/>
                <w:sz w:val="22"/>
                <w:szCs w:val="22"/>
              </w:rPr>
            </w:pPr>
            <w:r w:rsidRPr="00B22EB1">
              <w:rPr>
                <w:rFonts w:ascii="Centra No2" w:hAnsi="Centra No2"/>
                <w:sz w:val="22"/>
                <w:szCs w:val="22"/>
              </w:rPr>
              <w:t>3.0%</w:t>
            </w:r>
          </w:p>
        </w:tc>
      </w:tr>
      <w:tr w:rsidTr="00BA7D82">
        <w:tblPrEx>
          <w:tblW w:w="0" w:type="auto"/>
          <w:jc w:val="center"/>
          <w:tblLook w:val="04A0"/>
        </w:tblPrEx>
        <w:trPr>
          <w:jc w:val="center"/>
        </w:trPr>
        <w:tc>
          <w:tcPr>
            <w:tcW w:w="3397" w:type="dxa"/>
          </w:tcPr>
          <w:p w:rsidR="00A00B2A" w:rsidRPr="00B22EB1" w:rsidP="005F1A8D">
            <w:pPr>
              <w:jc w:val="both"/>
              <w:rPr>
                <w:rFonts w:ascii="Centra No2" w:hAnsi="Centra No2"/>
                <w:sz w:val="22"/>
                <w:szCs w:val="22"/>
              </w:rPr>
            </w:pPr>
            <w:r w:rsidRPr="00B22EB1">
              <w:rPr>
                <w:rFonts w:ascii="Centra No2" w:hAnsi="Centra No2"/>
                <w:sz w:val="22"/>
                <w:szCs w:val="22"/>
              </w:rPr>
              <w:t>France</w:t>
            </w:r>
          </w:p>
        </w:tc>
        <w:tc>
          <w:tcPr>
            <w:tcW w:w="3675" w:type="dxa"/>
          </w:tcPr>
          <w:p w:rsidR="00A00B2A" w:rsidRPr="00B22EB1" w:rsidP="005F1A8D">
            <w:pPr>
              <w:jc w:val="both"/>
              <w:rPr>
                <w:rFonts w:ascii="Centra No2" w:hAnsi="Centra No2"/>
                <w:sz w:val="22"/>
                <w:szCs w:val="22"/>
              </w:rPr>
            </w:pPr>
            <w:r w:rsidRPr="00B22EB1">
              <w:rPr>
                <w:rFonts w:ascii="Centra No2" w:hAnsi="Centra No2"/>
                <w:sz w:val="22"/>
                <w:szCs w:val="22"/>
              </w:rPr>
              <w:t>2.3%</w:t>
            </w:r>
          </w:p>
        </w:tc>
      </w:tr>
    </w:tbl>
    <w:p w:rsidR="00A00B2A" w:rsidRPr="00B22EB1" w:rsidP="005F1A8D">
      <w:pPr>
        <w:ind w:left="720"/>
        <w:jc w:val="both"/>
        <w:rPr>
          <w:rFonts w:ascii="Centra No2" w:hAnsi="Centra No2"/>
          <w:sz w:val="22"/>
          <w:szCs w:val="22"/>
        </w:rPr>
      </w:pPr>
    </w:p>
    <w:p w:rsidR="00A00B2A" w:rsidRPr="00B22EB1" w:rsidP="005F1A8D">
      <w:pPr>
        <w:jc w:val="both"/>
        <w:rPr>
          <w:rFonts w:ascii="Centra No2" w:hAnsi="Centra No2"/>
          <w:sz w:val="22"/>
          <w:szCs w:val="22"/>
        </w:rPr>
      </w:pPr>
      <w:r w:rsidRPr="00B22EB1">
        <w:rPr>
          <w:rFonts w:ascii="Centra No2" w:hAnsi="Centra No2"/>
          <w:sz w:val="22"/>
          <w:szCs w:val="22"/>
        </w:rPr>
        <w:t>WTTC estimates that £60 billion of tourism business is at risk over the next ten years if the UK does not close this competitiveness gap.</w:t>
      </w:r>
      <w:r>
        <w:fldChar w:fldCharType="begin"/>
      </w:r>
      <w:r>
        <w:instrText xml:space="preserve"> HYPERLINK \l "user-content-fn-4" </w:instrText>
      </w:r>
      <w:r>
        <w:fldChar w:fldCharType="separate"/>
      </w:r>
      <w:r w:rsidRPr="00B22EB1">
        <w:rPr>
          <w:rStyle w:val="Hyperlink"/>
          <w:rFonts w:ascii="Centra No2" w:hAnsi="Centra No2"/>
          <w:color w:val="auto"/>
          <w:sz w:val="22"/>
          <w:szCs w:val="22"/>
          <w:vertAlign w:val="superscript"/>
        </w:rPr>
        <w:t>4</w:t>
      </w:r>
      <w:r>
        <w:fldChar w:fldCharType="end"/>
      </w:r>
      <w:r w:rsidRPr="00B22EB1">
        <w:rPr>
          <w:rFonts w:ascii="Centra No2" w:hAnsi="Centra No2"/>
          <w:sz w:val="22"/>
          <w:szCs w:val="22"/>
        </w:rPr>
        <w:t xml:space="preserve"> VisitBritain’s own analysis finds that if UK inbound tourism grew at the pace forecast for Western Europe as a whole, the sector would generate an additional £4.4 billion per year for the UK economy by 2030.</w:t>
      </w:r>
      <w:r>
        <w:fldChar w:fldCharType="begin"/>
      </w:r>
      <w:r>
        <w:instrText xml:space="preserve"> HYPERLINK \l "user-content-fn-5" </w:instrText>
      </w:r>
      <w:r>
        <w:fldChar w:fldCharType="separate"/>
      </w:r>
      <w:r w:rsidRPr="00B22EB1">
        <w:rPr>
          <w:rStyle w:val="Hyperlink"/>
          <w:rFonts w:ascii="Centra No2" w:hAnsi="Centra No2"/>
          <w:color w:val="auto"/>
          <w:sz w:val="22"/>
          <w:szCs w:val="22"/>
          <w:vertAlign w:val="superscript"/>
        </w:rPr>
        <w:t>5</w:t>
      </w:r>
      <w:r>
        <w:fldChar w:fldCharType="end"/>
      </w:r>
    </w:p>
    <w:p w:rsidR="00A00B2A" w:rsidRPr="00B22EB1" w:rsidP="005F1A8D">
      <w:pPr>
        <w:jc w:val="both"/>
        <w:rPr>
          <w:rFonts w:ascii="Centra No2" w:hAnsi="Centra No2"/>
          <w:sz w:val="22"/>
          <w:szCs w:val="22"/>
        </w:rPr>
      </w:pPr>
      <w:r w:rsidRPr="00B22EB1">
        <w:rPr>
          <w:rFonts w:ascii="Centra No2" w:hAnsi="Centra No2"/>
          <w:sz w:val="22"/>
          <w:szCs w:val="22"/>
        </w:rPr>
        <w:t>Price competitiveness is the UK’s single biggest vulnerability. The UK ranks 113th of 119 countries for price competitiveness in the World Economic Forum’s Travel &amp; Tourism Development Index.</w:t>
      </w:r>
      <w:r>
        <w:fldChar w:fldCharType="begin"/>
      </w:r>
      <w:r>
        <w:instrText xml:space="preserve"> HYPERLINK \l "user-content-fn-4" </w:instrText>
      </w:r>
      <w:r>
        <w:fldChar w:fldCharType="separate"/>
      </w:r>
      <w:r w:rsidRPr="00B22EB1">
        <w:rPr>
          <w:rStyle w:val="Hyperlink"/>
          <w:rFonts w:ascii="Centra No2" w:hAnsi="Centra No2"/>
          <w:color w:val="auto"/>
          <w:sz w:val="22"/>
          <w:szCs w:val="22"/>
          <w:vertAlign w:val="superscript"/>
        </w:rPr>
        <w:t>4</w:t>
      </w:r>
      <w:r>
        <w:fldChar w:fldCharType="end"/>
      </w:r>
      <w:r w:rsidRPr="00B22EB1">
        <w:rPr>
          <w:rFonts w:ascii="Centra No2" w:hAnsi="Centra No2"/>
          <w:sz w:val="22"/>
          <w:szCs w:val="22"/>
        </w:rPr>
        <w:t xml:space="preserve"> Every additional cost levied on inbound booking channels</w:t>
      </w:r>
      <w:r w:rsidRPr="00B22EB1">
        <w:rPr>
          <w:rFonts w:ascii="Centra No2" w:hAnsi="Centra No2"/>
          <w:sz w:val="22"/>
          <w:szCs w:val="22"/>
        </w:rPr>
        <w:t xml:space="preserve"> (</w:t>
      </w:r>
      <w:r w:rsidRPr="00B22EB1">
        <w:rPr>
          <w:rFonts w:ascii="Centra No2" w:hAnsi="Centra No2"/>
          <w:sz w:val="22"/>
          <w:szCs w:val="22"/>
        </w:rPr>
        <w:t>whether A</w:t>
      </w:r>
      <w:r>
        <w:rPr>
          <w:rFonts w:ascii="Centra No2" w:hAnsi="Centra No2"/>
          <w:sz w:val="22"/>
          <w:szCs w:val="22"/>
        </w:rPr>
        <w:t xml:space="preserve">ir </w:t>
      </w:r>
      <w:r w:rsidRPr="00B22EB1">
        <w:rPr>
          <w:rFonts w:ascii="Centra No2" w:hAnsi="Centra No2"/>
          <w:sz w:val="22"/>
          <w:szCs w:val="22"/>
        </w:rPr>
        <w:t>P</w:t>
      </w:r>
      <w:r>
        <w:rPr>
          <w:rFonts w:ascii="Centra No2" w:hAnsi="Centra No2"/>
          <w:sz w:val="22"/>
          <w:szCs w:val="22"/>
        </w:rPr>
        <w:t xml:space="preserve">assenger </w:t>
      </w:r>
      <w:r w:rsidRPr="00B22EB1">
        <w:rPr>
          <w:rFonts w:ascii="Centra No2" w:hAnsi="Centra No2"/>
          <w:sz w:val="22"/>
          <w:szCs w:val="22"/>
        </w:rPr>
        <w:t>D</w:t>
      </w:r>
      <w:r>
        <w:rPr>
          <w:rFonts w:ascii="Centra No2" w:hAnsi="Centra No2"/>
          <w:sz w:val="22"/>
          <w:szCs w:val="22"/>
        </w:rPr>
        <w:t>uty (APD)</w:t>
      </w:r>
      <w:r w:rsidRPr="00B22EB1">
        <w:rPr>
          <w:rFonts w:ascii="Centra No2" w:hAnsi="Centra No2"/>
          <w:sz w:val="22"/>
          <w:szCs w:val="22"/>
        </w:rPr>
        <w:t xml:space="preserve">, ETA fees, </w:t>
      </w:r>
      <w:r w:rsidRPr="00B22EB1">
        <w:rPr>
          <w:rFonts w:ascii="Centra No2" w:hAnsi="Centra No2"/>
          <w:sz w:val="22"/>
          <w:szCs w:val="22"/>
        </w:rPr>
        <w:t xml:space="preserve">a new visitor levy in England, high </w:t>
      </w:r>
      <w:r w:rsidRPr="00B22EB1">
        <w:rPr>
          <w:rFonts w:ascii="Centra No2" w:hAnsi="Centra No2"/>
          <w:sz w:val="22"/>
          <w:szCs w:val="22"/>
        </w:rPr>
        <w:t xml:space="preserve">VAT or </w:t>
      </w:r>
      <w:r w:rsidRPr="00B22EB1">
        <w:rPr>
          <w:rFonts w:ascii="Centra No2" w:hAnsi="Centra No2"/>
          <w:sz w:val="22"/>
          <w:szCs w:val="22"/>
        </w:rPr>
        <w:t xml:space="preserve">indeed </w:t>
      </w:r>
      <w:r w:rsidRPr="00B22EB1">
        <w:rPr>
          <w:rFonts w:ascii="Centra No2" w:hAnsi="Centra No2"/>
          <w:sz w:val="22"/>
          <w:szCs w:val="22"/>
        </w:rPr>
        <w:t>the DS</w:t>
      </w:r>
      <w:r w:rsidRPr="00B22EB1">
        <w:rPr>
          <w:rFonts w:ascii="Centra No2" w:hAnsi="Centra No2"/>
          <w:sz w:val="22"/>
          <w:szCs w:val="22"/>
        </w:rPr>
        <w:t xml:space="preserve">T) </w:t>
      </w:r>
      <w:r w:rsidRPr="00B22EB1">
        <w:rPr>
          <w:rFonts w:ascii="Centra No2" w:hAnsi="Centra No2"/>
          <w:sz w:val="22"/>
          <w:szCs w:val="22"/>
        </w:rPr>
        <w:t>compounds this problem and accelerates substitution toward continental European alternatives.</w:t>
      </w:r>
    </w:p>
    <w:p w:rsidR="00A00B2A" w:rsidRPr="00B22EB1" w:rsidP="005F1A8D">
      <w:pPr>
        <w:jc w:val="both"/>
        <w:rPr>
          <w:rFonts w:ascii="Centra No2" w:hAnsi="Centra No2"/>
          <w:sz w:val="22"/>
          <w:szCs w:val="22"/>
        </w:rPr>
      </w:pPr>
      <w:r w:rsidRPr="00B22EB1">
        <w:rPr>
          <w:rFonts w:ascii="Centra No2" w:hAnsi="Centra No2"/>
          <w:sz w:val="22"/>
          <w:szCs w:val="22"/>
        </w:rPr>
        <w:t xml:space="preserve">Long-haul recovery has plateaued. VisitBritain’s 2026 forecast confirms that </w:t>
      </w:r>
      <w:r>
        <w:rPr>
          <w:rFonts w:ascii="Centra No2" w:hAnsi="Centra No2"/>
          <w:sz w:val="22"/>
          <w:szCs w:val="22"/>
        </w:rPr>
        <w:t xml:space="preserve">the </w:t>
      </w:r>
      <w:r w:rsidRPr="00B22EB1">
        <w:rPr>
          <w:rFonts w:ascii="Centra No2" w:hAnsi="Centra No2"/>
          <w:sz w:val="22"/>
          <w:szCs w:val="22"/>
        </w:rPr>
        <w:t xml:space="preserve">long-haul </w:t>
      </w:r>
      <w:r w:rsidRPr="00B22EB1">
        <w:rPr>
          <w:rFonts w:ascii="Centra No2" w:hAnsi="Centra No2"/>
          <w:sz w:val="22"/>
          <w:szCs w:val="22"/>
        </w:rPr>
        <w:t xml:space="preserve">market, </w:t>
      </w:r>
      <w:r w:rsidRPr="00B22EB1">
        <w:rPr>
          <w:rFonts w:ascii="Centra No2" w:hAnsi="Centra No2"/>
          <w:sz w:val="22"/>
          <w:szCs w:val="22"/>
        </w:rPr>
        <w:t>the highest-spending and most DST-exposed segment</w:t>
      </w:r>
      <w:r w:rsidRPr="00B22EB1">
        <w:rPr>
          <w:rFonts w:ascii="Centra No2" w:hAnsi="Centra No2"/>
          <w:sz w:val="22"/>
          <w:szCs w:val="22"/>
        </w:rPr>
        <w:t xml:space="preserve">, </w:t>
      </w:r>
      <w:r w:rsidRPr="00B22EB1">
        <w:rPr>
          <w:rFonts w:ascii="Centra No2" w:hAnsi="Centra No2"/>
          <w:sz w:val="22"/>
          <w:szCs w:val="22"/>
        </w:rPr>
        <w:t>were 1% below 2024</w:t>
      </w:r>
      <w:r>
        <w:rPr>
          <w:rFonts w:ascii="Centra No2" w:hAnsi="Centra No2"/>
          <w:sz w:val="22"/>
          <w:szCs w:val="22"/>
        </w:rPr>
        <w:t xml:space="preserve"> levels</w:t>
      </w:r>
      <w:r w:rsidRPr="00B22EB1">
        <w:rPr>
          <w:rFonts w:ascii="Centra No2" w:hAnsi="Centra No2"/>
          <w:sz w:val="22"/>
          <w:szCs w:val="22"/>
        </w:rPr>
        <w:t xml:space="preserve"> in 2025, and that the UK is starting to lose its competitive position internationally against some major western European rivals.</w:t>
      </w:r>
      <w:r>
        <w:fldChar w:fldCharType="begin"/>
      </w:r>
      <w:r>
        <w:instrText xml:space="preserve"> HYPERLINK \l "user-content-fn-6" </w:instrText>
      </w:r>
      <w:r>
        <w:fldChar w:fldCharType="separate"/>
      </w:r>
      <w:r w:rsidRPr="00B22EB1">
        <w:rPr>
          <w:rStyle w:val="Hyperlink"/>
          <w:rFonts w:ascii="Centra No2" w:hAnsi="Centra No2"/>
          <w:color w:val="auto"/>
          <w:sz w:val="22"/>
          <w:szCs w:val="22"/>
          <w:vertAlign w:val="superscript"/>
        </w:rPr>
        <w:t>6</w:t>
      </w:r>
      <w:r>
        <w:fldChar w:fldCharType="end"/>
      </w:r>
      <w:r w:rsidRPr="00B22EB1">
        <w:rPr>
          <w:rFonts w:ascii="Centra No2" w:hAnsi="Centra No2"/>
          <w:sz w:val="22"/>
          <w:szCs w:val="22"/>
        </w:rPr>
        <w:t xml:space="preserve"> The United States alone accounts for roughly £1 in every £5 of inbound visitor spend in the UK, worth a forecast £6.7 billion in 2025.</w:t>
      </w:r>
      <w:r>
        <w:fldChar w:fldCharType="begin"/>
      </w:r>
      <w:r>
        <w:instrText xml:space="preserve"> HYPERLINK \l "user-content-fn-5" </w:instrText>
      </w:r>
      <w:r>
        <w:fldChar w:fldCharType="separate"/>
      </w:r>
      <w:r w:rsidRPr="00B22EB1">
        <w:rPr>
          <w:rStyle w:val="Hyperlink"/>
          <w:rFonts w:ascii="Centra No2" w:hAnsi="Centra No2"/>
          <w:color w:val="auto"/>
          <w:sz w:val="22"/>
          <w:szCs w:val="22"/>
          <w:vertAlign w:val="superscript"/>
        </w:rPr>
        <w:t>5</w:t>
      </w:r>
      <w:r>
        <w:fldChar w:fldCharType="end"/>
      </w:r>
      <w:r w:rsidRPr="00B22EB1">
        <w:rPr>
          <w:rFonts w:ascii="Centra No2" w:hAnsi="Centra No2"/>
          <w:sz w:val="22"/>
          <w:szCs w:val="22"/>
        </w:rPr>
        <w:t xml:space="preserve"> These are precisely the visitors who book </w:t>
      </w:r>
      <w:r w:rsidRPr="00B22EB1">
        <w:rPr>
          <w:rFonts w:ascii="Centra No2" w:hAnsi="Centra No2"/>
          <w:sz w:val="22"/>
          <w:szCs w:val="22"/>
        </w:rPr>
        <w:t xml:space="preserve">to travel to </w:t>
      </w:r>
      <w:r w:rsidRPr="00B22EB1">
        <w:rPr>
          <w:rFonts w:ascii="Centra No2" w:hAnsi="Centra No2"/>
          <w:sz w:val="22"/>
          <w:szCs w:val="22"/>
        </w:rPr>
        <w:t>the UK online, from abroad, via platforms</w:t>
      </w:r>
      <w:r w:rsidRPr="00B22EB1">
        <w:rPr>
          <w:rFonts w:ascii="Centra No2" w:hAnsi="Centra No2"/>
          <w:sz w:val="22"/>
          <w:szCs w:val="22"/>
        </w:rPr>
        <w:t xml:space="preserve"> </w:t>
      </w:r>
      <w:r>
        <w:rPr>
          <w:rFonts w:ascii="Centra No2" w:hAnsi="Centra No2"/>
          <w:sz w:val="22"/>
          <w:szCs w:val="22"/>
        </w:rPr>
        <w:t>that</w:t>
      </w:r>
      <w:r w:rsidRPr="00B22EB1">
        <w:rPr>
          <w:rFonts w:ascii="Centra No2" w:hAnsi="Centra No2"/>
          <w:sz w:val="22"/>
          <w:szCs w:val="22"/>
        </w:rPr>
        <w:t xml:space="preserve"> are </w:t>
      </w:r>
      <w:r w:rsidRPr="00B22EB1">
        <w:rPr>
          <w:rFonts w:ascii="Centra No2" w:hAnsi="Centra No2"/>
          <w:sz w:val="22"/>
          <w:szCs w:val="22"/>
        </w:rPr>
        <w:t>in scope of the DST.</w:t>
      </w:r>
    </w:p>
    <w:p w:rsidR="00A00B2A" w:rsidRPr="00B22EB1" w:rsidP="005F1A8D">
      <w:pPr>
        <w:pStyle w:val="Heading2"/>
        <w:jc w:val="both"/>
        <w:rPr>
          <w:rFonts w:ascii="Centra No2" w:hAnsi="Centra No2"/>
          <w:b/>
          <w:bCs/>
          <w:color w:val="auto"/>
          <w:sz w:val="28"/>
          <w:szCs w:val="28"/>
          <w:u w:val="single"/>
        </w:rPr>
      </w:pPr>
      <w:bookmarkStart w:id="3" w:name="Xd9965f8c48355c4b48d5326a9eea3092f0b3979"/>
      <w:bookmarkEnd w:id="2"/>
      <w:r w:rsidRPr="00B22EB1">
        <w:rPr>
          <w:rFonts w:ascii="Centra No2" w:hAnsi="Centra No2"/>
          <w:b/>
          <w:bCs/>
          <w:color w:val="auto"/>
          <w:sz w:val="28"/>
          <w:szCs w:val="28"/>
          <w:u w:val="single"/>
        </w:rPr>
        <w:t>(ii) The Digital Services Tax is a quiet drag on inbound tourism — and inbound visitors are the most exposed</w:t>
      </w:r>
    </w:p>
    <w:p w:rsidR="00A00B2A" w:rsidRPr="00B22EB1" w:rsidP="005F1A8D">
      <w:pPr>
        <w:pStyle w:val="Heading3"/>
        <w:jc w:val="both"/>
        <w:rPr>
          <w:rFonts w:ascii="Centra No2" w:hAnsi="Centra No2"/>
          <w:b/>
          <w:bCs/>
          <w:color w:val="auto"/>
          <w:sz w:val="24"/>
          <w:szCs w:val="24"/>
        </w:rPr>
      </w:pPr>
      <w:bookmarkStart w:id="4" w:name="X5905ec40a122b954f3913821f4f89586fd104d7"/>
      <w:r w:rsidRPr="00B22EB1">
        <w:rPr>
          <w:rFonts w:ascii="Centra No2" w:hAnsi="Centra No2"/>
          <w:b/>
          <w:bCs/>
          <w:color w:val="auto"/>
          <w:sz w:val="24"/>
          <w:szCs w:val="24"/>
        </w:rPr>
        <w:t>The DST was not designed with travel intermediaries in mind</w:t>
      </w:r>
    </w:p>
    <w:p w:rsidR="00A00B2A" w:rsidRPr="00B22EB1" w:rsidP="005F1A8D">
      <w:pPr>
        <w:jc w:val="both"/>
        <w:rPr>
          <w:rFonts w:ascii="Centra No2" w:hAnsi="Centra No2"/>
          <w:sz w:val="22"/>
          <w:szCs w:val="22"/>
        </w:rPr>
      </w:pPr>
      <w:r w:rsidRPr="00B22EB1">
        <w:rPr>
          <w:rFonts w:ascii="Centra No2" w:hAnsi="Centra No2"/>
          <w:sz w:val="22"/>
          <w:szCs w:val="22"/>
        </w:rPr>
        <w:t>The DST was introduced in 2020 as an interim measure pending a multilateral OECD Pillar 1 agreement.</w:t>
      </w:r>
      <w:r w:rsidRPr="00B22EB1">
        <w:rPr>
          <w:rFonts w:ascii="Centra No2" w:hAnsi="Centra No2"/>
          <w:sz w:val="22"/>
          <w:szCs w:val="22"/>
          <w:vertAlign w:val="superscript"/>
        </w:rPr>
        <w:t>11</w:t>
      </w:r>
      <w:r w:rsidRPr="00B22EB1">
        <w:rPr>
          <w:rFonts w:ascii="Centra No2" w:hAnsi="Centra No2"/>
          <w:sz w:val="22"/>
          <w:szCs w:val="22"/>
        </w:rPr>
        <w:t xml:space="preserve"> Its stated target was the “digital giants” — multinational platforms monetising UK user data while having </w:t>
      </w:r>
      <w:r w:rsidRPr="00B22EB1">
        <w:rPr>
          <w:rFonts w:ascii="Centra No2" w:hAnsi="Centra No2"/>
          <w:sz w:val="22"/>
          <w:szCs w:val="22"/>
        </w:rPr>
        <w:t>“few or no local operations” in the UK.</w:t>
      </w:r>
      <w:r>
        <w:fldChar w:fldCharType="begin"/>
      </w:r>
      <w:r>
        <w:instrText xml:space="preserve"> HYPERLINK \l "user-content-fn-8" </w:instrText>
      </w:r>
      <w:r>
        <w:fldChar w:fldCharType="separate"/>
      </w:r>
      <w:r w:rsidRPr="00B22EB1">
        <w:rPr>
          <w:rStyle w:val="Hyperlink"/>
          <w:rFonts w:ascii="Centra No2" w:hAnsi="Centra No2"/>
          <w:color w:val="auto"/>
          <w:sz w:val="22"/>
          <w:szCs w:val="22"/>
          <w:vertAlign w:val="superscript"/>
        </w:rPr>
        <w:t>8</w:t>
      </w:r>
      <w:r>
        <w:fldChar w:fldCharType="end"/>
      </w:r>
      <w:r w:rsidRPr="00B22EB1">
        <w:rPr>
          <w:rFonts w:ascii="Centra No2" w:hAnsi="Centra No2"/>
          <w:sz w:val="22"/>
          <w:szCs w:val="22"/>
        </w:rPr>
        <w:t xml:space="preserve"> Travel intermediaries do not fit that description. Online travel companies exist to import foreign consumption into the UK economy: they connect an American, German or Emirati traveller with a British hotel, tour, car rental or attraction, and are remunerated via commission on a transaction that generates UK hotel </w:t>
      </w:r>
      <w:r>
        <w:rPr>
          <w:rFonts w:ascii="Centra No2" w:hAnsi="Centra No2"/>
          <w:sz w:val="22"/>
          <w:szCs w:val="22"/>
        </w:rPr>
        <w:t xml:space="preserve">or flight </w:t>
      </w:r>
      <w:r w:rsidRPr="00B22EB1">
        <w:rPr>
          <w:rFonts w:ascii="Centra No2" w:hAnsi="Centra No2"/>
          <w:sz w:val="22"/>
          <w:szCs w:val="22"/>
        </w:rPr>
        <w:t>revenue, UK VAT, UK employment and UK tax receipts.</w:t>
      </w:r>
      <w:r>
        <w:fldChar w:fldCharType="begin"/>
      </w:r>
      <w:r>
        <w:instrText xml:space="preserve"> HYPERLINK \l "user-content-fn-8" </w:instrText>
      </w:r>
      <w:r>
        <w:fldChar w:fldCharType="separate"/>
      </w:r>
      <w:r w:rsidRPr="00905AC0">
        <w:rPr>
          <w:rStyle w:val="Hyperlink"/>
          <w:rFonts w:ascii="Centra No2" w:hAnsi="Centra No2"/>
          <w:color w:val="auto"/>
          <w:sz w:val="22"/>
          <w:szCs w:val="22"/>
          <w:vertAlign w:val="superscript"/>
        </w:rPr>
        <w:t>8</w:t>
      </w:r>
      <w:r>
        <w:fldChar w:fldCharType="end"/>
      </w:r>
      <w:r>
        <w:t xml:space="preserve"> Many of the biggest in-scope travel intermediaries are also headquartered in the UK (Skyscanner) or employ significant numbers of their workforce in the UK (Expedia</w:t>
      </w:r>
      <w:r>
        <w:t xml:space="preserve"> Group</w:t>
      </w:r>
      <w:r>
        <w:t>, Booking</w:t>
      </w:r>
      <w:r>
        <w:t xml:space="preserve"> Holdings</w:t>
      </w:r>
      <w:r>
        <w:t>).</w:t>
      </w:r>
    </w:p>
    <w:p w:rsidR="00A00B2A" w:rsidRPr="00B22EB1" w:rsidP="005F1A8D">
      <w:pPr>
        <w:jc w:val="both"/>
        <w:rPr>
          <w:rFonts w:ascii="Centra No2" w:hAnsi="Centra No2"/>
          <w:sz w:val="22"/>
          <w:szCs w:val="22"/>
        </w:rPr>
      </w:pPr>
      <w:r w:rsidRPr="00B22EB1">
        <w:rPr>
          <w:rFonts w:ascii="Centra No2" w:hAnsi="Centra No2"/>
          <w:sz w:val="22"/>
          <w:szCs w:val="22"/>
        </w:rPr>
        <w:t xml:space="preserve">Applying a 2% revenue-based DST to this activity is qualitatively different from applying it to an advertising or app-store marketplace, a streaming service, or an online e-commerce giant that offers an </w:t>
      </w:r>
      <w:r w:rsidRPr="00B22EB1">
        <w:rPr>
          <w:rFonts w:ascii="Centra No2" w:hAnsi="Centra No2"/>
          <w:sz w:val="22"/>
          <w:szCs w:val="22"/>
          <w:u w:val="single"/>
        </w:rPr>
        <w:t>alternative</w:t>
      </w:r>
      <w:r w:rsidRPr="00B22EB1">
        <w:rPr>
          <w:rFonts w:ascii="Centra No2" w:hAnsi="Centra No2"/>
          <w:sz w:val="22"/>
          <w:szCs w:val="22"/>
        </w:rPr>
        <w:t xml:space="preserve"> to a physical</w:t>
      </w:r>
      <w:r w:rsidRPr="00B22EB1">
        <w:rPr>
          <w:rFonts w:ascii="Centra No2" w:hAnsi="Centra No2"/>
          <w:sz w:val="22"/>
          <w:szCs w:val="22"/>
        </w:rPr>
        <w:t>, UK-based</w:t>
      </w:r>
      <w:r w:rsidRPr="00B22EB1">
        <w:rPr>
          <w:rFonts w:ascii="Centra No2" w:hAnsi="Centra No2"/>
          <w:sz w:val="22"/>
          <w:szCs w:val="22"/>
        </w:rPr>
        <w:t xml:space="preserve"> shop. The DST taxes the gateway through which </w:t>
      </w:r>
      <w:r w:rsidRPr="00B22EB1">
        <w:rPr>
          <w:rFonts w:ascii="Centra No2" w:hAnsi="Centra No2"/>
          <w:sz w:val="22"/>
          <w:szCs w:val="22"/>
        </w:rPr>
        <w:t xml:space="preserve">high-value </w:t>
      </w:r>
      <w:r w:rsidRPr="00B22EB1">
        <w:rPr>
          <w:rFonts w:ascii="Centra No2" w:hAnsi="Centra No2"/>
          <w:sz w:val="22"/>
          <w:szCs w:val="22"/>
        </w:rPr>
        <w:t xml:space="preserve">inbound visitors reach UK suppliers, and while the booking may be made digitally, unlike other online businesses the service is </w:t>
      </w:r>
      <w:r w:rsidRPr="00B22EB1">
        <w:rPr>
          <w:rFonts w:ascii="Centra No2" w:hAnsi="Centra No2"/>
          <w:sz w:val="22"/>
          <w:szCs w:val="22"/>
          <w:u w:val="single"/>
        </w:rPr>
        <w:t>always delivered in person</w:t>
      </w:r>
      <w:r w:rsidRPr="00B22EB1">
        <w:rPr>
          <w:rFonts w:ascii="Centra No2" w:hAnsi="Centra No2"/>
          <w:sz w:val="22"/>
          <w:szCs w:val="22"/>
        </w:rPr>
        <w:t xml:space="preserve">, by the UK’s leading </w:t>
      </w:r>
      <w:r w:rsidRPr="00B22EB1">
        <w:rPr>
          <w:rFonts w:ascii="Centra No2" w:hAnsi="Centra No2"/>
          <w:sz w:val="22"/>
          <w:szCs w:val="22"/>
        </w:rPr>
        <w:t xml:space="preserve">travel and </w:t>
      </w:r>
      <w:r w:rsidRPr="00B22EB1">
        <w:rPr>
          <w:rFonts w:ascii="Centra No2" w:hAnsi="Centra No2"/>
          <w:sz w:val="22"/>
          <w:szCs w:val="22"/>
        </w:rPr>
        <w:t>hospitality sector. Because travel is a highly price-elastic, low-margin, globally competitive industry,</w:t>
      </w:r>
      <w:r>
        <w:fldChar w:fldCharType="begin"/>
      </w:r>
      <w:r>
        <w:instrText xml:space="preserve"> HYPERLINK \l "user-content-fn-8" </w:instrText>
      </w:r>
      <w:r>
        <w:fldChar w:fldCharType="separate"/>
      </w:r>
      <w:r w:rsidRPr="00B22EB1">
        <w:rPr>
          <w:rStyle w:val="Hyperlink"/>
          <w:rFonts w:ascii="Centra No2" w:hAnsi="Centra No2"/>
          <w:color w:val="auto"/>
          <w:sz w:val="22"/>
          <w:szCs w:val="22"/>
          <w:vertAlign w:val="superscript"/>
        </w:rPr>
        <w:t>8</w:t>
      </w:r>
      <w:r>
        <w:fldChar w:fldCharType="end"/>
      </w:r>
      <w:r w:rsidRPr="00B22EB1">
        <w:rPr>
          <w:rFonts w:ascii="Centra No2" w:hAnsi="Centra No2"/>
          <w:sz w:val="22"/>
          <w:szCs w:val="22"/>
        </w:rPr>
        <w:t xml:space="preserve"> the</w:t>
      </w:r>
      <w:r w:rsidRPr="00B22EB1">
        <w:rPr>
          <w:rFonts w:ascii="Centra No2" w:hAnsi="Centra No2"/>
          <w:sz w:val="22"/>
          <w:szCs w:val="22"/>
        </w:rPr>
        <w:t xml:space="preserve"> cost of the DST</w:t>
      </w:r>
      <w:r w:rsidRPr="00B22EB1">
        <w:rPr>
          <w:rFonts w:ascii="Centra No2" w:hAnsi="Centra No2"/>
          <w:sz w:val="22"/>
          <w:szCs w:val="22"/>
        </w:rPr>
        <w:t xml:space="preserve"> cannot be fully passed on to consumers</w:t>
      </w:r>
      <w:r>
        <w:rPr>
          <w:rFonts w:ascii="Centra No2" w:hAnsi="Centra No2"/>
          <w:sz w:val="22"/>
          <w:szCs w:val="22"/>
        </w:rPr>
        <w:t>,</w:t>
      </w:r>
      <w:r w:rsidRPr="00B22EB1">
        <w:rPr>
          <w:rFonts w:ascii="Centra No2" w:hAnsi="Centra No2"/>
          <w:sz w:val="22"/>
          <w:szCs w:val="22"/>
        </w:rPr>
        <w:t xml:space="preserve"> </w:t>
      </w:r>
      <w:r>
        <w:rPr>
          <w:rFonts w:ascii="Centra No2" w:hAnsi="Centra No2"/>
          <w:sz w:val="22"/>
          <w:szCs w:val="22"/>
        </w:rPr>
        <w:t>yet</w:t>
      </w:r>
      <w:r w:rsidRPr="00B22EB1">
        <w:rPr>
          <w:rFonts w:ascii="Centra No2" w:hAnsi="Centra No2"/>
          <w:sz w:val="22"/>
          <w:szCs w:val="22"/>
        </w:rPr>
        <w:t xml:space="preserve"> </w:t>
      </w:r>
      <w:r w:rsidRPr="00B22EB1">
        <w:rPr>
          <w:rFonts w:ascii="Centra No2" w:hAnsi="Centra No2"/>
          <w:sz w:val="22"/>
          <w:szCs w:val="22"/>
        </w:rPr>
        <w:t xml:space="preserve">intermediaries </w:t>
      </w:r>
      <w:r w:rsidRPr="00B22EB1">
        <w:rPr>
          <w:rFonts w:ascii="Centra No2" w:hAnsi="Centra No2"/>
          <w:sz w:val="22"/>
          <w:szCs w:val="22"/>
        </w:rPr>
        <w:t xml:space="preserve">struggle to absorb it as their </w:t>
      </w:r>
      <w:r w:rsidRPr="00B22EB1">
        <w:rPr>
          <w:rFonts w:ascii="Centra No2" w:hAnsi="Centra No2"/>
          <w:sz w:val="22"/>
          <w:szCs w:val="22"/>
        </w:rPr>
        <w:t>margins are a fraction of the digital giants the tax was designed for</w:t>
      </w:r>
      <w:r>
        <w:rPr>
          <w:rFonts w:ascii="Centra No2" w:hAnsi="Centra No2"/>
          <w:sz w:val="22"/>
          <w:szCs w:val="22"/>
        </w:rPr>
        <w:t>. O</w:t>
      </w:r>
      <w:r>
        <w:rPr>
          <w:rFonts w:ascii="Centra No2" w:hAnsi="Centra No2"/>
          <w:sz w:val="22"/>
          <w:szCs w:val="22"/>
        </w:rPr>
        <w:t xml:space="preserve">n average, travel tech companies have profit margins of less than 10%, whereas Meta, Microsoft, Apple and Alphabet regularly report margins of over 20% or even 30%. We would also note that </w:t>
      </w:r>
      <w:r>
        <w:rPr>
          <w:rFonts w:ascii="Centra No2" w:hAnsi="Centra No2"/>
          <w:sz w:val="22"/>
          <w:szCs w:val="22"/>
        </w:rPr>
        <w:t xml:space="preserve">due to </w:t>
      </w:r>
      <w:r>
        <w:rPr>
          <w:rFonts w:ascii="Centra No2" w:hAnsi="Centra No2"/>
          <w:sz w:val="22"/>
          <w:szCs w:val="22"/>
        </w:rPr>
        <w:t xml:space="preserve">the </w:t>
      </w:r>
      <w:r>
        <w:rPr>
          <w:rFonts w:ascii="Centra No2" w:hAnsi="Centra No2"/>
          <w:sz w:val="22"/>
          <w:szCs w:val="22"/>
        </w:rPr>
        <w:t>dominant positions</w:t>
      </w:r>
      <w:r>
        <w:rPr>
          <w:rFonts w:ascii="Centra No2" w:hAnsi="Centra No2"/>
          <w:sz w:val="22"/>
          <w:szCs w:val="22"/>
        </w:rPr>
        <w:t xml:space="preserve"> of the largest online firms</w:t>
      </w:r>
      <w:r>
        <w:rPr>
          <w:rFonts w:ascii="Centra No2" w:hAnsi="Centra No2"/>
          <w:sz w:val="22"/>
          <w:szCs w:val="22"/>
        </w:rPr>
        <w:t xml:space="preserve">, </w:t>
      </w:r>
      <w:r>
        <w:rPr>
          <w:rFonts w:ascii="Centra No2" w:hAnsi="Centra No2"/>
          <w:sz w:val="22"/>
          <w:szCs w:val="22"/>
        </w:rPr>
        <w:t xml:space="preserve">they can </w:t>
      </w:r>
      <w:r>
        <w:rPr>
          <w:rFonts w:ascii="Centra No2" w:hAnsi="Centra No2"/>
          <w:sz w:val="22"/>
          <w:szCs w:val="22"/>
        </w:rPr>
        <w:t>simply pass on the cost of their own DSTs in the form of higher advertis</w:t>
      </w:r>
      <w:r>
        <w:rPr>
          <w:rFonts w:ascii="Centra No2" w:hAnsi="Centra No2"/>
          <w:sz w:val="22"/>
          <w:szCs w:val="22"/>
        </w:rPr>
        <w:t>ing costs for UK businesses</w:t>
      </w:r>
      <w:r>
        <w:rPr>
          <w:rFonts w:ascii="Centra No2" w:hAnsi="Centra No2"/>
          <w:sz w:val="22"/>
          <w:szCs w:val="22"/>
        </w:rPr>
        <w:t>, including travel tech companies who end up being doubly penalised</w:t>
      </w:r>
      <w:r w:rsidRPr="00B22EB1">
        <w:rPr>
          <w:rFonts w:ascii="Centra No2" w:hAnsi="Centra No2"/>
          <w:sz w:val="22"/>
          <w:szCs w:val="22"/>
        </w:rPr>
        <w:t xml:space="preserve">. The </w:t>
      </w:r>
      <w:r>
        <w:rPr>
          <w:rFonts w:ascii="Centra No2" w:hAnsi="Centra No2"/>
          <w:sz w:val="22"/>
          <w:szCs w:val="22"/>
        </w:rPr>
        <w:t>DST therefore disincentivizes the</w:t>
      </w:r>
      <w:r w:rsidRPr="00B22EB1">
        <w:rPr>
          <w:rFonts w:ascii="Centra No2" w:hAnsi="Centra No2"/>
          <w:sz w:val="22"/>
          <w:szCs w:val="22"/>
        </w:rPr>
        <w:t xml:space="preserve"> marketing of UK destinations by the very platforms best placed to convert international demand into UK bookings.</w:t>
      </w:r>
    </w:p>
    <w:p w:rsidR="00A00B2A" w:rsidRPr="00C74E54" w:rsidP="005F1A8D">
      <w:pPr>
        <w:jc w:val="both"/>
        <w:rPr>
          <w:rFonts w:ascii="Centra No2" w:hAnsi="Centra No2"/>
          <w:b/>
          <w:bCs/>
        </w:rPr>
      </w:pPr>
      <w:r w:rsidRPr="00C74E54">
        <w:rPr>
          <w:rFonts w:ascii="Centra No2" w:hAnsi="Centra No2"/>
          <w:b/>
          <w:bCs/>
        </w:rPr>
        <w:t xml:space="preserve">Inbound visitors are disproportionately reliant on the platforms </w:t>
      </w:r>
      <w:r w:rsidRPr="00C74E54">
        <w:rPr>
          <w:rFonts w:ascii="Centra No2" w:hAnsi="Centra No2"/>
          <w:b/>
          <w:bCs/>
        </w:rPr>
        <w:t xml:space="preserve">that are in scope of </w:t>
      </w:r>
      <w:r w:rsidRPr="00C74E54">
        <w:rPr>
          <w:rFonts w:ascii="Centra No2" w:hAnsi="Centra No2"/>
          <w:b/>
          <w:bCs/>
        </w:rPr>
        <w:t xml:space="preserve">DST </w:t>
      </w:r>
    </w:p>
    <w:p w:rsidR="00A00B2A" w:rsidRPr="00B22EB1" w:rsidP="005F1A8D">
      <w:pPr>
        <w:jc w:val="both"/>
        <w:rPr>
          <w:rFonts w:ascii="Centra No2" w:hAnsi="Centra No2"/>
          <w:sz w:val="22"/>
          <w:szCs w:val="22"/>
        </w:rPr>
      </w:pPr>
      <w:r w:rsidRPr="00B22EB1">
        <w:rPr>
          <w:rFonts w:ascii="Centra No2" w:hAnsi="Centra No2"/>
          <w:sz w:val="22"/>
          <w:szCs w:val="22"/>
        </w:rPr>
        <w:t>International visitors are materially more likely than domestic travellers to book via online travel agencies and metasearch sites:</w:t>
      </w:r>
    </w:p>
    <w:p w:rsidR="00A00B2A" w:rsidRPr="00B22EB1" w:rsidP="005F1A8D">
      <w:pPr>
        <w:pStyle w:val="Compact"/>
        <w:numPr>
          <w:ilvl w:val="0"/>
          <w:numId w:val="6"/>
        </w:numPr>
        <w:jc w:val="both"/>
        <w:rPr>
          <w:rFonts w:ascii="Centra No2" w:hAnsi="Centra No2"/>
          <w:sz w:val="22"/>
          <w:szCs w:val="22"/>
        </w:rPr>
      </w:pPr>
      <w:r w:rsidRPr="00B22EB1">
        <w:rPr>
          <w:rFonts w:ascii="Centra No2" w:hAnsi="Centra No2"/>
          <w:sz w:val="22"/>
          <w:szCs w:val="22"/>
        </w:rPr>
        <w:t>51% of travellers globally booked a recent trip on an OTA, and 80% visit an OTA at some point before making a travel purchase.</w:t>
      </w:r>
      <w:r>
        <w:fldChar w:fldCharType="begin"/>
      </w:r>
      <w:r>
        <w:instrText xml:space="preserve"> HYPERLINK \l "user-content-fn-9" </w:instrText>
      </w:r>
      <w:r>
        <w:fldChar w:fldCharType="separate"/>
      </w:r>
      <w:r w:rsidRPr="00B22EB1">
        <w:rPr>
          <w:rStyle w:val="Hyperlink"/>
          <w:rFonts w:ascii="Centra No2" w:hAnsi="Centra No2"/>
          <w:color w:val="auto"/>
          <w:sz w:val="22"/>
          <w:szCs w:val="22"/>
          <w:vertAlign w:val="superscript"/>
        </w:rPr>
        <w:t>9</w:t>
      </w:r>
      <w:r>
        <w:fldChar w:fldCharType="end"/>
      </w:r>
    </w:p>
    <w:p w:rsidR="00A00B2A" w:rsidRPr="00B22EB1" w:rsidP="005F1A8D">
      <w:pPr>
        <w:pStyle w:val="Compact"/>
        <w:numPr>
          <w:ilvl w:val="0"/>
          <w:numId w:val="6"/>
        </w:numPr>
        <w:jc w:val="both"/>
        <w:rPr>
          <w:rFonts w:ascii="Centra No2" w:hAnsi="Centra No2"/>
          <w:sz w:val="22"/>
          <w:szCs w:val="22"/>
        </w:rPr>
      </w:pPr>
      <w:r w:rsidRPr="00B22EB1">
        <w:rPr>
          <w:rFonts w:ascii="Centra No2" w:hAnsi="Centra No2"/>
          <w:sz w:val="22"/>
          <w:szCs w:val="22"/>
        </w:rPr>
        <w:t>61% of package bookers — overwhelmingly international, long-stay visitors averaging 11.8 nights per trip — book through an OTA.</w:t>
      </w:r>
      <w:r>
        <w:fldChar w:fldCharType="begin"/>
      </w:r>
      <w:r>
        <w:instrText xml:space="preserve"> HYPERLINK \l "user-content-fn-9" </w:instrText>
      </w:r>
      <w:r>
        <w:fldChar w:fldCharType="separate"/>
      </w:r>
      <w:r w:rsidRPr="00B22EB1">
        <w:rPr>
          <w:rStyle w:val="Hyperlink"/>
          <w:rFonts w:ascii="Centra No2" w:hAnsi="Centra No2"/>
          <w:color w:val="auto"/>
          <w:sz w:val="22"/>
          <w:szCs w:val="22"/>
          <w:vertAlign w:val="superscript"/>
        </w:rPr>
        <w:t>9</w:t>
      </w:r>
      <w:r>
        <w:fldChar w:fldCharType="end"/>
      </w:r>
      <w:r w:rsidRPr="00B22EB1">
        <w:rPr>
          <w:rFonts w:ascii="Centra No2" w:hAnsi="Centra No2"/>
          <w:sz w:val="22"/>
          <w:szCs w:val="22"/>
        </w:rPr>
        <w:t xml:space="preserve"> Package bookers spend significantly more per visit and take longer to plan, making the OTA channel a critical “billboard” for the UK.</w:t>
      </w:r>
    </w:p>
    <w:p w:rsidR="00A00B2A" w:rsidRPr="00B22EB1" w:rsidP="005F1A8D">
      <w:pPr>
        <w:pStyle w:val="Compact"/>
        <w:numPr>
          <w:ilvl w:val="0"/>
          <w:numId w:val="6"/>
        </w:numPr>
        <w:jc w:val="both"/>
        <w:rPr>
          <w:rFonts w:ascii="Centra No2" w:hAnsi="Centra No2"/>
          <w:sz w:val="22"/>
          <w:szCs w:val="22"/>
        </w:rPr>
      </w:pPr>
      <w:r w:rsidRPr="00B22EB1">
        <w:rPr>
          <w:rFonts w:ascii="Centra No2" w:hAnsi="Centra No2"/>
          <w:sz w:val="22"/>
          <w:szCs w:val="22"/>
        </w:rPr>
        <w:t>Independent research consistently shows that OTAs “can be a good way to cast your net further towards international customers, who book accommodation for longer and at a higher price”.</w:t>
      </w:r>
      <w:r>
        <w:fldChar w:fldCharType="begin"/>
      </w:r>
      <w:r>
        <w:instrText xml:space="preserve"> HYPERLINK \l "user-content-fn-10" </w:instrText>
      </w:r>
      <w:r>
        <w:fldChar w:fldCharType="separate"/>
      </w:r>
      <w:r w:rsidRPr="00B22EB1">
        <w:rPr>
          <w:rStyle w:val="Hyperlink"/>
          <w:rFonts w:ascii="Centra No2" w:hAnsi="Centra No2"/>
          <w:color w:val="auto"/>
          <w:sz w:val="22"/>
          <w:szCs w:val="22"/>
          <w:vertAlign w:val="superscript"/>
        </w:rPr>
        <w:t>10</w:t>
      </w:r>
      <w:r>
        <w:fldChar w:fldCharType="end"/>
      </w:r>
      <w:r w:rsidRPr="00B22EB1">
        <w:rPr>
          <w:rFonts w:ascii="Centra No2" w:hAnsi="Centra No2"/>
          <w:sz w:val="22"/>
          <w:szCs w:val="22"/>
        </w:rPr>
        <w:t xml:space="preserve"> VisitScotland’s official industry guidance actively encourages UK operators to use OTAs precisely for this reason.</w:t>
      </w:r>
      <w:r w:rsidRPr="00B22EB1">
        <w:rPr>
          <w:rFonts w:ascii="Centra No2" w:hAnsi="Centra No2"/>
          <w:sz w:val="22"/>
          <w:szCs w:val="22"/>
        </w:rPr>
        <w:t xml:space="preserve"> </w:t>
      </w:r>
    </w:p>
    <w:p w:rsidR="00A00B2A" w:rsidRPr="00B22EB1" w:rsidP="009C0CDA">
      <w:pPr>
        <w:pStyle w:val="Compact"/>
        <w:numPr>
          <w:ilvl w:val="0"/>
          <w:numId w:val="6"/>
        </w:numPr>
        <w:spacing w:after="200"/>
        <w:ind w:left="714" w:hanging="357"/>
        <w:jc w:val="both"/>
        <w:rPr>
          <w:rFonts w:ascii="Centra No2" w:hAnsi="Centra No2"/>
          <w:sz w:val="22"/>
          <w:szCs w:val="22"/>
        </w:rPr>
      </w:pPr>
      <w:r w:rsidRPr="00B22EB1">
        <w:rPr>
          <w:rFonts w:ascii="Centra No2" w:hAnsi="Centra No2"/>
          <w:sz w:val="22"/>
          <w:szCs w:val="22"/>
        </w:rPr>
        <w:t>OTAs are especially important for the UK’s highest-value inbound cohorts</w:t>
      </w:r>
      <w:r w:rsidRPr="00B22EB1">
        <w:rPr>
          <w:rFonts w:ascii="Centra No2" w:hAnsi="Centra No2"/>
          <w:sz w:val="22"/>
          <w:szCs w:val="22"/>
        </w:rPr>
        <w:t xml:space="preserve">, </w:t>
      </w:r>
      <w:r w:rsidRPr="00B22EB1">
        <w:rPr>
          <w:rFonts w:ascii="Centra No2" w:hAnsi="Centra No2"/>
          <w:sz w:val="22"/>
          <w:szCs w:val="22"/>
        </w:rPr>
        <w:t>US, G</w:t>
      </w:r>
      <w:r>
        <w:rPr>
          <w:rFonts w:ascii="Centra No2" w:hAnsi="Centra No2"/>
          <w:sz w:val="22"/>
          <w:szCs w:val="22"/>
        </w:rPr>
        <w:t xml:space="preserve">ulf </w:t>
      </w:r>
      <w:r w:rsidRPr="00B22EB1">
        <w:rPr>
          <w:rFonts w:ascii="Centra No2" w:hAnsi="Centra No2"/>
          <w:sz w:val="22"/>
          <w:szCs w:val="22"/>
        </w:rPr>
        <w:t>C</w:t>
      </w:r>
      <w:r>
        <w:rPr>
          <w:rFonts w:ascii="Centra No2" w:hAnsi="Centra No2"/>
          <w:sz w:val="22"/>
          <w:szCs w:val="22"/>
        </w:rPr>
        <w:t xml:space="preserve">ooperation </w:t>
      </w:r>
      <w:r w:rsidRPr="00B22EB1">
        <w:rPr>
          <w:rFonts w:ascii="Centra No2" w:hAnsi="Centra No2"/>
          <w:sz w:val="22"/>
          <w:szCs w:val="22"/>
        </w:rPr>
        <w:t>C</w:t>
      </w:r>
      <w:r>
        <w:rPr>
          <w:rFonts w:ascii="Centra No2" w:hAnsi="Centra No2"/>
          <w:sz w:val="22"/>
          <w:szCs w:val="22"/>
        </w:rPr>
        <w:t>ouncil (GCC)</w:t>
      </w:r>
      <w:r w:rsidRPr="00B22EB1">
        <w:rPr>
          <w:rFonts w:ascii="Centra No2" w:hAnsi="Centra No2"/>
          <w:sz w:val="22"/>
          <w:szCs w:val="22"/>
        </w:rPr>
        <w:t xml:space="preserve"> and Asian long-haul visitors</w:t>
      </w:r>
      <w:r w:rsidRPr="00B22EB1">
        <w:rPr>
          <w:rFonts w:ascii="Centra No2" w:hAnsi="Centra No2"/>
          <w:sz w:val="22"/>
          <w:szCs w:val="22"/>
        </w:rPr>
        <w:t xml:space="preserve">, </w:t>
      </w:r>
      <w:r w:rsidRPr="00B22EB1">
        <w:rPr>
          <w:rFonts w:ascii="Centra No2" w:hAnsi="Centra No2"/>
          <w:sz w:val="22"/>
          <w:szCs w:val="22"/>
        </w:rPr>
        <w:t>who research destinations remotely, do not have established relationships with UK suppliers, and rely on price comparison, reviews, and one-stop package booking to commit to a trip.</w:t>
      </w:r>
    </w:p>
    <w:p w:rsidR="00A00B2A" w:rsidRPr="00B22EB1" w:rsidP="005F1A8D">
      <w:pPr>
        <w:jc w:val="both"/>
        <w:rPr>
          <w:rFonts w:ascii="Centra No2" w:hAnsi="Centra No2"/>
          <w:sz w:val="22"/>
          <w:szCs w:val="22"/>
        </w:rPr>
      </w:pPr>
      <w:r w:rsidRPr="00B22EB1">
        <w:rPr>
          <w:rFonts w:ascii="Centra No2" w:hAnsi="Centra No2"/>
          <w:sz w:val="22"/>
          <w:szCs w:val="22"/>
        </w:rPr>
        <w:t>The DST therefore falls hardest on exactly the visitors the Government’s 50 million ambition depends on.</w:t>
      </w:r>
    </w:p>
    <w:p w:rsidR="00A00B2A" w:rsidRPr="00C74E54" w:rsidP="005F1A8D">
      <w:pPr>
        <w:jc w:val="both"/>
        <w:rPr>
          <w:rFonts w:ascii="Centra No2" w:hAnsi="Centra No2"/>
          <w:b/>
          <w:bCs/>
        </w:rPr>
      </w:pPr>
      <w:r w:rsidRPr="00C74E54">
        <w:rPr>
          <w:rFonts w:ascii="Centra No2" w:hAnsi="Centra No2"/>
          <w:b/>
          <w:bCs/>
        </w:rPr>
        <w:t xml:space="preserve">The DST creates a perverse competitive distortion against </w:t>
      </w:r>
      <w:r w:rsidRPr="00C74E54">
        <w:rPr>
          <w:rFonts w:ascii="Centra No2" w:hAnsi="Centra No2"/>
          <w:b/>
          <w:bCs/>
        </w:rPr>
        <w:t>UK destinations vs countries without a DST</w:t>
      </w:r>
    </w:p>
    <w:p w:rsidR="00A00B2A" w:rsidRPr="00B22EB1" w:rsidP="005F1A8D">
      <w:pPr>
        <w:jc w:val="both"/>
        <w:rPr>
          <w:rFonts w:ascii="Centra No2" w:hAnsi="Centra No2"/>
          <w:sz w:val="22"/>
          <w:szCs w:val="22"/>
        </w:rPr>
      </w:pPr>
      <w:r w:rsidRPr="00B22EB1">
        <w:rPr>
          <w:rFonts w:ascii="Centra No2" w:hAnsi="Centra No2"/>
          <w:sz w:val="22"/>
          <w:szCs w:val="22"/>
        </w:rPr>
        <w:t>Because DST applies to revenues where the accommodation</w:t>
      </w:r>
      <w:r>
        <w:rPr>
          <w:rFonts w:ascii="Centra No2" w:hAnsi="Centra No2"/>
          <w:sz w:val="22"/>
          <w:szCs w:val="22"/>
        </w:rPr>
        <w:t xml:space="preserve"> or airline</w:t>
      </w:r>
      <w:r w:rsidRPr="00B22EB1">
        <w:rPr>
          <w:rFonts w:ascii="Centra No2" w:hAnsi="Centra No2"/>
          <w:sz w:val="22"/>
          <w:szCs w:val="22"/>
        </w:rPr>
        <w:t xml:space="preserve"> is located in the UK, it creates a direct financial incentive for online distribution platforms to favour marketing spend toward</w:t>
      </w:r>
      <w:r>
        <w:rPr>
          <w:rFonts w:ascii="Centra No2" w:hAnsi="Centra No2"/>
          <w:sz w:val="22"/>
          <w:szCs w:val="22"/>
        </w:rPr>
        <w:t>s</w:t>
      </w:r>
      <w:r w:rsidRPr="00B22EB1">
        <w:rPr>
          <w:rFonts w:ascii="Centra No2" w:hAnsi="Centra No2"/>
          <w:sz w:val="22"/>
          <w:szCs w:val="22"/>
        </w:rPr>
        <w:t xml:space="preserve"> competing non-UK destinations, where no equivalent tax applies at point of supply. As Global Travel Tech’s April 2025 </w:t>
      </w:r>
      <w:r w:rsidRPr="00B22EB1">
        <w:rPr>
          <w:rFonts w:ascii="Centra No2" w:hAnsi="Centra No2"/>
          <w:sz w:val="22"/>
          <w:szCs w:val="22"/>
        </w:rPr>
        <w:t>position paper on DST regimes sets out, this is the inverse of what a sensible inbound-tourism policy would do:</w:t>
      </w:r>
    </w:p>
    <w:p w:rsidR="00A00B2A" w:rsidRPr="00B22EB1" w:rsidP="009C0CDA">
      <w:pPr>
        <w:pStyle w:val="BlockText"/>
        <w:spacing w:before="36" w:after="200"/>
        <w:ind w:left="426" w:right="0" w:hanging="69"/>
        <w:jc w:val="both"/>
        <w:rPr>
          <w:rFonts w:ascii="Centra No2" w:hAnsi="Centra No2"/>
          <w:sz w:val="22"/>
          <w:szCs w:val="22"/>
        </w:rPr>
      </w:pPr>
      <w:r w:rsidRPr="00B22EB1">
        <w:rPr>
          <w:rFonts w:ascii="Centra No2" w:hAnsi="Centra No2"/>
          <w:i/>
          <w:iCs/>
          <w:sz w:val="22"/>
          <w:szCs w:val="22"/>
        </w:rPr>
        <w:t>“It seems counterintuitive that the same companies that are bringing in valuable travellers from large outbound markets are being hit with a tax based, in large part, on where the supply is located. Any</w:t>
      </w:r>
      <w:r w:rsidRPr="00B22EB1">
        <w:rPr>
          <w:rFonts w:ascii="Centra No2" w:hAnsi="Centra No2"/>
          <w:i/>
          <w:iCs/>
          <w:sz w:val="22"/>
          <w:szCs w:val="22"/>
        </w:rPr>
        <w:t xml:space="preserve"> … </w:t>
      </w:r>
      <w:r w:rsidRPr="00B22EB1">
        <w:rPr>
          <w:rFonts w:ascii="Centra No2" w:hAnsi="Centra No2"/>
          <w:i/>
          <w:iCs/>
          <w:sz w:val="22"/>
          <w:szCs w:val="22"/>
        </w:rPr>
        <w:t xml:space="preserve">DST </w:t>
      </w:r>
      <w:r w:rsidRPr="00B22EB1">
        <w:rPr>
          <w:rFonts w:ascii="Centra No2" w:hAnsi="Centra No2"/>
          <w:i/>
          <w:iCs/>
          <w:sz w:val="22"/>
          <w:szCs w:val="22"/>
        </w:rPr>
        <w:t xml:space="preserve">… </w:t>
      </w:r>
      <w:r w:rsidRPr="00B22EB1">
        <w:rPr>
          <w:rFonts w:ascii="Centra No2" w:hAnsi="Centra No2"/>
          <w:i/>
          <w:iCs/>
          <w:sz w:val="22"/>
          <w:szCs w:val="22"/>
        </w:rPr>
        <w:t>needs to take into consideration the benefit these companies are bringing to the country which enacts it.”</w:t>
      </w:r>
      <w:r>
        <w:fldChar w:fldCharType="begin"/>
      </w:r>
      <w:r>
        <w:instrText xml:space="preserve"> HYPERLINK \l "user-content-fn-8" </w:instrText>
      </w:r>
      <w:r>
        <w:fldChar w:fldCharType="separate"/>
      </w:r>
      <w:r w:rsidRPr="00B22EB1">
        <w:rPr>
          <w:rStyle w:val="Hyperlink"/>
          <w:rFonts w:ascii="Centra No2" w:hAnsi="Centra No2"/>
          <w:color w:val="auto"/>
          <w:sz w:val="22"/>
          <w:szCs w:val="22"/>
          <w:vertAlign w:val="superscript"/>
        </w:rPr>
        <w:t>8</w:t>
      </w:r>
      <w:r>
        <w:fldChar w:fldCharType="end"/>
      </w:r>
      <w:r w:rsidRPr="00B22EB1">
        <w:rPr>
          <w:rFonts w:ascii="Centra No2" w:hAnsi="Centra No2"/>
          <w:sz w:val="22"/>
          <w:szCs w:val="22"/>
        </w:rPr>
        <w:t xml:space="preserve"> </w:t>
      </w:r>
    </w:p>
    <w:p w:rsidR="00A00B2A" w:rsidRPr="00B22EB1" w:rsidP="009C0CDA">
      <w:pPr>
        <w:pStyle w:val="BlockText"/>
        <w:ind w:left="0" w:right="4"/>
        <w:jc w:val="both"/>
        <w:rPr>
          <w:rFonts w:ascii="Centra No2" w:hAnsi="Centra No2"/>
          <w:sz w:val="22"/>
          <w:szCs w:val="22"/>
        </w:rPr>
      </w:pPr>
      <w:r w:rsidRPr="00B22EB1">
        <w:rPr>
          <w:rFonts w:ascii="Centra No2" w:hAnsi="Centra No2"/>
          <w:sz w:val="22"/>
          <w:szCs w:val="22"/>
        </w:rPr>
        <w:t xml:space="preserve">This is not a theoretical risk. Our members make daily commercial decisions about which destinations to promote to the 80% of global travellers who use </w:t>
      </w:r>
      <w:r>
        <w:rPr>
          <w:rFonts w:ascii="Centra No2" w:hAnsi="Centra No2"/>
          <w:sz w:val="22"/>
          <w:szCs w:val="22"/>
        </w:rPr>
        <w:t>online travel platforms</w:t>
      </w:r>
      <w:r w:rsidRPr="00B22EB1">
        <w:rPr>
          <w:rFonts w:ascii="Centra No2" w:hAnsi="Centra No2"/>
          <w:sz w:val="22"/>
          <w:szCs w:val="22"/>
        </w:rPr>
        <w:t xml:space="preserve"> </w:t>
      </w:r>
      <w:r w:rsidRPr="00B22EB1">
        <w:rPr>
          <w:rFonts w:ascii="Centra No2" w:hAnsi="Centra No2"/>
          <w:sz w:val="22"/>
          <w:szCs w:val="22"/>
        </w:rPr>
        <w:t>during their trip research.</w:t>
      </w:r>
      <w:r>
        <w:fldChar w:fldCharType="begin"/>
      </w:r>
      <w:r>
        <w:instrText xml:space="preserve"> HYPERLINK \l "user-content-fn-9" </w:instrText>
      </w:r>
      <w:r>
        <w:fldChar w:fldCharType="separate"/>
      </w:r>
      <w:r w:rsidRPr="00B22EB1">
        <w:rPr>
          <w:rStyle w:val="Hyperlink"/>
          <w:rFonts w:ascii="Centra No2" w:hAnsi="Centra No2"/>
          <w:color w:val="auto"/>
          <w:sz w:val="22"/>
          <w:szCs w:val="22"/>
          <w:vertAlign w:val="superscript"/>
        </w:rPr>
        <w:t>9</w:t>
      </w:r>
      <w:r>
        <w:fldChar w:fldCharType="end"/>
      </w:r>
      <w:r w:rsidRPr="00B22EB1">
        <w:rPr>
          <w:rFonts w:ascii="Centra No2" w:hAnsi="Centra No2"/>
          <w:sz w:val="22"/>
          <w:szCs w:val="22"/>
        </w:rPr>
        <w:t xml:space="preserve"> A tax that reduces the net margin on UK sales</w:t>
      </w:r>
      <w:r w:rsidRPr="00B22EB1">
        <w:rPr>
          <w:rFonts w:ascii="Centra No2" w:hAnsi="Centra No2"/>
          <w:sz w:val="22"/>
          <w:szCs w:val="22"/>
        </w:rPr>
        <w:t xml:space="preserve">, </w:t>
      </w:r>
      <w:r w:rsidRPr="00B22EB1">
        <w:rPr>
          <w:rFonts w:ascii="Centra No2" w:hAnsi="Centra No2"/>
          <w:sz w:val="22"/>
          <w:szCs w:val="22"/>
        </w:rPr>
        <w:t>and cannot be credited against corporation tax</w:t>
      </w:r>
      <w:r w:rsidRPr="00B22EB1">
        <w:rPr>
          <w:rFonts w:ascii="Centra No2" w:hAnsi="Centra No2"/>
          <w:sz w:val="22"/>
          <w:szCs w:val="22"/>
        </w:rPr>
        <w:t xml:space="preserve">, </w:t>
      </w:r>
      <w:r w:rsidRPr="00B22EB1">
        <w:rPr>
          <w:rFonts w:ascii="Centra No2" w:hAnsi="Centra No2"/>
          <w:sz w:val="22"/>
          <w:szCs w:val="22"/>
        </w:rPr>
        <w:t>inevitably tilts those decisions away from the UK at the margin.</w:t>
      </w:r>
    </w:p>
    <w:p w:rsidR="00A00B2A" w:rsidRPr="00B22EB1" w:rsidP="005F1A8D">
      <w:pPr>
        <w:pStyle w:val="Heading2"/>
        <w:jc w:val="both"/>
        <w:rPr>
          <w:rFonts w:ascii="Centra No2" w:hAnsi="Centra No2"/>
          <w:b/>
          <w:bCs/>
          <w:color w:val="auto"/>
          <w:sz w:val="28"/>
          <w:szCs w:val="28"/>
          <w:u w:val="single"/>
        </w:rPr>
      </w:pPr>
      <w:bookmarkStart w:id="5" w:name="Xe473ee37a00c63a3d64d114e087836be7b3639f"/>
      <w:bookmarkEnd w:id="3"/>
      <w:bookmarkEnd w:id="4"/>
      <w:r w:rsidRPr="00B22EB1">
        <w:rPr>
          <w:rFonts w:ascii="Centra No2" w:hAnsi="Centra No2"/>
          <w:b/>
          <w:bCs/>
          <w:color w:val="auto"/>
          <w:sz w:val="28"/>
          <w:szCs w:val="28"/>
          <w:u w:val="single"/>
        </w:rPr>
        <w:t xml:space="preserve">(iii) Why </w:t>
      </w:r>
      <w:r w:rsidRPr="00B22EB1">
        <w:rPr>
          <w:rFonts w:ascii="Centra No2" w:hAnsi="Centra No2"/>
          <w:b/>
          <w:bCs/>
          <w:color w:val="auto"/>
          <w:sz w:val="28"/>
          <w:szCs w:val="28"/>
          <w:u w:val="single"/>
        </w:rPr>
        <w:t xml:space="preserve">exempting </w:t>
      </w:r>
      <w:r w:rsidRPr="00B22EB1">
        <w:rPr>
          <w:rFonts w:ascii="Centra No2" w:hAnsi="Centra No2"/>
          <w:b/>
          <w:bCs/>
          <w:color w:val="auto"/>
          <w:sz w:val="28"/>
          <w:szCs w:val="28"/>
          <w:u w:val="single"/>
        </w:rPr>
        <w:t xml:space="preserve">travel </w:t>
      </w:r>
      <w:r w:rsidRPr="00B22EB1">
        <w:rPr>
          <w:rFonts w:ascii="Centra No2" w:hAnsi="Centra No2"/>
          <w:b/>
          <w:bCs/>
          <w:color w:val="auto"/>
          <w:sz w:val="28"/>
          <w:szCs w:val="28"/>
          <w:u w:val="single"/>
        </w:rPr>
        <w:t xml:space="preserve">from the DST </w:t>
      </w:r>
      <w:r w:rsidRPr="00B22EB1">
        <w:rPr>
          <w:rFonts w:ascii="Centra No2" w:hAnsi="Centra No2"/>
          <w:b/>
          <w:bCs/>
          <w:color w:val="auto"/>
          <w:sz w:val="28"/>
          <w:szCs w:val="28"/>
          <w:u w:val="single"/>
        </w:rPr>
        <w:t>is proportionate, precedented and fiscally sensible</w:t>
      </w:r>
    </w:p>
    <w:p w:rsidR="00A00B2A" w:rsidRPr="00C74E54" w:rsidP="005F1A8D">
      <w:pPr>
        <w:jc w:val="both"/>
        <w:rPr>
          <w:rFonts w:ascii="Centra No2" w:hAnsi="Centra No2"/>
          <w:b/>
          <w:bCs/>
        </w:rPr>
      </w:pPr>
      <w:bookmarkStart w:id="6" w:name="X2fc6888569ab0d3a790a88d0937ded12138e27f"/>
      <w:r w:rsidRPr="00C74E54">
        <w:rPr>
          <w:rFonts w:ascii="Centra No2" w:hAnsi="Centra No2"/>
          <w:b/>
          <w:bCs/>
        </w:rPr>
        <w:t>The precedent already exists in the DST legislation itself</w:t>
      </w:r>
    </w:p>
    <w:p w:rsidR="00A00B2A" w:rsidRPr="00B22EB1" w:rsidP="005F1A8D">
      <w:pPr>
        <w:jc w:val="both"/>
        <w:rPr>
          <w:rFonts w:ascii="Centra No2" w:hAnsi="Centra No2"/>
          <w:sz w:val="22"/>
          <w:szCs w:val="22"/>
        </w:rPr>
      </w:pPr>
      <w:r w:rsidRPr="00B22EB1">
        <w:rPr>
          <w:rFonts w:ascii="Centra No2" w:hAnsi="Centra No2"/>
          <w:sz w:val="22"/>
          <w:szCs w:val="22"/>
        </w:rPr>
        <w:t>The DST explicitly exempts online marketplaces operated by financial services providers from its scope.</w:t>
      </w:r>
      <w:r>
        <w:fldChar w:fldCharType="begin"/>
      </w:r>
      <w:r>
        <w:instrText xml:space="preserve"> HYPERLINK \l "user-content-fn-7" </w:instrText>
      </w:r>
      <w:r>
        <w:fldChar w:fldCharType="separate"/>
      </w:r>
      <w:r w:rsidRPr="00B22EB1">
        <w:rPr>
          <w:rStyle w:val="Hyperlink"/>
          <w:rFonts w:ascii="Centra No2" w:hAnsi="Centra No2"/>
          <w:color w:val="auto"/>
          <w:sz w:val="22"/>
          <w:szCs w:val="22"/>
          <w:vertAlign w:val="superscript"/>
        </w:rPr>
        <w:t>7</w:t>
      </w:r>
      <w:r>
        <w:fldChar w:fldCharType="end"/>
      </w:r>
      <w:r w:rsidRPr="00B22EB1">
        <w:rPr>
          <w:rFonts w:ascii="Centra No2" w:hAnsi="Centra No2"/>
          <w:sz w:val="22"/>
          <w:szCs w:val="22"/>
        </w:rPr>
        <w:t xml:space="preserve"> HMRC’s own guidance confirms that “there is an exemption from the online marketplace definition for financial services providers”, reflecting a policy judgement that certain regulated marketplaces</w:t>
      </w:r>
      <w:r w:rsidRPr="00B22EB1">
        <w:rPr>
          <w:rFonts w:ascii="Centra No2" w:hAnsi="Centra No2"/>
          <w:sz w:val="22"/>
          <w:szCs w:val="22"/>
        </w:rPr>
        <w:t xml:space="preserve">, </w:t>
      </w:r>
      <w:r w:rsidRPr="00B22EB1">
        <w:rPr>
          <w:rFonts w:ascii="Centra No2" w:hAnsi="Centra No2"/>
          <w:sz w:val="22"/>
          <w:szCs w:val="22"/>
        </w:rPr>
        <w:t>where the activity was not the “digital giant” behaviour the tax was aimed at</w:t>
      </w:r>
      <w:r w:rsidRPr="00B22EB1">
        <w:rPr>
          <w:rFonts w:ascii="Centra No2" w:hAnsi="Centra No2"/>
          <w:sz w:val="22"/>
          <w:szCs w:val="22"/>
        </w:rPr>
        <w:t xml:space="preserve">, </w:t>
      </w:r>
      <w:r w:rsidRPr="00B22EB1">
        <w:rPr>
          <w:rFonts w:ascii="Centra No2" w:hAnsi="Centra No2"/>
          <w:sz w:val="22"/>
          <w:szCs w:val="22"/>
        </w:rPr>
        <w:t>should sit outside the charge.</w:t>
      </w:r>
    </w:p>
    <w:p w:rsidR="00A00B2A" w:rsidRPr="00B22EB1" w:rsidP="005F1A8D">
      <w:pPr>
        <w:jc w:val="both"/>
        <w:rPr>
          <w:rFonts w:ascii="Centra No2" w:hAnsi="Centra No2"/>
          <w:sz w:val="22"/>
          <w:szCs w:val="22"/>
        </w:rPr>
      </w:pPr>
      <w:r w:rsidRPr="00B22EB1">
        <w:rPr>
          <w:rFonts w:ascii="Centra No2" w:hAnsi="Centra No2"/>
          <w:sz w:val="22"/>
          <w:szCs w:val="22"/>
        </w:rPr>
        <w:t xml:space="preserve">Exempting travel </w:t>
      </w:r>
      <w:r>
        <w:rPr>
          <w:rFonts w:ascii="Centra No2" w:hAnsi="Centra No2"/>
          <w:sz w:val="22"/>
          <w:szCs w:val="22"/>
        </w:rPr>
        <w:t>marketplaces</w:t>
      </w:r>
      <w:r w:rsidRPr="00B22EB1">
        <w:rPr>
          <w:rFonts w:ascii="Centra No2" w:hAnsi="Centra No2"/>
          <w:sz w:val="22"/>
          <w:szCs w:val="22"/>
        </w:rPr>
        <w:t xml:space="preserve"> would be directly analogous. Like financial services marketplaces, online travel intermediaries:</w:t>
      </w:r>
    </w:p>
    <w:p w:rsidR="00A00B2A" w:rsidRPr="00B22EB1" w:rsidP="00254551">
      <w:pPr>
        <w:pStyle w:val="ListParagraph"/>
        <w:numPr>
          <w:ilvl w:val="0"/>
          <w:numId w:val="15"/>
        </w:numPr>
        <w:jc w:val="both"/>
        <w:rPr>
          <w:rFonts w:ascii="Centra No2" w:hAnsi="Centra No2"/>
          <w:sz w:val="22"/>
          <w:szCs w:val="22"/>
        </w:rPr>
      </w:pPr>
      <w:r w:rsidRPr="00B22EB1">
        <w:rPr>
          <w:rFonts w:ascii="Centra No2" w:hAnsi="Centra No2"/>
          <w:sz w:val="22"/>
          <w:szCs w:val="22"/>
        </w:rPr>
        <w:t>operate in a highly competitive, low-margin, heavily regulated sector,</w:t>
      </w:r>
    </w:p>
    <w:p w:rsidR="00A00B2A" w:rsidRPr="00B22EB1" w:rsidP="00254551">
      <w:pPr>
        <w:pStyle w:val="ListParagraph"/>
        <w:numPr>
          <w:ilvl w:val="0"/>
          <w:numId w:val="15"/>
        </w:numPr>
        <w:jc w:val="both"/>
        <w:rPr>
          <w:rFonts w:ascii="Centra No2" w:hAnsi="Centra No2"/>
          <w:sz w:val="22"/>
          <w:szCs w:val="22"/>
        </w:rPr>
      </w:pPr>
      <w:r w:rsidRPr="00B22EB1">
        <w:rPr>
          <w:rFonts w:ascii="Centra No2" w:hAnsi="Centra No2"/>
          <w:sz w:val="22"/>
          <w:szCs w:val="22"/>
        </w:rPr>
        <w:t xml:space="preserve">are not the “digital giant” advertising/data-monetisation model the DST was designed to capture, and </w:t>
      </w:r>
    </w:p>
    <w:p w:rsidR="00A00B2A" w:rsidRPr="00B22EB1" w:rsidP="00254551">
      <w:pPr>
        <w:pStyle w:val="ListParagraph"/>
        <w:numPr>
          <w:ilvl w:val="0"/>
          <w:numId w:val="15"/>
        </w:numPr>
        <w:jc w:val="both"/>
        <w:rPr>
          <w:rFonts w:ascii="Centra No2" w:hAnsi="Centra No2"/>
          <w:sz w:val="22"/>
          <w:szCs w:val="22"/>
        </w:rPr>
      </w:pPr>
      <w:r w:rsidRPr="00B22EB1">
        <w:rPr>
          <w:rFonts w:ascii="Centra No2" w:hAnsi="Centra No2"/>
          <w:sz w:val="22"/>
          <w:szCs w:val="22"/>
        </w:rPr>
        <w:t xml:space="preserve">sit downstream of supply that </w:t>
      </w:r>
      <w:r w:rsidRPr="00B22EB1">
        <w:rPr>
          <w:rFonts w:ascii="Centra No2" w:hAnsi="Centra No2"/>
          <w:sz w:val="22"/>
          <w:szCs w:val="22"/>
        </w:rPr>
        <w:t>is already comprehensively taxed in the UK (via VAT, APD, corporation tax on hotels and attractions, business rates, and</w:t>
      </w:r>
      <w:r w:rsidRPr="00B22EB1">
        <w:rPr>
          <w:rFonts w:ascii="Centra No2" w:hAnsi="Centra No2"/>
          <w:sz w:val="22"/>
          <w:szCs w:val="22"/>
        </w:rPr>
        <w:t xml:space="preserve"> </w:t>
      </w:r>
      <w:r w:rsidRPr="00B22EB1">
        <w:rPr>
          <w:rFonts w:ascii="Centra No2" w:hAnsi="Centra No2"/>
          <w:sz w:val="22"/>
          <w:szCs w:val="22"/>
        </w:rPr>
        <w:t>for many members</w:t>
      </w:r>
      <w:r w:rsidRPr="00B22EB1">
        <w:rPr>
          <w:rFonts w:ascii="Centra No2" w:hAnsi="Centra No2"/>
          <w:sz w:val="22"/>
          <w:szCs w:val="22"/>
        </w:rPr>
        <w:t xml:space="preserve">, </w:t>
      </w:r>
      <w:r w:rsidRPr="00B22EB1">
        <w:rPr>
          <w:rFonts w:ascii="Centra No2" w:hAnsi="Centra No2"/>
          <w:sz w:val="22"/>
          <w:szCs w:val="22"/>
        </w:rPr>
        <w:t xml:space="preserve">UK employment taxes). </w:t>
      </w:r>
    </w:p>
    <w:p w:rsidR="00A00B2A" w:rsidRPr="00B22EB1" w:rsidP="00254551">
      <w:pPr>
        <w:jc w:val="both"/>
        <w:rPr>
          <w:rFonts w:ascii="Centra No2" w:hAnsi="Centra No2"/>
          <w:sz w:val="22"/>
          <w:szCs w:val="22"/>
        </w:rPr>
      </w:pPr>
      <w:r w:rsidRPr="00B22EB1">
        <w:rPr>
          <w:rFonts w:ascii="Centra No2" w:hAnsi="Centra No2"/>
          <w:sz w:val="22"/>
          <w:szCs w:val="22"/>
        </w:rPr>
        <w:t xml:space="preserve">Creating a second carve-out, for travel, is </w:t>
      </w:r>
      <w:r w:rsidRPr="00B22EB1">
        <w:rPr>
          <w:rFonts w:ascii="Centra No2" w:hAnsi="Centra No2"/>
          <w:sz w:val="22"/>
          <w:szCs w:val="22"/>
        </w:rPr>
        <w:t xml:space="preserve">therefore </w:t>
      </w:r>
      <w:r w:rsidRPr="00B22EB1">
        <w:rPr>
          <w:rFonts w:ascii="Centra No2" w:hAnsi="Centra No2"/>
          <w:sz w:val="22"/>
          <w:szCs w:val="22"/>
        </w:rPr>
        <w:t xml:space="preserve">neither unprincipled nor unprecedented. </w:t>
      </w:r>
    </w:p>
    <w:p w:rsidR="00A00B2A" w:rsidRPr="00C74E54" w:rsidP="005F1A8D">
      <w:pPr>
        <w:jc w:val="both"/>
        <w:rPr>
          <w:rFonts w:ascii="Centra No2" w:hAnsi="Centra No2"/>
          <w:b/>
          <w:bCs/>
        </w:rPr>
      </w:pPr>
      <w:r w:rsidRPr="00C74E54">
        <w:rPr>
          <w:rFonts w:ascii="Centra No2" w:hAnsi="Centra No2"/>
          <w:b/>
          <w:bCs/>
        </w:rPr>
        <w:t>The fiscal cost to the Exchequer would be modest — the benefit to UK tourism potentially very large</w:t>
      </w:r>
    </w:p>
    <w:p w:rsidR="00A00B2A" w:rsidRPr="00B22EB1" w:rsidP="005F1A8D">
      <w:pPr>
        <w:jc w:val="both"/>
        <w:rPr>
          <w:rFonts w:ascii="Centra No2" w:hAnsi="Centra No2"/>
          <w:sz w:val="22"/>
          <w:szCs w:val="22"/>
          <w:vertAlign w:val="superscript"/>
        </w:rPr>
      </w:pPr>
      <w:r w:rsidRPr="00B22EB1">
        <w:rPr>
          <w:rFonts w:ascii="Centra No2" w:hAnsi="Centra No2"/>
          <w:sz w:val="22"/>
          <w:szCs w:val="22"/>
        </w:rPr>
        <w:t>The DST is a growing, not a strained, revenue source. According to the Government’s own November 2025 DST Review Report, receipts have risen every year:</w:t>
      </w:r>
      <w:r>
        <w:fldChar w:fldCharType="begin"/>
      </w:r>
      <w:r>
        <w:instrText xml:space="preserve"> HYPERLINK \l "user-content-fn-11" </w:instrText>
      </w:r>
      <w:r>
        <w:fldChar w:fldCharType="separate"/>
      </w:r>
      <w:r w:rsidRPr="00B22EB1">
        <w:rPr>
          <w:rStyle w:val="Hyperlink"/>
          <w:rFonts w:ascii="Centra No2" w:hAnsi="Centra No2"/>
          <w:color w:val="auto"/>
          <w:sz w:val="22"/>
          <w:szCs w:val="22"/>
          <w:vertAlign w:val="superscript"/>
        </w:rPr>
        <w:t>11</w:t>
      </w:r>
      <w:r>
        <w:fldChar w:fldCharType="end"/>
      </w:r>
    </w:p>
    <w:p w:rsidR="00A00B2A" w:rsidRPr="00B22EB1" w:rsidP="000D518E">
      <w:pPr>
        <w:jc w:val="center"/>
        <w:rPr>
          <w:rFonts w:ascii="Centra No2" w:hAnsi="Centra No2"/>
          <w:sz w:val="22"/>
          <w:szCs w:val="22"/>
          <w:u w:val="single"/>
        </w:rPr>
      </w:pPr>
      <w:r w:rsidRPr="00B22EB1">
        <w:rPr>
          <w:rFonts w:ascii="Centra No2" w:hAnsi="Centra No2"/>
          <w:sz w:val="22"/>
          <w:szCs w:val="22"/>
          <w:u w:val="single"/>
        </w:rPr>
        <w:t>Table 2: DST receipts since 2021</w:t>
      </w:r>
    </w:p>
    <w:tbl>
      <w:tblPr>
        <w:tblStyle w:val="Table"/>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20"/>
      </w:tblPr>
      <w:tblGrid>
        <w:gridCol w:w="1445"/>
        <w:gridCol w:w="1795"/>
      </w:tblGrid>
      <w:tr w:rsidTr="00907A8F">
        <w:tblPrEx>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20"/>
        </w:tblPrEx>
        <w:trPr>
          <w:tblHeader/>
          <w:jc w:val="center"/>
        </w:trPr>
        <w:tc>
          <w:tcPr>
            <w:tcW w:w="0" w:type="auto"/>
            <w:shd w:val="clear" w:color="auto" w:fill="0E2841" w:themeFill="text2"/>
          </w:tcPr>
          <w:p w:rsidR="00A00B2A" w:rsidRPr="000D518E" w:rsidP="005F1A8D">
            <w:pPr>
              <w:pStyle w:val="Compact"/>
              <w:jc w:val="both"/>
              <w:rPr>
                <w:rFonts w:ascii="Centra No2" w:hAnsi="Centra No2"/>
                <w:sz w:val="22"/>
                <w:szCs w:val="22"/>
              </w:rPr>
            </w:pPr>
            <w:r w:rsidRPr="000D518E">
              <w:rPr>
                <w:rFonts w:ascii="Centra No2" w:hAnsi="Centra No2"/>
                <w:sz w:val="22"/>
                <w:szCs w:val="22"/>
              </w:rPr>
              <w:t>Financial year</w:t>
            </w:r>
          </w:p>
        </w:tc>
        <w:tc>
          <w:tcPr>
            <w:tcW w:w="0" w:type="auto"/>
            <w:shd w:val="clear" w:color="auto" w:fill="0E2841" w:themeFill="text2"/>
          </w:tcPr>
          <w:p w:rsidR="00A00B2A" w:rsidRPr="000D518E" w:rsidP="005F1A8D">
            <w:pPr>
              <w:pStyle w:val="Compact"/>
              <w:jc w:val="both"/>
              <w:rPr>
                <w:rFonts w:ascii="Centra No2" w:hAnsi="Centra No2"/>
                <w:sz w:val="22"/>
                <w:szCs w:val="22"/>
              </w:rPr>
            </w:pPr>
            <w:r w:rsidRPr="000D518E">
              <w:rPr>
                <w:rFonts w:ascii="Centra No2" w:hAnsi="Centra No2"/>
                <w:sz w:val="22"/>
                <w:szCs w:val="22"/>
              </w:rPr>
              <w:t>DST receipts (£m)</w:t>
            </w:r>
          </w:p>
        </w:tc>
      </w:tr>
      <w:tr w:rsidTr="00907A8F">
        <w:tblPrEx>
          <w:tblW w:w="0" w:type="auto"/>
          <w:jc w:val="center"/>
          <w:tblLook w:val="0020"/>
        </w:tblPrEx>
        <w:trPr>
          <w:jc w:val="center"/>
        </w:trPr>
        <w:tc>
          <w:tcPr>
            <w:tcW w:w="0" w:type="auto"/>
          </w:tcPr>
          <w:p w:rsidR="00A00B2A" w:rsidRPr="000D518E" w:rsidP="005F1A8D">
            <w:pPr>
              <w:pStyle w:val="Compact"/>
              <w:jc w:val="both"/>
              <w:rPr>
                <w:rFonts w:ascii="Centra No2" w:hAnsi="Centra No2"/>
                <w:sz w:val="22"/>
                <w:szCs w:val="22"/>
              </w:rPr>
            </w:pPr>
            <w:r w:rsidRPr="000D518E">
              <w:rPr>
                <w:rFonts w:ascii="Centra No2" w:hAnsi="Centra No2"/>
                <w:sz w:val="22"/>
                <w:szCs w:val="22"/>
              </w:rPr>
              <w:t>2021–22</w:t>
            </w:r>
          </w:p>
        </w:tc>
        <w:tc>
          <w:tcPr>
            <w:tcW w:w="0" w:type="auto"/>
          </w:tcPr>
          <w:p w:rsidR="00A00B2A" w:rsidRPr="000D518E" w:rsidP="005F1A8D">
            <w:pPr>
              <w:pStyle w:val="Compact"/>
              <w:jc w:val="both"/>
              <w:rPr>
                <w:rFonts w:ascii="Centra No2" w:hAnsi="Centra No2"/>
                <w:sz w:val="22"/>
                <w:szCs w:val="22"/>
              </w:rPr>
            </w:pPr>
            <w:r w:rsidRPr="000D518E">
              <w:rPr>
                <w:rFonts w:ascii="Centra No2" w:hAnsi="Centra No2"/>
                <w:sz w:val="22"/>
                <w:szCs w:val="22"/>
              </w:rPr>
              <w:t>380</w:t>
            </w:r>
          </w:p>
        </w:tc>
      </w:tr>
      <w:tr w:rsidTr="00907A8F">
        <w:tblPrEx>
          <w:tblW w:w="0" w:type="auto"/>
          <w:jc w:val="center"/>
          <w:tblLook w:val="0020"/>
        </w:tblPrEx>
        <w:trPr>
          <w:jc w:val="center"/>
        </w:trPr>
        <w:tc>
          <w:tcPr>
            <w:tcW w:w="0" w:type="auto"/>
          </w:tcPr>
          <w:p w:rsidR="00A00B2A" w:rsidRPr="000D518E" w:rsidP="005F1A8D">
            <w:pPr>
              <w:pStyle w:val="Compact"/>
              <w:jc w:val="both"/>
              <w:rPr>
                <w:rFonts w:ascii="Centra No2" w:hAnsi="Centra No2"/>
                <w:sz w:val="22"/>
                <w:szCs w:val="22"/>
              </w:rPr>
            </w:pPr>
            <w:r w:rsidRPr="000D518E">
              <w:rPr>
                <w:rFonts w:ascii="Centra No2" w:hAnsi="Centra No2"/>
                <w:sz w:val="22"/>
                <w:szCs w:val="22"/>
              </w:rPr>
              <w:t>2022–23</w:t>
            </w:r>
          </w:p>
        </w:tc>
        <w:tc>
          <w:tcPr>
            <w:tcW w:w="0" w:type="auto"/>
          </w:tcPr>
          <w:p w:rsidR="00A00B2A" w:rsidRPr="000D518E" w:rsidP="005F1A8D">
            <w:pPr>
              <w:pStyle w:val="Compact"/>
              <w:jc w:val="both"/>
              <w:rPr>
                <w:rFonts w:ascii="Centra No2" w:hAnsi="Centra No2"/>
                <w:sz w:val="22"/>
                <w:szCs w:val="22"/>
              </w:rPr>
            </w:pPr>
            <w:r w:rsidRPr="000D518E">
              <w:rPr>
                <w:rFonts w:ascii="Centra No2" w:hAnsi="Centra No2"/>
                <w:sz w:val="22"/>
                <w:szCs w:val="22"/>
              </w:rPr>
              <w:t>576</w:t>
            </w:r>
          </w:p>
        </w:tc>
      </w:tr>
      <w:tr w:rsidTr="00907A8F">
        <w:tblPrEx>
          <w:tblW w:w="0" w:type="auto"/>
          <w:jc w:val="center"/>
          <w:tblLook w:val="0020"/>
        </w:tblPrEx>
        <w:trPr>
          <w:jc w:val="center"/>
        </w:trPr>
        <w:tc>
          <w:tcPr>
            <w:tcW w:w="0" w:type="auto"/>
          </w:tcPr>
          <w:p w:rsidR="00A00B2A" w:rsidRPr="000D518E" w:rsidP="005F1A8D">
            <w:pPr>
              <w:pStyle w:val="Compact"/>
              <w:jc w:val="both"/>
              <w:rPr>
                <w:rFonts w:ascii="Centra No2" w:hAnsi="Centra No2"/>
                <w:sz w:val="22"/>
                <w:szCs w:val="22"/>
              </w:rPr>
            </w:pPr>
            <w:r w:rsidRPr="000D518E">
              <w:rPr>
                <w:rFonts w:ascii="Centra No2" w:hAnsi="Centra No2"/>
                <w:sz w:val="22"/>
                <w:szCs w:val="22"/>
              </w:rPr>
              <w:t>2023–24</w:t>
            </w:r>
          </w:p>
        </w:tc>
        <w:tc>
          <w:tcPr>
            <w:tcW w:w="0" w:type="auto"/>
          </w:tcPr>
          <w:p w:rsidR="00A00B2A" w:rsidRPr="000D518E" w:rsidP="005F1A8D">
            <w:pPr>
              <w:pStyle w:val="Compact"/>
              <w:jc w:val="both"/>
              <w:rPr>
                <w:rFonts w:ascii="Centra No2" w:hAnsi="Centra No2"/>
                <w:sz w:val="22"/>
                <w:szCs w:val="22"/>
              </w:rPr>
            </w:pPr>
            <w:r w:rsidRPr="000D518E">
              <w:rPr>
                <w:rFonts w:ascii="Centra No2" w:hAnsi="Centra No2"/>
                <w:sz w:val="22"/>
                <w:szCs w:val="22"/>
              </w:rPr>
              <w:t>678</w:t>
            </w:r>
          </w:p>
        </w:tc>
      </w:tr>
      <w:tr w:rsidTr="00907A8F">
        <w:tblPrEx>
          <w:tblW w:w="0" w:type="auto"/>
          <w:jc w:val="center"/>
          <w:tblLook w:val="0020"/>
        </w:tblPrEx>
        <w:trPr>
          <w:jc w:val="center"/>
        </w:trPr>
        <w:tc>
          <w:tcPr>
            <w:tcW w:w="0" w:type="auto"/>
          </w:tcPr>
          <w:p w:rsidR="00A00B2A" w:rsidRPr="000D518E" w:rsidP="005F1A8D">
            <w:pPr>
              <w:pStyle w:val="Compact"/>
              <w:jc w:val="both"/>
              <w:rPr>
                <w:rFonts w:ascii="Centra No2" w:hAnsi="Centra No2"/>
                <w:sz w:val="22"/>
                <w:szCs w:val="22"/>
              </w:rPr>
            </w:pPr>
            <w:r w:rsidRPr="000D518E">
              <w:rPr>
                <w:rFonts w:ascii="Centra No2" w:hAnsi="Centra No2"/>
                <w:sz w:val="22"/>
                <w:szCs w:val="22"/>
              </w:rPr>
              <w:t>2024–25</w:t>
            </w:r>
          </w:p>
        </w:tc>
        <w:tc>
          <w:tcPr>
            <w:tcW w:w="0" w:type="auto"/>
          </w:tcPr>
          <w:p w:rsidR="00A00B2A" w:rsidRPr="000D518E" w:rsidP="005F1A8D">
            <w:pPr>
              <w:pStyle w:val="Compact"/>
              <w:jc w:val="both"/>
              <w:rPr>
                <w:rFonts w:ascii="Centra No2" w:hAnsi="Centra No2"/>
                <w:sz w:val="22"/>
                <w:szCs w:val="22"/>
              </w:rPr>
            </w:pPr>
            <w:r w:rsidRPr="000D518E">
              <w:rPr>
                <w:rFonts w:ascii="Centra No2" w:hAnsi="Centra No2"/>
                <w:sz w:val="22"/>
                <w:szCs w:val="22"/>
              </w:rPr>
              <w:t>~808</w:t>
            </w:r>
          </w:p>
        </w:tc>
      </w:tr>
    </w:tbl>
    <w:p w:rsidR="00A00B2A" w:rsidP="009C0CDA">
      <w:pPr>
        <w:spacing w:after="0"/>
        <w:jc w:val="both"/>
        <w:rPr>
          <w:rFonts w:ascii="Centra No2" w:hAnsi="Centra No2"/>
          <w:sz w:val="22"/>
          <w:szCs w:val="22"/>
        </w:rPr>
      </w:pPr>
    </w:p>
    <w:p w:rsidR="00A00B2A" w:rsidRPr="000D518E" w:rsidP="005F1A8D">
      <w:pPr>
        <w:jc w:val="both"/>
        <w:rPr>
          <w:rFonts w:ascii="Centra No2" w:hAnsi="Centra No2"/>
          <w:sz w:val="22"/>
          <w:szCs w:val="22"/>
        </w:rPr>
      </w:pPr>
      <w:r w:rsidRPr="000D518E">
        <w:rPr>
          <w:rFonts w:ascii="Centra No2" w:hAnsi="Centra No2"/>
          <w:sz w:val="22"/>
          <w:szCs w:val="22"/>
        </w:rPr>
        <w:t>Travel intermediaries contribute only a small share of this growing total. This is structural, not incidental: the annual revenues of the largest travel tech companies (</w:t>
      </w:r>
      <w:r>
        <w:rPr>
          <w:rFonts w:ascii="Centra No2" w:hAnsi="Centra No2"/>
          <w:sz w:val="22"/>
          <w:szCs w:val="22"/>
        </w:rPr>
        <w:t xml:space="preserve">, </w:t>
      </w:r>
      <w:r w:rsidRPr="000D518E">
        <w:rPr>
          <w:rFonts w:ascii="Centra No2" w:hAnsi="Centra No2"/>
          <w:sz w:val="22"/>
          <w:szCs w:val="22"/>
        </w:rPr>
        <w:t xml:space="preserve">Booking Holdings, Expedia Group, </w:t>
      </w:r>
      <w:r>
        <w:rPr>
          <w:rFonts w:ascii="Centra No2" w:hAnsi="Centra No2"/>
          <w:sz w:val="22"/>
          <w:szCs w:val="22"/>
        </w:rPr>
        <w:t>Skyscanner, Travelport</w:t>
      </w:r>
      <w:r w:rsidRPr="000D518E">
        <w:rPr>
          <w:rFonts w:ascii="Centra No2" w:hAnsi="Centra No2"/>
          <w:sz w:val="22"/>
          <w:szCs w:val="22"/>
        </w:rPr>
        <w:t>) are an order of magnitude smaller than those of the digital giants that drive the bulk of DST receipts — Amazon ($575bn), Alphabet ($307bn), Microsoft ($245bn), Meta ($164bn) and Apple ($391bn).</w:t>
      </w:r>
      <w:r>
        <w:fldChar w:fldCharType="begin"/>
      </w:r>
      <w:r>
        <w:instrText xml:space="preserve"> HYPERLINK \l "user-content-fn-8" </w:instrText>
      </w:r>
      <w:r>
        <w:fldChar w:fldCharType="separate"/>
      </w:r>
      <w:r w:rsidRPr="000D518E">
        <w:rPr>
          <w:rStyle w:val="Hyperlink"/>
          <w:rFonts w:ascii="Centra No2" w:hAnsi="Centra No2"/>
          <w:color w:val="auto"/>
          <w:sz w:val="22"/>
          <w:szCs w:val="22"/>
          <w:vertAlign w:val="superscript"/>
        </w:rPr>
        <w:t>8</w:t>
      </w:r>
      <w:r>
        <w:fldChar w:fldCharType="end"/>
      </w:r>
      <w:r w:rsidRPr="000D518E">
        <w:rPr>
          <w:rFonts w:ascii="Centra No2" w:hAnsi="Centra No2"/>
          <w:sz w:val="22"/>
          <w:szCs w:val="22"/>
        </w:rPr>
        <w:t xml:space="preserve"> Carving travel </w:t>
      </w:r>
      <w:r>
        <w:rPr>
          <w:rFonts w:ascii="Centra No2" w:hAnsi="Centra No2"/>
          <w:sz w:val="22"/>
          <w:szCs w:val="22"/>
        </w:rPr>
        <w:t>marketplaces</w:t>
      </w:r>
      <w:r w:rsidRPr="000D518E">
        <w:rPr>
          <w:rFonts w:ascii="Centra No2" w:hAnsi="Centra No2"/>
          <w:sz w:val="22"/>
          <w:szCs w:val="22"/>
        </w:rPr>
        <w:t xml:space="preserve"> </w:t>
      </w:r>
      <w:r w:rsidRPr="000D518E">
        <w:rPr>
          <w:rFonts w:ascii="Centra No2" w:hAnsi="Centra No2"/>
          <w:sz w:val="22"/>
          <w:szCs w:val="22"/>
        </w:rPr>
        <w:t>out of the DST would therefore not meaningfully affect the tax’s upward revenue trajectory.</w:t>
      </w:r>
    </w:p>
    <w:p w:rsidR="00A00B2A" w:rsidRPr="000D518E" w:rsidP="005F1A8D">
      <w:pPr>
        <w:jc w:val="both"/>
        <w:rPr>
          <w:rFonts w:ascii="Centra No2" w:hAnsi="Centra No2"/>
          <w:sz w:val="22"/>
          <w:szCs w:val="22"/>
        </w:rPr>
      </w:pPr>
      <w:r w:rsidRPr="000D518E">
        <w:rPr>
          <w:rFonts w:ascii="Centra No2" w:hAnsi="Centra No2"/>
          <w:sz w:val="22"/>
          <w:szCs w:val="22"/>
        </w:rPr>
        <w:t xml:space="preserve">Against that </w:t>
      </w:r>
      <w:r w:rsidRPr="000D518E">
        <w:rPr>
          <w:rFonts w:ascii="Centra No2" w:hAnsi="Centra No2"/>
          <w:sz w:val="22"/>
          <w:szCs w:val="22"/>
        </w:rPr>
        <w:t>small</w:t>
      </w:r>
      <w:r w:rsidRPr="000D518E">
        <w:rPr>
          <w:rFonts w:ascii="Centra No2" w:hAnsi="Centra No2"/>
          <w:sz w:val="22"/>
          <w:szCs w:val="22"/>
        </w:rPr>
        <w:t xml:space="preserve"> fiscal cost sits a disproportionately large economic benefit. Inbound tourism is already worth £32.5 billion in visitor spend,</w:t>
      </w:r>
      <w:r>
        <w:fldChar w:fldCharType="begin"/>
      </w:r>
      <w:r>
        <w:instrText xml:space="preserve"> HYPERLINK \l "user-content-fn-3" </w:instrText>
      </w:r>
      <w:r>
        <w:fldChar w:fldCharType="separate"/>
      </w:r>
      <w:r w:rsidRPr="000D518E">
        <w:rPr>
          <w:rStyle w:val="Hyperlink"/>
          <w:rFonts w:ascii="Centra No2" w:hAnsi="Centra No2"/>
          <w:color w:val="auto"/>
          <w:sz w:val="22"/>
          <w:szCs w:val="22"/>
          <w:vertAlign w:val="superscript"/>
        </w:rPr>
        <w:t>3</w:t>
      </w:r>
      <w:r>
        <w:fldChar w:fldCharType="end"/>
      </w:r>
      <w:r w:rsidRPr="000D518E">
        <w:rPr>
          <w:rFonts w:ascii="Centra No2" w:hAnsi="Centra No2"/>
          <w:sz w:val="22"/>
          <w:szCs w:val="22"/>
        </w:rPr>
        <w:t xml:space="preserve"> supports 1.2 million jobs,</w:t>
      </w:r>
      <w:r>
        <w:fldChar w:fldCharType="begin"/>
      </w:r>
      <w:r>
        <w:instrText xml:space="preserve"> HYPERLINK \l "user-content-fn-3" </w:instrText>
      </w:r>
      <w:r>
        <w:fldChar w:fldCharType="separate"/>
      </w:r>
      <w:r w:rsidRPr="000D518E">
        <w:rPr>
          <w:rStyle w:val="Hyperlink"/>
          <w:rFonts w:ascii="Centra No2" w:hAnsi="Centra No2"/>
          <w:color w:val="auto"/>
          <w:sz w:val="22"/>
          <w:szCs w:val="22"/>
          <w:vertAlign w:val="superscript"/>
        </w:rPr>
        <w:t>3</w:t>
      </w:r>
      <w:r>
        <w:fldChar w:fldCharType="end"/>
      </w:r>
      <w:r w:rsidRPr="000D518E">
        <w:rPr>
          <w:rFonts w:ascii="Centra No2" w:hAnsi="Centra No2"/>
          <w:sz w:val="22"/>
          <w:szCs w:val="22"/>
        </w:rPr>
        <w:t xml:space="preserve"> and contributes £74 billion to the UK economy (4% of GVA).</w:t>
      </w:r>
      <w:r>
        <w:fldChar w:fldCharType="begin"/>
      </w:r>
      <w:r>
        <w:instrText xml:space="preserve"> HYPERLINK \l "user-content-fn-2" </w:instrText>
      </w:r>
      <w:r>
        <w:fldChar w:fldCharType="separate"/>
      </w:r>
      <w:r w:rsidRPr="000D518E">
        <w:rPr>
          <w:rStyle w:val="Hyperlink"/>
          <w:rFonts w:ascii="Centra No2" w:hAnsi="Centra No2"/>
          <w:color w:val="auto"/>
          <w:sz w:val="22"/>
          <w:szCs w:val="22"/>
          <w:vertAlign w:val="superscript"/>
        </w:rPr>
        <w:t>2</w:t>
      </w:r>
      <w:r>
        <w:fldChar w:fldCharType="end"/>
      </w:r>
      <w:r w:rsidRPr="000D518E">
        <w:rPr>
          <w:rFonts w:ascii="Centra No2" w:hAnsi="Centra No2"/>
          <w:sz w:val="22"/>
          <w:szCs w:val="22"/>
        </w:rPr>
        <w:t xml:space="preserve"> Even a small improvement in the UK’s international conversion rate</w:t>
      </w:r>
      <w:r w:rsidRPr="000D518E">
        <w:rPr>
          <w:rFonts w:ascii="Centra No2" w:hAnsi="Centra No2"/>
          <w:sz w:val="22"/>
          <w:szCs w:val="22"/>
        </w:rPr>
        <w:t xml:space="preserve">, </w:t>
      </w:r>
      <w:r w:rsidRPr="000D518E">
        <w:rPr>
          <w:rFonts w:ascii="Centra No2" w:hAnsi="Centra No2"/>
          <w:sz w:val="22"/>
          <w:szCs w:val="22"/>
        </w:rPr>
        <w:t xml:space="preserve">from the competitive drag removed, and from travel platforms </w:t>
      </w:r>
      <w:r w:rsidRPr="000D518E">
        <w:rPr>
          <w:rFonts w:ascii="Centra No2" w:hAnsi="Centra No2"/>
          <w:sz w:val="22"/>
          <w:szCs w:val="22"/>
        </w:rPr>
        <w:t xml:space="preserve">seeing increased benefit in marketing </w:t>
      </w:r>
      <w:r w:rsidRPr="000D518E">
        <w:rPr>
          <w:rFonts w:ascii="Centra No2" w:hAnsi="Centra No2"/>
          <w:sz w:val="22"/>
          <w:szCs w:val="22"/>
        </w:rPr>
        <w:t xml:space="preserve">UK </w:t>
      </w:r>
      <w:r w:rsidRPr="000D518E">
        <w:rPr>
          <w:rFonts w:ascii="Centra No2" w:hAnsi="Centra No2"/>
          <w:sz w:val="22"/>
          <w:szCs w:val="22"/>
        </w:rPr>
        <w:t xml:space="preserve">destinations, </w:t>
      </w:r>
      <w:r w:rsidRPr="000D518E">
        <w:rPr>
          <w:rFonts w:ascii="Centra No2" w:hAnsi="Centra No2"/>
          <w:sz w:val="22"/>
          <w:szCs w:val="22"/>
        </w:rPr>
        <w:t>would more than offset foregone DST receipts. For context, closing just a fraction of the gap to Western European growth rates (</w:t>
      </w:r>
      <w:r w:rsidRPr="000D518E">
        <w:rPr>
          <w:rFonts w:ascii="Centra No2" w:hAnsi="Centra No2"/>
          <w:sz w:val="22"/>
          <w:szCs w:val="22"/>
        </w:rPr>
        <w:t xml:space="preserve">such as those indicated in </w:t>
      </w:r>
      <w:r w:rsidRPr="000D518E">
        <w:rPr>
          <w:rFonts w:ascii="Centra No2" w:hAnsi="Centra No2"/>
          <w:sz w:val="22"/>
          <w:szCs w:val="22"/>
        </w:rPr>
        <w:t xml:space="preserve">Table </w:t>
      </w:r>
      <w:r w:rsidRPr="000D518E">
        <w:rPr>
          <w:rFonts w:ascii="Centra No2" w:hAnsi="Centra No2"/>
          <w:sz w:val="22"/>
          <w:szCs w:val="22"/>
        </w:rPr>
        <w:t>1</w:t>
      </w:r>
      <w:r w:rsidRPr="000D518E">
        <w:rPr>
          <w:rFonts w:ascii="Centra No2" w:hAnsi="Centra No2"/>
          <w:sz w:val="22"/>
          <w:szCs w:val="22"/>
        </w:rPr>
        <w:t>) would add £4.4 billion per year to the UK economy by 2030.</w:t>
      </w:r>
      <w:r>
        <w:fldChar w:fldCharType="begin"/>
      </w:r>
      <w:r>
        <w:instrText xml:space="preserve"> HYPERLINK \l "user-content-fn-5" </w:instrText>
      </w:r>
      <w:r>
        <w:fldChar w:fldCharType="separate"/>
      </w:r>
      <w:r w:rsidRPr="000D518E">
        <w:rPr>
          <w:rStyle w:val="Hyperlink"/>
          <w:rFonts w:ascii="Centra No2" w:hAnsi="Centra No2"/>
          <w:color w:val="auto"/>
          <w:sz w:val="22"/>
          <w:szCs w:val="22"/>
          <w:vertAlign w:val="superscript"/>
        </w:rPr>
        <w:t>5</w:t>
      </w:r>
      <w:r>
        <w:fldChar w:fldCharType="end"/>
      </w:r>
      <w:r w:rsidRPr="000D518E">
        <w:rPr>
          <w:rFonts w:ascii="Centra No2" w:hAnsi="Centra No2"/>
          <w:sz w:val="22"/>
          <w:szCs w:val="22"/>
        </w:rPr>
        <w:t xml:space="preserve"> </w:t>
      </w:r>
    </w:p>
    <w:p w:rsidR="00A00B2A" w:rsidRPr="00C74E54" w:rsidP="005F1A8D">
      <w:pPr>
        <w:jc w:val="both"/>
        <w:rPr>
          <w:rFonts w:ascii="Centra No2" w:hAnsi="Centra No2"/>
          <w:b/>
          <w:bCs/>
        </w:rPr>
      </w:pPr>
      <w:r w:rsidRPr="00C74E54">
        <w:rPr>
          <w:rFonts w:ascii="Centra No2" w:hAnsi="Centra No2"/>
          <w:b/>
          <w:bCs/>
        </w:rPr>
        <w:t>The policy sits naturally within the Government’s own growth and tourism strategy</w:t>
      </w:r>
    </w:p>
    <w:p w:rsidR="00A00B2A" w:rsidRPr="000D518E" w:rsidP="005F1A8D">
      <w:pPr>
        <w:jc w:val="both"/>
        <w:rPr>
          <w:rFonts w:ascii="Centra No2" w:hAnsi="Centra No2"/>
          <w:sz w:val="22"/>
          <w:szCs w:val="22"/>
        </w:rPr>
      </w:pPr>
      <w:r w:rsidRPr="000D518E">
        <w:rPr>
          <w:rFonts w:ascii="Centra No2" w:hAnsi="Centra No2"/>
          <w:sz w:val="22"/>
          <w:szCs w:val="22"/>
        </w:rPr>
        <w:t xml:space="preserve">Exempting travel </w:t>
      </w:r>
      <w:r>
        <w:rPr>
          <w:rFonts w:ascii="Centra No2" w:hAnsi="Centra No2"/>
          <w:sz w:val="22"/>
          <w:szCs w:val="22"/>
        </w:rPr>
        <w:t>marketplaces</w:t>
      </w:r>
      <w:r w:rsidRPr="000D518E">
        <w:rPr>
          <w:rFonts w:ascii="Centra No2" w:hAnsi="Centra No2"/>
          <w:sz w:val="22"/>
          <w:szCs w:val="22"/>
        </w:rPr>
        <w:t xml:space="preserve"> </w:t>
      </w:r>
      <w:r w:rsidRPr="000D518E">
        <w:rPr>
          <w:rFonts w:ascii="Centra No2" w:hAnsi="Centra No2"/>
          <w:sz w:val="22"/>
          <w:szCs w:val="22"/>
        </w:rPr>
        <w:t>from DST would be consistent with, and supportive of:</w:t>
      </w:r>
    </w:p>
    <w:p w:rsidR="00A00B2A" w:rsidRPr="000D518E" w:rsidP="005F1A8D">
      <w:pPr>
        <w:pStyle w:val="Compact"/>
        <w:numPr>
          <w:ilvl w:val="0"/>
          <w:numId w:val="10"/>
        </w:numPr>
        <w:jc w:val="both"/>
        <w:rPr>
          <w:rFonts w:ascii="Centra No2" w:hAnsi="Centra No2"/>
          <w:sz w:val="22"/>
          <w:szCs w:val="22"/>
        </w:rPr>
      </w:pPr>
      <w:r w:rsidRPr="000D518E">
        <w:rPr>
          <w:rFonts w:ascii="Centra No2" w:hAnsi="Centra No2"/>
          <w:sz w:val="22"/>
          <w:szCs w:val="22"/>
        </w:rPr>
        <w:t>The Government’s 50 million-by-2030 ambition and forthcoming National Visitor Economy Strategy;</w:t>
      </w:r>
      <w:r>
        <w:fldChar w:fldCharType="begin"/>
      </w:r>
      <w:r>
        <w:instrText xml:space="preserve"> HYPERLINK \l "user-content-fn-12" </w:instrText>
      </w:r>
      <w:r>
        <w:fldChar w:fldCharType="separate"/>
      </w:r>
      <w:r w:rsidRPr="000D518E">
        <w:rPr>
          <w:rStyle w:val="Hyperlink"/>
          <w:rFonts w:ascii="Centra No2" w:hAnsi="Centra No2"/>
          <w:color w:val="auto"/>
          <w:sz w:val="22"/>
          <w:szCs w:val="22"/>
          <w:vertAlign w:val="superscript"/>
        </w:rPr>
        <w:t>12</w:t>
      </w:r>
      <w:r>
        <w:fldChar w:fldCharType="end"/>
      </w:r>
    </w:p>
    <w:p w:rsidR="00A00B2A" w:rsidRPr="000D518E" w:rsidP="005F1A8D">
      <w:pPr>
        <w:pStyle w:val="Compact"/>
        <w:numPr>
          <w:ilvl w:val="0"/>
          <w:numId w:val="10"/>
        </w:numPr>
        <w:jc w:val="both"/>
        <w:rPr>
          <w:rFonts w:ascii="Centra No2" w:hAnsi="Centra No2"/>
          <w:sz w:val="22"/>
          <w:szCs w:val="22"/>
        </w:rPr>
      </w:pPr>
      <w:r w:rsidRPr="000D518E">
        <w:rPr>
          <w:rFonts w:ascii="Centra No2" w:hAnsi="Centra No2"/>
          <w:sz w:val="22"/>
          <w:szCs w:val="22"/>
        </w:rPr>
        <w:t>The Visitor Economy Advisory Council’s focus on international competitiveness;</w:t>
      </w:r>
      <w:r w:rsidRPr="000D518E">
        <w:rPr>
          <w:rFonts w:ascii="Centra No2" w:hAnsi="Centra No2"/>
          <w:sz w:val="22"/>
          <w:szCs w:val="22"/>
          <w:vertAlign w:val="superscript"/>
        </w:rPr>
        <w:t>12</w:t>
      </w:r>
      <w:r w:rsidRPr="000D518E">
        <w:rPr>
          <w:rFonts w:ascii="Centra No2" w:hAnsi="Centra No2"/>
          <w:sz w:val="22"/>
          <w:szCs w:val="22"/>
        </w:rPr>
        <w:t xml:space="preserve"> </w:t>
      </w:r>
    </w:p>
    <w:p w:rsidR="00A00B2A" w:rsidRPr="000D518E" w:rsidP="005F1A8D">
      <w:pPr>
        <w:pStyle w:val="Compact"/>
        <w:numPr>
          <w:ilvl w:val="0"/>
          <w:numId w:val="10"/>
        </w:numPr>
        <w:jc w:val="both"/>
        <w:rPr>
          <w:rFonts w:ascii="Centra No2" w:hAnsi="Centra No2"/>
          <w:sz w:val="22"/>
          <w:szCs w:val="22"/>
        </w:rPr>
      </w:pPr>
      <w:r w:rsidRPr="000D518E">
        <w:rPr>
          <w:rFonts w:ascii="Centra No2" w:hAnsi="Centra No2"/>
          <w:sz w:val="22"/>
          <w:szCs w:val="22"/>
        </w:rPr>
        <w:t>The Prime Minister’s growth mission — because inbound tourism is a net export and a proven driver of regional growth, with 60% of the additional inbound spend generated by VisitBritain/VisitEngland activity occurring outside London;</w:t>
      </w:r>
      <w:r>
        <w:fldChar w:fldCharType="begin"/>
      </w:r>
      <w:r>
        <w:instrText xml:space="preserve"> HYPERLINK \l "user-content-fn-13" </w:instrText>
      </w:r>
      <w:r>
        <w:fldChar w:fldCharType="separate"/>
      </w:r>
      <w:r w:rsidRPr="000D518E">
        <w:rPr>
          <w:rStyle w:val="Hyperlink"/>
          <w:rFonts w:ascii="Centra No2" w:hAnsi="Centra No2"/>
          <w:color w:val="auto"/>
          <w:sz w:val="22"/>
          <w:szCs w:val="22"/>
          <w:vertAlign w:val="superscript"/>
        </w:rPr>
        <w:t>13</w:t>
      </w:r>
      <w:r>
        <w:fldChar w:fldCharType="end"/>
      </w:r>
    </w:p>
    <w:p w:rsidR="00A00B2A" w:rsidRPr="00905AC0" w:rsidP="005F1A8D">
      <w:pPr>
        <w:pStyle w:val="Compact"/>
        <w:numPr>
          <w:ilvl w:val="0"/>
          <w:numId w:val="10"/>
        </w:numPr>
        <w:jc w:val="both"/>
        <w:rPr>
          <w:rFonts w:ascii="Centra No2" w:hAnsi="Centra No2"/>
          <w:sz w:val="22"/>
          <w:szCs w:val="22"/>
        </w:rPr>
      </w:pPr>
      <w:r w:rsidRPr="000D518E">
        <w:rPr>
          <w:rFonts w:ascii="Centra No2" w:hAnsi="Centra No2"/>
          <w:sz w:val="22"/>
          <w:szCs w:val="22"/>
        </w:rPr>
        <w:t>The Tourism Alliance’s and WTTC’s</w:t>
      </w:r>
      <w:r w:rsidRPr="000D518E">
        <w:rPr>
          <w:rFonts w:ascii="Centra No2" w:hAnsi="Centra No2"/>
          <w:sz w:val="22"/>
          <w:szCs w:val="22"/>
        </w:rPr>
        <w:t xml:space="preserve">, both groups aligned with the Government’s overall goals, </w:t>
      </w:r>
      <w:r w:rsidRPr="000D518E">
        <w:rPr>
          <w:rFonts w:ascii="Centra No2" w:hAnsi="Centra No2"/>
          <w:sz w:val="22"/>
          <w:szCs w:val="22"/>
        </w:rPr>
        <w:t>call to “tackle our persistently poor ranking on international competitiveness”.</w:t>
      </w:r>
      <w:r>
        <w:fldChar w:fldCharType="begin"/>
      </w:r>
      <w:r>
        <w:instrText xml:space="preserve"> HYPERLINK \l "user-content-fn-14" </w:instrText>
      </w:r>
      <w:r>
        <w:fldChar w:fldCharType="separate"/>
      </w:r>
      <w:r w:rsidRPr="000D518E">
        <w:rPr>
          <w:rStyle w:val="Hyperlink"/>
          <w:rFonts w:ascii="Centra No2" w:hAnsi="Centra No2"/>
          <w:color w:val="auto"/>
          <w:sz w:val="22"/>
          <w:szCs w:val="22"/>
          <w:vertAlign w:val="superscript"/>
        </w:rPr>
        <w:t>14</w:t>
      </w:r>
      <w:r>
        <w:fldChar w:fldCharType="end"/>
      </w:r>
    </w:p>
    <w:p w:rsidR="00A00B2A" w:rsidP="00F405B6">
      <w:pPr>
        <w:pStyle w:val="Compact"/>
        <w:jc w:val="both"/>
      </w:pPr>
    </w:p>
    <w:p w:rsidR="00A00B2A" w:rsidRPr="003B0987" w:rsidP="00F405B6">
      <w:pPr>
        <w:pStyle w:val="Compact"/>
        <w:jc w:val="both"/>
        <w:rPr>
          <w:rFonts w:ascii="Centra No2" w:hAnsi="Centra No2"/>
          <w:b/>
          <w:bCs/>
        </w:rPr>
      </w:pPr>
      <w:r w:rsidRPr="003B0987">
        <w:rPr>
          <w:rFonts w:ascii="Centra No2" w:hAnsi="Centra No2"/>
          <w:b/>
          <w:bCs/>
        </w:rPr>
        <w:t>Interim measures that would alleviate the negative impact of the DST on inbound tourism</w:t>
      </w:r>
    </w:p>
    <w:p w:rsidR="00A00B2A" w:rsidRPr="003B0987" w:rsidP="00F405B6">
      <w:pPr>
        <w:pStyle w:val="Compact"/>
        <w:jc w:val="both"/>
        <w:rPr>
          <w:rFonts w:ascii="Centra No2" w:hAnsi="Centra No2"/>
          <w:sz w:val="22"/>
          <w:szCs w:val="22"/>
        </w:rPr>
      </w:pPr>
    </w:p>
    <w:p w:rsidR="00A00B2A" w:rsidRPr="003B0987" w:rsidP="00F405B6">
      <w:pPr>
        <w:pStyle w:val="Compact"/>
        <w:jc w:val="both"/>
        <w:rPr>
          <w:rFonts w:ascii="Centra No2" w:hAnsi="Centra No2"/>
          <w:sz w:val="22"/>
          <w:szCs w:val="22"/>
        </w:rPr>
      </w:pPr>
      <w:r w:rsidRPr="003B0987">
        <w:rPr>
          <w:rFonts w:ascii="Centra No2" w:hAnsi="Centra No2"/>
          <w:sz w:val="22"/>
          <w:szCs w:val="22"/>
        </w:rPr>
        <w:t xml:space="preserve">There are several options for improving the operation of the UK’s DST in the interim that would alleviate some of the issues outlined above. In particular, </w:t>
      </w:r>
      <w:r w:rsidRPr="003B0987">
        <w:rPr>
          <w:rFonts w:ascii="Centra No2" w:hAnsi="Centra No2"/>
          <w:sz w:val="22"/>
          <w:szCs w:val="22"/>
        </w:rPr>
        <w:t xml:space="preserve">the </w:t>
      </w:r>
      <w:r w:rsidRPr="003B0987">
        <w:rPr>
          <w:rFonts w:ascii="Centra No2" w:hAnsi="Centra No2"/>
          <w:sz w:val="22"/>
          <w:szCs w:val="22"/>
        </w:rPr>
        <w:t>cross-border</w:t>
      </w:r>
      <w:r w:rsidRPr="003B0987">
        <w:rPr>
          <w:rFonts w:ascii="Centra No2" w:hAnsi="Centra No2"/>
          <w:sz w:val="22"/>
          <w:szCs w:val="22"/>
        </w:rPr>
        <w:t xml:space="preserve"> relief mechanism which is intended</w:t>
      </w:r>
      <w:r w:rsidRPr="003B0987">
        <w:rPr>
          <w:rFonts w:ascii="Centra No2" w:hAnsi="Centra No2"/>
          <w:sz w:val="22"/>
          <w:szCs w:val="22"/>
        </w:rPr>
        <w:t xml:space="preserve"> to avoid the double taxation of transactions involving two DST-levelling countries is hard to use in practice, requiring a significant amount of data that not all in-scope platforms possess. This leads to significant double and triple taxation of the same transaction. Making it easier for businesses to access the </w:t>
      </w:r>
      <w:r w:rsidRPr="003B0987">
        <w:rPr>
          <w:rFonts w:ascii="Centra No2" w:hAnsi="Centra No2"/>
          <w:sz w:val="22"/>
          <w:szCs w:val="22"/>
        </w:rPr>
        <w:t>cross-border</w:t>
      </w:r>
      <w:r w:rsidRPr="003B0987">
        <w:rPr>
          <w:rFonts w:ascii="Centra No2" w:hAnsi="Centra No2"/>
          <w:sz w:val="22"/>
          <w:szCs w:val="22"/>
        </w:rPr>
        <w:t xml:space="preserve"> relief mechanism (which is particularly important for travel marketplaces given the inherently international nature of the transactions they oversee) would reduce instances of such do</w:t>
      </w:r>
      <w:r w:rsidRPr="003B0987">
        <w:rPr>
          <w:rFonts w:ascii="Centra No2" w:hAnsi="Centra No2"/>
          <w:sz w:val="22"/>
          <w:szCs w:val="22"/>
        </w:rPr>
        <w:t xml:space="preserve">uble taxation. </w:t>
      </w:r>
    </w:p>
    <w:p w:rsidR="00A00B2A" w:rsidRPr="003B0987" w:rsidP="003B0987">
      <w:pPr>
        <w:pStyle w:val="Compact"/>
        <w:jc w:val="both"/>
        <w:rPr>
          <w:rFonts w:ascii="Centra No2" w:hAnsi="Centra No2"/>
          <w:sz w:val="22"/>
          <w:szCs w:val="22"/>
        </w:rPr>
      </w:pPr>
    </w:p>
    <w:p w:rsidR="00A00B2A" w:rsidRPr="003B0987" w:rsidP="003B0987">
      <w:pPr>
        <w:pStyle w:val="Compact"/>
        <w:jc w:val="both"/>
        <w:rPr>
          <w:rFonts w:ascii="Centra No2" w:hAnsi="Centra No2"/>
          <w:sz w:val="22"/>
          <w:szCs w:val="22"/>
        </w:rPr>
      </w:pPr>
      <w:r w:rsidRPr="003B0987">
        <w:rPr>
          <w:rFonts w:ascii="Centra No2" w:hAnsi="Centra No2"/>
          <w:sz w:val="22"/>
          <w:szCs w:val="22"/>
        </w:rPr>
        <w:t>In addition to the double taxation outlined above, many travel businesses do indeed have substantial corporate operations in the UK and are therefore also doubly hit by both the UK DST and UK corporate income tax. This undermines the original premise of the DST and its intention to apply to businesses who are not subject to UK corporate tax.  The UK Government should therefore support digital travel businesses that have UK operations by offering a credit against DST liabilities for the UK corporate tax alre</w:t>
      </w:r>
      <w:r w:rsidRPr="003B0987">
        <w:rPr>
          <w:rFonts w:ascii="Centra No2" w:hAnsi="Centra No2"/>
          <w:sz w:val="22"/>
          <w:szCs w:val="22"/>
        </w:rPr>
        <w:t>ady payable.</w:t>
      </w:r>
    </w:p>
    <w:p w:rsidR="00A00B2A" w:rsidRPr="003B0987" w:rsidP="003B0987">
      <w:pPr>
        <w:pStyle w:val="Compact"/>
        <w:jc w:val="both"/>
        <w:rPr>
          <w:rFonts w:ascii="Centra No2" w:hAnsi="Centra No2"/>
          <w:sz w:val="22"/>
          <w:szCs w:val="22"/>
        </w:rPr>
      </w:pPr>
    </w:p>
    <w:p w:rsidR="00A00B2A" w:rsidRPr="003B0987" w:rsidP="003B0987">
      <w:pPr>
        <w:pStyle w:val="Compact"/>
        <w:jc w:val="both"/>
        <w:rPr>
          <w:rFonts w:ascii="Centra No2" w:hAnsi="Centra No2"/>
          <w:sz w:val="22"/>
          <w:szCs w:val="22"/>
        </w:rPr>
      </w:pPr>
      <w:r w:rsidRPr="003B0987">
        <w:rPr>
          <w:rFonts w:ascii="Centra No2" w:hAnsi="Centra No2"/>
          <w:sz w:val="22"/>
          <w:szCs w:val="22"/>
        </w:rPr>
        <w:t xml:space="preserve">Raising the threshold for the low-margin test for the alternative basis of charge (intended to exempt low margin businesses) and the revenue thresholds that determine which firms pay the DST would also ensure </w:t>
      </w:r>
      <w:r w:rsidRPr="003B0987">
        <w:rPr>
          <w:rFonts w:ascii="Centra No2" w:hAnsi="Centra No2"/>
          <w:sz w:val="22"/>
          <w:szCs w:val="22"/>
        </w:rPr>
        <w:t xml:space="preserve">that the DST is better targeted at the most profitable global businesses whose tax bills do not correspond to the value they gain from operating in the UK. This would limit the negative impact of the DST on the UK’s tourism sector and boost the UK’s international competitiveness. </w:t>
      </w:r>
    </w:p>
    <w:p w:rsidR="00A00B2A" w:rsidRPr="003B0987" w:rsidP="003B0987">
      <w:pPr>
        <w:pStyle w:val="Compact"/>
        <w:jc w:val="both"/>
        <w:rPr>
          <w:rFonts w:ascii="Centra No2" w:hAnsi="Centra No2"/>
          <w:sz w:val="22"/>
          <w:szCs w:val="22"/>
        </w:rPr>
      </w:pPr>
    </w:p>
    <w:p w:rsidR="00A00B2A" w:rsidRPr="00F405B6" w:rsidP="003B0987">
      <w:pPr>
        <w:pStyle w:val="Compact"/>
        <w:jc w:val="both"/>
        <w:rPr>
          <w:rFonts w:ascii="Centra No2" w:hAnsi="Centra No2"/>
          <w:sz w:val="22"/>
          <w:szCs w:val="22"/>
        </w:rPr>
      </w:pPr>
      <w:r w:rsidRPr="003B0987">
        <w:rPr>
          <w:rFonts w:ascii="Centra No2" w:hAnsi="Centra No2"/>
          <w:sz w:val="22"/>
          <w:szCs w:val="22"/>
        </w:rPr>
        <w:t>While these measures would represent a significant improvement</w:t>
      </w:r>
      <w:r w:rsidRPr="003B0987">
        <w:rPr>
          <w:rFonts w:ascii="Centra No2" w:hAnsi="Centra No2"/>
          <w:sz w:val="22"/>
          <w:szCs w:val="22"/>
        </w:rPr>
        <w:t xml:space="preserve"> </w:t>
      </w:r>
      <w:r w:rsidRPr="003B0987">
        <w:rPr>
          <w:rFonts w:ascii="Centra No2" w:hAnsi="Centra No2"/>
          <w:sz w:val="22"/>
          <w:szCs w:val="22"/>
        </w:rPr>
        <w:t>on the DST’s current design, it is clear that an exemption for travel marketplaces would be the most effective solution, for the reasons we have outlined above.</w:t>
      </w:r>
    </w:p>
    <w:p w:rsidR="00A00B2A" w:rsidRPr="000D518E" w:rsidP="005F1A8D">
      <w:pPr>
        <w:pStyle w:val="Heading2"/>
        <w:jc w:val="both"/>
        <w:rPr>
          <w:rFonts w:ascii="Centra No2" w:hAnsi="Centra No2"/>
          <w:b/>
          <w:bCs/>
          <w:color w:val="auto"/>
          <w:sz w:val="28"/>
          <w:szCs w:val="28"/>
          <w:u w:val="single"/>
        </w:rPr>
      </w:pPr>
      <w:bookmarkStart w:id="7" w:name="summary-of-recommendations"/>
      <w:bookmarkEnd w:id="5"/>
      <w:bookmarkEnd w:id="6"/>
      <w:r w:rsidRPr="000D518E">
        <w:rPr>
          <w:rFonts w:ascii="Centra No2" w:hAnsi="Centra No2"/>
          <w:b/>
          <w:bCs/>
          <w:color w:val="auto"/>
          <w:sz w:val="28"/>
          <w:szCs w:val="28"/>
          <w:u w:val="single"/>
        </w:rPr>
        <w:t>Conclusion</w:t>
      </w:r>
    </w:p>
    <w:p w:rsidR="00A00B2A" w:rsidRPr="000D518E" w:rsidP="005F1A8D">
      <w:pPr>
        <w:jc w:val="both"/>
        <w:rPr>
          <w:rFonts w:ascii="Centra No2" w:hAnsi="Centra No2"/>
          <w:sz w:val="22"/>
          <w:szCs w:val="22"/>
        </w:rPr>
      </w:pPr>
      <w:r w:rsidRPr="000D518E">
        <w:rPr>
          <w:rFonts w:ascii="Centra No2" w:hAnsi="Centra No2"/>
          <w:sz w:val="22"/>
          <w:szCs w:val="22"/>
        </w:rPr>
        <w:t xml:space="preserve">The Committee’s terms of reference for the inquiry are broad, </w:t>
      </w:r>
      <w:r>
        <w:rPr>
          <w:rFonts w:ascii="Centra No2" w:hAnsi="Centra No2"/>
          <w:sz w:val="22"/>
          <w:szCs w:val="22"/>
        </w:rPr>
        <w:t xml:space="preserve">and so </w:t>
      </w:r>
      <w:r w:rsidRPr="000D518E">
        <w:rPr>
          <w:rFonts w:ascii="Centra No2" w:hAnsi="Centra No2"/>
          <w:sz w:val="22"/>
          <w:szCs w:val="22"/>
        </w:rPr>
        <w:t>we appreciate this submission raises just one issue in response</w:t>
      </w:r>
      <w:r>
        <w:rPr>
          <w:rFonts w:ascii="Centra No2" w:hAnsi="Centra No2"/>
          <w:sz w:val="22"/>
          <w:szCs w:val="22"/>
        </w:rPr>
        <w:t xml:space="preserve"> – </w:t>
      </w:r>
      <w:r>
        <w:rPr>
          <w:rFonts w:ascii="Centra No2" w:hAnsi="Centra No2"/>
          <w:sz w:val="22"/>
          <w:szCs w:val="22"/>
        </w:rPr>
        <w:t>the problems associated with travel bookings falling into scope of the DST</w:t>
      </w:r>
      <w:r w:rsidRPr="000D518E">
        <w:rPr>
          <w:rFonts w:ascii="Centra No2" w:hAnsi="Centra No2"/>
          <w:sz w:val="22"/>
          <w:szCs w:val="22"/>
        </w:rPr>
        <w:t xml:space="preserve">. </w:t>
      </w:r>
      <w:r w:rsidRPr="000D518E">
        <w:rPr>
          <w:rFonts w:ascii="Centra No2" w:hAnsi="Centra No2"/>
          <w:sz w:val="22"/>
          <w:szCs w:val="22"/>
        </w:rPr>
        <w:t xml:space="preserve">However, </w:t>
      </w:r>
      <w:r>
        <w:rPr>
          <w:rFonts w:ascii="Centra No2" w:hAnsi="Centra No2"/>
          <w:sz w:val="22"/>
          <w:szCs w:val="22"/>
        </w:rPr>
        <w:t>given the importance of th</w:t>
      </w:r>
      <w:r>
        <w:rPr>
          <w:rFonts w:ascii="Centra No2" w:hAnsi="Centra No2"/>
          <w:sz w:val="22"/>
          <w:szCs w:val="22"/>
        </w:rPr>
        <w:t>is</w:t>
      </w:r>
      <w:r>
        <w:rPr>
          <w:rFonts w:ascii="Centra No2" w:hAnsi="Centra No2"/>
          <w:sz w:val="22"/>
          <w:szCs w:val="22"/>
        </w:rPr>
        <w:t xml:space="preserve"> </w:t>
      </w:r>
      <w:r w:rsidRPr="000D518E">
        <w:rPr>
          <w:rFonts w:ascii="Centra No2" w:hAnsi="Centra No2"/>
          <w:sz w:val="22"/>
          <w:szCs w:val="22"/>
        </w:rPr>
        <w:t>issue</w:t>
      </w:r>
      <w:r>
        <w:rPr>
          <w:rFonts w:ascii="Centra No2" w:hAnsi="Centra No2"/>
          <w:sz w:val="22"/>
          <w:szCs w:val="22"/>
        </w:rPr>
        <w:t xml:space="preserve">, we are </w:t>
      </w:r>
      <w:r>
        <w:rPr>
          <w:rFonts w:ascii="Centra No2" w:hAnsi="Centra No2"/>
          <w:sz w:val="22"/>
          <w:szCs w:val="22"/>
        </w:rPr>
        <w:t xml:space="preserve">keen to ensure it </w:t>
      </w:r>
      <w:r w:rsidRPr="000D518E">
        <w:rPr>
          <w:rFonts w:ascii="Centra No2" w:hAnsi="Centra No2"/>
          <w:sz w:val="22"/>
          <w:szCs w:val="22"/>
        </w:rPr>
        <w:t xml:space="preserve">receives attention from the Committee as part of your wider deliberations. </w:t>
      </w:r>
      <w:r w:rsidRPr="000D518E">
        <w:rPr>
          <w:rFonts w:ascii="Centra No2" w:hAnsi="Centra No2"/>
          <w:sz w:val="22"/>
          <w:szCs w:val="22"/>
        </w:rPr>
        <w:t xml:space="preserve">If we can provide any further information to help with the Committee, please let us know. </w:t>
      </w:r>
    </w:p>
    <w:p w:rsidR="00A00B2A" w:rsidRPr="009C0CDA" w:rsidP="00A10DBF">
      <w:pPr>
        <w:pStyle w:val="Heading2"/>
        <w:rPr>
          <w:rFonts w:ascii="Centra No2" w:hAnsi="Centra No2"/>
          <w:b/>
          <w:bCs/>
          <w:color w:val="auto"/>
          <w:sz w:val="28"/>
          <w:szCs w:val="28"/>
          <w:u w:val="single"/>
        </w:rPr>
      </w:pPr>
      <w:bookmarkStart w:id="8" w:name="references"/>
      <w:bookmarkEnd w:id="7"/>
      <w:r w:rsidRPr="009C0CDA">
        <w:rPr>
          <w:rFonts w:ascii="Centra No2" w:hAnsi="Centra No2"/>
          <w:b/>
          <w:bCs/>
          <w:color w:val="auto"/>
          <w:sz w:val="28"/>
          <w:szCs w:val="28"/>
          <w:u w:val="single"/>
        </w:rPr>
        <w:t>References</w:t>
      </w:r>
    </w:p>
    <w:p w:rsidR="00A00B2A" w:rsidRPr="009C0CDA" w:rsidP="009C0CDA">
      <w:pPr>
        <w:pStyle w:val="Compact"/>
        <w:numPr>
          <w:ilvl w:val="0"/>
          <w:numId w:val="13"/>
        </w:numPr>
        <w:rPr>
          <w:rFonts w:ascii="Centra No2" w:hAnsi="Centra No2"/>
          <w:sz w:val="18"/>
          <w:szCs w:val="18"/>
        </w:rPr>
      </w:pPr>
      <w:r w:rsidRPr="009C0CDA">
        <w:rPr>
          <w:rFonts w:ascii="Centra No2" w:hAnsi="Centra No2"/>
          <w:sz w:val="18"/>
          <w:szCs w:val="18"/>
        </w:rPr>
        <w:t xml:space="preserve">UK Parliament, Culture, Media and Sport Committee, </w:t>
      </w:r>
      <w:r w:rsidRPr="009C0CDA">
        <w:rPr>
          <w:rFonts w:ascii="Centra No2" w:hAnsi="Centra No2"/>
          <w:i/>
          <w:iCs/>
          <w:sz w:val="18"/>
          <w:szCs w:val="18"/>
        </w:rPr>
        <w:t>Tourism: MPs launch inquiry into the future of UK’s tourism industry</w:t>
      </w:r>
      <w:r w:rsidRPr="009C0CDA">
        <w:rPr>
          <w:rFonts w:ascii="Centra No2" w:hAnsi="Centra No2"/>
          <w:sz w:val="18"/>
          <w:szCs w:val="18"/>
        </w:rPr>
        <w:t xml:space="preserve">, 9 April 2026 — </w:t>
      </w:r>
      <w:r>
        <w:fldChar w:fldCharType="begin"/>
      </w:r>
      <w:r>
        <w:instrText xml:space="preserve"> HYPERLINK "https://committees.parliament.uk/submission/3897/" \l "/evidence/3897/call-for-evidence" </w:instrText>
      </w:r>
      <w:r>
        <w:fldChar w:fldCharType="separate"/>
      </w:r>
      <w:r w:rsidRPr="009C0CDA">
        <w:rPr>
          <w:rStyle w:val="Hyperlink"/>
          <w:rFonts w:ascii="Centra No2" w:hAnsi="Centra No2"/>
          <w:sz w:val="18"/>
          <w:szCs w:val="18"/>
        </w:rPr>
        <w:t>https://committees.parliament.uk/submission/3897/#/evidence/3897/call-for-evidence</w:t>
      </w:r>
      <w:r>
        <w:fldChar w:fldCharType="end"/>
      </w:r>
      <w:r w:rsidRPr="009C0CDA">
        <w:rPr>
          <w:rFonts w:ascii="Centra No2" w:hAnsi="Centra No2"/>
          <w:sz w:val="18"/>
          <w:szCs w:val="18"/>
        </w:rPr>
        <w:t xml:space="preserve"> </w:t>
      </w:r>
    </w:p>
    <w:p w:rsidR="00A00B2A" w:rsidRPr="009C0CDA" w:rsidP="009C0CDA">
      <w:pPr>
        <w:pStyle w:val="Compact"/>
        <w:numPr>
          <w:ilvl w:val="0"/>
          <w:numId w:val="13"/>
        </w:numPr>
        <w:rPr>
          <w:rFonts w:ascii="Centra No2" w:hAnsi="Centra No2"/>
          <w:sz w:val="18"/>
          <w:szCs w:val="18"/>
        </w:rPr>
      </w:pPr>
      <w:r w:rsidRPr="009C0CDA">
        <w:rPr>
          <w:rFonts w:ascii="Centra No2" w:hAnsi="Centra No2"/>
          <w:sz w:val="18"/>
          <w:szCs w:val="18"/>
        </w:rPr>
        <w:t xml:space="preserve">HM Government, </w:t>
      </w:r>
      <w:r w:rsidRPr="009C0CDA">
        <w:rPr>
          <w:rFonts w:ascii="Centra No2" w:hAnsi="Centra No2"/>
          <w:i/>
          <w:iCs/>
          <w:sz w:val="18"/>
          <w:szCs w:val="18"/>
        </w:rPr>
        <w:t>New ambition for 50 million annual visits to UK announced by Tourism Minister</w:t>
      </w:r>
      <w:r w:rsidRPr="009C0CDA">
        <w:rPr>
          <w:rFonts w:ascii="Centra No2" w:hAnsi="Centra No2"/>
          <w:sz w:val="18"/>
          <w:szCs w:val="18"/>
        </w:rPr>
        <w:t xml:space="preserve">, 27 November 2024 — </w:t>
      </w:r>
      <w:r>
        <w:fldChar w:fldCharType="begin"/>
      </w:r>
      <w:r>
        <w:instrText xml:space="preserve"> HYPERLINK "https://www.gov.uk/government/news/new-ambition-for-50-million-annual-visits-to-uk-announced-by-tourism-minister" </w:instrText>
      </w:r>
      <w:r>
        <w:fldChar w:fldCharType="separate"/>
      </w:r>
      <w:r w:rsidRPr="009C0CDA">
        <w:rPr>
          <w:rStyle w:val="Hyperlink"/>
          <w:rFonts w:ascii="Centra No2" w:hAnsi="Centra No2"/>
          <w:sz w:val="18"/>
          <w:szCs w:val="18"/>
        </w:rPr>
        <w:t>https://www.gov.uk/government/news/new-ambition-for-50-million-annual-visits-to-uk-announced-by-tourism-minister</w:t>
      </w:r>
      <w:r>
        <w:fldChar w:fldCharType="end"/>
      </w:r>
      <w:r w:rsidRPr="009C0CDA">
        <w:rPr>
          <w:rFonts w:ascii="Centra No2" w:hAnsi="Centra No2"/>
          <w:sz w:val="18"/>
          <w:szCs w:val="18"/>
        </w:rPr>
        <w:t xml:space="preserve"> </w:t>
      </w:r>
    </w:p>
    <w:p w:rsidR="00A00B2A" w:rsidRPr="009C0CDA" w:rsidP="009C0CDA">
      <w:pPr>
        <w:pStyle w:val="Compact"/>
        <w:numPr>
          <w:ilvl w:val="0"/>
          <w:numId w:val="13"/>
        </w:numPr>
        <w:rPr>
          <w:rFonts w:ascii="Centra No2" w:hAnsi="Centra No2"/>
          <w:sz w:val="18"/>
          <w:szCs w:val="18"/>
        </w:rPr>
      </w:pPr>
      <w:r w:rsidRPr="009C0CDA">
        <w:rPr>
          <w:rFonts w:ascii="Centra No2" w:hAnsi="Centra No2"/>
          <w:sz w:val="18"/>
          <w:szCs w:val="18"/>
        </w:rPr>
        <w:t xml:space="preserve">House of Commons Library, </w:t>
      </w:r>
      <w:r w:rsidRPr="009C0CDA">
        <w:rPr>
          <w:rFonts w:ascii="Centra No2" w:hAnsi="Centra No2"/>
          <w:i/>
          <w:iCs/>
          <w:sz w:val="18"/>
          <w:szCs w:val="18"/>
        </w:rPr>
        <w:t>Tourism: Statistics and policy</w:t>
      </w:r>
      <w:r w:rsidRPr="009C0CDA">
        <w:rPr>
          <w:rFonts w:ascii="Centra No2" w:hAnsi="Centra No2"/>
          <w:sz w:val="18"/>
          <w:szCs w:val="18"/>
        </w:rPr>
        <w:t xml:space="preserve"> (Research Briefing SN06022), 11 February 2026 — </w:t>
      </w:r>
      <w:r>
        <w:fldChar w:fldCharType="begin"/>
      </w:r>
      <w:r>
        <w:instrText xml:space="preserve"> HYPERLINK "https://commonslibrary.parliament.uk/research-briefings/SN06022/" </w:instrText>
      </w:r>
      <w:r>
        <w:fldChar w:fldCharType="separate"/>
      </w:r>
      <w:r w:rsidRPr="009C0CDA">
        <w:rPr>
          <w:rStyle w:val="Hyperlink"/>
          <w:rFonts w:ascii="Centra No2" w:hAnsi="Centra No2"/>
          <w:sz w:val="18"/>
          <w:szCs w:val="18"/>
        </w:rPr>
        <w:t>https://commonslibrary.parliament.uk/research-briefings/SN06022/</w:t>
      </w:r>
      <w:r>
        <w:fldChar w:fldCharType="end"/>
      </w:r>
      <w:r w:rsidRPr="009C0CDA">
        <w:rPr>
          <w:rFonts w:ascii="Centra No2" w:hAnsi="Centra No2"/>
          <w:sz w:val="18"/>
          <w:szCs w:val="18"/>
        </w:rPr>
        <w:t xml:space="preserve"> </w:t>
      </w:r>
    </w:p>
    <w:p w:rsidR="00A00B2A" w:rsidRPr="009C0CDA" w:rsidP="009C0CDA">
      <w:pPr>
        <w:pStyle w:val="Compact"/>
        <w:numPr>
          <w:ilvl w:val="0"/>
          <w:numId w:val="13"/>
        </w:numPr>
        <w:rPr>
          <w:rFonts w:ascii="Centra No2" w:hAnsi="Centra No2"/>
          <w:sz w:val="18"/>
          <w:szCs w:val="18"/>
        </w:rPr>
      </w:pPr>
      <w:r w:rsidRPr="009C0CDA">
        <w:rPr>
          <w:rFonts w:ascii="Centra No2" w:hAnsi="Centra No2"/>
          <w:sz w:val="18"/>
          <w:szCs w:val="18"/>
        </w:rPr>
        <w:t xml:space="preserve">World Travel &amp; Tourism Council, </w:t>
      </w:r>
      <w:r w:rsidRPr="009C0CDA">
        <w:rPr>
          <w:rFonts w:ascii="Centra No2" w:hAnsi="Centra No2"/>
          <w:i/>
          <w:iCs/>
          <w:sz w:val="18"/>
          <w:szCs w:val="18"/>
        </w:rPr>
        <w:t>Invest Now or Pay the Price: UK Tourism Losing its Global Position</w:t>
      </w:r>
      <w:r w:rsidRPr="009C0CDA">
        <w:rPr>
          <w:rFonts w:ascii="Centra No2" w:hAnsi="Centra No2"/>
          <w:sz w:val="18"/>
          <w:szCs w:val="18"/>
        </w:rPr>
        <w:t>, 20 January 2025 —</w:t>
      </w:r>
      <w:r w:rsidRPr="009C0CDA">
        <w:rPr>
          <w:rFonts w:ascii="Centra No2" w:hAnsi="Centra No2"/>
          <w:sz w:val="18"/>
          <w:szCs w:val="18"/>
        </w:rPr>
        <w:t xml:space="preserve"> </w:t>
      </w:r>
      <w:r>
        <w:fldChar w:fldCharType="begin"/>
      </w:r>
      <w:r>
        <w:instrText xml:space="preserve"> HYPERLINK "https://wttc.org/news/invest-now-or-pay-the-price-uk-tourism-losing-its-global-position" </w:instrText>
      </w:r>
      <w:r>
        <w:fldChar w:fldCharType="separate"/>
      </w:r>
      <w:r w:rsidRPr="009C0CDA">
        <w:rPr>
          <w:rStyle w:val="Hyperlink"/>
          <w:rFonts w:ascii="Centra No2" w:hAnsi="Centra No2"/>
          <w:sz w:val="18"/>
          <w:szCs w:val="18"/>
        </w:rPr>
        <w:t>https://wttc.org/news/invest-now-or-pay-the-price-uk-tourism-losing-its-global-position</w:t>
      </w:r>
      <w:r>
        <w:fldChar w:fldCharType="end"/>
      </w:r>
      <w:r w:rsidRPr="009C0CDA">
        <w:rPr>
          <w:rFonts w:ascii="Centra No2" w:hAnsi="Centra No2"/>
          <w:sz w:val="18"/>
          <w:szCs w:val="18"/>
        </w:rPr>
        <w:t xml:space="preserve">   </w:t>
      </w:r>
    </w:p>
    <w:p w:rsidR="00A00B2A" w:rsidRPr="009C0CDA" w:rsidP="009C0CDA">
      <w:pPr>
        <w:pStyle w:val="Compact"/>
        <w:numPr>
          <w:ilvl w:val="0"/>
          <w:numId w:val="13"/>
        </w:numPr>
        <w:rPr>
          <w:rFonts w:ascii="Centra No2" w:hAnsi="Centra No2"/>
          <w:sz w:val="18"/>
          <w:szCs w:val="18"/>
        </w:rPr>
      </w:pPr>
      <w:r w:rsidRPr="009C0CDA">
        <w:rPr>
          <w:rFonts w:ascii="Centra No2" w:hAnsi="Centra No2"/>
          <w:sz w:val="18"/>
          <w:szCs w:val="18"/>
        </w:rPr>
        <w:t xml:space="preserve">VisitBritain, </w:t>
      </w:r>
      <w:r w:rsidRPr="009C0CDA">
        <w:rPr>
          <w:rFonts w:ascii="Centra No2" w:hAnsi="Centra No2"/>
          <w:i/>
          <w:iCs/>
          <w:sz w:val="18"/>
          <w:szCs w:val="18"/>
        </w:rPr>
        <w:t>VisitBritain publishes inbound tourism forecast for 2025</w:t>
      </w:r>
      <w:r w:rsidRPr="009C0CDA">
        <w:rPr>
          <w:rFonts w:ascii="Centra No2" w:hAnsi="Centra No2"/>
          <w:sz w:val="18"/>
          <w:szCs w:val="18"/>
        </w:rPr>
        <w:t>, 18 February 2025 —</w:t>
      </w:r>
      <w:r w:rsidRPr="009C0CDA">
        <w:rPr>
          <w:rFonts w:ascii="Centra No2" w:hAnsi="Centra No2"/>
          <w:sz w:val="18"/>
          <w:szCs w:val="18"/>
        </w:rPr>
        <w:t xml:space="preserve"> </w:t>
      </w:r>
      <w:r>
        <w:fldChar w:fldCharType="begin"/>
      </w:r>
      <w:r>
        <w:instrText xml:space="preserve"> HYPERLINK "https://www.visitbritain.org/news-and-media/industry-news-and-press-releases/visitbritain-publishes-inbound-tourism-forecast-0" </w:instrText>
      </w:r>
      <w:r>
        <w:fldChar w:fldCharType="separate"/>
      </w:r>
      <w:r w:rsidRPr="009C0CDA">
        <w:rPr>
          <w:rStyle w:val="Hyperlink"/>
          <w:rFonts w:ascii="Centra No2" w:hAnsi="Centra No2"/>
          <w:sz w:val="18"/>
          <w:szCs w:val="18"/>
        </w:rPr>
        <w:t>https://www.visitbritain.org/news-and-media/industry-news-and-press-releases/visitbritain-publishes-inbound-tourism-forecast-0</w:t>
      </w:r>
      <w:r>
        <w:fldChar w:fldCharType="end"/>
      </w:r>
      <w:r w:rsidRPr="009C0CDA">
        <w:rPr>
          <w:rFonts w:ascii="Centra No2" w:hAnsi="Centra No2"/>
          <w:sz w:val="18"/>
          <w:szCs w:val="18"/>
        </w:rPr>
        <w:t xml:space="preserve"> </w:t>
      </w:r>
    </w:p>
    <w:p w:rsidR="00A00B2A" w:rsidRPr="009C0CDA" w:rsidP="009C0CDA">
      <w:pPr>
        <w:pStyle w:val="Compact"/>
        <w:numPr>
          <w:ilvl w:val="0"/>
          <w:numId w:val="13"/>
        </w:numPr>
        <w:rPr>
          <w:rFonts w:ascii="Centra No2" w:hAnsi="Centra No2"/>
          <w:sz w:val="18"/>
          <w:szCs w:val="18"/>
        </w:rPr>
      </w:pPr>
      <w:r w:rsidRPr="009C0CDA">
        <w:rPr>
          <w:rFonts w:ascii="Centra No2" w:hAnsi="Centra No2"/>
          <w:sz w:val="18"/>
          <w:szCs w:val="18"/>
        </w:rPr>
        <w:t xml:space="preserve">VisitBritain, </w:t>
      </w:r>
      <w:r w:rsidRPr="009C0CDA">
        <w:rPr>
          <w:rFonts w:ascii="Centra No2" w:hAnsi="Centra No2"/>
          <w:i/>
          <w:iCs/>
          <w:sz w:val="18"/>
          <w:szCs w:val="18"/>
        </w:rPr>
        <w:t>2026 Inbound tourism forecast</w:t>
      </w:r>
      <w:r w:rsidRPr="009C0CDA">
        <w:rPr>
          <w:rFonts w:ascii="Centra No2" w:hAnsi="Centra No2"/>
          <w:sz w:val="18"/>
          <w:szCs w:val="18"/>
        </w:rPr>
        <w:t xml:space="preserve">, 10 February 2026 — </w:t>
      </w:r>
      <w:r>
        <w:fldChar w:fldCharType="begin"/>
      </w:r>
      <w:r>
        <w:instrText xml:space="preserve"> HYPERLINK "https://www.visitbritain.org/research-insights/inbound-tourism-forecast" </w:instrText>
      </w:r>
      <w:r>
        <w:fldChar w:fldCharType="separate"/>
      </w:r>
      <w:r w:rsidRPr="009C0CDA">
        <w:rPr>
          <w:rStyle w:val="Hyperlink"/>
          <w:rFonts w:ascii="Centra No2" w:hAnsi="Centra No2"/>
          <w:sz w:val="18"/>
          <w:szCs w:val="18"/>
        </w:rPr>
        <w:t>https://www.visitbritain.org/research-insights/inbound-tourism-forecast</w:t>
      </w:r>
      <w:r>
        <w:fldChar w:fldCharType="end"/>
      </w:r>
      <w:r w:rsidRPr="009C0CDA">
        <w:rPr>
          <w:rFonts w:ascii="Centra No2" w:hAnsi="Centra No2"/>
          <w:sz w:val="18"/>
          <w:szCs w:val="18"/>
        </w:rPr>
        <w:t xml:space="preserve"> </w:t>
      </w:r>
    </w:p>
    <w:p w:rsidR="00A00B2A" w:rsidRPr="009C0CDA" w:rsidP="009C0CDA">
      <w:pPr>
        <w:pStyle w:val="Compact"/>
        <w:numPr>
          <w:ilvl w:val="0"/>
          <w:numId w:val="13"/>
        </w:numPr>
        <w:rPr>
          <w:rFonts w:ascii="Centra No2" w:hAnsi="Centra No2"/>
          <w:sz w:val="18"/>
          <w:szCs w:val="18"/>
        </w:rPr>
      </w:pPr>
      <w:r w:rsidRPr="009C0CDA">
        <w:rPr>
          <w:rFonts w:ascii="Centra No2" w:hAnsi="Centra No2"/>
          <w:sz w:val="18"/>
          <w:szCs w:val="18"/>
        </w:rPr>
        <w:t xml:space="preserve">HMRC, </w:t>
      </w:r>
      <w:r w:rsidRPr="009C0CDA">
        <w:rPr>
          <w:rFonts w:ascii="Centra No2" w:hAnsi="Centra No2"/>
          <w:i/>
          <w:iCs/>
          <w:sz w:val="18"/>
          <w:szCs w:val="18"/>
        </w:rPr>
        <w:t>Digital Services Tax</w:t>
      </w:r>
      <w:r w:rsidRPr="009C0CDA">
        <w:rPr>
          <w:rFonts w:ascii="Centra No2" w:hAnsi="Centra No2"/>
          <w:sz w:val="18"/>
          <w:szCs w:val="18"/>
        </w:rPr>
        <w:t xml:space="preserve"> policy paper, March 2020 — </w:t>
      </w:r>
      <w:r>
        <w:fldChar w:fldCharType="begin"/>
      </w:r>
      <w:r>
        <w:instrText xml:space="preserve"> HYPERLINK "https://www.gov.uk/government/publications/introduction-of-the-digital-services-tax/digital-services-tax" </w:instrText>
      </w:r>
      <w:r>
        <w:fldChar w:fldCharType="separate"/>
      </w:r>
      <w:r w:rsidRPr="009C0CDA">
        <w:rPr>
          <w:rStyle w:val="Hyperlink"/>
          <w:rFonts w:ascii="Centra No2" w:hAnsi="Centra No2"/>
          <w:sz w:val="18"/>
          <w:szCs w:val="18"/>
        </w:rPr>
        <w:t>https://www.gov.uk/government/publications/introduction-of-the-digital-services-tax/digital-services-tax</w:t>
      </w:r>
      <w:r>
        <w:fldChar w:fldCharType="end"/>
      </w:r>
      <w:r w:rsidRPr="009C0CDA">
        <w:rPr>
          <w:rFonts w:ascii="Centra No2" w:hAnsi="Centra No2"/>
          <w:sz w:val="18"/>
          <w:szCs w:val="18"/>
        </w:rPr>
        <w:t xml:space="preserve"> </w:t>
      </w:r>
    </w:p>
    <w:p w:rsidR="00A00B2A" w:rsidRPr="009C0CDA" w:rsidP="009C0CDA">
      <w:pPr>
        <w:pStyle w:val="Compact"/>
        <w:numPr>
          <w:ilvl w:val="0"/>
          <w:numId w:val="13"/>
        </w:numPr>
        <w:rPr>
          <w:rFonts w:ascii="Centra No2" w:hAnsi="Centra No2"/>
          <w:sz w:val="18"/>
          <w:szCs w:val="18"/>
        </w:rPr>
      </w:pPr>
      <w:r w:rsidRPr="009C0CDA">
        <w:rPr>
          <w:rFonts w:ascii="Centra No2" w:hAnsi="Centra No2"/>
          <w:sz w:val="18"/>
          <w:szCs w:val="18"/>
        </w:rPr>
        <w:t xml:space="preserve">Global Travel Tech, </w:t>
      </w:r>
      <w:r w:rsidRPr="009C0CDA">
        <w:rPr>
          <w:rFonts w:ascii="Centra No2" w:hAnsi="Centra No2"/>
          <w:i/>
          <w:iCs/>
          <w:sz w:val="18"/>
          <w:szCs w:val="18"/>
        </w:rPr>
        <w:t>Position Paper on Digital Services Taxation Regimes</w:t>
      </w:r>
      <w:r w:rsidRPr="009C0CDA">
        <w:rPr>
          <w:rFonts w:ascii="Centra No2" w:hAnsi="Centra No2"/>
          <w:sz w:val="18"/>
          <w:szCs w:val="18"/>
        </w:rPr>
        <w:t xml:space="preserve">, April 2025. </w:t>
      </w:r>
      <w:r w:rsidRPr="009C0CDA">
        <w:rPr>
          <w:rFonts w:ascii="Centra No2" w:hAnsi="Centra No2"/>
          <w:sz w:val="18"/>
          <w:szCs w:val="18"/>
        </w:rPr>
        <w:t>(Report available on request)</w:t>
      </w:r>
    </w:p>
    <w:p w:rsidR="00A00B2A" w:rsidRPr="009C0CDA" w:rsidP="009C0CDA">
      <w:pPr>
        <w:pStyle w:val="Compact"/>
        <w:numPr>
          <w:ilvl w:val="0"/>
          <w:numId w:val="13"/>
        </w:numPr>
        <w:rPr>
          <w:rFonts w:ascii="Centra No2" w:hAnsi="Centra No2"/>
          <w:sz w:val="18"/>
          <w:szCs w:val="18"/>
        </w:rPr>
      </w:pPr>
      <w:r w:rsidRPr="009C0CDA">
        <w:rPr>
          <w:rFonts w:ascii="Centra No2" w:hAnsi="Centra No2"/>
          <w:sz w:val="18"/>
          <w:szCs w:val="18"/>
        </w:rPr>
        <w:t xml:space="preserve">Expedia Group Partner Central, </w:t>
      </w:r>
      <w:r w:rsidRPr="009C0CDA">
        <w:rPr>
          <w:rFonts w:ascii="Centra No2" w:hAnsi="Centra No2"/>
          <w:i/>
          <w:iCs/>
          <w:sz w:val="18"/>
          <w:szCs w:val="18"/>
        </w:rPr>
        <w:t>Why your hotel should list with an Online Travel Agency (OTA)</w:t>
      </w:r>
      <w:r w:rsidRPr="009C0CDA">
        <w:rPr>
          <w:rFonts w:ascii="Centra No2" w:hAnsi="Centra No2"/>
          <w:sz w:val="18"/>
          <w:szCs w:val="18"/>
        </w:rPr>
        <w:t>, 2024 —</w:t>
      </w:r>
      <w:r w:rsidRPr="009C0CDA">
        <w:rPr>
          <w:rFonts w:ascii="Centra No2" w:hAnsi="Centra No2"/>
          <w:sz w:val="18"/>
          <w:szCs w:val="18"/>
        </w:rPr>
        <w:t xml:space="preserve"> </w:t>
      </w:r>
      <w:r>
        <w:fldChar w:fldCharType="begin"/>
      </w:r>
      <w:r>
        <w:instrText xml:space="preserve"> HYPERLINK "https://partner.expediagroup.com/en-gb/resources/blog/online-travel-agency-benefits-for-hotel-partners" </w:instrText>
      </w:r>
      <w:r>
        <w:fldChar w:fldCharType="separate"/>
      </w:r>
      <w:r w:rsidRPr="009C0CDA">
        <w:rPr>
          <w:rStyle w:val="Hyperlink"/>
          <w:rFonts w:ascii="Centra No2" w:hAnsi="Centra No2"/>
          <w:sz w:val="18"/>
          <w:szCs w:val="18"/>
        </w:rPr>
        <w:t>https://partner.expediagroup.com/en-gb/resources/blog/online-travel-agency-benefits-for-hotel-partners</w:t>
      </w:r>
      <w:r>
        <w:fldChar w:fldCharType="end"/>
      </w:r>
      <w:r w:rsidRPr="009C0CDA">
        <w:rPr>
          <w:rFonts w:ascii="Centra No2" w:hAnsi="Centra No2"/>
          <w:sz w:val="18"/>
          <w:szCs w:val="18"/>
        </w:rPr>
        <w:t xml:space="preserve"> </w:t>
      </w:r>
    </w:p>
    <w:p w:rsidR="00A00B2A" w:rsidRPr="009C0CDA" w:rsidP="009C0CDA">
      <w:pPr>
        <w:pStyle w:val="Compact"/>
        <w:numPr>
          <w:ilvl w:val="0"/>
          <w:numId w:val="13"/>
        </w:numPr>
        <w:rPr>
          <w:rFonts w:ascii="Centra No2" w:hAnsi="Centra No2"/>
          <w:sz w:val="18"/>
          <w:szCs w:val="18"/>
        </w:rPr>
      </w:pPr>
      <w:r w:rsidRPr="009C0CDA">
        <w:rPr>
          <w:rFonts w:ascii="Centra No2" w:hAnsi="Centra No2"/>
          <w:sz w:val="18"/>
          <w:szCs w:val="18"/>
        </w:rPr>
        <w:t xml:space="preserve">VisitScotland, </w:t>
      </w:r>
      <w:r w:rsidRPr="009C0CDA">
        <w:rPr>
          <w:rFonts w:ascii="Centra No2" w:hAnsi="Centra No2"/>
          <w:i/>
          <w:iCs/>
          <w:sz w:val="18"/>
          <w:szCs w:val="18"/>
        </w:rPr>
        <w:t>Choosing an Online Travel Agent</w:t>
      </w:r>
      <w:r w:rsidRPr="009C0CDA">
        <w:rPr>
          <w:rFonts w:ascii="Centra No2" w:hAnsi="Centra No2"/>
          <w:sz w:val="18"/>
          <w:szCs w:val="18"/>
        </w:rPr>
        <w:t xml:space="preserve"> (business guidance) —</w:t>
      </w:r>
      <w:r w:rsidRPr="009C0CDA">
        <w:rPr>
          <w:rFonts w:ascii="Centra No2" w:hAnsi="Centra No2"/>
          <w:sz w:val="18"/>
          <w:szCs w:val="18"/>
        </w:rPr>
        <w:t xml:space="preserve"> </w:t>
      </w:r>
      <w:r>
        <w:fldChar w:fldCharType="begin"/>
      </w:r>
      <w:r>
        <w:instrText xml:space="preserve"> HYPERLINK "https://support.visitscotland.org/advice-support/grow-your-business/travel-distribution/online-travel-agent" </w:instrText>
      </w:r>
      <w:r>
        <w:fldChar w:fldCharType="separate"/>
      </w:r>
      <w:r w:rsidRPr="009C0CDA">
        <w:rPr>
          <w:rStyle w:val="Hyperlink"/>
          <w:rFonts w:ascii="Centra No2" w:hAnsi="Centra No2"/>
          <w:sz w:val="18"/>
          <w:szCs w:val="18"/>
        </w:rPr>
        <w:t>https://support.visitscotland.org/advice-support/grow-your-business/travel-distribution/online-travel-agent</w:t>
      </w:r>
      <w:r>
        <w:fldChar w:fldCharType="end"/>
      </w:r>
      <w:r w:rsidRPr="009C0CDA">
        <w:rPr>
          <w:rFonts w:ascii="Centra No2" w:hAnsi="Centra No2"/>
          <w:sz w:val="18"/>
          <w:szCs w:val="18"/>
        </w:rPr>
        <w:t xml:space="preserve"> </w:t>
      </w:r>
    </w:p>
    <w:p w:rsidR="00A00B2A" w:rsidRPr="009C0CDA" w:rsidP="009C0CDA">
      <w:pPr>
        <w:pStyle w:val="Compact"/>
        <w:numPr>
          <w:ilvl w:val="0"/>
          <w:numId w:val="13"/>
        </w:numPr>
        <w:rPr>
          <w:rFonts w:ascii="Centra No2" w:hAnsi="Centra No2"/>
          <w:sz w:val="18"/>
          <w:szCs w:val="18"/>
        </w:rPr>
      </w:pPr>
      <w:r w:rsidRPr="009C0CDA">
        <w:rPr>
          <w:rFonts w:ascii="Centra No2" w:hAnsi="Centra No2"/>
          <w:sz w:val="18"/>
          <w:szCs w:val="18"/>
        </w:rPr>
        <w:t xml:space="preserve">HM Treasury, </w:t>
      </w:r>
      <w:r w:rsidRPr="009C0CDA">
        <w:rPr>
          <w:rFonts w:ascii="Centra No2" w:hAnsi="Centra No2"/>
          <w:i/>
          <w:iCs/>
          <w:sz w:val="18"/>
          <w:szCs w:val="18"/>
        </w:rPr>
        <w:t>Digital Services Tax Review Report</w:t>
      </w:r>
      <w:r w:rsidRPr="009C0CDA">
        <w:rPr>
          <w:rFonts w:ascii="Centra No2" w:hAnsi="Centra No2"/>
          <w:sz w:val="18"/>
          <w:szCs w:val="18"/>
        </w:rPr>
        <w:t>, November 2025 —</w:t>
      </w:r>
      <w:r w:rsidRPr="009C0CDA">
        <w:rPr>
          <w:rFonts w:ascii="Centra No2" w:hAnsi="Centra No2"/>
          <w:sz w:val="18"/>
          <w:szCs w:val="18"/>
        </w:rPr>
        <w:t xml:space="preserve"> </w:t>
      </w:r>
      <w:r>
        <w:fldChar w:fldCharType="begin"/>
      </w:r>
      <w:r>
        <w:instrText xml:space="preserve"> HYPERLINK "https://www.gov.uk/government/publications/digital-services-tax-review/digital-services-tax-review-report" </w:instrText>
      </w:r>
      <w:r>
        <w:fldChar w:fldCharType="separate"/>
      </w:r>
      <w:r w:rsidRPr="009C0CDA">
        <w:rPr>
          <w:rStyle w:val="Hyperlink"/>
          <w:rFonts w:ascii="Centra No2" w:hAnsi="Centra No2"/>
          <w:sz w:val="18"/>
          <w:szCs w:val="18"/>
        </w:rPr>
        <w:t>https://www.gov.uk/government/publications/digital-services-tax-review/digital-services-tax-review-report</w:t>
      </w:r>
      <w:r>
        <w:fldChar w:fldCharType="end"/>
      </w:r>
      <w:r w:rsidRPr="009C0CDA">
        <w:rPr>
          <w:rFonts w:ascii="Centra No2" w:hAnsi="Centra No2"/>
          <w:sz w:val="18"/>
          <w:szCs w:val="18"/>
        </w:rPr>
        <w:t xml:space="preserve"> </w:t>
      </w:r>
    </w:p>
    <w:p w:rsidR="00A00B2A" w:rsidRPr="009C0CDA" w:rsidP="009C0CDA">
      <w:pPr>
        <w:pStyle w:val="Compact"/>
        <w:numPr>
          <w:ilvl w:val="0"/>
          <w:numId w:val="13"/>
        </w:numPr>
        <w:rPr>
          <w:rFonts w:ascii="Centra No2" w:hAnsi="Centra No2"/>
          <w:sz w:val="18"/>
          <w:szCs w:val="18"/>
        </w:rPr>
      </w:pPr>
      <w:r w:rsidRPr="009C0CDA">
        <w:rPr>
          <w:rFonts w:ascii="Centra No2" w:hAnsi="Centra No2"/>
          <w:sz w:val="18"/>
          <w:szCs w:val="18"/>
        </w:rPr>
        <w:t xml:space="preserve">Minister for Tourism Stephanie Peacock, </w:t>
      </w:r>
      <w:r w:rsidRPr="009C0CDA">
        <w:rPr>
          <w:rFonts w:ascii="Centra No2" w:hAnsi="Centra No2"/>
          <w:i/>
          <w:iCs/>
          <w:sz w:val="18"/>
          <w:szCs w:val="18"/>
        </w:rPr>
        <w:t>UK tourism strategy targets 50</w:t>
      </w:r>
      <w:r w:rsidRPr="009C0CDA">
        <w:rPr>
          <w:rFonts w:ascii="Centra No2" w:hAnsi="Centra No2"/>
          <w:i/>
          <w:iCs/>
          <w:sz w:val="18"/>
          <w:szCs w:val="18"/>
        </w:rPr>
        <w:t xml:space="preserve"> million visitors</w:t>
      </w:r>
      <w:r w:rsidRPr="009C0CDA">
        <w:rPr>
          <w:rFonts w:ascii="Centra No2" w:hAnsi="Centra No2"/>
          <w:sz w:val="18"/>
          <w:szCs w:val="18"/>
        </w:rPr>
        <w:t>, December 2025 —</w:t>
      </w:r>
      <w:r w:rsidRPr="009C0CDA">
        <w:rPr>
          <w:rFonts w:ascii="Centra No2" w:hAnsi="Centra No2"/>
          <w:sz w:val="18"/>
          <w:szCs w:val="18"/>
        </w:rPr>
        <w:t xml:space="preserve"> </w:t>
      </w:r>
      <w:r>
        <w:fldChar w:fldCharType="begin"/>
      </w:r>
      <w:r>
        <w:instrText xml:space="preserve"> HYPERLINK "https://www.groupleisureandtravel.com/whos-who-in-group-leisure/tourism-minister-championing-destinations-and-tourism-benefits/10391.article" </w:instrText>
      </w:r>
      <w:r>
        <w:fldChar w:fldCharType="separate"/>
      </w:r>
      <w:r w:rsidRPr="009C0CDA">
        <w:rPr>
          <w:rStyle w:val="Hyperlink"/>
          <w:rFonts w:ascii="Centra No2" w:hAnsi="Centra No2"/>
          <w:sz w:val="18"/>
          <w:szCs w:val="18"/>
        </w:rPr>
        <w:t>https://www.groupleisureandtravel.com/whos-who-in-group-leisure/tourism-minister-championing-destinations-and-tourism-benefits/10391.article</w:t>
      </w:r>
      <w:r>
        <w:fldChar w:fldCharType="end"/>
      </w:r>
      <w:r w:rsidRPr="009C0CDA">
        <w:rPr>
          <w:rFonts w:ascii="Centra No2" w:hAnsi="Centra No2"/>
          <w:sz w:val="18"/>
          <w:szCs w:val="18"/>
        </w:rPr>
        <w:t xml:space="preserve"> </w:t>
      </w:r>
    </w:p>
    <w:p w:rsidR="00A00B2A" w:rsidRPr="009C0CDA" w:rsidP="009C0CDA">
      <w:pPr>
        <w:pStyle w:val="Compact"/>
        <w:numPr>
          <w:ilvl w:val="0"/>
          <w:numId w:val="13"/>
        </w:numPr>
        <w:rPr>
          <w:rFonts w:ascii="Centra No2" w:hAnsi="Centra No2"/>
          <w:sz w:val="18"/>
          <w:szCs w:val="18"/>
        </w:rPr>
      </w:pPr>
      <w:r w:rsidRPr="009C0CDA">
        <w:rPr>
          <w:rFonts w:ascii="Centra No2" w:hAnsi="Centra No2"/>
          <w:sz w:val="18"/>
          <w:szCs w:val="18"/>
        </w:rPr>
        <w:t xml:space="preserve">VisitBritain/VisitEngland, </w:t>
      </w:r>
      <w:r w:rsidRPr="009C0CDA">
        <w:rPr>
          <w:rFonts w:ascii="Centra No2" w:hAnsi="Centra No2"/>
          <w:i/>
          <w:iCs/>
          <w:sz w:val="18"/>
          <w:szCs w:val="18"/>
        </w:rPr>
        <w:t>Activity boosts economy by £562 million</w:t>
      </w:r>
      <w:r w:rsidRPr="009C0CDA">
        <w:rPr>
          <w:rFonts w:ascii="Centra No2" w:hAnsi="Centra No2"/>
          <w:sz w:val="18"/>
          <w:szCs w:val="18"/>
        </w:rPr>
        <w:t>, 22 October 2025 —</w:t>
      </w:r>
      <w:r w:rsidRPr="009C0CDA">
        <w:rPr>
          <w:rFonts w:ascii="Centra No2" w:hAnsi="Centra No2"/>
          <w:sz w:val="18"/>
          <w:szCs w:val="18"/>
        </w:rPr>
        <w:t xml:space="preserve"> </w:t>
      </w:r>
      <w:r>
        <w:fldChar w:fldCharType="begin"/>
      </w:r>
      <w:r>
        <w:instrText xml:space="preserve"> HYPERLINK "https://www.visitbritain.org/news-and-media/industry-news-and-press-releases/visitbritainvisitengland-activity-boosts-economy-1" </w:instrText>
      </w:r>
      <w:r>
        <w:fldChar w:fldCharType="separate"/>
      </w:r>
      <w:r w:rsidRPr="009C0CDA">
        <w:rPr>
          <w:rStyle w:val="Hyperlink"/>
          <w:rFonts w:ascii="Centra No2" w:hAnsi="Centra No2"/>
          <w:sz w:val="18"/>
          <w:szCs w:val="18"/>
        </w:rPr>
        <w:t>https://www.visitbritain.org/news-and-media/industry-news-and-press-releases/visitbritainvisitengland-activity-boosts-economy-1</w:t>
      </w:r>
      <w:r>
        <w:fldChar w:fldCharType="end"/>
      </w:r>
      <w:r w:rsidRPr="009C0CDA">
        <w:rPr>
          <w:rFonts w:ascii="Centra No2" w:hAnsi="Centra No2"/>
          <w:sz w:val="18"/>
          <w:szCs w:val="18"/>
        </w:rPr>
        <w:t xml:space="preserve"> </w:t>
      </w:r>
    </w:p>
    <w:p w:rsidR="00A00B2A" w:rsidRPr="00905AC0" w:rsidP="00905AC0">
      <w:pPr>
        <w:pStyle w:val="Compact"/>
        <w:numPr>
          <w:ilvl w:val="0"/>
          <w:numId w:val="13"/>
        </w:numPr>
        <w:rPr>
          <w:rFonts w:ascii="Centra No2" w:hAnsi="Centra No2"/>
        </w:rPr>
      </w:pPr>
      <w:r w:rsidRPr="009C0CDA">
        <w:rPr>
          <w:rFonts w:ascii="Centra No2" w:hAnsi="Centra No2"/>
          <w:sz w:val="18"/>
          <w:szCs w:val="18"/>
        </w:rPr>
        <w:t xml:space="preserve">Tourism Alliance, </w:t>
      </w:r>
      <w:r w:rsidRPr="009C0CDA">
        <w:rPr>
          <w:rFonts w:ascii="Centra No2" w:hAnsi="Centra No2"/>
          <w:i/>
          <w:iCs/>
          <w:sz w:val="18"/>
          <w:szCs w:val="18"/>
        </w:rPr>
        <w:t>Tourism industry applauds the Government’s ambition to grow inbound tourist numbers to 50m by 2030</w:t>
      </w:r>
      <w:r w:rsidRPr="009C0CDA">
        <w:rPr>
          <w:rFonts w:ascii="Centra No2" w:hAnsi="Centra No2"/>
          <w:sz w:val="18"/>
          <w:szCs w:val="18"/>
        </w:rPr>
        <w:t>, 27 November 2024 —</w:t>
      </w:r>
      <w:r w:rsidRPr="009C0CDA">
        <w:rPr>
          <w:rFonts w:ascii="Centra No2" w:hAnsi="Centra No2"/>
          <w:sz w:val="18"/>
          <w:szCs w:val="18"/>
        </w:rPr>
        <w:t xml:space="preserve"> </w:t>
      </w:r>
      <w:r>
        <w:fldChar w:fldCharType="begin"/>
      </w:r>
      <w:r>
        <w:instrText xml:space="preserve"> HYPERLINK "https://tourismalliance.com/tourism-industry-applauds-the-governments-ambition-to-grow-inbound-tourist-numbers-to-50-million-by-2030" </w:instrText>
      </w:r>
      <w:r>
        <w:fldChar w:fldCharType="separate"/>
      </w:r>
      <w:r w:rsidRPr="009C0CDA">
        <w:rPr>
          <w:rStyle w:val="Hyperlink"/>
          <w:rFonts w:ascii="Centra No2" w:hAnsi="Centra No2"/>
          <w:sz w:val="18"/>
          <w:szCs w:val="18"/>
        </w:rPr>
        <w:t>https://tourismalliance.com/tourism-industry-applauds-the-governments-ambition-to-grow-inbound-tourist-numbers-to-50-million-by-2030</w:t>
      </w:r>
      <w:r>
        <w:fldChar w:fldCharType="end"/>
      </w:r>
      <w:r w:rsidRPr="009C0CDA">
        <w:rPr>
          <w:rFonts w:ascii="Centra No2" w:hAnsi="Centra No2"/>
          <w:sz w:val="18"/>
          <w:szCs w:val="18"/>
        </w:rPr>
        <w:t xml:space="preserve"> </w:t>
      </w:r>
      <w:bookmarkEnd w:id="0"/>
      <w:bookmarkEnd w:id="8"/>
    </w:p>
    <w:sectPr w:rsidSect="00B22EB1">
      <w:pgSz w:w="12240" w:h="15840"/>
      <w:pgMar w:top="1276"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entra No2">
    <w:altName w:val="Calibri"/>
    <w:charset w:val="00"/>
    <w:family w:val="auto"/>
    <w:pitch w:val="variable"/>
    <w:sig w:usb0="A00000EF" w:usb1="4001207B" w:usb2="00000000" w:usb3="00000000" w:csb0="0000019B"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A990"/>
    <w:multiLevelType w:val="multilevel"/>
    <w:tmpl w:val="FFFFFFFF"/>
    <w:lvl w:ilvl="0">
      <w:start w:val="0"/>
      <w:numFmt w:val="bullet"/>
      <w:lvlText w:val=" "/>
      <w:lvlJc w:val="left"/>
      <w:pPr>
        <w:ind w:left="720" w:hanging="360"/>
      </w:pPr>
    </w:lvl>
    <w:lvl w:ilvl="1">
      <w:start w:val="0"/>
      <w:numFmt w:val="bullet"/>
      <w:lvlText w:val=" "/>
      <w:lvlJc w:val="left"/>
      <w:pPr>
        <w:ind w:left="1440" w:hanging="360"/>
      </w:pPr>
    </w:lvl>
    <w:lvl w:ilvl="2">
      <w:start w:val="0"/>
      <w:numFmt w:val="bullet"/>
      <w:lvlText w:val=" "/>
      <w:lvlJc w:val="left"/>
      <w:pPr>
        <w:ind w:left="2160" w:hanging="360"/>
      </w:pPr>
    </w:lvl>
    <w:lvl w:ilvl="3">
      <w:start w:val="0"/>
      <w:numFmt w:val="bullet"/>
      <w:lvlText w:val=" "/>
      <w:lvlJc w:val="left"/>
      <w:pPr>
        <w:ind w:left="2880" w:hanging="360"/>
      </w:pPr>
    </w:lvl>
    <w:lvl w:ilvl="4">
      <w:start w:val="0"/>
      <w:numFmt w:val="bullet"/>
      <w:lvlText w:val=" "/>
      <w:lvlJc w:val="left"/>
      <w:pPr>
        <w:ind w:left="3600" w:hanging="360"/>
      </w:pPr>
    </w:lvl>
    <w:lvl w:ilvl="5">
      <w:start w:val="0"/>
      <w:numFmt w:val="bullet"/>
      <w:lvlText w:val=" "/>
      <w:lvlJc w:val="left"/>
      <w:pPr>
        <w:ind w:left="4320" w:hanging="360"/>
      </w:pPr>
    </w:lvl>
    <w:lvl w:ilvl="6">
      <w:start w:val="0"/>
      <w:numFmt w:val="bullet"/>
      <w:lvlText w:val=" "/>
      <w:lvlJc w:val="left"/>
      <w:pPr>
        <w:ind w:left="5040" w:hanging="360"/>
      </w:pPr>
    </w:lvl>
    <w:lvl w:ilvl="7">
      <w:start w:val="0"/>
      <w:numFmt w:val="bullet"/>
      <w:lvlText w:val=" "/>
      <w:lvlJc w:val="left"/>
      <w:pPr>
        <w:ind w:left="5760" w:hanging="360"/>
      </w:pPr>
    </w:lvl>
    <w:lvl w:ilvl="8">
      <w:start w:val="0"/>
      <w:numFmt w:val="bullet"/>
      <w:lvlText w:val=" "/>
      <w:lvlJc w:val="left"/>
      <w:pPr>
        <w:ind w:left="6480" w:hanging="360"/>
      </w:pPr>
    </w:lvl>
  </w:abstractNum>
  <w:abstractNum w:abstractNumId="1">
    <w:nsid w:val="0000A991"/>
    <w:multiLevelType w:val="multilevel"/>
    <w:tmpl w:val="75D63854"/>
    <w:lvl w:ilvl="0">
      <w:start w:val="0"/>
      <w:numFmt w:val="bullet"/>
      <w:lvlText w:val=""/>
      <w:lvlJc w:val="left"/>
      <w:pPr>
        <w:ind w:left="720" w:hanging="360"/>
      </w:pPr>
      <w:rPr>
        <w:rFonts w:ascii="Symbol" w:hAnsi="Symbol" w:cs="Symbol" w:hint="default"/>
      </w:rPr>
    </w:lvl>
    <w:lvl w:ilvl="1">
      <w:start w:val="1"/>
      <w:numFmt w:val="lowerRoman"/>
      <w:lvlText w:val="%2."/>
      <w:lvlJc w:val="right"/>
      <w:pPr>
        <w:ind w:left="1440" w:hanging="360"/>
      </w:pPr>
    </w:lvl>
    <w:lvl w:ilvl="2">
      <w:start w:val="0"/>
      <w:numFmt w:val="bullet"/>
      <w:lvlText w:val=""/>
      <w:lvlJc w:val="left"/>
      <w:pPr>
        <w:ind w:left="2160" w:hanging="360"/>
      </w:pPr>
      <w:rPr>
        <w:rFonts w:ascii="Wingdings" w:hAnsi="Wingdings" w:cs="Wingdings" w:hint="default"/>
      </w:rPr>
    </w:lvl>
    <w:lvl w:ilvl="3">
      <w:start w:val="0"/>
      <w:numFmt w:val="bullet"/>
      <w:lvlText w:val=""/>
      <w:lvlJc w:val="left"/>
      <w:pPr>
        <w:ind w:left="2880" w:hanging="360"/>
      </w:pPr>
      <w:rPr>
        <w:rFonts w:ascii="Symbol" w:hAnsi="Symbol" w:cs="Symbol" w:hint="default"/>
      </w:rPr>
    </w:lvl>
    <w:lvl w:ilvl="4">
      <w:start w:val="0"/>
      <w:numFmt w:val="bullet"/>
      <w:lvlText w:val="o"/>
      <w:lvlJc w:val="left"/>
      <w:pPr>
        <w:ind w:left="3600" w:hanging="360"/>
      </w:pPr>
      <w:rPr>
        <w:rFonts w:ascii="Courier New" w:hAnsi="Courier New" w:cs="Courier New" w:hint="default"/>
      </w:rPr>
    </w:lvl>
    <w:lvl w:ilvl="5">
      <w:start w:val="0"/>
      <w:numFmt w:val="bullet"/>
      <w:lvlText w:val=""/>
      <w:lvlJc w:val="left"/>
      <w:pPr>
        <w:ind w:left="4320" w:hanging="360"/>
      </w:pPr>
      <w:rPr>
        <w:rFonts w:ascii="Wingdings" w:hAnsi="Wingdings" w:cs="Wingdings" w:hint="default"/>
      </w:rPr>
    </w:lvl>
    <w:lvl w:ilvl="6">
      <w:start w:val="0"/>
      <w:numFmt w:val="bullet"/>
      <w:lvlText w:val=""/>
      <w:lvlJc w:val="left"/>
      <w:pPr>
        <w:ind w:left="5040" w:hanging="360"/>
      </w:pPr>
      <w:rPr>
        <w:rFonts w:ascii="Symbol" w:hAnsi="Symbol" w:cs="Symbol" w:hint="default"/>
      </w:rPr>
    </w:lvl>
    <w:lvl w:ilvl="7">
      <w:start w:val="0"/>
      <w:numFmt w:val="bullet"/>
      <w:lvlText w:val="o"/>
      <w:lvlJc w:val="left"/>
      <w:pPr>
        <w:ind w:left="5760" w:hanging="360"/>
      </w:pPr>
      <w:rPr>
        <w:rFonts w:ascii="Courier New" w:hAnsi="Courier New" w:cs="Courier New" w:hint="default"/>
      </w:rPr>
    </w:lvl>
    <w:lvl w:ilvl="8">
      <w:start w:val="0"/>
      <w:numFmt w:val="bullet"/>
      <w:lvlText w:val=""/>
      <w:lvlJc w:val="left"/>
      <w:pPr>
        <w:ind w:left="6480" w:hanging="360"/>
      </w:pPr>
      <w:rPr>
        <w:rFonts w:ascii="Wingdings" w:hAnsi="Wingdings" w:cs="Wingdings" w:hint="default"/>
      </w:rPr>
    </w:lvl>
  </w:abstractNum>
  <w:abstractNum w:abstractNumId="2">
    <w:nsid w:val="00A99411"/>
    <w:multiLevelType w:val="multilevel"/>
    <w:tmpl w:val="FFFFFFFF"/>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nsid w:val="194E0433"/>
    <w:multiLevelType w:val="hybridMultilevel"/>
    <w:tmpl w:val="796C9F84"/>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89A475A"/>
    <w:multiLevelType w:val="multilevel"/>
    <w:tmpl w:val="A1140966"/>
    <w:lvl w:ilvl="0">
      <w:start w:val="1"/>
      <w:numFmt w:val="lowerRoman"/>
      <w:lvlText w:val="%1."/>
      <w:lvlJc w:val="right"/>
      <w:pPr>
        <w:ind w:left="720" w:hanging="360"/>
      </w:pPr>
      <w:rPr>
        <w:rFonts w:hint="default"/>
      </w:rPr>
    </w:lvl>
    <w:lvl w:ilvl="1">
      <w:start w:val="1"/>
      <w:numFmt w:val="lowerRoman"/>
      <w:lvlText w:val="%2."/>
      <w:lvlJc w:val="right"/>
      <w:pPr>
        <w:ind w:left="1440" w:hanging="360"/>
      </w:pPr>
    </w:lvl>
    <w:lvl w:ilvl="2">
      <w:start w:val="0"/>
      <w:numFmt w:val="bullet"/>
      <w:lvlText w:val=""/>
      <w:lvlJc w:val="left"/>
      <w:pPr>
        <w:ind w:left="2160" w:hanging="360"/>
      </w:pPr>
      <w:rPr>
        <w:rFonts w:ascii="Wingdings" w:hAnsi="Wingdings" w:cs="Wingdings" w:hint="default"/>
      </w:rPr>
    </w:lvl>
    <w:lvl w:ilvl="3">
      <w:start w:val="0"/>
      <w:numFmt w:val="bullet"/>
      <w:lvlText w:val=""/>
      <w:lvlJc w:val="left"/>
      <w:pPr>
        <w:ind w:left="2880" w:hanging="360"/>
      </w:pPr>
      <w:rPr>
        <w:rFonts w:ascii="Symbol" w:hAnsi="Symbol" w:cs="Symbol" w:hint="default"/>
      </w:rPr>
    </w:lvl>
    <w:lvl w:ilvl="4">
      <w:start w:val="0"/>
      <w:numFmt w:val="bullet"/>
      <w:lvlText w:val="o"/>
      <w:lvlJc w:val="left"/>
      <w:pPr>
        <w:ind w:left="3600" w:hanging="360"/>
      </w:pPr>
      <w:rPr>
        <w:rFonts w:ascii="Courier New" w:hAnsi="Courier New" w:cs="Courier New" w:hint="default"/>
      </w:rPr>
    </w:lvl>
    <w:lvl w:ilvl="5">
      <w:start w:val="0"/>
      <w:numFmt w:val="bullet"/>
      <w:lvlText w:val=""/>
      <w:lvlJc w:val="left"/>
      <w:pPr>
        <w:ind w:left="4320" w:hanging="360"/>
      </w:pPr>
      <w:rPr>
        <w:rFonts w:ascii="Wingdings" w:hAnsi="Wingdings" w:cs="Wingdings" w:hint="default"/>
      </w:rPr>
    </w:lvl>
    <w:lvl w:ilvl="6">
      <w:start w:val="0"/>
      <w:numFmt w:val="bullet"/>
      <w:lvlText w:val=""/>
      <w:lvlJc w:val="left"/>
      <w:pPr>
        <w:ind w:left="5040" w:hanging="360"/>
      </w:pPr>
      <w:rPr>
        <w:rFonts w:ascii="Symbol" w:hAnsi="Symbol" w:cs="Symbol" w:hint="default"/>
      </w:rPr>
    </w:lvl>
    <w:lvl w:ilvl="7">
      <w:start w:val="0"/>
      <w:numFmt w:val="bullet"/>
      <w:lvlText w:val="o"/>
      <w:lvlJc w:val="left"/>
      <w:pPr>
        <w:ind w:left="5760" w:hanging="360"/>
      </w:pPr>
      <w:rPr>
        <w:rFonts w:ascii="Courier New" w:hAnsi="Courier New" w:cs="Courier New" w:hint="default"/>
      </w:rPr>
    </w:lvl>
    <w:lvl w:ilvl="8">
      <w:start w:val="0"/>
      <w:numFmt w:val="bullet"/>
      <w:lvlText w:val=""/>
      <w:lvlJc w:val="left"/>
      <w:pPr>
        <w:ind w:left="6480" w:hanging="360"/>
      </w:pPr>
      <w:rPr>
        <w:rFonts w:ascii="Wingdings" w:hAnsi="Wingdings" w:cs="Wingdings" w:hint="default"/>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0004"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isibleStyles="0"/>
  <w:doNotTrackMoves/>
  <w:defaultTabStop w:val="720"/>
  <w:hyphenationZone w:val="283"/>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blPrEx>
        <w:jc w:val="left"/>
      </w:tblPrEx>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TableGrid">
    <w:name w:val="Table Grid"/>
    <w:basedOn w:val="TableNormal"/>
    <w:rsid w:val="00DB71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37165"/>
    <w:rPr>
      <w:color w:val="605E5C"/>
      <w:shd w:val="clear" w:color="auto" w:fill="E1DFDD"/>
    </w:rPr>
  </w:style>
  <w:style w:type="paragraph" w:styleId="ListParagraph">
    <w:name w:val="List Paragraph"/>
    <w:basedOn w:val="Normal"/>
    <w:rsid w:val="00254551"/>
    <w:pPr>
      <w:ind w:left="720"/>
      <w:contextualSpacing/>
    </w:pPr>
  </w:style>
  <w:style w:type="character" w:styleId="CommentReference">
    <w:name w:val="annotation reference"/>
    <w:basedOn w:val="DefaultParagraphFont"/>
    <w:rsid w:val="001513AB"/>
    <w:rPr>
      <w:sz w:val="16"/>
      <w:szCs w:val="16"/>
    </w:rPr>
  </w:style>
  <w:style w:type="paragraph" w:styleId="CommentText">
    <w:name w:val="annotation text"/>
    <w:basedOn w:val="Normal"/>
    <w:link w:val="CommentTextChar"/>
    <w:rsid w:val="001513AB"/>
    <w:rPr>
      <w:sz w:val="20"/>
      <w:szCs w:val="20"/>
    </w:rPr>
  </w:style>
  <w:style w:type="character" w:customStyle="1" w:styleId="CommentTextChar">
    <w:name w:val="Comment Text Char"/>
    <w:basedOn w:val="DefaultParagraphFont"/>
    <w:link w:val="CommentText"/>
    <w:rsid w:val="001513AB"/>
    <w:rPr>
      <w:sz w:val="20"/>
      <w:szCs w:val="20"/>
    </w:rPr>
  </w:style>
  <w:style w:type="paragraph" w:styleId="CommentSubject">
    <w:name w:val="annotation subject"/>
    <w:basedOn w:val="CommentText"/>
    <w:next w:val="CommentText"/>
    <w:link w:val="CommentSubjectChar"/>
    <w:rsid w:val="001513AB"/>
    <w:rPr>
      <w:b/>
      <w:bCs/>
    </w:rPr>
  </w:style>
  <w:style w:type="character" w:customStyle="1" w:styleId="CommentSubjectChar">
    <w:name w:val="Comment Subject Char"/>
    <w:basedOn w:val="CommentTextChar"/>
    <w:link w:val="CommentSubject"/>
    <w:rsid w:val="001513AB"/>
    <w:rPr>
      <w:b/>
      <w:bCs/>
      <w:sz w:val="20"/>
      <w:szCs w:val="20"/>
    </w:rPr>
  </w:style>
  <w:style w:type="paragraph" w:styleId="Revision">
    <w:name w:val="Revision"/>
    <w:hidden/>
    <w:rsid w:val="001E492E"/>
    <w:pPr>
      <w:spacing w:after="0"/>
    </w:pPr>
  </w:style>
  <w:style w:type="paragraph" w:styleId="Header">
    <w:name w:val="header"/>
    <w:basedOn w:val="Normal"/>
    <w:link w:val="HeaderChar"/>
    <w:rsid w:val="00366DED"/>
    <w:pPr>
      <w:tabs>
        <w:tab w:val="center" w:pos="4703"/>
        <w:tab w:val="right" w:pos="9406"/>
      </w:tabs>
      <w:spacing w:after="0"/>
    </w:pPr>
  </w:style>
  <w:style w:type="character" w:customStyle="1" w:styleId="HeaderChar">
    <w:name w:val="Header Char"/>
    <w:basedOn w:val="DefaultParagraphFont"/>
    <w:link w:val="Header"/>
    <w:rsid w:val="00366DED"/>
  </w:style>
  <w:style w:type="paragraph" w:styleId="Footer">
    <w:name w:val="footer"/>
    <w:basedOn w:val="Normal"/>
    <w:link w:val="FooterChar"/>
    <w:rsid w:val="00366DED"/>
    <w:pPr>
      <w:tabs>
        <w:tab w:val="center" w:pos="4703"/>
        <w:tab w:val="right" w:pos="9406"/>
      </w:tabs>
      <w:spacing w:after="0"/>
    </w:pPr>
  </w:style>
  <w:style w:type="character" w:customStyle="1" w:styleId="FooterChar">
    <w:name w:val="Footer Char"/>
    <w:basedOn w:val="DefaultParagraphFont"/>
    <w:link w:val="Footer"/>
    <w:rsid w:val="00366D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6A1A993E8A8284EB651DFF5C9526BDD" ma:contentTypeVersion="4" ma:contentTypeDescription="Create a new document." ma:contentTypeScope="" ma:versionID="79997883068ee884dcbf5c4067826730">
  <xsd:schema xmlns:xsd="http://www.w3.org/2001/XMLSchema" xmlns:xs="http://www.w3.org/2001/XMLSchema" xmlns:p="http://schemas.microsoft.com/office/2006/metadata/properties" xmlns:ns2="2cfe426f-890f-4208-9f55-5407647b3965" targetNamespace="http://schemas.microsoft.com/office/2006/metadata/properties" ma:root="true" ma:fieldsID="0163472d58e33de873dff4bec3815eae" ns2:_="">
    <xsd:import namespace="2cfe426f-890f-4208-9f55-5407647b39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fe426f-890f-4208-9f55-5407647b39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6A91D3-3116-485B-954D-81CE04FD6E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47E3C26-2176-445A-9BBF-01FE6F77B4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fe426f-890f-4208-9f55-5407647b3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CD8900-65D0-4AB3-A34D-5C6C1BF64426}">
  <ds:schemaRefs>
    <ds:schemaRef ds:uri="http://schemas.microsoft.com/sharepoint/v3/contenttype/forms"/>
  </ds:schemaRefs>
</ds:datastoreItem>
</file>

<file path=docMetadata/LabelInfo.xml><?xml version="1.0" encoding="utf-8"?>
<clbl:labelList xmlns:clbl="http://schemas.microsoft.com/office/2020/mipLabelMetadata">
  <clbl:label id="{a2b4d3d0-d4d5-41cc-b2e6-1a1750984693}" enabled="1" method="Standard" siteId="{79efa2e2-5409-4b35-9714-ada0138ee76c}" removed="0"/>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TOU0103</dc:title>
  <cp:revision>0</cp:revision>
</cp:coreProperties>
</file>