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6710" w:rsidRPr="00560C4C" w:rsidP="006D6710">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6D6710">
        <w:rPr>
          <w:rFonts w:ascii="Calibri" w:hAnsi="Calibri" w:cs="Calibri"/>
          <w:sz w:val="28"/>
          <w:szCs w:val="28"/>
        </w:rPr>
        <w:t>easyJet</w:t>
      </w:r>
    </w:p>
    <w:p w:rsidR="006D6710" w:rsidP="00235A4E"/>
    <w:p w:rsidR="00BF433C" w:rsidP="00235A4E">
      <w:pPr>
        <w:jc w:val="both"/>
      </w:pPr>
      <w:r>
        <w:t xml:space="preserve">EXECUTIVE SUMMARY </w:t>
      </w:r>
    </w:p>
    <w:p w:rsidR="00BF433C" w:rsidP="00235A4E">
      <w:pPr>
        <w:jc w:val="both"/>
      </w:pPr>
      <w:r>
        <w:t>easyJet is the largest UK airline, carrying over 50 million passengers annually to and from the UK. We employ over 12,000 people in the UK across 11 bases, serving more than 630 routes from 22 UK airports. Through this network, easyJet plays an important role in enabling both inbound and domestic tourism and supporting regional connectivity across the UK.</w:t>
      </w:r>
    </w:p>
    <w:p w:rsidR="00BF433C" w:rsidP="00235A4E">
      <w:pPr>
        <w:jc w:val="both"/>
      </w:pPr>
      <w:r>
        <w:t>For three decades, easyJet has helped democratise air travel in the UK and Europe, making flying and the opportunities it creates accessible to millions more people. Since our launch in 1995, our low-cost model has opened up affordable travel for families, friends and businesses alike, strengthening connectivity, broadening horizons and supporting the UK’s international competitiveness. In real terms, our fares have fallen by over 50%, demonstrating the role of cost-efficient air travel in widening access a</w:t>
      </w:r>
      <w:r>
        <w:t>nd supporting the visitor economy.</w:t>
      </w:r>
    </w:p>
    <w:p w:rsidR="00BF433C" w:rsidP="00235A4E">
      <w:pPr>
        <w:jc w:val="both"/>
      </w:pPr>
    </w:p>
    <w:p w:rsidR="00BF433C" w:rsidP="00235A4E">
      <w:pPr>
        <w:jc w:val="both"/>
      </w:pPr>
      <w:r>
        <w:t xml:space="preserve">1: COMPETITIVENESS OF THE UK TOURISM SECTOR </w:t>
      </w:r>
    </w:p>
    <w:p w:rsidR="00BF433C" w:rsidP="00235A4E">
      <w:pPr>
        <w:jc w:val="both"/>
      </w:pPr>
      <w:r>
        <w:t>1.1: Main barriers to international competitiveness</w:t>
      </w:r>
    </w:p>
    <w:p w:rsidR="00BF433C" w:rsidRPr="00235A4E" w:rsidP="00235A4E">
      <w:pPr>
        <w:jc w:val="both"/>
        <w:rPr>
          <w:i/>
          <w:iCs/>
        </w:rPr>
      </w:pPr>
      <w:r w:rsidRPr="00235A4E">
        <w:rPr>
          <w:i/>
          <w:iCs/>
        </w:rPr>
        <w:t>(1. i. What are the main barriers to international competitiveness? How effectively does the UK promote itself overseas as a destination and what more could be done to strengthen its international profile? 1. iii. What factors explain any divergence in growth trends between the UK and European countries?)</w:t>
      </w:r>
    </w:p>
    <w:p w:rsidR="00BF433C" w:rsidP="00235A4E">
      <w:pPr>
        <w:jc w:val="both"/>
      </w:pPr>
      <w:r>
        <w:t xml:space="preserve">A key barrier to UK competitiveness is its high aviation tax burden relative to peer markets. APD adds significant cost to short-haul travel in particular, where margins are low and demand is highly price-sensitive. The recent increase to APD rates (effective 1 April 2026) comes at a time when aviation is already absorbing significant additional regulatory-led costs, including SAF, ETS and CORSIA. </w:t>
      </w:r>
    </w:p>
    <w:p w:rsidR="00BF433C" w:rsidP="00235A4E">
      <w:pPr>
        <w:jc w:val="both"/>
      </w:pPr>
      <w:r>
        <w:t>This cumulative cost burden is significant: the UK ranks 6th of 8 key aviation markets</w:t>
      </w:r>
      <w:r>
        <w:rPr>
          <w:rStyle w:val="FootnoteReference"/>
        </w:rPr>
        <w:footnoteReference w:id="2"/>
      </w:r>
      <w:r>
        <w:t xml:space="preserve"> in competitiveness terms,</w:t>
      </w:r>
      <w:r>
        <w:rPr>
          <w:rStyle w:val="FootnoteReference"/>
        </w:rPr>
        <w:footnoteReference w:id="3"/>
      </w:r>
      <w:r>
        <w:t xml:space="preserve"> with aviation taxes averaging £32 per passenger versus £12 in comparator markets. Ensuring an increasingly competitive cost environment will be key to ensuring the growth of inbound tourism and supporting the UK’s headline target.</w:t>
      </w:r>
    </w:p>
    <w:p w:rsidR="00BF433C" w:rsidP="00235A4E">
      <w:pPr>
        <w:jc w:val="both"/>
      </w:pPr>
    </w:p>
    <w:p w:rsidR="00BF433C" w:rsidP="00235A4E">
      <w:pPr>
        <w:jc w:val="both"/>
      </w:pPr>
      <w:r>
        <w:t>1.2: Maximising the value of international tourism to the UK</w:t>
      </w:r>
    </w:p>
    <w:p w:rsidR="00BF433C" w:rsidRPr="00235A4E" w:rsidP="00235A4E">
      <w:pPr>
        <w:jc w:val="both"/>
        <w:rPr>
          <w:i/>
          <w:iCs/>
        </w:rPr>
      </w:pPr>
      <w:r w:rsidRPr="00235A4E">
        <w:rPr>
          <w:i/>
          <w:iCs/>
        </w:rPr>
        <w:t>(1. iv. What are the specific drivers of international tourism to the UK, what is the economic value of each of those drivers and how can their value be increased?)</w:t>
      </w:r>
    </w:p>
    <w:p w:rsidR="00BF433C" w:rsidP="00235A4E">
      <w:pPr>
        <w:jc w:val="both"/>
      </w:pPr>
      <w:r>
        <w:t xml:space="preserve">easyJet directly enables high-value tourism flows into and within the UK through high-frequency, low-cost connectivity between primary slot-constrained airports. Demand for inbound tourism </w:t>
      </w:r>
      <w:r>
        <w:t>on these routes is driven by three main factors: source market characteristics, travel and in-destination costs, and the UK’s perceived attractiveness.</w:t>
      </w:r>
    </w:p>
    <w:p w:rsidR="00BF433C" w:rsidP="00235A4E">
      <w:pPr>
        <w:jc w:val="both"/>
      </w:pPr>
      <w:r>
        <w:t>The UK’s comparative advantage lies in its cultural and heritage offer, its position as a global business centre, and its strength in services. Business tourism is particularly valuable: travellers spend more, are less price-sensitive, and travel year-round, supporting route viability and reducing seasonality. 40% of UK businesses view flying as essential and easyJet carries over 5 million UK business travellers annually, creating opportunities for trade and supporting productivity through frequent, afforda</w:t>
      </w:r>
      <w:r>
        <w:t>ble connectivity between primary, slot-constrained airports across Europe and North Africa.</w:t>
      </w:r>
    </w:p>
    <w:p w:rsidR="00BF433C" w:rsidP="00235A4E">
      <w:pPr>
        <w:jc w:val="both"/>
      </w:pPr>
      <w:r>
        <w:t>In addition, the domestic economic value associated with outbound tourism should be fully recognised. Outbound travel contributes £52bn in GVA, supports 818,000 jobs, and generates £9.9bn in tax revenue annually—around 60% of total UK international travel activity.</w:t>
      </w:r>
      <w:r>
        <w:rPr>
          <w:rStyle w:val="FootnoteReference"/>
        </w:rPr>
        <w:footnoteReference w:id="4"/>
      </w:r>
      <w:r>
        <w:t xml:space="preserve">  Furthermore, where facilitated by UK-based airlines, a significant share of total outbound expenditure is retained within the UK economy, supporting jobs, tax revenue and value-added more broadly.  </w:t>
      </w:r>
    </w:p>
    <w:p w:rsidR="00BF433C" w:rsidP="00235A4E">
      <w:pPr>
        <w:jc w:val="both"/>
      </w:pPr>
      <w:r>
        <w:t>easyJet UK-based aircraft alone support c.400 jobs and £27m GVA each, with significant multiplier effects across the wider economy.  For instance, in 2025 for every £1 in GVA and 100 jobs that easyJet’s operations contributed to the UK, £3.86 in GVA and 298 jobs are supported across the broader economy, and when including Airbus investments and tourism contributions, this is equivalent to £300 in GVA for every UK resident. Also, easyJet’s operations generate more than two times the UK average value per empl</w:t>
      </w:r>
      <w:r>
        <w:t xml:space="preserve">oyee, underscoring our role in supporting the overall productivity of the visitor economy.   </w:t>
      </w:r>
    </w:p>
    <w:p w:rsidR="00BF433C" w:rsidP="00235A4E">
      <w:pPr>
        <w:jc w:val="both"/>
      </w:pPr>
      <w:r>
        <w:t>Together, this highlights the need for a competitive UK aviation sector, both as an enabler of high-value inbound tourism and a driver of domestic economic activity more broadly.</w:t>
      </w:r>
    </w:p>
    <w:p w:rsidR="00BF433C" w:rsidP="00235A4E">
      <w:pPr>
        <w:jc w:val="both"/>
      </w:pPr>
    </w:p>
    <w:p w:rsidR="00BF433C" w:rsidP="00235A4E">
      <w:pPr>
        <w:jc w:val="both"/>
      </w:pPr>
      <w:r>
        <w:t>1.3: Overnight Visitor Levy</w:t>
      </w:r>
    </w:p>
    <w:p w:rsidR="00BF433C" w:rsidRPr="00235A4E" w:rsidP="00235A4E">
      <w:pPr>
        <w:jc w:val="both"/>
        <w:rPr>
          <w:i/>
          <w:iCs/>
        </w:rPr>
      </w:pPr>
      <w:r w:rsidRPr="00235A4E">
        <w:rPr>
          <w:i/>
          <w:iCs/>
        </w:rPr>
        <w:t>(4.v. What are the arguments for and against the proposal to give mayoral strategic authorities the power to introduce an overnight visitor levy? If a levy is introduced, how should it best be spent to attract tourism and investment?)</w:t>
      </w:r>
    </w:p>
    <w:p w:rsidR="00BF433C" w:rsidP="00235A4E">
      <w:pPr>
        <w:jc w:val="both"/>
      </w:pPr>
      <w:r>
        <w:t>easyJet shares industry-wide concerns on the proposals to allow mayoral strategic authorities the power to introduce an overnight visitor levy. While levies could fund local tourism infrastructure, they would increase in-destination costs and risk suppressing tourism demand, at a time when the UK is trying to achieve the opposite objective.</w:t>
      </w:r>
    </w:p>
    <w:p w:rsidR="00BF433C" w:rsidP="00235A4E">
      <w:pPr>
        <w:jc w:val="both"/>
      </w:pPr>
    </w:p>
    <w:p w:rsidR="00BF433C" w:rsidP="00235A4E">
      <w:pPr>
        <w:jc w:val="both"/>
      </w:pPr>
      <w:r>
        <w:t>2: GOVERNMENT STRUCTURES TO SUPPORT THE TOURISM SECTOR</w:t>
      </w:r>
    </w:p>
    <w:p w:rsidR="00BF433C" w:rsidP="00235A4E">
      <w:pPr>
        <w:jc w:val="both"/>
      </w:pPr>
      <w:r>
        <w:t>2.1: Coordination between UK and devolved Governments</w:t>
      </w:r>
    </w:p>
    <w:p w:rsidR="00BF433C" w:rsidRPr="00235A4E" w:rsidP="00235A4E">
      <w:pPr>
        <w:jc w:val="both"/>
        <w:rPr>
          <w:i/>
          <w:iCs/>
        </w:rPr>
      </w:pPr>
      <w:r w:rsidRPr="00235A4E">
        <w:rPr>
          <w:i/>
          <w:iCs/>
        </w:rPr>
        <w:t>(2. ii. How effectively do the UK and devolved Governments work together to promote tourism and support the sector?)</w:t>
      </w:r>
    </w:p>
    <w:p w:rsidR="00BF433C" w:rsidP="00235A4E">
      <w:pPr>
        <w:jc w:val="both"/>
      </w:pPr>
      <w:r>
        <w:t>Strong co-ordination and strategic alignment between the UK Government and devolved administrations would help to support the UK tourism sector, while minimising policy fragmentation that can constrain growth. At the same time, we recognise the role devolution can play in enabling more locally tailored approaches to tourism development that reflect the strengths and characteristics of different places.</w:t>
      </w:r>
    </w:p>
    <w:p w:rsidR="00BF433C" w:rsidP="00235A4E">
      <w:pPr>
        <w:jc w:val="both"/>
      </w:pPr>
    </w:p>
    <w:p w:rsidR="00BF433C" w:rsidP="00235A4E">
      <w:pPr>
        <w:jc w:val="both"/>
      </w:pPr>
      <w:r>
        <w:t>3: ENCOURAGING INWARD INVESTMENT INTO TOURISM INFRASTRUCTURE</w:t>
      </w:r>
    </w:p>
    <w:p w:rsidR="00BF433C" w:rsidRPr="00235A4E" w:rsidP="00235A4E">
      <w:pPr>
        <w:jc w:val="both"/>
        <w:rPr>
          <w:i/>
          <w:iCs/>
        </w:rPr>
      </w:pPr>
      <w:r w:rsidRPr="00235A4E">
        <w:rPr>
          <w:i/>
          <w:iCs/>
        </w:rPr>
        <w:t>(3. i. Which areas have seen the biggest growth in inbound tourism and why? 3. ii. How can investment be unlocked in all parts of the country?)</w:t>
      </w:r>
    </w:p>
    <w:p w:rsidR="00BF433C" w:rsidP="00235A4E">
      <w:pPr>
        <w:jc w:val="both"/>
      </w:pPr>
      <w:r>
        <w:t>Air connectivity plays a central role in enabling inbound tourism. easyJet’s network supports millions of visitors travelling to UK destinations each year, contributing significantly to economic activity and regional growth. In 2024, 10 million international inbound tourists—and a further 5 million domestic travellers—visited destinations across the UK, spending up to £1,050 per trip and a total of £9.7 billion across the UK economy. With inbound tourism expected to contribute £38 billion to UK GDP by 2030—</w:t>
      </w:r>
      <w:r>
        <w:t>of which air-fare spending with UK-based carriers is a notable driver—unlocking the investment to maximise the visitor economy’s potential will be essential.</w:t>
      </w:r>
      <w:r>
        <w:rPr>
          <w:rStyle w:val="FootnoteReference"/>
        </w:rPr>
        <w:footnoteReference w:id="5"/>
      </w:r>
      <w:r>
        <w:t xml:space="preserve"> </w:t>
      </w:r>
    </w:p>
    <w:p w:rsidR="00BF433C" w:rsidP="00235A4E">
      <w:pPr>
        <w:jc w:val="both"/>
      </w:pPr>
      <w:r>
        <w:t xml:space="preserve">APD reform will be central to this. The current tax regime acts primarily as a blunt revenue-raising mechanism that fails to incentivise environmental benefits and undermines investment. Crucially, there is currently little relationship between tax rates and the actual carbon intensity of a flight. APD therefore imposes the highest effective tax on the least carbon intensive journeys and the lowest on the most carbon intensive long-haul flights, creating an inefficient pricing signal. For example, on a per </w:t>
      </w:r>
      <w:r>
        <w:t>kilogram of CO₂ basis, a passenger travelling from London to Amsterdam pays around 35.5p per kg of CO₂ in APD, compared with just 9.4p per kg on a first-class flight from London to New York (JFK) and 4.9p per kg on an economy flight from London to Sydney.</w:t>
      </w:r>
      <w:r>
        <w:rPr>
          <w:rStyle w:val="FootnoteReference"/>
        </w:rPr>
        <w:footnoteReference w:id="6"/>
      </w:r>
    </w:p>
    <w:p w:rsidR="00BF433C" w:rsidP="00235A4E">
      <w:pPr>
        <w:jc w:val="both"/>
      </w:pPr>
      <w:r>
        <w:t>To make APD more environmentally effective, economically efficient and fairer for consumers, the Government should consider an alternative model that brings rates more closely into line with emissions, better recognises carbon-efficient and real-world operations, taxes at the flight rather than passenger level, accounts for load factors in the tax calculation and, where appropriate, directs a portion of revenues towards investment in green aviation technology or infrastructure.</w:t>
      </w:r>
    </w:p>
    <w:p w:rsidR="00BF433C" w:rsidP="00235A4E">
      <w:pPr>
        <w:jc w:val="both"/>
      </w:pPr>
      <w:r>
        <w:t>Beyond incentivising green investments, a more competitive APD regime could support investments in connectivity by improving route-level profitability sufficiently to support incremental capacity deployments, strengthening the critical connectivity that underpins inbound and domestic tourism. For instance, the 2023 domestic APD cut enabled easyJet to invest in a 17% increase in domestic capacity, adding nearly 2 million seats across 37 routes, including new services such as Belfast–Southampton and Belfast–L</w:t>
      </w:r>
      <w:r>
        <w:t xml:space="preserve">ondon Luton.  </w:t>
      </w:r>
    </w:p>
    <w:p w:rsidR="00BF433C" w:rsidP="00235A4E">
      <w:pPr>
        <w:jc w:val="both"/>
      </w:pPr>
    </w:p>
    <w:p w:rsidR="00BF433C" w:rsidP="00235A4E">
      <w:pPr>
        <w:jc w:val="both"/>
      </w:pPr>
    </w:p>
    <w:p w:rsidR="00BF433C" w:rsidP="00235A4E">
      <w:pPr>
        <w:jc w:val="both"/>
      </w:pPr>
      <w:r>
        <w:t>4: THE DOMESTIC TOURISM SECTOR</w:t>
      </w:r>
    </w:p>
    <w:p w:rsidR="00BF433C" w:rsidRPr="00235A4E" w:rsidP="00235A4E">
      <w:pPr>
        <w:jc w:val="both"/>
        <w:rPr>
          <w:i/>
          <w:iCs/>
        </w:rPr>
      </w:pPr>
      <w:r w:rsidRPr="00235A4E">
        <w:rPr>
          <w:i/>
          <w:iCs/>
        </w:rPr>
        <w:t>(5. How effectively is the domestic tourism sector functioning across the UK and what factors are shaping current levels of demand and recovery?)</w:t>
      </w:r>
    </w:p>
    <w:p w:rsidR="00BF433C" w:rsidP="00235A4E">
      <w:pPr>
        <w:jc w:val="both"/>
      </w:pPr>
      <w:r>
        <w:t xml:space="preserve">Over the past three decades, easyJet has significantly invested in UK domestic connectivity, expanding from just two routes to 53 over the last three decades. This has increased choice and accessibility for both leisure and business travellers, particularly on routes where viable rail or road alternatives under three hours do not exist. These routes are essential for connecting regions such as Northern Ireland, Scotland, and island communities including Jersey and the Isle of Man. </w:t>
      </w:r>
    </w:p>
    <w:p w:rsidR="00BF433C" w:rsidP="00235A4E">
      <w:pPr>
        <w:jc w:val="both"/>
      </w:pPr>
      <w:r>
        <w:t>While domestic tourism accounts for more than half of UK visitor spending, outbound travel should not be discounted, as it can grow alongside domestic demand. easyJet research shows that 96% of UK consumers view holidays as an essential annual expense , underscoring the importance of travel abroad within household spending priorities.</w:t>
      </w:r>
    </w:p>
    <w:p w:rsidR="00BF433C" w:rsidP="00235A4E">
      <w:pPr>
        <w:jc w:val="both"/>
      </w:pPr>
    </w:p>
    <w:p w:rsidR="00BF433C" w:rsidP="00235A4E">
      <w:pPr>
        <w:jc w:val="both"/>
      </w:pPr>
      <w:r>
        <w:t>5: PROMOTING REGIONAL GROWTH</w:t>
      </w:r>
    </w:p>
    <w:p w:rsidR="00BF433C" w:rsidRPr="00235A4E" w:rsidP="00235A4E">
      <w:pPr>
        <w:jc w:val="both"/>
        <w:rPr>
          <w:i/>
          <w:iCs/>
        </w:rPr>
      </w:pPr>
      <w:r w:rsidRPr="00235A4E">
        <w:rPr>
          <w:i/>
          <w:iCs/>
        </w:rPr>
        <w:t>(6. How can tourism better support regional growth, community prosperity and wider Government objectives?)</w:t>
      </w:r>
    </w:p>
    <w:p w:rsidR="00BF433C" w:rsidP="00235A4E">
      <w:pPr>
        <w:jc w:val="both"/>
      </w:pPr>
      <w:r>
        <w:t>easyJet’s UK network supports critical connectivity across the UK’s nations and regions, including routes that are essential for Northern Ireland, Scotland, and regional England, supporting tourism, trade, labour mobility, inward investment, and social links. Since 1995, UK–Europe connectivity has grown by 61%, with disproportionately strong expansion in the North West (183%), the North East (145%), Northern Ireland (363%), and Scotland (404%). By 2024, 58% of inbound passengers were arriving outside London</w:t>
      </w:r>
      <w:r>
        <w:t>, demonstrating the increasingly dispersed nature of tourism flows.</w:t>
      </w:r>
    </w:p>
    <w:p w:rsidR="00BF433C" w:rsidP="00235A4E">
      <w:pPr>
        <w:jc w:val="both"/>
      </w:pPr>
      <w:r>
        <w:t>In the context of tourism, regional impact must be considered across the full international travel market—both inbound and outbound flows—as outbound demand plays a critical role in sustaining air routes that also enable inbound tourism to UK regions, while delivering broader employment and welfare benefits. 87% of easyJet’s UK-based workforce is distributed across all nine English regions, alongside over 700 employees in Scotland, 410 in Northern Ireland, and 150 in Wales, each contributing approximately £</w:t>
      </w:r>
      <w:r>
        <w:t xml:space="preserve">159,000 in GVA annually, more than double the national average. </w:t>
      </w:r>
    </w:p>
    <w:p w:rsidR="00BF433C" w:rsidP="00235A4E">
      <w:pPr>
        <w:jc w:val="both"/>
      </w:pPr>
      <w:r>
        <w:t>Against this backdrop, APD reform presents a clear opportunity to further support regional growth by improving route economics and protecting essential connectivity. Lower passenger taxation can be rapidly passed through into reduced fares and higher passenger volumes, strengthening load factors and supporting network viability—particularly on thinner domestic and regional routes—thereby reinforcing connectivity and enabling ever-more balanced economic development across the UK’s nations and regions.</w:t>
      </w:r>
    </w:p>
    <w:p w:rsidR="00BF433C" w:rsidP="00235A4E">
      <w:pPr>
        <w:jc w:val="both"/>
      </w:pPr>
    </w:p>
    <w:p w:rsidR="00BF433C" w:rsidP="00235A4E">
      <w:pPr>
        <w:jc w:val="both"/>
      </w:pPr>
    </w:p>
    <w:p w:rsidR="00BF433C" w:rsidP="00235A4E">
      <w:pPr>
        <w:jc w:val="both"/>
      </w:pPr>
    </w:p>
    <w:p w:rsidR="00BF433C" w:rsidP="00235A4E">
      <w:pPr>
        <w:jc w:val="both"/>
      </w:pPr>
    </w:p>
    <w:p w:rsidR="00BF433C" w:rsidP="00235A4E">
      <w:pPr>
        <w:jc w:val="both"/>
      </w:pPr>
      <w:r>
        <w:t>6: ISSUES FACING THE TOURISM WORKFORCE</w:t>
      </w:r>
    </w:p>
    <w:p w:rsidR="00BF433C" w:rsidRPr="00235A4E" w:rsidP="00235A4E">
      <w:pPr>
        <w:jc w:val="both"/>
        <w:rPr>
          <w:i/>
          <w:iCs/>
        </w:rPr>
      </w:pPr>
      <w:r w:rsidRPr="00235A4E">
        <w:rPr>
          <w:i/>
          <w:iCs/>
        </w:rPr>
        <w:t>(8. What are the key issues facing the tourism workforce?)</w:t>
      </w:r>
    </w:p>
    <w:p w:rsidR="00BF433C" w:rsidP="00235A4E">
      <w:pPr>
        <w:jc w:val="both"/>
      </w:pPr>
      <w:r>
        <w:t>Air travel underpins significant indirect employment across the UK tourism economy, supporting competitive, well-paid, and stable jobs. Each UK-based aircraft is estimated to sustain around 400 jobs across direct, indirect and induced effects—four times more than overseas-based aircraft serving UK routes.</w:t>
      </w:r>
      <w:r>
        <w:rPr>
          <w:rStyle w:val="FootnoteReference"/>
        </w:rPr>
        <w:footnoteReference w:id="7"/>
      </w:r>
      <w:r>
        <w:t xml:space="preserve"> With around 12,000 UK employees each contributing £159,000 in GVA annually—more than double the UK average—easyJet underscores how a strong, growing aviation sector is critical to the resilience and long</w:t>
      </w:r>
      <w:r>
        <w:rPr>
          <w:rFonts w:ascii="Cambria Math" w:hAnsi="Cambria Math" w:cs="Cambria Math"/>
        </w:rPr>
        <w:t>‑</w:t>
      </w:r>
      <w:r>
        <w:t>term prosperity of the UK tourism workforce.</w:t>
      </w:r>
    </w:p>
    <w:p w:rsidR="00BF433C" w:rsidP="00235A4E">
      <w:pPr>
        <w:jc w:val="both"/>
      </w:pPr>
    </w:p>
    <w:p w:rsidR="00BF433C" w:rsidP="00235A4E">
      <w:pPr>
        <w:jc w:val="center"/>
        <w:rPr>
          <w:b/>
          <w:bCs/>
        </w:rPr>
      </w:pPr>
      <w:r w:rsidRPr="00235A4E">
        <w:rPr>
          <w:b/>
          <w:bCs/>
        </w:rPr>
        <w:t>—END OF DOCUMENT—</w:t>
      </w:r>
    </w:p>
    <w:p w:rsidR="00BF433C" w:rsidP="00E51F23">
      <w:pPr>
        <w:rPr>
          <w:b/>
          <w:bCs/>
        </w:rPr>
      </w:pPr>
    </w:p>
    <w:sectPr>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asyJet Rounded Book">
    <w:altName w:val="Cambria"/>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64647123"/>
      <w:docPartObj>
        <w:docPartGallery w:val="Page Numbers (Bottom of Page)"/>
        <w:docPartUnique/>
      </w:docPartObj>
    </w:sdtPr>
    <w:sdtEndPr>
      <w:rPr>
        <w:noProof/>
      </w:rPr>
    </w:sdtEndPr>
    <w:sdtContent>
      <w:p w:rsidR="00BF43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F4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F433C" w:rsidP="00235A4E">
      <w:pPr>
        <w:spacing w:after="0" w:line="240" w:lineRule="auto"/>
      </w:pPr>
      <w:r>
        <w:separator/>
      </w:r>
    </w:p>
  </w:footnote>
  <w:footnote w:type="continuationSeparator" w:id="1">
    <w:p w:rsidR="00BF433C" w:rsidP="00235A4E">
      <w:pPr>
        <w:spacing w:after="0" w:line="240" w:lineRule="auto"/>
      </w:pPr>
      <w:r>
        <w:continuationSeparator/>
      </w:r>
    </w:p>
  </w:footnote>
  <w:footnote w:id="2">
    <w:p w:rsidR="00BF433C">
      <w:pPr>
        <w:pStyle w:val="FootnoteText"/>
      </w:pPr>
      <w:r>
        <w:rPr>
          <w:rStyle w:val="FootnoteReference"/>
        </w:rPr>
        <w:footnoteRef/>
      </w:r>
      <w:r>
        <w:t xml:space="preserve"> </w:t>
      </w:r>
      <w:r w:rsidRPr="00235A4E">
        <w:t xml:space="preserve">  Note: Markets include the US, UAE, Turkey, Ireland, Germany, Netherlands and France</w:t>
      </w:r>
    </w:p>
  </w:footnote>
  <w:footnote w:id="3">
    <w:p w:rsidR="00BF433C">
      <w:pPr>
        <w:pStyle w:val="FootnoteText"/>
      </w:pPr>
      <w:r>
        <w:rPr>
          <w:rStyle w:val="FootnoteReference"/>
        </w:rPr>
        <w:footnoteRef/>
      </w:r>
      <w:r>
        <w:t xml:space="preserve"> </w:t>
      </w:r>
      <w:r w:rsidRPr="00235A4E">
        <w:t xml:space="preserve">  The UK Aviation Competitiveness Index (WPI Strategy, 2026). Commissioned jointly by AirlinesUK, AirportsUK and A4A. Available </w:t>
      </w:r>
      <w:r>
        <w:fldChar w:fldCharType="begin"/>
      </w:r>
      <w:r>
        <w:instrText xml:space="preserve"> HYPERLINK "https://airlinesuk.org/wp-content/uploads/2026/02/Airlines-UK-Aviation-Competitiveness-Index-summary.pdf" </w:instrText>
      </w:r>
      <w:r>
        <w:fldChar w:fldCharType="separate"/>
      </w:r>
      <w:r w:rsidRPr="00235A4E">
        <w:rPr>
          <w:rStyle w:val="Hyperlink"/>
        </w:rPr>
        <w:t>here</w:t>
      </w:r>
      <w:r>
        <w:fldChar w:fldCharType="end"/>
      </w:r>
    </w:p>
  </w:footnote>
  <w:footnote w:id="4">
    <w:p w:rsidR="00BF433C" w:rsidP="00235A4E">
      <w:pPr>
        <w:pStyle w:val="FootnoteText"/>
      </w:pPr>
      <w:r w:rsidRPr="00235A4E">
        <w:rPr>
          <w:vertAlign w:val="superscript"/>
        </w:rPr>
        <w:footnoteRef/>
      </w:r>
      <w:r>
        <w:t xml:space="preserve"> </w:t>
      </w:r>
      <w:r w:rsidRPr="00235A4E">
        <w:t xml:space="preserve">Economic Value of Tourism in the United Kingdom (Tourism Economics, 2026). Commissioned by VisitBritain/VisitEngland. Available </w:t>
      </w:r>
      <w:r>
        <w:fldChar w:fldCharType="begin"/>
      </w:r>
      <w:r>
        <w:instrText xml:space="preserve"> HYPERLINK "https://www.visitbritain.org/research-insights/economic-value-tourism" </w:instrText>
      </w:r>
      <w:r>
        <w:fldChar w:fldCharType="separate"/>
      </w:r>
      <w:r w:rsidRPr="00235A4E">
        <w:rPr>
          <w:rStyle w:val="Hyperlink"/>
        </w:rPr>
        <w:t>here</w:t>
      </w:r>
      <w:r>
        <w:fldChar w:fldCharType="end"/>
      </w:r>
    </w:p>
  </w:footnote>
  <w:footnote w:id="5">
    <w:p w:rsidR="00BF433C" w:rsidP="00235A4E">
      <w:pPr>
        <w:pStyle w:val="FootnoteText"/>
      </w:pPr>
      <w:r>
        <w:rPr>
          <w:rStyle w:val="FootnoteReference"/>
        </w:rPr>
        <w:footnoteRef/>
      </w:r>
      <w:r>
        <w:t xml:space="preserve"> </w:t>
      </w:r>
      <w:r w:rsidRPr="00235A4E">
        <w:t xml:space="preserve">Economic Value of Tourism in the United Kingdom (Tourism Economics, 2026). Commissioned by VisitBritain/VisitEngland. Available </w:t>
      </w:r>
      <w:r>
        <w:fldChar w:fldCharType="begin"/>
      </w:r>
      <w:r>
        <w:instrText xml:space="preserve"> HYPERLINK "https://www.visitbritain.org/research-insights/economic-value-tourism" </w:instrText>
      </w:r>
      <w:r>
        <w:fldChar w:fldCharType="separate"/>
      </w:r>
      <w:r w:rsidRPr="00235A4E">
        <w:rPr>
          <w:rStyle w:val="Hyperlink"/>
        </w:rPr>
        <w:t>here</w:t>
      </w:r>
      <w:r>
        <w:fldChar w:fldCharType="end"/>
      </w:r>
    </w:p>
  </w:footnote>
  <w:footnote w:id="6">
    <w:p w:rsidR="00BF433C" w:rsidP="00235A4E">
      <w:pPr>
        <w:pStyle w:val="FootnoteText"/>
      </w:pPr>
      <w:r>
        <w:rPr>
          <w:rStyle w:val="FootnoteReference"/>
        </w:rPr>
        <w:footnoteRef/>
      </w:r>
      <w:r>
        <w:t xml:space="preserve"> </w:t>
      </w:r>
      <w:r w:rsidRPr="00235A4E">
        <w:t>easyJet analysis of data from DEFRA methodology: short-haul c.0.099kg CO2/pkm; long-haul c.108kg CO₂/pkm.</w:t>
      </w:r>
    </w:p>
  </w:footnote>
  <w:footnote w:id="7">
    <w:p w:rsidR="00BF433C" w:rsidP="00235A4E">
      <w:pPr>
        <w:pStyle w:val="FootnoteText"/>
      </w:pPr>
      <w:r>
        <w:rPr>
          <w:rStyle w:val="FootnoteReference"/>
        </w:rPr>
        <w:footnoteRef/>
      </w:r>
      <w:r>
        <w:t xml:space="preserve"> </w:t>
      </w:r>
      <w:r w:rsidRPr="00235A4E">
        <w:t xml:space="preserve">Assessment of the strategic and economic importance of UK-based airlines (Steer, 2023). Commissioned by AirlinesUK. Available </w:t>
      </w:r>
      <w:r>
        <w:fldChar w:fldCharType="begin"/>
      </w:r>
      <w:r>
        <w:instrText xml:space="preserve"> HYPERLINK "https://airlinesuk.org/assessment-of-the-strategic-and-economic-importance-of-uk-based-airlines/" </w:instrText>
      </w:r>
      <w:r>
        <w:fldChar w:fldCharType="separate"/>
      </w:r>
      <w:r w:rsidRPr="00235A4E">
        <w:rPr>
          <w:rStyle w:val="Hyperlink"/>
        </w:rPr>
        <w:t>here</w:t>
      </w:r>
      <w: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35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autoRedefine/>
    <w:qFormat/>
    <w:rsid w:val="00223A07"/>
    <w:pPr>
      <w:spacing w:after="0" w:line="240" w:lineRule="auto"/>
      <w:ind w:left="1020" w:hanging="1020"/>
      <w:jc w:val="both"/>
      <w:textAlignment w:val="baseline"/>
    </w:pPr>
    <w:rPr>
      <w:rFonts w:ascii="easyJet Rounded Book" w:hAnsi="easyJet Rounded Book" w:eastAsiaTheme="majorEastAsia" w:cs="Segoe UI"/>
      <w:sz w:val="24"/>
      <w:szCs w:val="32"/>
      <w:lang w:eastAsia="en-GB"/>
    </w:rPr>
  </w:style>
  <w:style w:type="character" w:customStyle="1" w:styleId="ParagraphChar">
    <w:name w:val="Paragraph Char"/>
    <w:basedOn w:val="DefaultParagraphFont"/>
    <w:link w:val="Paragraph"/>
    <w:rsid w:val="00223A07"/>
    <w:rPr>
      <w:rFonts w:ascii="easyJet Rounded Book" w:hAnsi="easyJet Rounded Book" w:eastAsiaTheme="majorEastAsia" w:cs="Segoe UI"/>
      <w:sz w:val="24"/>
      <w:szCs w:val="32"/>
      <w:lang w:eastAsia="en-GB"/>
    </w:rPr>
  </w:style>
  <w:style w:type="character" w:customStyle="1" w:styleId="Heading1Char">
    <w:name w:val="Heading 1 Char"/>
    <w:basedOn w:val="DefaultParagraphFont"/>
    <w:link w:val="Heading1"/>
    <w:uiPriority w:val="9"/>
    <w:rsid w:val="00235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A4E"/>
    <w:rPr>
      <w:rFonts w:eastAsiaTheme="majorEastAsia" w:cstheme="majorBidi"/>
      <w:color w:val="272727" w:themeColor="text1" w:themeTint="D8"/>
    </w:rPr>
  </w:style>
  <w:style w:type="paragraph" w:styleId="Title">
    <w:name w:val="Title"/>
    <w:basedOn w:val="Normal"/>
    <w:next w:val="Normal"/>
    <w:link w:val="TitleChar"/>
    <w:uiPriority w:val="10"/>
    <w:qFormat/>
    <w:rsid w:val="00235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A4E"/>
    <w:pPr>
      <w:spacing w:before="160"/>
      <w:jc w:val="center"/>
    </w:pPr>
    <w:rPr>
      <w:i/>
      <w:iCs/>
      <w:color w:val="404040" w:themeColor="text1" w:themeTint="BF"/>
    </w:rPr>
  </w:style>
  <w:style w:type="character" w:customStyle="1" w:styleId="QuoteChar">
    <w:name w:val="Quote Char"/>
    <w:basedOn w:val="DefaultParagraphFont"/>
    <w:link w:val="Quote"/>
    <w:uiPriority w:val="29"/>
    <w:rsid w:val="00235A4E"/>
    <w:rPr>
      <w:i/>
      <w:iCs/>
      <w:color w:val="404040" w:themeColor="text1" w:themeTint="BF"/>
    </w:rPr>
  </w:style>
  <w:style w:type="paragraph" w:styleId="ListParagraph">
    <w:name w:val="List Paragraph"/>
    <w:basedOn w:val="Normal"/>
    <w:uiPriority w:val="34"/>
    <w:qFormat/>
    <w:rsid w:val="00235A4E"/>
    <w:pPr>
      <w:ind w:left="720"/>
      <w:contextualSpacing/>
    </w:pPr>
  </w:style>
  <w:style w:type="character" w:styleId="IntenseEmphasis">
    <w:name w:val="Intense Emphasis"/>
    <w:basedOn w:val="DefaultParagraphFont"/>
    <w:uiPriority w:val="21"/>
    <w:qFormat/>
    <w:rsid w:val="00235A4E"/>
    <w:rPr>
      <w:i/>
      <w:iCs/>
      <w:color w:val="0F4761" w:themeColor="accent1" w:themeShade="BF"/>
    </w:rPr>
  </w:style>
  <w:style w:type="paragraph" w:styleId="IntenseQuote">
    <w:name w:val="Intense Quote"/>
    <w:basedOn w:val="Normal"/>
    <w:next w:val="Normal"/>
    <w:link w:val="IntenseQuoteChar"/>
    <w:uiPriority w:val="30"/>
    <w:qFormat/>
    <w:rsid w:val="00235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A4E"/>
    <w:rPr>
      <w:i/>
      <w:iCs/>
      <w:color w:val="0F4761" w:themeColor="accent1" w:themeShade="BF"/>
    </w:rPr>
  </w:style>
  <w:style w:type="character" w:styleId="IntenseReference">
    <w:name w:val="Intense Reference"/>
    <w:basedOn w:val="DefaultParagraphFont"/>
    <w:uiPriority w:val="32"/>
    <w:qFormat/>
    <w:rsid w:val="00235A4E"/>
    <w:rPr>
      <w:b/>
      <w:bCs/>
      <w:smallCaps/>
      <w:color w:val="0F4761" w:themeColor="accent1" w:themeShade="BF"/>
      <w:spacing w:val="5"/>
    </w:rPr>
  </w:style>
  <w:style w:type="paragraph" w:styleId="Header">
    <w:name w:val="header"/>
    <w:basedOn w:val="Normal"/>
    <w:link w:val="HeaderChar"/>
    <w:uiPriority w:val="99"/>
    <w:unhideWhenUsed/>
    <w:rsid w:val="00235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A4E"/>
  </w:style>
  <w:style w:type="paragraph" w:styleId="Footer">
    <w:name w:val="footer"/>
    <w:basedOn w:val="Normal"/>
    <w:link w:val="FooterChar"/>
    <w:uiPriority w:val="99"/>
    <w:unhideWhenUsed/>
    <w:rsid w:val="00235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A4E"/>
  </w:style>
  <w:style w:type="paragraph" w:styleId="FootnoteText">
    <w:name w:val="footnote text"/>
    <w:basedOn w:val="Normal"/>
    <w:link w:val="FootnoteTextChar"/>
    <w:uiPriority w:val="99"/>
    <w:semiHidden/>
    <w:unhideWhenUsed/>
    <w:rsid w:val="00235A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A4E"/>
    <w:rPr>
      <w:sz w:val="20"/>
      <w:szCs w:val="20"/>
    </w:rPr>
  </w:style>
  <w:style w:type="character" w:styleId="FootnoteReference">
    <w:name w:val="footnote reference"/>
    <w:basedOn w:val="DefaultParagraphFont"/>
    <w:uiPriority w:val="99"/>
    <w:semiHidden/>
    <w:unhideWhenUsed/>
    <w:rsid w:val="00235A4E"/>
    <w:rPr>
      <w:vertAlign w:val="superscript"/>
    </w:rPr>
  </w:style>
  <w:style w:type="character" w:styleId="Hyperlink">
    <w:name w:val="Hyperlink"/>
    <w:basedOn w:val="DefaultParagraphFont"/>
    <w:uiPriority w:val="99"/>
    <w:unhideWhenUsed/>
    <w:rsid w:val="00235A4E"/>
    <w:rPr>
      <w:color w:val="467886" w:themeColor="hyperlink"/>
      <w:u w:val="single"/>
    </w:rPr>
  </w:style>
  <w:style w:type="character" w:customStyle="1" w:styleId="UnresolvedMention1">
    <w:name w:val="Unresolved Mention1"/>
    <w:basedOn w:val="DefaultParagraphFont"/>
    <w:uiPriority w:val="99"/>
    <w:semiHidden/>
    <w:unhideWhenUsed/>
    <w:rsid w:val="00235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B7568-207D-4036-9B50-C04FC574633C}">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TOU0096</dc:title>
  <cp:revision>0</cp:revision>
</cp:coreProperties>
</file>