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77A5" w:rsidRPr="00560C4C" w:rsidP="000077A5">
      <w:pPr>
        <w:spacing w:line="360" w:lineRule="auto"/>
        <w:jc w:val="center"/>
        <w:rPr>
          <w:rFonts w:ascii="Calibri" w:hAnsi="Calibri" w:cs="Calibri"/>
          <w:sz w:val="28"/>
          <w:szCs w:val="28"/>
        </w:rPr>
      </w:pPr>
      <w:r w:rsidRPr="00560C4C">
        <w:rPr>
          <w:rFonts w:ascii="Calibri" w:hAnsi="Calibri" w:cs="Calibri"/>
          <w:sz w:val="28"/>
          <w:szCs w:val="28"/>
        </w:rPr>
        <w:t>Written evidence submitted by</w:t>
      </w:r>
      <w:r w:rsidRPr="00922D69">
        <w:rPr>
          <w:rFonts w:ascii="Calibri" w:hAnsi="Calibri" w:cs="Calibri"/>
          <w:sz w:val="28"/>
          <w:szCs w:val="28"/>
        </w:rPr>
        <w:t xml:space="preserve"> </w:t>
      </w:r>
      <w:r w:rsidRPr="000077A5">
        <w:rPr>
          <w:rFonts w:ascii="Calibri" w:hAnsi="Calibri" w:cs="Calibri"/>
          <w:sz w:val="28"/>
          <w:szCs w:val="28"/>
        </w:rPr>
        <w:t>the New Economics Foundation</w:t>
      </w:r>
    </w:p>
    <w:p w:rsidR="00C4345A" w:rsidP="000077A5">
      <w:r>
        <w:rPr>
          <w:rFonts w:ascii="Montserrat" w:hAnsi="Montserrat"/>
          <w:szCs w:val="22"/>
        </w:rPr>
        <w:pict>
          <v:shapetype id="_x0000_t202" coordsize="21600,21600" o:spt="202" path="m,l,21600r21600,l21600,xe">
            <v:stroke joinstyle="miter"/>
            <v:path gradientshapeok="t" o:connecttype="rect"/>
          </v:shapetype>
          <v:shape id="Text Box 2" o:spid="_x0000_s1025" type="#_x0000_t202" style="height:855.4pt;margin-left:-85.95pt;margin-top:-76.3pt;mso-height-percent:0;mso-height-relative:margin;mso-width-percent:0;mso-width-relative:margin;mso-wrap-distance-bottom:0;mso-wrap-distance-left:9pt;mso-wrap-distance-right:9pt;mso-wrap-distance-top:0;mso-wrap-style:none;position:absolute;v-text-anchor:top;visibility:visible;width:616.85pt;z-index:-251657216" stroked="f">
            <v:fill r:id="rId9" o:title="" recolor="t" rotate="t" type="frame"/>
            <v:textbox style="mso-fit-shape-to-text:t">
              <w:txbxContent>
                <w:p w:rsidR="00C4345A" w:rsidP="00C82C8E"/>
              </w:txbxContent>
            </v:textbox>
          </v:shape>
        </w:pict>
      </w:r>
      <w:r w:rsidRPr="000077A5">
        <w:rPr>
          <w:rFonts w:ascii="Montserrat" w:hAnsi="Montserrat"/>
          <w:szCs w:val="22"/>
        </w:rPr>
        <w:t>CMSC Tourism Inquiry: Bringing back the great British holiday</w:t>
      </w:r>
    </w:p>
    <w:p w:rsidR="00C4345A" w:rsidP="00D04A3A">
      <w:pPr>
        <w:spacing w:after="0" w:line="240" w:lineRule="auto"/>
      </w:pPr>
      <w:r>
        <w:rPr>
          <w:noProof/>
        </w:rPr>
        <w:pict>
          <v:rect id="_x0000_i1026" style="height:0.05pt;width:451.3pt" o:hralign="center" o:hrstd="t" o:hr="t" fillcolor="#a0a0a0" stroked="f"/>
        </w:pict>
      </w:r>
    </w:p>
    <w:p w:rsidR="00C4345A" w:rsidP="00742C37">
      <w:pPr>
        <w:pStyle w:val="ListParagraph"/>
        <w:numPr>
          <w:ilvl w:val="0"/>
          <w:numId w:val="29"/>
        </w:numPr>
        <w:rPr>
          <w:rStyle w:val="Heading1Char"/>
        </w:rPr>
      </w:pPr>
      <w:r>
        <w:rPr>
          <w:rStyle w:val="Heading1Char"/>
        </w:rPr>
        <w:t>Executive summary</w:t>
      </w:r>
    </w:p>
    <w:p w:rsidR="00C4345A" w:rsidP="00C10B70">
      <w:pPr>
        <w:pStyle w:val="ListParagraph"/>
        <w:numPr>
          <w:ilvl w:val="1"/>
          <w:numId w:val="29"/>
        </w:numPr>
      </w:pPr>
      <w:r>
        <w:t xml:space="preserve">This inquiry submission is made by the New Economics Foundation, a charitable think tank. </w:t>
      </w:r>
    </w:p>
    <w:p w:rsidR="00C4345A" w:rsidP="00C10B70">
      <w:pPr>
        <w:pStyle w:val="ListParagraph"/>
        <w:numPr>
          <w:ilvl w:val="1"/>
          <w:numId w:val="29"/>
        </w:numPr>
      </w:pPr>
      <w:r>
        <w:t>The great British holiday has been in a phase of sustained decline for two decades. A re-orientation has also taken place, moving activity away from small towns and the coast and into city breaks. We identify two main drivers: the sustained and systematic policy support, and effective subsidisation, of air travel, and the legacy of austerity and under-investment in the UK’s rural, cultural and social capital.</w:t>
      </w:r>
    </w:p>
    <w:p w:rsidR="00C4345A" w:rsidP="00C10B70">
      <w:pPr>
        <w:pStyle w:val="ListParagraph"/>
        <w:numPr>
          <w:ilvl w:val="1"/>
          <w:numId w:val="29"/>
        </w:numPr>
      </w:pPr>
      <w:r>
        <w:t xml:space="preserve">The air travel industry has benefitted from generous tax breaks and sustained political support for airport expansion. This, against a backdrop of above-inflation public transport fare rises, and higher costs faced by hospitality, has unbalanced household spending incentives and created a growing international travel spending deficit. This deficit has moved cash away from some of the UK’s most held-back seaside communities and cost jobs (particularly for young people) precisely where they are needed most. </w:t>
      </w:r>
    </w:p>
    <w:p w:rsidR="00C4345A" w:rsidP="00C10B70">
      <w:pPr>
        <w:pStyle w:val="ListParagraph"/>
        <w:numPr>
          <w:ilvl w:val="1"/>
          <w:numId w:val="29"/>
        </w:numPr>
      </w:pPr>
      <w:r>
        <w:t>Alongside this, rural and coastal communities have been starved of investment. Public transport services have been cut back, fares have risen fast, and progress on vital infrastructure, such as east-west and coastal connectivity, has stalled. Productive investment is needed to reduce energy costs, improve digital access, and upskill workers and small tourism businesses. Boosting consumption in left-behind tourist destinations will create jobs, increase redistribution and crowd in private investment.</w:t>
      </w:r>
    </w:p>
    <w:p w:rsidR="00C4345A" w:rsidP="00C10B70">
      <w:pPr>
        <w:pStyle w:val="ListParagraph"/>
        <w:numPr>
          <w:ilvl w:val="1"/>
          <w:numId w:val="29"/>
        </w:numPr>
      </w:pPr>
      <w:r>
        <w:t xml:space="preserve">Over coming months, high aviation fuel costs may drive growth in domestic travel. But to lock-in and maximise this opportunity, government leadership is needed. Bold, structural change is required and a game-changing public investment package. In this briefing, we offer a range of potential policy approaches, starting with NEF’s core and most developed policy areas, and concluding with some novel and interesting areas for exploration. </w:t>
      </w:r>
    </w:p>
    <w:p w:rsidR="00C4345A" w:rsidP="00C10B70">
      <w:pPr>
        <w:pStyle w:val="Bulletparagraph"/>
      </w:pPr>
      <w:r>
        <w:rPr>
          <w:b/>
          <w:bCs/>
        </w:rPr>
        <w:t>Aviation taxes must rise</w:t>
      </w:r>
      <w:r>
        <w:t xml:space="preserve"> through introduction of a fair carbon price on air travel. Through a discount on an individual’s first flight of the year the family holiday should be protected. Tax revenues worth up to £6bn could be generated to fund a transformative domestic tourism package.</w:t>
      </w:r>
    </w:p>
    <w:p w:rsidR="00C4345A" w:rsidP="00C10B70">
      <w:pPr>
        <w:pStyle w:val="Bulletparagraph"/>
      </w:pPr>
      <w:r>
        <w:rPr>
          <w:b/>
          <w:bCs/>
        </w:rPr>
        <w:t>Business rates must be transformed</w:t>
      </w:r>
      <w:r>
        <w:t>, with a twin proposal that includes a new tax on landowners incentivising investment rather than land hoarding, and a much lower, property tax, that is fully devolved to local decision makers.</w:t>
      </w:r>
    </w:p>
    <w:p w:rsidR="00C4345A" w:rsidP="00C10B70">
      <w:pPr>
        <w:pStyle w:val="Bulletparagraph"/>
      </w:pPr>
      <w:r>
        <w:rPr>
          <w:b/>
          <w:bCs/>
        </w:rPr>
        <w:t>Public transport costs must come down,</w:t>
      </w:r>
      <w:r>
        <w:t xml:space="preserve"> with a focus on rural, coastal, and small-town bus provision; rail fare simplification and holiday deals; improvements in passenger experience; and east-west rail infrastructure, alongside support for active travel and scaling-up shared mobility.</w:t>
      </w:r>
    </w:p>
    <w:p w:rsidR="00C4345A" w:rsidP="00C10B70">
      <w:pPr>
        <w:pStyle w:val="Bulletparagraph"/>
      </w:pPr>
      <w:r>
        <w:rPr>
          <w:b/>
          <w:bCs/>
        </w:rPr>
        <w:t>Cultural investment must increase</w:t>
      </w:r>
      <w:r>
        <w:t>, through increased local authority funding and control, and exploring creative policy options like a living income for artists and cultural workers and developing cultural infrastructure in deindustrialised regions and traditional domestic tourism locations.</w:t>
      </w:r>
    </w:p>
    <w:p w:rsidR="00C4345A" w:rsidP="00C10B70">
      <w:pPr>
        <w:pStyle w:val="Bulletparagraph"/>
      </w:pPr>
      <w:r>
        <w:rPr>
          <w:b/>
          <w:bCs/>
        </w:rPr>
        <w:t>Demand must be increased but smoothed out</w:t>
      </w:r>
      <w:r>
        <w:t xml:space="preserve">, this can be facilitated through school holiday staggering and expansion of leisure time through increased bank holidays and changes to working time norms.  </w:t>
      </w:r>
    </w:p>
    <w:p w:rsidR="00C4345A" w:rsidP="00D351F3">
      <w:pPr>
        <w:pStyle w:val="Bulletparagraph"/>
        <w:numPr>
          <w:ilvl w:val="0"/>
          <w:numId w:val="0"/>
        </w:numPr>
        <w:ind w:left="227"/>
      </w:pPr>
    </w:p>
    <w:p w:rsidR="00C4345A" w:rsidP="00D351F3">
      <w:pPr>
        <w:pStyle w:val="Bulletparagraph"/>
        <w:numPr>
          <w:ilvl w:val="0"/>
          <w:numId w:val="0"/>
        </w:numPr>
        <w:ind w:left="227"/>
        <w:sectPr w:rsidSect="00BB0440">
          <w:headerReference w:type="default" r:id="rId10"/>
          <w:footerReference w:type="default" r:id="rId11"/>
          <w:headerReference w:type="first" r:id="rId12"/>
          <w:footerReference w:type="first" r:id="rId13"/>
          <w:pgSz w:w="11906" w:h="16838"/>
          <w:pgMar w:top="1440" w:right="1440" w:bottom="1134" w:left="1440" w:header="709" w:footer="709" w:gutter="0"/>
          <w:cols w:space="708"/>
          <w:titlePg/>
          <w:docGrid w:linePitch="360"/>
        </w:sectPr>
      </w:pPr>
    </w:p>
    <w:p w:rsidR="00C4345A" w:rsidP="00742C37">
      <w:pPr>
        <w:pStyle w:val="Heading1"/>
        <w:numPr>
          <w:ilvl w:val="0"/>
          <w:numId w:val="28"/>
        </w:numPr>
      </w:pPr>
      <w:r>
        <w:t>The disappearance of the great British holiday</w:t>
      </w:r>
    </w:p>
    <w:p w:rsidR="00C4345A" w:rsidP="00742C37">
      <w:pPr>
        <w:pStyle w:val="ListParagraph"/>
        <w:numPr>
          <w:ilvl w:val="1"/>
          <w:numId w:val="28"/>
        </w:numPr>
      </w:pPr>
      <w:r>
        <w:t>The great British holiday has been in a phase of sustained decline for two decades. A brief respite during the Covid-19 era ended quickly. Between 2006-2024, despite real GDP per capita growth of around 9%, real domestic tourism spend per capita declined approximately 13% (</w:t>
      </w:r>
      <w:r>
        <w:fldChar w:fldCharType="begin"/>
      </w:r>
      <w:r>
        <w:instrText xml:space="preserve"> REF _Ref229492137 \h </w:instrText>
      </w:r>
      <w:r>
        <w:fldChar w:fldCharType="separate"/>
      </w:r>
      <w:r>
        <w:t xml:space="preserve">Figure </w:t>
      </w:r>
      <w:r>
        <w:rPr>
          <w:noProof/>
        </w:rPr>
        <w:t>1</w:t>
      </w:r>
      <w:r>
        <w:fldChar w:fldCharType="end"/>
      </w:r>
      <w:r>
        <w:t>).</w:t>
      </w:r>
    </w:p>
    <w:p w:rsidR="00C4345A" w:rsidP="00BB3135">
      <w:pPr>
        <w:pStyle w:val="Caption"/>
      </w:pPr>
      <w:bookmarkStart w:id="0" w:name="_Ref229492137"/>
      <w:r>
        <w:t xml:space="preserve">Figure </w:t>
      </w:r>
      <w:r>
        <w:fldChar w:fldCharType="begin"/>
      </w:r>
      <w:r>
        <w:instrText>SEQ Figure \* ARABIC</w:instrText>
      </w:r>
      <w:r>
        <w:fldChar w:fldCharType="separate"/>
      </w:r>
      <w:r>
        <w:rPr>
          <w:noProof/>
        </w:rPr>
        <w:t>1</w:t>
      </w:r>
      <w:r>
        <w:fldChar w:fldCharType="end"/>
      </w:r>
      <w:bookmarkEnd w:id="0"/>
      <w:r>
        <w:t>: Real spend per-capita on overnight domestic tourism (2026 prices) and real GDP per-capita (CVM)</w:t>
      </w:r>
    </w:p>
    <w:p w:rsidR="00C4345A" w:rsidP="0064361A">
      <w:r>
        <w:rPr>
          <w:noProof/>
        </w:rPr>
        <w:drawing>
          <wp:inline distT="0" distB="0" distL="0" distR="0">
            <wp:extent cx="5664200" cy="3649980"/>
            <wp:effectExtent l="0" t="0" r="0" b="7620"/>
            <wp:docPr id="163913882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C4345A" w:rsidRPr="00533F97" w:rsidP="0064361A">
      <w:pPr>
        <w:rPr>
          <w:i/>
          <w:iCs/>
        </w:rPr>
      </w:pPr>
      <w:r>
        <w:rPr>
          <w:i/>
          <w:iCs/>
        </w:rPr>
        <w:t>Source: NEF analysis of the Great Britain Tourism Survey. Survey methodology changed during the pandemic meaning pre and post-2020 comparisons should be treated with caution.</w:t>
      </w:r>
    </w:p>
    <w:p w:rsidR="00C4345A" w:rsidP="000B7DF7">
      <w:pPr>
        <w:pStyle w:val="ListParagraph"/>
        <w:numPr>
          <w:ilvl w:val="1"/>
          <w:numId w:val="28"/>
        </w:numPr>
      </w:pPr>
      <w:r>
        <w:t>Recent data points to an acceleration in this decline. VisitBritain’s Great Britain Tourism Survey (GBTS) suggests that the number of nights spent on overnight leisure trips declined by 5% between 2024 and 2025, a fall of around 14m nights. Since 2022, 75m nights have been lost, a fall of 21%. In its 2021 tourism recovery plan the government set out its desire to “embed domestic travel as a sustained customer behaviour”.</w:t>
      </w:r>
      <w:r>
        <w:rPr>
          <w:rStyle w:val="FootnoteReference"/>
        </w:rPr>
        <w:footnoteReference w:id="2"/>
      </w:r>
      <w:r>
        <w:t xml:space="preserve"> It has failed to deliver this.</w:t>
      </w:r>
    </w:p>
    <w:p w:rsidR="00C4345A" w:rsidP="000B7DF7">
      <w:pPr>
        <w:pStyle w:val="ListParagraph"/>
        <w:numPr>
          <w:ilvl w:val="1"/>
          <w:numId w:val="28"/>
        </w:numPr>
      </w:pPr>
      <w:r>
        <w:t xml:space="preserve">The declines have not been evenly spread. The fall in activity is far greater on the coast, in small towns, and in the countryside. The number of leisure nights spent in these three destination categories declined by around 30% (65 million) between 2022 and 2025 (Figure 2). Real (i.e. inflation-adjusted) spending in these destinations was </w:t>
      </w:r>
      <w:r>
        <w:t>down 25% (£4.6bn) over the same period, while cities and large towns saw an increase in spending of 14% (£2.1bn). In only 12 months between Q3 2024 and Q3 2025 seaside and coastal destinations, many of them among the most deprived parts of the UK, lost £640m in domestic tourism spending, shedding £1.4bn since 2022.</w:t>
      </w:r>
    </w:p>
    <w:p w:rsidR="00C4345A" w:rsidP="000B7DF7">
      <w:pPr>
        <w:pStyle w:val="ListParagraph"/>
        <w:numPr>
          <w:ilvl w:val="1"/>
          <w:numId w:val="28"/>
        </w:numPr>
      </w:pPr>
      <w:r>
        <w:t xml:space="preserve">With domestic tourism holding up better in cities and large towns than on the coast, certain regions are losing out more than others. As shown in </w:t>
      </w:r>
      <w:r>
        <w:fldChar w:fldCharType="begin"/>
      </w:r>
      <w:r>
        <w:instrText xml:space="preserve"> REF _Ref230000442 \h </w:instrText>
      </w:r>
      <w:r>
        <w:fldChar w:fldCharType="separate"/>
      </w:r>
      <w:r>
        <w:t xml:space="preserve">Figure </w:t>
      </w:r>
      <w:r>
        <w:rPr>
          <w:noProof/>
        </w:rPr>
        <w:t>2</w:t>
      </w:r>
      <w:r>
        <w:fldChar w:fldCharType="end"/>
      </w:r>
      <w:r>
        <w:t>, the south-west has particularly lost out. Indeed, the latest data suggests that in 2025 the south-west lost its status as Britain’s favourite summer destination by trip numbers, and in 2024 it lost its status as recipient of the most summer overnight tourism spending.</w:t>
      </w:r>
    </w:p>
    <w:p w:rsidR="00C4345A" w:rsidP="004215B8">
      <w:pPr>
        <w:pStyle w:val="Caption"/>
      </w:pPr>
      <w:bookmarkStart w:id="1" w:name="_Ref230000442"/>
      <w:r>
        <w:rPr>
          <w:noProof/>
        </w:rPr>
        <mc:AlternateContent>
          <mc:Choice Requires="wpg">
            <w:drawing>
              <wp:anchor distT="0" distB="0" distL="114300" distR="114300" simplePos="0" relativeHeight="251658240" behindDoc="0" locked="0" layoutInCell="1" allowOverlap="1">
                <wp:simplePos x="0" y="0"/>
                <wp:positionH relativeFrom="column">
                  <wp:posOffset>0</wp:posOffset>
                </wp:positionH>
                <wp:positionV relativeFrom="paragraph">
                  <wp:posOffset>453390</wp:posOffset>
                </wp:positionV>
                <wp:extent cx="5798820" cy="3398520"/>
                <wp:effectExtent l="0" t="0" r="0" b="0"/>
                <wp:wrapTopAndBottom/>
                <wp:docPr id="1167920348" name="Group 2"/>
                <wp:cNvGraphicFramePr/>
                <a:graphic xmlns:a="http://schemas.openxmlformats.org/drawingml/2006/main">
                  <a:graphicData uri="http://schemas.microsoft.com/office/word/2010/wordprocessingGroup">
                    <wpg:wgp xmlns:wpg="http://schemas.microsoft.com/office/word/2010/wordprocessingGroup">
                      <wpg:cNvGrpSpPr/>
                      <wpg:grpSpPr>
                        <a:xfrm>
                          <a:off x="0" y="0"/>
                          <a:ext cx="5798820" cy="3398520"/>
                          <a:chOff x="0" y="0"/>
                          <a:chExt cx="5798820" cy="3398520"/>
                        </a:xfrm>
                      </wpg:grpSpPr>
                      <wpg:graphicFrame>
                        <wpg:cNvPr id="2041860644" name="Chart 1">
                          <a:extLst>
                            <a:ext uri="{FF2B5EF4-FFF2-40B4-BE49-F238E27FC236}">
                              <a16:creationId xmlns:a16="http://schemas.microsoft.com/office/drawing/2014/main" id="{2C4DEF4E-9A93-451F-8775-63A35B70350D}"/>
                            </a:ext>
                          </a:extLst>
                        </wpg:cNvPr>
                        <wpg:cNvFrPr/>
                        <wpg:xfrm>
                          <a:off x="2804160" y="0"/>
                          <a:ext cx="2994660" cy="3398520"/>
                        </wpg:xfrm>
                        <a:graphic>
                          <a:graphicData uri="http://schemas.openxmlformats.org/drawingml/2006/chart">
                            <c:chart xmlns:c="http://schemas.openxmlformats.org/drawingml/2006/chart" xmlns:r="http://schemas.openxmlformats.org/officeDocument/2006/relationships" r:id="rId15"/>
                          </a:graphicData>
                        </a:graphic>
                      </wpg:graphicFrame>
                      <wpg:graphicFrame>
                        <wpg:cNvPr id="252263640" name="Chart 1">
                          <a:extLst>
                            <a:ext uri="{FF2B5EF4-FFF2-40B4-BE49-F238E27FC236}">
                              <a16:creationId xmlns:a16="http://schemas.microsoft.com/office/drawing/2014/main" id="{951017C8-A264-945F-F977-6CDC1020F436}"/>
                            </a:ext>
                          </a:extLst>
                        </wpg:cNvPr>
                        <wpg:cNvFrPr/>
                        <wpg:xfrm>
                          <a:off x="0" y="7620"/>
                          <a:ext cx="2804160" cy="3390900"/>
                        </wpg:xfrm>
                        <a:graphic>
                          <a:graphicData uri="http://schemas.openxmlformats.org/drawingml/2006/chart">
                            <c:chart xmlns:c="http://schemas.openxmlformats.org/drawingml/2006/chart" xmlns:r="http://schemas.openxmlformats.org/officeDocument/2006/relationships" r:id="rId16"/>
                          </a:graphicData>
                        </a:graphic>
                      </wpg:graphicFrame>
                    </wpg:wgp>
                  </a:graphicData>
                </a:graphic>
              </wp:anchor>
            </w:drawing>
          </mc:Choice>
          <mc:Fallback>
            <w:pict>
              <v:group id="Group 2" o:spid="_x0000_s1027" style="height:267.6pt;margin-left:0;margin-top:35.7pt;position:absolute;width:456.6pt;z-index:251660288" coordsize="57988,33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1" o:spid="_x0000_s1028" type="#_x0000_t75" style="height:33954;left:28041;position:absolute;visibility:visible;width:29931">
                  <v:imagedata r:id="rId17" o:title=""/>
                  <o:lock v:ext="edit" aspectratio="f"/>
                </v:shape>
                <v:shape id="Chart 1" o:spid="_x0000_s1029" type="#_x0000_t75" style="height:33894;position:absolute;top:60;visibility:visible;width:28041">
                  <v:imagedata r:id="rId18" o:title=""/>
                  <o:lock v:ext="edit" aspectratio="f"/>
                </v:shape>
                <w10:wrap type="topAndBottom"/>
              </v:group>
            </w:pict>
          </mc:Fallback>
        </mc:AlternateContent>
      </w:r>
      <w:r>
        <w:t xml:space="preserve">Figure </w:t>
      </w:r>
      <w:r>
        <w:fldChar w:fldCharType="begin"/>
      </w:r>
      <w:r>
        <w:instrText>SEQ Figure \* ARABIC</w:instrText>
      </w:r>
      <w:r>
        <w:fldChar w:fldCharType="separate"/>
      </w:r>
      <w:r>
        <w:rPr>
          <w:noProof/>
        </w:rPr>
        <w:t>2</w:t>
      </w:r>
      <w:r>
        <w:fldChar w:fldCharType="end"/>
      </w:r>
      <w:bookmarkEnd w:id="1"/>
      <w:r>
        <w:t>: Share of trips and spending on overnight domestic summer (i.e. Jul.-Sep.) tourism, top five UK regions/nations</w:t>
      </w:r>
    </w:p>
    <w:p w:rsidR="00C4345A" w:rsidP="000B7DF7">
      <w:pPr>
        <w:rPr>
          <w:i/>
          <w:iCs/>
        </w:rPr>
      </w:pPr>
      <w:r>
        <w:rPr>
          <w:i/>
          <w:iCs/>
        </w:rPr>
        <w:t xml:space="preserve">Source: Great Britain Tourism Survey. </w:t>
      </w:r>
    </w:p>
    <w:p w:rsidR="00C4345A" w:rsidRPr="00B14C2C" w:rsidP="000B7DF7">
      <w:pPr>
        <w:rPr>
          <w:i/>
          <w:iCs/>
        </w:rPr>
      </w:pPr>
      <w:r>
        <w:rPr>
          <w:i/>
          <w:iCs/>
        </w:rPr>
        <w:t>Note: a methodology change during the Covid pandemic era means pre/post comparisons should be approached with caution. Relative comparisons, such as those shown, should remain informative.</w:t>
      </w:r>
    </w:p>
    <w:p w:rsidR="00C4345A" w:rsidP="00742C37">
      <w:pPr>
        <w:pStyle w:val="Heading1"/>
        <w:numPr>
          <w:ilvl w:val="0"/>
          <w:numId w:val="28"/>
        </w:numPr>
      </w:pPr>
      <w:r>
        <w:t>Key drivers of decline</w:t>
      </w:r>
    </w:p>
    <w:p w:rsidR="00C4345A" w:rsidP="00254AFF">
      <w:pPr>
        <w:pStyle w:val="ListParagraph"/>
        <w:numPr>
          <w:ilvl w:val="1"/>
          <w:numId w:val="28"/>
        </w:numPr>
      </w:pPr>
      <w:r>
        <w:t>Many stakeholders will point to a concoction of cost increases that hospitality has faced in recent years as key drivers of domestic tourism’s decline. These include business rates changes, minimum wage rises, employer national insurance rises, and energy bill rises. The spectre of a visitor levy has also caused anxiety in the sector, but has yet to impact on costs. These real and potential costs create a direct burden for business, as well as a less tangible cost created by ongoing uncertainty and changing</w:t>
      </w:r>
      <w:r>
        <w:t xml:space="preserve"> political and international environments. Different stakeholders (small vs </w:t>
      </w:r>
      <w:r>
        <w:t xml:space="preserve">large, north vs south) in the domestic tourism will experience different levels of exposure to these burdens. </w:t>
      </w:r>
    </w:p>
    <w:p w:rsidR="00C4345A" w:rsidRPr="00C10B70" w:rsidP="00254AFF">
      <w:pPr>
        <w:pStyle w:val="ListParagraph"/>
        <w:numPr>
          <w:ilvl w:val="1"/>
          <w:numId w:val="28"/>
        </w:numPr>
      </w:pPr>
      <w:r>
        <w:t xml:space="preserve">However, these recent pressures are </w:t>
      </w:r>
      <w:r w:rsidRPr="00742C37">
        <w:rPr>
          <w:u w:val="single"/>
        </w:rPr>
        <w:t>not</w:t>
      </w:r>
      <w:r>
        <w:t xml:space="preserve"> the primary reason that UK domestic tourism has faced two decades of decline. The most important factors are: (i) the sustained and systematic policy support, and effective subsidisation, of air travel, and (ii) the legacy of austerity and under-investment. Together, these have increased not just the cost of domestic tourism, but the </w:t>
      </w:r>
      <w:r w:rsidRPr="00742C37">
        <w:rPr>
          <w:i/>
          <w:iCs/>
        </w:rPr>
        <w:t>relative</w:t>
      </w:r>
      <w:r>
        <w:t xml:space="preserve"> </w:t>
      </w:r>
      <w:r w:rsidRPr="00742C37">
        <w:rPr>
          <w:i/>
          <w:iCs/>
        </w:rPr>
        <w:t>cost and quality</w:t>
      </w:r>
      <w:r>
        <w:t xml:space="preserve"> of the UK offering versus leisure spending alternatives.</w:t>
      </w:r>
    </w:p>
    <w:p w:rsidR="00C4345A" w:rsidRPr="0038496F" w:rsidP="00742C37">
      <w:pPr>
        <w:pStyle w:val="Heading1"/>
        <w:numPr>
          <w:ilvl w:val="0"/>
          <w:numId w:val="28"/>
        </w:numPr>
      </w:pPr>
      <w:r>
        <w:t>Hospitality spending hasn’t gone, it’s moved overseas</w:t>
      </w:r>
    </w:p>
    <w:p w:rsidR="00C4345A" w:rsidP="00742C37">
      <w:pPr>
        <w:pStyle w:val="ListParagraph"/>
        <w:numPr>
          <w:ilvl w:val="1"/>
          <w:numId w:val="28"/>
        </w:numPr>
      </w:pPr>
      <w:r>
        <w:t xml:space="preserve">Between 2006 and 2024, real annual per-capita household spend taking place overseas rose from around £800 to £1,030 in 2024 prices an increase of around 28%. This amounts to around £16bn of annual spending shifted overseas, during a period in which overall household incomes and expenditure have shown virtually no (real-terms) change. Of this overseas spend, around 60% typically takes place in hotels, restaurants, bars, and pubs. As this share has remained stable over time, we can deduce that real household </w:t>
      </w:r>
      <w:r>
        <w:t>spending on hospitality in foreign countries has also risen by around 28% since 2006.</w:t>
      </w:r>
    </w:p>
    <w:p w:rsidR="00C4345A" w:rsidP="00B20097">
      <w:pPr>
        <w:pStyle w:val="Caption"/>
      </w:pPr>
      <w:r>
        <w:t xml:space="preserve">Figure </w:t>
      </w:r>
      <w:r>
        <w:fldChar w:fldCharType="begin"/>
      </w:r>
      <w:r>
        <w:instrText>SEQ Figure \* ARABIC</w:instrText>
      </w:r>
      <w:r>
        <w:fldChar w:fldCharType="separate"/>
      </w:r>
      <w:r>
        <w:rPr>
          <w:noProof/>
        </w:rPr>
        <w:t>3</w:t>
      </w:r>
      <w:r>
        <w:fldChar w:fldCharType="end"/>
      </w:r>
      <w:r>
        <w:t>: Real annual per-capita spend overseas of UK residents</w:t>
      </w:r>
    </w:p>
    <w:p w:rsidR="00C4345A" w:rsidP="00EF20C4">
      <w:r>
        <w:rPr>
          <w:noProof/>
        </w:rPr>
        <w:drawing>
          <wp:inline distT="0" distB="0" distL="0" distR="0">
            <wp:extent cx="5740400" cy="3155950"/>
            <wp:effectExtent l="0" t="0" r="0" b="6350"/>
            <wp:docPr id="117293385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C4345A" w:rsidRPr="007302EF" w:rsidP="00EF20C4">
      <w:pPr>
        <w:rPr>
          <w:i/>
          <w:iCs/>
        </w:rPr>
      </w:pPr>
      <w:r>
        <w:rPr>
          <w:i/>
          <w:iCs/>
        </w:rPr>
        <w:t>Source: NEF analysis of the International Passenger Survey</w:t>
      </w:r>
    </w:p>
    <w:p w:rsidR="00C4345A" w:rsidP="00B0079A">
      <w:pPr>
        <w:pStyle w:val="ListParagraph"/>
        <w:numPr>
          <w:ilvl w:val="1"/>
          <w:numId w:val="28"/>
        </w:numPr>
      </w:pPr>
      <w:r>
        <w:t xml:space="preserve">For many years the government’s tax and spend policies have created a harsh environment for hospitality and leisure. Austerity has starved domestic destinations of investment, public transport costs have risen far faster than inflation, and bus services have been cut. The public realm has declined, including loss of green </w:t>
      </w:r>
      <w:r>
        <w:t>spaces, cultural, and community infrastructure. By contrast the air travel sector has enjoyed generous tax breaks and sustained political support for airport expansion. Aviation’s biggest advantage is the exemption of air travel from VAT, fuel duty, and effective carbon taxation. These are estimated to be worth over £7bn per year.</w:t>
      </w:r>
      <w:r>
        <w:rPr>
          <w:rStyle w:val="FootnoteReference"/>
        </w:rPr>
        <w:footnoteReference w:id="3"/>
      </w:r>
      <w:r>
        <w:t xml:space="preserve"> By contrast, the business rates relief for retail, hospitality, and leisure (RHL) properties was worth £1.5bn in 2025/26.</w:t>
      </w:r>
      <w:r>
        <w:rPr>
          <w:rStyle w:val="FootnoteReference"/>
        </w:rPr>
        <w:footnoteReference w:id="4"/>
      </w:r>
      <w:r>
        <w:t xml:space="preserve"> Aviation also received its own temporary business rates relief package, worth a reported £1.4bn per year.</w:t>
      </w:r>
      <w:r>
        <w:rPr>
          <w:rStyle w:val="FootnoteReference"/>
        </w:rPr>
        <w:footnoteReference w:id="5"/>
      </w:r>
      <w:r>
        <w:t xml:space="preserve"> </w:t>
      </w:r>
    </w:p>
    <w:p w:rsidR="00C4345A" w:rsidP="00B0079A">
      <w:pPr>
        <w:pStyle w:val="ListParagraph"/>
        <w:numPr>
          <w:ilvl w:val="1"/>
          <w:numId w:val="28"/>
        </w:numPr>
      </w:pPr>
      <w:r>
        <w:t>In addition to a generous tax environment, government has provided strong political support for airport expansion. That support came against the advice of planning inspectors (in the Luton and Gatwick cases) and against the wishes of local authorities (in the Bristol, Stansted and London City cases). Alongside this has come strong support for public transport access to airports. The Elizabeth line connected to Heathrow, the Metrolink connected to Manchester Airport, the Edinburgh tram connected to Edinburgh</w:t>
      </w:r>
      <w:r>
        <w:t xml:space="preserve"> airport, and the DART link was added to better connect Luton airport. These were necessary improvements, but they were delivered with high-level support, investment, and direction that has not been enjoyed by Britain’s left-behind domestic tourism destinations.</w:t>
      </w:r>
    </w:p>
    <w:p w:rsidR="00C4345A" w:rsidP="00B0079A">
      <w:pPr>
        <w:pStyle w:val="ListParagraph"/>
        <w:numPr>
          <w:ilvl w:val="1"/>
          <w:numId w:val="28"/>
        </w:numPr>
      </w:pPr>
      <w:r>
        <w:t>Taken together these government policies make up an extraordinary package of support for air travel, making international tourism cheaper and more competitive against domestic options. Today, around 30% of UK tourists heading overseas cite the fact that “overseas holidays are cheaper” as a factor in their decision.</w:t>
      </w:r>
      <w:r>
        <w:rPr>
          <w:rStyle w:val="FootnoteReference"/>
        </w:rPr>
        <w:footnoteReference w:id="6"/>
      </w:r>
      <w:r>
        <w:t xml:space="preserve"> The net impact has been to send Brits abroad more so than to bring foreign spending in. The latest 12-months of data, to Q2 2025, suggests £54bn a year is exiting the UK as a result of our travel spending deficit.</w:t>
      </w:r>
    </w:p>
    <w:p w:rsidR="00C4345A" w:rsidP="00742C37"/>
    <w:p w:rsidR="00C4345A" w:rsidP="00742C37">
      <w:pPr>
        <w:pStyle w:val="Heading1"/>
        <w:numPr>
          <w:ilvl w:val="0"/>
          <w:numId w:val="28"/>
        </w:numPr>
      </w:pPr>
      <w:r>
        <w:t>Trading domestic for international tourism is a bad deal for left behind communities and regions</w:t>
      </w:r>
    </w:p>
    <w:p w:rsidR="00C4345A" w:rsidP="00742C37">
      <w:pPr>
        <w:pStyle w:val="ListParagraph"/>
        <w:numPr>
          <w:ilvl w:val="1"/>
          <w:numId w:val="28"/>
        </w:numPr>
      </w:pPr>
      <w:r>
        <w:t xml:space="preserve">Far more travel spending leaves the UK than comes in. The macroeconomics of this trend, including its contribution to the UK’s current account deficit are complex and can be debated in other forums. There is however, a direct trade-off for UK highstreets. The Tourism Alliance suggests that every 1% </w:t>
      </w:r>
      <w:r w:rsidRPr="00742C37">
        <w:rPr>
          <w:i/>
          <w:iCs/>
        </w:rPr>
        <w:t>increase</w:t>
      </w:r>
      <w:r>
        <w:t xml:space="preserve"> in the cost of travelling overseas </w:t>
      </w:r>
      <w:r w:rsidRPr="00742C37">
        <w:rPr>
          <w:i/>
          <w:iCs/>
        </w:rPr>
        <w:t>increases</w:t>
      </w:r>
      <w:r>
        <w:t xml:space="preserve"> UK domestic tourism earnings by 0.8%.</w:t>
      </w:r>
      <w:r>
        <w:rPr>
          <w:rStyle w:val="FootnoteReference"/>
        </w:rPr>
        <w:footnoteReference w:id="7"/>
      </w:r>
      <w:r>
        <w:t xml:space="preserve"> In other words, interventions like tax exemptions and airport expansions </w:t>
      </w:r>
      <w:r w:rsidRPr="00742C37">
        <w:rPr>
          <w:i/>
          <w:iCs/>
        </w:rPr>
        <w:t xml:space="preserve">reduce </w:t>
      </w:r>
      <w:r>
        <w:t xml:space="preserve">the cost of flying abroad and </w:t>
      </w:r>
      <w:r w:rsidRPr="00742C37">
        <w:rPr>
          <w:i/>
          <w:iCs/>
        </w:rPr>
        <w:t xml:space="preserve">reduce </w:t>
      </w:r>
      <w:r>
        <w:t>spending in UK domestic tourism as a consequence. This relationship was outlined as far back as 2006 in research by analysts at the Civil Aviation Authority.</w:t>
      </w:r>
      <w:r>
        <w:rPr>
          <w:rStyle w:val="FootnoteReference"/>
        </w:rPr>
        <w:footnoteReference w:id="8"/>
      </w:r>
      <w:r>
        <w:t xml:space="preserve"> What is often under-considered, is how this trade-off plays out geographically.</w:t>
      </w:r>
    </w:p>
    <w:p w:rsidR="00C4345A" w:rsidRPr="00B74251" w:rsidP="00742C37">
      <w:pPr>
        <w:pStyle w:val="Caption"/>
      </w:pPr>
      <w:r>
        <w:t xml:space="preserve">Figure </w:t>
      </w:r>
      <w:r>
        <w:fldChar w:fldCharType="begin"/>
      </w:r>
      <w:r>
        <w:instrText>SEQ Figure \* ARABIC</w:instrText>
      </w:r>
      <w:r>
        <w:fldChar w:fldCharType="separate"/>
      </w:r>
      <w:r>
        <w:rPr>
          <w:noProof/>
        </w:rPr>
        <w:t>4</w:t>
      </w:r>
      <w:r>
        <w:fldChar w:fldCharType="end"/>
      </w:r>
      <w:r>
        <w:t>: Share of incoming foreign visitor spend by region, and share of incoming overnight domestic tourism spend by region.</w:t>
      </w:r>
    </w:p>
    <w:p w:rsidR="00C4345A" w:rsidP="00742C37">
      <w:r>
        <w:rPr>
          <w:noProof/>
        </w:rPr>
        <w:drawing>
          <wp:inline distT="0" distB="0" distL="0" distR="0">
            <wp:extent cx="5689600" cy="3181350"/>
            <wp:effectExtent l="0" t="0" r="6350" b="0"/>
            <wp:docPr id="73540238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C4345A" w:rsidRPr="00742C37" w:rsidP="00742C37">
      <w:pPr>
        <w:rPr>
          <w:i/>
          <w:iCs/>
        </w:rPr>
      </w:pPr>
      <w:r w:rsidRPr="00742C37">
        <w:rPr>
          <w:i/>
          <w:iCs/>
        </w:rPr>
        <w:t>Source: NEF analysis of Great Britain Tourism Survey and International Passenger Survey</w:t>
      </w:r>
    </w:p>
    <w:p w:rsidR="00C4345A" w:rsidRPr="00B74251" w:rsidP="00B74251">
      <w:pPr>
        <w:pStyle w:val="ListParagraph"/>
        <w:numPr>
          <w:ilvl w:val="1"/>
          <w:numId w:val="28"/>
        </w:numPr>
      </w:pPr>
      <w:r>
        <w:t>London and the south-east capture the lion’s share of all incoming foreign travel spending, at around 75%. Indeed, London is the only region of the UK operating a travel surplus, bringing more travel spending in than it sends out. Meanwhile the UK’s wider regions have seen their travel deficits grow rapidly. Domestic tourism is far more evenly spread across the country than incoming foreign spend, with London and the south-east capturing just 32%. Domestic tourism is a vehicle for redistribution taking spen</w:t>
      </w:r>
      <w:r>
        <w:t>d to some of the UK’s most held-back communities.</w:t>
      </w:r>
    </w:p>
    <w:p w:rsidR="00C4345A" w:rsidP="00742C37">
      <w:pPr>
        <w:pStyle w:val="Heading1"/>
        <w:numPr>
          <w:ilvl w:val="0"/>
          <w:numId w:val="28"/>
        </w:numPr>
      </w:pPr>
      <w:r>
        <w:t>Change must be structural</w:t>
      </w:r>
    </w:p>
    <w:p w:rsidR="00C4345A" w:rsidP="00742C37">
      <w:pPr>
        <w:pStyle w:val="ListParagraph"/>
        <w:numPr>
          <w:ilvl w:val="1"/>
          <w:numId w:val="28"/>
        </w:numPr>
      </w:pPr>
      <w:r>
        <w:t>The age of sticking plaster solutions must come to an end, structural reform is essential. Concessions like the business rates discount offered to pubs and music venues will make a very minor short-term contribution but will not solve the systemic problems facing high streets, hospitality and domestic tourism.</w:t>
      </w:r>
      <w:r>
        <w:rPr>
          <w:rStyle w:val="FootnoteReference"/>
        </w:rPr>
        <w:footnoteReference w:id="9"/>
      </w:r>
      <w:r>
        <w:t xml:space="preserve"> </w:t>
      </w:r>
    </w:p>
    <w:p w:rsidR="00C4345A" w:rsidRPr="004E4ACF" w:rsidP="00775CDC">
      <w:pPr>
        <w:pStyle w:val="Heading2"/>
      </w:pPr>
      <w:r>
        <w:t>Spreading peak demand</w:t>
      </w:r>
    </w:p>
    <w:p w:rsidR="00C4345A" w:rsidRPr="00742C37" w:rsidP="00742C37">
      <w:pPr>
        <w:pStyle w:val="ListParagraph"/>
        <w:numPr>
          <w:ilvl w:val="1"/>
          <w:numId w:val="28"/>
        </w:numPr>
        <w:spacing w:before="240" w:after="240"/>
        <w:rPr>
          <w:rFonts w:eastAsia="Palatino LT Std Light" w:cs="Palatino LT Std Light"/>
        </w:rPr>
      </w:pPr>
      <w:r w:rsidRPr="00742C37">
        <w:rPr>
          <w:rFonts w:eastAsia="Palatino LT Std Light" w:cs="Palatino LT Std Light"/>
        </w:rPr>
        <w:t>The staggering of school holidays is a policy that has been debated on-and-off for many years in the UK, but action has always stalled. School holiday staggering can make the family holiday, particularly a domestic holiday, significantly cheaper. It also supports the hospitality industry as it ameliorates revenue troughs and peak-season pressures by widening holiday seasons. School holiday staggering is common in comparable Western European countries. Germany, France, Austria and the Netherlands all stagger</w:t>
      </w:r>
      <w:r w:rsidRPr="00742C37">
        <w:rPr>
          <w:rFonts w:eastAsia="Palatino LT Std Light" w:cs="Palatino LT Std Light"/>
        </w:rPr>
        <w:t xml:space="preserve"> holidays by geography. Arguments for holiday staggering include more consistent and smoothed revenue for the tourism industry, use of tourism infrastructure throughout the year, longer employment opportunities and relief for businesses, services and workers strained during concentrated peaks, increased affordability for domestic tourists (through reduction of peak-season price inflation) and lower transport congestion and crowding.</w:t>
      </w:r>
      <w:r>
        <w:rPr>
          <w:rStyle w:val="FootnoteReference"/>
          <w:rFonts w:eastAsia="Palatino LT Std Light" w:cs="Palatino LT Std Light"/>
        </w:rPr>
        <w:footnoteReference w:id="10"/>
      </w:r>
      <w:r w:rsidRPr="00742C37">
        <w:rPr>
          <w:rFonts w:eastAsia="Palatino LT Std Light" w:cs="Palatino LT Std Light"/>
        </w:rPr>
        <w:t xml:space="preserve"> NEF has not yet conducted detailed policy analysis on the proposal, but recommend careful consideration as part of a transformative domestic tourism policy package.</w:t>
      </w:r>
    </w:p>
    <w:p w:rsidR="00C4345A" w:rsidP="0002135B">
      <w:pPr>
        <w:pStyle w:val="Heading2"/>
      </w:pPr>
      <w:r>
        <w:t>Increasing leisure time</w:t>
      </w:r>
    </w:p>
    <w:p w:rsidR="00C4345A" w:rsidRPr="00742C37" w:rsidP="00742C37">
      <w:pPr>
        <w:pStyle w:val="ListParagraph"/>
        <w:numPr>
          <w:ilvl w:val="1"/>
          <w:numId w:val="28"/>
        </w:numPr>
        <w:spacing w:before="240" w:after="240"/>
        <w:rPr>
          <w:rFonts w:eastAsia="Palatino LT Std Light" w:cs="Palatino LT Std Light"/>
        </w:rPr>
      </w:pPr>
      <w:r w:rsidRPr="00742C37">
        <w:rPr>
          <w:rFonts w:eastAsia="Palatino LT Std Light" w:cs="Palatino LT Std Light"/>
        </w:rPr>
        <w:t>The extension of the weekend for mill workers through the 1850 Factory Act and the introduction of four bank holidays through the Bank Holidays Act 1871 expanded paid leisure time and with it expanded the accessibility of domestic tourism for the masses. Combined with a period of railway expansion and increased affordability, the stimulating impact on British tourism, in particular at budding seaside resorts, in the subsequent years was immense.</w:t>
      </w:r>
      <w:r>
        <w:rPr>
          <w:rStyle w:val="FootnoteReference"/>
          <w:rFonts w:eastAsia="Palatino LT Std Light" w:cs="Palatino LT Std Light"/>
        </w:rPr>
        <w:footnoteReference w:id="11"/>
      </w:r>
    </w:p>
    <w:p w:rsidR="00C4345A" w:rsidRPr="00742C37" w:rsidP="00742C37">
      <w:pPr>
        <w:pStyle w:val="ListParagraph"/>
        <w:numPr>
          <w:ilvl w:val="1"/>
          <w:numId w:val="28"/>
        </w:numPr>
        <w:spacing w:before="240" w:after="240"/>
        <w:rPr>
          <w:rFonts w:eastAsia="Palatino LT Std Light" w:cs="Palatino LT Std Light"/>
        </w:rPr>
      </w:pPr>
      <w:r w:rsidRPr="00742C37">
        <w:rPr>
          <w:rFonts w:eastAsia="Palatino LT Std Light" w:cs="Palatino LT Std Light"/>
          <w:szCs w:val="22"/>
        </w:rPr>
        <w:t xml:space="preserve">Past NEF analysis has found that the UK works among the longest hours of any country in north-western Europe, with Germany leading the way in terms of the </w:t>
      </w:r>
      <w:r w:rsidRPr="00742C37">
        <w:rPr>
          <w:rFonts w:eastAsia="Palatino LT Std Light" w:cs="Palatino LT Std Light"/>
          <w:szCs w:val="22"/>
        </w:rPr>
        <w:t xml:space="preserve">fewest average annual hours worked – a full 13% lower (NEF analysis based on OECD data) compared with those in the UK (both cause and effect of Germany’s higher levels of productivity). The UK continues to offer some of the lowest numbers of bank holidays of any major economy. </w:t>
      </w:r>
      <w:r w:rsidRPr="00742C37">
        <w:rPr>
          <w:rFonts w:eastAsia="Palatino LT Std Light" w:cs="Palatino LT Std Light"/>
        </w:rPr>
        <w:t>Previous NEF analysis of Bank of England data found, since the 1980s productivity gains in the economy have not translated to significant increases in leisure time.</w:t>
      </w:r>
      <w:r>
        <w:rPr>
          <w:rStyle w:val="FootnoteReference"/>
          <w:rFonts w:eastAsia="Palatino LT Std Light" w:cs="Palatino LT Std Light"/>
        </w:rPr>
        <w:footnoteReference w:id="12"/>
      </w:r>
      <w:r w:rsidRPr="00742C37">
        <w:rPr>
          <w:rFonts w:eastAsia="Palatino LT Std Light" w:cs="Palatino LT Std Light"/>
        </w:rPr>
        <w:t xml:space="preserve"> </w:t>
      </w:r>
      <w:r w:rsidRPr="00742C37">
        <w:rPr>
          <w:rFonts w:eastAsia="Palatino LT Std Light" w:cs="Palatino LT Std Light"/>
          <w:szCs w:val="22"/>
        </w:rPr>
        <w:t>This deficit could either be addressed through working time regulations and norms, or through creation of additional bank holidays.</w:t>
      </w:r>
    </w:p>
    <w:p w:rsidR="00C4345A" w:rsidP="00742C37">
      <w:pPr>
        <w:pStyle w:val="Heading1"/>
        <w:numPr>
          <w:ilvl w:val="0"/>
          <w:numId w:val="28"/>
        </w:numPr>
      </w:pPr>
      <w:r>
        <w:t>Aviation taxes must rise for frequent flyers and the wealthy</w:t>
      </w:r>
    </w:p>
    <w:p w:rsidR="00C4345A" w:rsidP="00843254">
      <w:pPr>
        <w:pStyle w:val="ListParagraph"/>
        <w:numPr>
          <w:ilvl w:val="1"/>
          <w:numId w:val="28"/>
        </w:numPr>
      </w:pPr>
      <w:r>
        <w:t>The domestic tourism conundrum cannot be solved without addressing the effective subsidisation of outbound tourism which distorts consumer behaviour. UK air travel is exempt from both VAT and fuel duty, and pays no carbon tax on flights to destinations outside of Europe. Net of Air Passenger Duty (APD), the industry receives tax relief worth over £7bn per year.</w:t>
      </w:r>
      <w:r>
        <w:rPr>
          <w:rStyle w:val="FootnoteReference"/>
        </w:rPr>
        <w:footnoteReference w:id="13"/>
      </w:r>
    </w:p>
    <w:p w:rsidR="00C4345A" w:rsidP="00843254">
      <w:pPr>
        <w:pStyle w:val="ListParagraph"/>
        <w:numPr>
          <w:ilvl w:val="1"/>
          <w:numId w:val="28"/>
        </w:numPr>
      </w:pPr>
      <w:r>
        <w:t>Despite this effective subsidy, low-income households use only a tiny share of the UK’s air capacity. The majority is taken by a small number of ultra-frequent flyers. Indeed, NEF analysis suggests that individuals (just 3% of the population), who fly six or more times per year, captured around half of the new air capacity added in the past two decades.</w:t>
      </w:r>
      <w:r>
        <w:rPr>
          <w:rStyle w:val="FootnoteReference"/>
        </w:rPr>
        <w:footnoteReference w:id="14"/>
      </w:r>
    </w:p>
    <w:p w:rsidR="00C4345A" w:rsidP="00843254">
      <w:pPr>
        <w:pStyle w:val="ListParagraph"/>
        <w:numPr>
          <w:ilvl w:val="1"/>
          <w:numId w:val="28"/>
        </w:numPr>
      </w:pPr>
      <w:r>
        <w:t>A tax system is needed that puts a fair price on the climate impact of flying, while protecting the family holiday. We do not seek to prevent occasional foreign travel, but need to rebalance the incentives so that individuals taking multiple leisure trips shift to domestic destinations. Airport expansion and tax reliefs are a particularly important factor in sending the UK’s wealthiest residents living in London and the South East overseas instead of to the UK’s wider regions.</w:t>
      </w:r>
    </w:p>
    <w:p w:rsidR="00C4345A" w:rsidRPr="00843254" w:rsidP="00843254">
      <w:pPr>
        <w:pStyle w:val="ListParagraph"/>
        <w:numPr>
          <w:ilvl w:val="1"/>
          <w:numId w:val="28"/>
        </w:numPr>
      </w:pPr>
      <w:r>
        <w:t>NEF has developed a comprehensive package of aviation tax reforms that are aligned with current policy objectives and could better ensure that social (and business) air travel needs are fairly met while supporting the wider tourism economy and respecting ecological limits.</w:t>
      </w:r>
      <w:r>
        <w:rPr>
          <w:rStyle w:val="FootnoteReference"/>
        </w:rPr>
        <w:footnoteReference w:id="15"/>
      </w:r>
      <w:r>
        <w:t xml:space="preserve"> These policies aim to make the fairness </w:t>
      </w:r>
      <w:r>
        <w:t xml:space="preserve">of the green transition explicit while not increasing the costs faced by households who fly once a year for a family holiday. Key elements include: </w:t>
      </w:r>
    </w:p>
    <w:p w:rsidR="00C4345A" w:rsidRPr="00843254" w:rsidP="00A11632">
      <w:pPr>
        <w:numPr>
          <w:ilvl w:val="0"/>
          <w:numId w:val="27"/>
        </w:numPr>
      </w:pPr>
      <w:r>
        <w:t>Offering a “first-flight” discount to all UK residents to protect the family holiday.</w:t>
      </w:r>
    </w:p>
    <w:p w:rsidR="00C4345A" w:rsidRPr="00843254" w:rsidP="00A11632">
      <w:pPr>
        <w:numPr>
          <w:ilvl w:val="0"/>
          <w:numId w:val="27"/>
        </w:numPr>
      </w:pPr>
      <w:r>
        <w:t>Levying a carbon tax on non-EU routes to enforce the polluter pays principle and eliminate the incentive to travel further afield.</w:t>
      </w:r>
    </w:p>
    <w:p w:rsidR="00C4345A" w:rsidRPr="00843254" w:rsidP="00843254">
      <w:pPr>
        <w:numPr>
          <w:ilvl w:val="0"/>
          <w:numId w:val="27"/>
        </w:numPr>
      </w:pPr>
      <w:r>
        <w:t xml:space="preserve">Increasing emissions charges on EU routes such that they align with the government’s Jet Zero strategy. </w:t>
      </w:r>
    </w:p>
    <w:p w:rsidR="00C4345A" w:rsidRPr="00843254" w:rsidP="00843254">
      <w:pPr>
        <w:numPr>
          <w:ilvl w:val="0"/>
          <w:numId w:val="27"/>
        </w:numPr>
      </w:pPr>
      <w:r>
        <w:t>Significantly increasing charges on luxury travel to correct the incredibly low proportionate ticket taxes applied on the most damaging forms of travel.</w:t>
      </w:r>
    </w:p>
    <w:p w:rsidR="00C4345A" w:rsidRPr="00843254" w:rsidP="00843254">
      <w:pPr>
        <w:numPr>
          <w:ilvl w:val="0"/>
          <w:numId w:val="27"/>
        </w:numPr>
      </w:pPr>
      <w:r>
        <w:t>Implementing a new charge on the tax return of ultra-frequent flyers taking six or more flights per year to encourage sustainable choices from extreme emitters.</w:t>
      </w:r>
    </w:p>
    <w:p w:rsidR="00C4345A" w:rsidRPr="00843254" w:rsidP="00742C37">
      <w:pPr>
        <w:pStyle w:val="ListParagraph"/>
        <w:numPr>
          <w:ilvl w:val="1"/>
          <w:numId w:val="28"/>
        </w:numPr>
      </w:pPr>
      <w:r>
        <w:t>The package proposed delivers a highly progressive distributional impact with features similar to the frequent flyer levy (FFL) argued for by NEF previously. This is secured in a manner that is easier for government to administer, and more visibly targets the most excessive forms of luxury air travel. The package of policy measures presented could raise up to £6bn per year in tax revenues and deliver up to a 28% reduction in aviation CO2 emissions by 2030. These benefits are secured without any net change t</w:t>
      </w:r>
      <w:r>
        <w:t>o the price of a UK resident’s first short-haul flight of the year. Tax revenues raised could create a ‘war chest’ of funds for investment into the domestic tourism industry.</w:t>
      </w:r>
    </w:p>
    <w:p w:rsidR="00C4345A" w:rsidP="00742C37">
      <w:pPr>
        <w:pStyle w:val="Heading1"/>
        <w:numPr>
          <w:ilvl w:val="0"/>
          <w:numId w:val="28"/>
        </w:numPr>
      </w:pPr>
      <w:r>
        <w:t>Business rates must be transformed</w:t>
      </w:r>
    </w:p>
    <w:p w:rsidR="00C4345A" w:rsidP="00612DD0">
      <w:pPr>
        <w:pStyle w:val="ListParagraph"/>
        <w:numPr>
          <w:ilvl w:val="1"/>
          <w:numId w:val="28"/>
        </w:numPr>
      </w:pPr>
      <w:r>
        <w:t>The current business rates system penalises investment and incentivises land and property hoarding. It also over-charges businesses in the UK’s wider regions, where land and property are cheaper. Taken together, the current system is a barrier to business investment and the (re)distribution of spending to the wider regions of the UK. The current government committed to replacing business rates in its manifesto, but has yet to deliver.</w:t>
      </w:r>
    </w:p>
    <w:p w:rsidR="00C4345A" w:rsidP="00612DD0">
      <w:pPr>
        <w:pStyle w:val="ListParagraph"/>
        <w:numPr>
          <w:ilvl w:val="1"/>
          <w:numId w:val="28"/>
        </w:numPr>
      </w:pPr>
      <w:r>
        <w:t>NEF’s proposal for replacing business rates represents a twin proposal.</w:t>
      </w:r>
      <w:r>
        <w:rPr>
          <w:rStyle w:val="FootnoteReference"/>
        </w:rPr>
        <w:footnoteReference w:id="16"/>
      </w:r>
      <w:r>
        <w:t xml:space="preserve"> We advocate replacement of business rates with (i) a new tax on land-owners, that incentivises investment instead of land-hoarding that replaces 80% of the value originally generated by Business Rates. We also advocate creation of a much lower business tax (ii), that is fully devolved to local decision makers, that raises the remaining 20% of current business rates revenue (such that the proposal is cost-neutral). </w:t>
      </w:r>
    </w:p>
    <w:p w:rsidR="00C4345A" w:rsidP="00612DD0">
      <w:pPr>
        <w:pStyle w:val="ListParagraph"/>
        <w:numPr>
          <w:ilvl w:val="1"/>
          <w:numId w:val="28"/>
        </w:numPr>
      </w:pPr>
      <w:r>
        <w:t>The key aims and advantages of the scheme are to give more local control, and create a stronger business investment incentive. Local control is needed to allow areas to develop specialised tourism offers, fostering growth in key markets such as green/wild tourism, music and comedy, children’s play and the arts. The proposal also delivers a redistribution of wealth from high-land-value areas (primarily in the south-east) to low-land value areas – this would boost the competitiveness of domestic destinations.</w:t>
      </w:r>
      <w:r>
        <w:t xml:space="preserve"> NEF’s proposals would create a more progressive system, lowering the burden on high streets and hospitality in held-back areas, like many of our once thriving coastal destinations. </w:t>
      </w:r>
    </w:p>
    <w:p w:rsidR="00C4345A" w:rsidRPr="00A856D2" w:rsidP="00742C37">
      <w:pPr>
        <w:pStyle w:val="Heading1"/>
        <w:numPr>
          <w:ilvl w:val="0"/>
          <w:numId w:val="28"/>
        </w:numPr>
      </w:pPr>
      <w:r>
        <w:t>Public transport costs must come down and links must improve</w:t>
      </w:r>
    </w:p>
    <w:p w:rsidR="00C4345A" w:rsidP="00742C37">
      <w:pPr>
        <w:pStyle w:val="ListParagraph"/>
        <w:numPr>
          <w:ilvl w:val="1"/>
          <w:numId w:val="28"/>
        </w:numPr>
        <w:spacing w:before="240" w:after="240"/>
        <w:rPr>
          <w:rFonts w:eastAsia="Palatino LT Std Light" w:cs="Palatino LT Std Light"/>
          <w:color w:val="000000" w:themeColor="accent5"/>
        </w:rPr>
      </w:pPr>
      <w:r w:rsidRPr="00742C37">
        <w:rPr>
          <w:rFonts w:eastAsia="Palatino LT Std Light" w:cs="Palatino LT Std Light"/>
          <w:color w:val="000000" w:themeColor="accent5"/>
        </w:rPr>
        <w:t xml:space="preserve">Surface transport remains a structural barrier to support regional tourism growth, particularly as </w:t>
      </w:r>
      <w:r>
        <w:t>transport costs have risen far faster than inflation</w:t>
      </w:r>
      <w:r w:rsidRPr="00742C37">
        <w:rPr>
          <w:rFonts w:eastAsia="Palatino LT Std Light" w:cs="Palatino LT Std Light"/>
          <w:color w:val="000000" w:themeColor="accent5"/>
        </w:rPr>
        <w:t>. National Travel Survey data (</w:t>
      </w:r>
      <w:r w:rsidRPr="00742C37">
        <w:rPr>
          <w:rFonts w:eastAsia="Palatino LT Std Light" w:cs="Palatino LT Std Light"/>
          <w:color w:val="000000" w:themeColor="accent5"/>
        </w:rPr>
        <w:fldChar w:fldCharType="begin"/>
      </w:r>
      <w:r w:rsidRPr="00742C37">
        <w:rPr>
          <w:rFonts w:eastAsia="Palatino LT Std Light" w:cs="Palatino LT Std Light"/>
          <w:color w:val="000000" w:themeColor="accent5"/>
        </w:rPr>
        <w:instrText xml:space="preserve"> REF _Ref230018513 \h </w:instrText>
      </w:r>
      <w:r w:rsidRPr="00742C37">
        <w:rPr>
          <w:rFonts w:eastAsia="Palatino LT Std Light" w:cs="Palatino LT Std Light"/>
          <w:color w:val="000000" w:themeColor="accent5"/>
        </w:rPr>
        <w:fldChar w:fldCharType="separate"/>
      </w:r>
      <w:r>
        <w:t xml:space="preserve">Figure </w:t>
      </w:r>
      <w:r>
        <w:rPr>
          <w:noProof/>
        </w:rPr>
        <w:t>5</w:t>
      </w:r>
      <w:r w:rsidRPr="00742C37">
        <w:rPr>
          <w:rFonts w:eastAsia="Palatino LT Std Light" w:cs="Palatino LT Std Light"/>
          <w:color w:val="000000" w:themeColor="accent5"/>
        </w:rPr>
        <w:fldChar w:fldCharType="end"/>
      </w:r>
      <w:r w:rsidRPr="00742C37">
        <w:rPr>
          <w:rFonts w:eastAsia="Palatino LT Std Light" w:cs="Palatino LT Std Light"/>
          <w:color w:val="000000" w:themeColor="accent5"/>
        </w:rPr>
        <w:t xml:space="preserve">) shows that the car consistently remains the main mode of transportation for domestic holiday trips, including day trips, with public transportation falling far behind. This dominance of the private car in domestic tourism and leisure travel not only carries significant environmental costs, contributing to poor air quality and road congestion, but also excludes an </w:t>
      </w:r>
      <w:r w:rsidRPr="00742C37">
        <w:rPr>
          <w:rFonts w:eastAsia="Palatino LT Std Light" w:cs="Palatino LT Std Light"/>
        </w:rPr>
        <w:t xml:space="preserve">estimated one in four </w:t>
      </w:r>
      <w:r w:rsidRPr="00742C37">
        <w:rPr>
          <w:rFonts w:eastAsia="Palatino LT Std Light" w:cs="Palatino LT Std Light"/>
          <w:color w:val="000000" w:themeColor="accent5"/>
        </w:rPr>
        <w:t>households without car access, disproportionately lower-income and disabled people, from considering a domestic holiday tr</w:t>
      </w:r>
      <w:r w:rsidRPr="00742C37">
        <w:rPr>
          <w:rFonts w:eastAsia="Palatino LT Std Light" w:cs="Palatino LT Std Light"/>
          <w:color w:val="000000" w:themeColor="accent5"/>
        </w:rPr>
        <w:t>ip.</w:t>
      </w:r>
      <w:r>
        <w:rPr>
          <w:rStyle w:val="FootnoteReference"/>
          <w:rFonts w:eastAsia="Palatino LT Std Light" w:cs="Palatino LT Std Light"/>
          <w:color w:val="000000" w:themeColor="accent5"/>
        </w:rPr>
        <w:footnoteReference w:id="17"/>
      </w:r>
    </w:p>
    <w:p w:rsidR="00C4345A" w:rsidP="00742C37">
      <w:pPr>
        <w:spacing w:before="240" w:after="240"/>
        <w:rPr>
          <w:rFonts w:eastAsia="Palatino LT Std Light" w:cs="Palatino LT Std Light"/>
          <w:color w:val="000000" w:themeColor="accent5"/>
        </w:rPr>
      </w:pPr>
    </w:p>
    <w:p w:rsidR="00C4345A" w:rsidP="00742C37">
      <w:pPr>
        <w:spacing w:before="240" w:after="240"/>
        <w:rPr>
          <w:rFonts w:eastAsia="Palatino LT Std Light" w:cs="Palatino LT Std Light"/>
          <w:color w:val="000000" w:themeColor="accent5"/>
        </w:rPr>
      </w:pPr>
    </w:p>
    <w:p w:rsidR="00C4345A" w:rsidRPr="00742C37" w:rsidP="00742C37">
      <w:pPr>
        <w:spacing w:before="240" w:after="240"/>
        <w:rPr>
          <w:rFonts w:eastAsia="Palatino LT Std Light" w:cs="Palatino LT Std Light"/>
          <w:color w:val="000000" w:themeColor="accent5"/>
        </w:rPr>
      </w:pPr>
    </w:p>
    <w:p w:rsidR="00C4345A" w:rsidP="00196258">
      <w:pPr>
        <w:pStyle w:val="Caption"/>
        <w:rPr>
          <w:rFonts w:eastAsia="Palatino LT Std Light" w:cs="Palatino LT Std Light"/>
          <w:color w:val="000000" w:themeColor="accent5"/>
        </w:rPr>
      </w:pPr>
      <w:bookmarkStart w:id="2" w:name="_Ref230018513"/>
      <w:r>
        <w:t xml:space="preserve">Figure </w:t>
      </w:r>
      <w:r>
        <w:fldChar w:fldCharType="begin"/>
      </w:r>
      <w:r>
        <w:instrText xml:space="preserve"> SEQ Figure \* ARABIC </w:instrText>
      </w:r>
      <w:r>
        <w:fldChar w:fldCharType="separate"/>
      </w:r>
      <w:r>
        <w:rPr>
          <w:noProof/>
        </w:rPr>
        <w:t>5</w:t>
      </w:r>
      <w:r>
        <w:rPr>
          <w:noProof/>
        </w:rPr>
        <w:fldChar w:fldCharType="end"/>
      </w:r>
      <w:bookmarkEnd w:id="2"/>
      <w:r>
        <w:t>: Domestic tourism mode share by distance (2010-2024 average)</w:t>
      </w:r>
    </w:p>
    <w:p w:rsidR="00C4345A" w:rsidP="00196258">
      <w:pPr>
        <w:spacing w:before="240" w:after="240"/>
      </w:pPr>
      <w:r>
        <w:rPr>
          <w:noProof/>
        </w:rPr>
        <w:drawing>
          <wp:inline distT="0" distB="0" distL="0" distR="0">
            <wp:extent cx="5731510" cy="3013364"/>
            <wp:effectExtent l="0" t="0" r="2540" b="0"/>
            <wp:docPr id="391724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4345A" w:rsidP="00196258">
      <w:pPr>
        <w:spacing w:before="240" w:after="240"/>
        <w:rPr>
          <w:i/>
          <w:iCs/>
        </w:rPr>
      </w:pPr>
      <w:r>
        <w:rPr>
          <w:i/>
          <w:iCs/>
        </w:rPr>
        <w:t>Source: NEF analysis of the National Travel Survey</w:t>
      </w:r>
    </w:p>
    <w:p w:rsidR="00C4345A" w:rsidP="00AE681C">
      <w:pPr>
        <w:pStyle w:val="Heading2"/>
      </w:pPr>
      <w:r>
        <w:t>Bus fares must come down and service provision must improve</w:t>
      </w:r>
    </w:p>
    <w:p w:rsidR="00C4345A" w:rsidP="00365F59">
      <w:pPr>
        <w:pStyle w:val="ListParagraph"/>
        <w:numPr>
          <w:ilvl w:val="1"/>
          <w:numId w:val="28"/>
        </w:numPr>
        <w:spacing w:before="240" w:after="240"/>
        <w:rPr>
          <w:rFonts w:eastAsia="Palatino LT Std Light" w:cs="Palatino LT Std Light"/>
          <w:color w:val="000000" w:themeColor="accent5"/>
        </w:rPr>
      </w:pPr>
      <w:r w:rsidRPr="00742C37">
        <w:rPr>
          <w:rFonts w:eastAsia="Palatino LT Std Light" w:cs="Palatino LT Std Light"/>
          <w:color w:val="000000" w:themeColor="accent5"/>
        </w:rPr>
        <w:t xml:space="preserve">Buses remain the most used form of public transport in England. Outside of London, however, local buses have experienced a gradual provision decline, with </w:t>
      </w:r>
      <w:r w:rsidRPr="00742C37">
        <w:rPr>
          <w:rFonts w:eastAsia="Palatino LT Std Light" w:cs="Palatino LT Std Light"/>
        </w:rPr>
        <w:t>local bus mileage falling by 28%, on average, since 2005.</w:t>
      </w:r>
      <w:r>
        <w:rPr>
          <w:rStyle w:val="FootnoteReference"/>
          <w:rFonts w:eastAsia="Palatino LT Std Light" w:cs="Palatino LT Std Light"/>
          <w:color w:val="000000" w:themeColor="accent5"/>
        </w:rPr>
        <w:footnoteReference w:id="18"/>
      </w:r>
      <w:r w:rsidRPr="00742C37">
        <w:rPr>
          <w:rFonts w:eastAsia="Palatino LT Std Light" w:cs="Palatino LT Std Light"/>
          <w:color w:val="000000" w:themeColor="accent5"/>
        </w:rPr>
        <w:t xml:space="preserve"> This figure being even more accentuated in regions in the midlands and north of England, with rural areas and more deprived communities </w:t>
      </w:r>
      <w:r w:rsidRPr="00742C37">
        <w:rPr>
          <w:rFonts w:eastAsia="Palatino LT Std Light" w:cs="Palatino LT Std Light"/>
        </w:rPr>
        <w:t>bearing a disproportionate share of the cuts</w:t>
      </w:r>
      <w:r w:rsidRPr="00742C37">
        <w:rPr>
          <w:rFonts w:eastAsia="Palatino LT Std Light" w:cs="Palatino LT Std Light"/>
          <w:color w:val="000000" w:themeColor="accent5"/>
        </w:rPr>
        <w:t>.</w:t>
      </w:r>
      <w:r>
        <w:rPr>
          <w:rStyle w:val="FootnoteReference"/>
          <w:rFonts w:eastAsia="Palatino LT Std Light" w:cs="Palatino LT Std Light"/>
          <w:color w:val="000000" w:themeColor="accent5"/>
        </w:rPr>
        <w:footnoteReference w:id="19"/>
      </w:r>
      <w:r w:rsidRPr="00742C37">
        <w:rPr>
          <w:rFonts w:eastAsia="Palatino LT Std Light" w:cs="Palatino LT Std Light"/>
          <w:color w:val="000000" w:themeColor="accent5"/>
        </w:rPr>
        <w:t xml:space="preserve"> This has a significant impact not only on the welfare of the impacted communities themselves, but on the local economies benefitting from regional tourists, such as market towns, coastal communities and national parks. The withdrawal of bus services can severely impact the access to these destinations to non-car visitors. Additionally, inadequate rural, coastal, and small-town bus provision encourages domestic tourism to </w:t>
      </w:r>
      <w:r w:rsidRPr="00742C37">
        <w:rPr>
          <w:rFonts w:eastAsia="Palatino LT Std Light" w:cs="Palatino LT Std Light"/>
        </w:rPr>
        <w:t>over-concentrate in key hotspots</w:t>
      </w:r>
      <w:r w:rsidRPr="00742C37">
        <w:rPr>
          <w:rFonts w:eastAsia="Palatino LT Std Light" w:cs="Palatino LT Std Light"/>
          <w:color w:val="000000" w:themeColor="accent5"/>
        </w:rPr>
        <w:t>, particularly London, and other counties such as Cumb</w:t>
      </w:r>
      <w:r w:rsidRPr="00742C37">
        <w:rPr>
          <w:rFonts w:eastAsia="Palatino LT Std Light" w:cs="Palatino LT Std Light"/>
          <w:color w:val="000000" w:themeColor="accent5"/>
        </w:rPr>
        <w:t>ria, Devon or North Yorkshire.</w:t>
      </w:r>
      <w:r>
        <w:rPr>
          <w:rStyle w:val="FootnoteReference"/>
          <w:rFonts w:eastAsia="Palatino LT Std Light" w:cs="Palatino LT Std Light"/>
          <w:color w:val="000000" w:themeColor="accent5"/>
        </w:rPr>
        <w:footnoteReference w:id="20"/>
      </w:r>
      <w:r w:rsidRPr="00742C37">
        <w:rPr>
          <w:rFonts w:eastAsia="Palatino LT Std Light" w:cs="Palatino LT Std Light"/>
          <w:color w:val="000000" w:themeColor="accent5"/>
        </w:rPr>
        <w:t xml:space="preserve"> </w:t>
      </w:r>
    </w:p>
    <w:p w:rsidR="00C4345A" w:rsidRPr="00742C37" w:rsidP="00365F59">
      <w:pPr>
        <w:pStyle w:val="ListParagraph"/>
        <w:numPr>
          <w:ilvl w:val="1"/>
          <w:numId w:val="28"/>
        </w:numPr>
        <w:spacing w:before="240" w:after="240"/>
        <w:rPr>
          <w:rFonts w:eastAsia="Palatino LT Std Light" w:cs="Palatino LT Std Light"/>
          <w:color w:val="000000" w:themeColor="accent5"/>
        </w:rPr>
      </w:pPr>
      <w:r w:rsidRPr="00742C37">
        <w:rPr>
          <w:rFonts w:eastAsia="Palatino LT Std Light" w:cs="Palatino LT Std Light"/>
          <w:color w:val="000000" w:themeColor="accent5"/>
        </w:rPr>
        <w:t xml:space="preserve">Rebuilding local bus networks, as well as addressing current affordability concerns would create new opportunities for people to access domestic travel. The </w:t>
      </w:r>
      <w:r w:rsidRPr="00742C37">
        <w:rPr>
          <w:rFonts w:eastAsia="Palatino LT Std Light" w:cs="Palatino LT Std Light"/>
        </w:rPr>
        <w:t>£2 fare cap introduced in 2023</w:t>
      </w:r>
      <w:r w:rsidRPr="00742C37">
        <w:rPr>
          <w:rFonts w:eastAsia="Palatino LT Std Light" w:cs="Palatino LT Std Light"/>
          <w:color w:val="000000" w:themeColor="accent5"/>
        </w:rPr>
        <w:t xml:space="preserve"> was found to have a relatively greater impact on leisure trips compared to other purposes, particularly long-distance journeys due to the </w:t>
      </w:r>
      <w:r w:rsidRPr="00742C37">
        <w:rPr>
          <w:rFonts w:eastAsia="Palatino LT Std Light" w:cs="Palatino LT Std Light"/>
          <w:color w:val="000000" w:themeColor="accent5"/>
        </w:rPr>
        <w:t>perceived value-for-money provided.</w:t>
      </w:r>
      <w:r>
        <w:rPr>
          <w:rStyle w:val="FootnoteReference"/>
          <w:rFonts w:eastAsia="Palatino LT Std Light" w:cs="Palatino LT Std Light"/>
          <w:color w:val="000000" w:themeColor="accent5"/>
        </w:rPr>
        <w:footnoteReference w:id="21"/>
      </w:r>
      <w:r w:rsidRPr="00742C37">
        <w:rPr>
          <w:rFonts w:eastAsia="Palatino LT Std Light" w:cs="Palatino LT Std Light"/>
          <w:color w:val="000000" w:themeColor="accent5"/>
        </w:rPr>
        <w:t xml:space="preserve"> The increase in the cap to £3 put buses back on a trajectory of significantly-above-inflation fare rises that has sustained for two decades. The </w:t>
      </w:r>
      <w:r w:rsidRPr="00742C37">
        <w:rPr>
          <w:rFonts w:eastAsia="Palatino LT Std Light" w:cs="Palatino LT Std Light"/>
        </w:rPr>
        <w:t>Bus Services Act 2025</w:t>
      </w:r>
      <w:r w:rsidRPr="00742C37">
        <w:rPr>
          <w:rFonts w:eastAsia="Palatino LT Std Light" w:cs="Palatino LT Std Light"/>
          <w:color w:val="000000" w:themeColor="accent5"/>
        </w:rPr>
        <w:t xml:space="preserve"> provides a legislative framework for local transport authorities to pursue improvements,</w:t>
      </w:r>
      <w:r>
        <w:rPr>
          <w:rStyle w:val="FootnoteReference"/>
          <w:rFonts w:eastAsia="Palatino LT Std Light" w:cs="Palatino LT Std Light"/>
          <w:color w:val="000000" w:themeColor="accent5"/>
        </w:rPr>
        <w:footnoteReference w:id="22"/>
      </w:r>
      <w:r w:rsidRPr="00742C37">
        <w:rPr>
          <w:rFonts w:eastAsia="Palatino LT Std Light" w:cs="Palatino LT Std Light"/>
          <w:color w:val="000000" w:themeColor="accent5"/>
        </w:rPr>
        <w:t xml:space="preserve"> though the pace and geographic coverage of delivery will depend significantly on local authority funding capacity.  </w:t>
      </w:r>
    </w:p>
    <w:p w:rsidR="00C4345A" w:rsidP="00AE681C">
      <w:pPr>
        <w:pStyle w:val="Heading2"/>
      </w:pPr>
      <w:r>
        <w:t>Rail fares must come down and east-west, coastal, connectivity must improve</w:t>
      </w:r>
    </w:p>
    <w:p w:rsidR="00C4345A" w:rsidP="00365F59">
      <w:pPr>
        <w:pStyle w:val="ListParagraph"/>
        <w:numPr>
          <w:ilvl w:val="1"/>
          <w:numId w:val="28"/>
        </w:numPr>
        <w:spacing w:before="240" w:after="240"/>
        <w:rPr>
          <w:rFonts w:eastAsia="Palatino LT Std Light" w:cs="Palatino LT Std Light"/>
          <w:color w:val="000000" w:themeColor="accent5"/>
        </w:rPr>
      </w:pPr>
      <w:r w:rsidRPr="00742C37">
        <w:rPr>
          <w:rFonts w:eastAsia="Palatino LT Std Light" w:cs="Palatino LT Std Light"/>
          <w:color w:val="000000" w:themeColor="accent5"/>
        </w:rPr>
        <w:t xml:space="preserve">Rail transport is particularly suited for mid- and long-distance domestic travel, being the most used public transport mode for domestic tourism for longer trips than a day. Yet, it faces persistent issues with affordability, accessibility and high demand. This makes it difficult for domestic tourists to reliably choose rail against the convenience of the car or, alternatively, to travelling abroad or not at all. </w:t>
      </w:r>
    </w:p>
    <w:p w:rsidR="00C4345A" w:rsidP="00365F59">
      <w:pPr>
        <w:pStyle w:val="ListParagraph"/>
        <w:numPr>
          <w:ilvl w:val="1"/>
          <w:numId w:val="28"/>
        </w:numPr>
        <w:spacing w:before="240" w:after="240"/>
        <w:rPr>
          <w:rFonts w:eastAsia="Palatino LT Std Light" w:cs="Palatino LT Std Light"/>
          <w:color w:val="000000" w:themeColor="accent5"/>
        </w:rPr>
      </w:pPr>
      <w:r w:rsidRPr="00742C37">
        <w:rPr>
          <w:rFonts w:eastAsia="Palatino LT Std Light" w:cs="Palatino LT Std Light"/>
          <w:color w:val="000000" w:themeColor="accent5"/>
        </w:rPr>
        <w:t xml:space="preserve">Rail fares in the UK are </w:t>
      </w:r>
      <w:r w:rsidRPr="00742C37">
        <w:rPr>
          <w:rFonts w:eastAsia="Palatino LT Std Light" w:cs="Palatino LT Std Light"/>
        </w:rPr>
        <w:t>amongst the highest in Europe</w:t>
      </w:r>
      <w:r w:rsidRPr="00742C37">
        <w:rPr>
          <w:rFonts w:eastAsia="Palatino LT Std Light" w:cs="Palatino LT Std Light"/>
          <w:color w:val="000000" w:themeColor="accent5"/>
        </w:rPr>
        <w:t>, with passenger experience and restrictions on cycle carriage further limiting the practical utility for leisure travellers.</w:t>
      </w:r>
      <w:r>
        <w:rPr>
          <w:rStyle w:val="FootnoteReference"/>
          <w:rFonts w:eastAsia="Palatino LT Std Light" w:cs="Palatino LT Std Light"/>
          <w:color w:val="000000" w:themeColor="accent5"/>
        </w:rPr>
        <w:footnoteReference w:id="23"/>
      </w:r>
      <w:r w:rsidRPr="00742C37">
        <w:rPr>
          <w:rFonts w:eastAsia="Palatino LT Std Light" w:cs="Palatino LT Std Light"/>
          <w:color w:val="000000" w:themeColor="accent5"/>
        </w:rPr>
        <w:t xml:space="preserve"> Leisure travellers, who are typically unable to commit to advance bookings, face the steepest costs through walk-up pricing, and the complexity of the current ticketing system, with an </w:t>
      </w:r>
      <w:r w:rsidRPr="00742C37">
        <w:rPr>
          <w:rFonts w:eastAsia="Palatino LT Std Light" w:cs="Palatino LT Std Light"/>
        </w:rPr>
        <w:t>estimated 55 million different types of tickets</w:t>
      </w:r>
      <w:r w:rsidRPr="00742C37">
        <w:rPr>
          <w:rFonts w:eastAsia="Palatino LT Std Light" w:cs="Palatino LT Std Light"/>
          <w:color w:val="000000" w:themeColor="accent5"/>
        </w:rPr>
        <w:t xml:space="preserve"> available, limits the flexibility and convenience potential for leisure rail travel.</w:t>
      </w:r>
      <w:r>
        <w:rPr>
          <w:rStyle w:val="FootnoteReference"/>
          <w:rFonts w:eastAsia="Palatino LT Std Light" w:cs="Palatino LT Std Light"/>
          <w:color w:val="000000" w:themeColor="accent5"/>
        </w:rPr>
        <w:footnoteReference w:id="24"/>
      </w:r>
      <w:r w:rsidRPr="00742C37">
        <w:rPr>
          <w:rFonts w:eastAsia="Palatino LT Std Light" w:cs="Palatino LT Std Light"/>
          <w:color w:val="000000" w:themeColor="accent5"/>
        </w:rPr>
        <w:t xml:space="preserve"> </w:t>
      </w:r>
    </w:p>
    <w:p w:rsidR="00C4345A" w:rsidP="00365F59">
      <w:pPr>
        <w:pStyle w:val="ListParagraph"/>
        <w:numPr>
          <w:ilvl w:val="1"/>
          <w:numId w:val="28"/>
        </w:numPr>
        <w:spacing w:before="240" w:after="240"/>
        <w:rPr>
          <w:rFonts w:eastAsia="Palatino LT Std Light" w:cs="Palatino LT Std Light"/>
          <w:color w:val="000000" w:themeColor="accent5"/>
        </w:rPr>
      </w:pPr>
      <w:r w:rsidRPr="00742C37">
        <w:rPr>
          <w:rFonts w:eastAsia="Palatino LT Std Light" w:cs="Palatino LT Std Light"/>
          <w:color w:val="000000" w:themeColor="accent5"/>
        </w:rPr>
        <w:t>The level of oversubscription, particularly in key intercity and regional routes (i.e., Leicester, Sheffield, Newcastle, Reading and London) which are at or beyond capacity during peak leisure periods (i.e., summer weekends and bank holidays) discourage users from repeat use and confidence in rail as a reliable leisure option. In some cases, capacity might be increased by running more or longer trains in the short-term across some operators (such as in the reinstatement of a previous frequency of service).</w:t>
      </w:r>
    </w:p>
    <w:p w:rsidR="00C4345A" w:rsidRPr="00742C37" w:rsidP="00365F59">
      <w:pPr>
        <w:pStyle w:val="ListParagraph"/>
        <w:numPr>
          <w:ilvl w:val="1"/>
          <w:numId w:val="28"/>
        </w:numPr>
        <w:spacing w:before="240" w:after="240"/>
        <w:rPr>
          <w:rFonts w:eastAsia="Palatino LT Std Light" w:cs="Palatino LT Std Light"/>
          <w:color w:val="000000" w:themeColor="accent5"/>
        </w:rPr>
      </w:pPr>
      <w:r w:rsidRPr="00742C37">
        <w:rPr>
          <w:rFonts w:eastAsia="Palatino LT Std Light" w:cs="Palatino LT Std Light"/>
          <w:color w:val="000000" w:themeColor="accent5"/>
        </w:rPr>
        <w:t xml:space="preserve">Tapping into the potential for adoption of domestic rail travel through fare simplification and offers, as well as improvements in passenger experience (i.e., ease of booking and reliability) would provide significant incentives for people to choose domestic tourist destinations. More importantly, addressing current affordability issues with rail travel should be a priority, without which improvements to ticketing </w:t>
      </w:r>
      <w:r w:rsidRPr="00742C37">
        <w:rPr>
          <w:rFonts w:eastAsia="Palatino LT Std Light" w:cs="Palatino LT Std Light"/>
          <w:color w:val="000000" w:themeColor="accent5"/>
        </w:rPr>
        <w:t xml:space="preserve">simplicity and passenger experience are unlikely to shift domestic travel at the scale desired. </w:t>
      </w:r>
    </w:p>
    <w:p w:rsidR="00C4345A" w:rsidP="00AE681C">
      <w:pPr>
        <w:pStyle w:val="Heading2"/>
      </w:pPr>
      <w:r>
        <w:t>Active travel and shared mobility have a role to play</w:t>
      </w:r>
    </w:p>
    <w:p w:rsidR="00C4345A" w:rsidP="00365F59">
      <w:pPr>
        <w:pStyle w:val="ListParagraph"/>
        <w:numPr>
          <w:ilvl w:val="1"/>
          <w:numId w:val="28"/>
        </w:numPr>
        <w:spacing w:before="240" w:after="240"/>
      </w:pPr>
      <w:r>
        <w:t>Active travel represents a significant and underexploited opportunity for a regional tourism strategy. As shown in the impact assessment of the Department for Transport’s  Local Sustainable Transport Fund, projects to improve sustainable leisure travel offers (i.e., reduced car use and promotion of bus use, cycling and walking) led to increased visitors and an increase in business volume.</w:t>
      </w:r>
      <w:r>
        <w:rPr>
          <w:rStyle w:val="FootnoteReference"/>
        </w:rPr>
        <w:footnoteReference w:id="25"/>
      </w:r>
      <w:r>
        <w:t xml:space="preserve"> As NTS data shows, in terms of day trips, cycling stands out as the most common mode of transport after cars. Active travel access to natural and cultural heritage sites should be improved, and doing so will increase the contribution of domestic tourism to the local and rural tourist economy. </w:t>
      </w:r>
    </w:p>
    <w:p w:rsidR="00C4345A" w:rsidP="00365F59">
      <w:pPr>
        <w:pStyle w:val="ListParagraph"/>
        <w:numPr>
          <w:ilvl w:val="1"/>
          <w:numId w:val="28"/>
        </w:numPr>
        <w:spacing w:before="240" w:after="240"/>
      </w:pPr>
      <w:r>
        <w:t xml:space="preserve">Shared mobility also has a particular role in addressing the gap for those unable to start or end their journey through rail or bus in urban/sub-urban settings and widen the accessibility to domestic tourist destinations. Car clubs and shared e-bikes provide flexible, low-cost alternatives to car ownership, cutting large, fixed costs (insurance, maintenance, and tax). As such, a state-led national strategy to scale social electric vehicle leasing would benefit domestic mobility and improve geographical and </w:t>
      </w:r>
      <w:r>
        <w:t>affordable access to leisure travel. The success of France’s national social leasing scheme, launched in 2024 presents a useful precedent.</w:t>
      </w:r>
    </w:p>
    <w:p w:rsidR="00C4345A" w:rsidP="00742C37">
      <w:pPr>
        <w:pStyle w:val="Heading1"/>
        <w:numPr>
          <w:ilvl w:val="0"/>
          <w:numId w:val="28"/>
        </w:numPr>
      </w:pPr>
      <w:r>
        <w:t>Funding and infrastructure investment must rise</w:t>
      </w:r>
    </w:p>
    <w:p w:rsidR="00C4345A" w:rsidP="00EA2FC0">
      <w:pPr>
        <w:pStyle w:val="ListParagraph"/>
        <w:numPr>
          <w:ilvl w:val="1"/>
          <w:numId w:val="28"/>
        </w:numPr>
        <w:spacing w:before="240" w:after="240"/>
        <w:rPr>
          <w:rFonts w:eastAsia="Palatino LT Std Light" w:cs="Palatino LT Std Light"/>
          <w:bCs/>
          <w:szCs w:val="22"/>
        </w:rPr>
      </w:pPr>
      <w:r w:rsidRPr="00742C37">
        <w:rPr>
          <w:rFonts w:eastAsia="Palatino LT Std Light" w:cs="Palatino LT Std Light"/>
          <w:bCs/>
          <w:szCs w:val="22"/>
        </w:rPr>
        <w:t>Our domestic tourism destinations, particularly those in rural and coastal communities have been starved of investment. Much of the success of a tourism destination comes not just from the facilities available to tourists, but the strength of the local community, its heritage and identity. To bring people back to these communities there is a need to rebuild and sustain the local character and community, including their own ‘sense of place’. While the government has made moves to improve local authority fund</w:t>
      </w:r>
      <w:r w:rsidRPr="00742C37">
        <w:rPr>
          <w:rFonts w:eastAsia="Palatino LT Std Light" w:cs="Palatino LT Std Light"/>
          <w:bCs/>
          <w:szCs w:val="22"/>
        </w:rPr>
        <w:t>ing, including with schemes such as ‘Pride in Place’ their resources remain far below historic levels and insufficient to restore lost ‘cultural infrastructure’.</w:t>
      </w:r>
    </w:p>
    <w:p w:rsidR="00C4345A" w:rsidRPr="00742C37" w:rsidP="00C874A9">
      <w:pPr>
        <w:pStyle w:val="ListParagraph"/>
        <w:numPr>
          <w:ilvl w:val="1"/>
          <w:numId w:val="28"/>
        </w:numPr>
        <w:spacing w:before="240" w:after="240"/>
        <w:rPr>
          <w:rFonts w:eastAsia="Palatino LT Std Light" w:cs="Palatino LT Std Light"/>
          <w:bCs/>
          <w:szCs w:val="22"/>
        </w:rPr>
      </w:pPr>
      <w:r w:rsidRPr="00742C37">
        <w:rPr>
          <w:rFonts w:eastAsia="Palatino LT Std Light" w:cs="Palatino LT Std Light"/>
        </w:rPr>
        <w:t xml:space="preserve">Coastal communities have particular infrastructure needs, with remoteness or distance from major cities often putting them at the bottom of the queue for much needed transport improvements or broadband access. The National Infrastructure </w:t>
      </w:r>
      <w:r w:rsidRPr="00742C37">
        <w:rPr>
          <w:rFonts w:eastAsia="Palatino LT Std Light" w:cs="Palatino LT Std Light"/>
        </w:rPr>
        <w:t>Commission should be instructed to make recommendations to assess and set out a plan to deliver a rapid improvement in the infrastructure of coastal areas, including the retrofitting of buildings on the coast; improvements in mobile phone coverage and broadband connection; improving grid infrastructure to support decentralised energy generation; physical infrastructure; coastal defences; and public transport, including making the most of maritime routes to connect different areas of the coast (e.g. ports, h</w:t>
      </w:r>
      <w:r w:rsidRPr="00742C37">
        <w:rPr>
          <w:rFonts w:eastAsia="Palatino LT Std Light" w:cs="Palatino LT Std Light"/>
        </w:rPr>
        <w:t>arbours and ferry networks).</w:t>
      </w:r>
      <w:r>
        <w:rPr>
          <w:rStyle w:val="FootnoteReference"/>
          <w:rFonts w:eastAsia="Palatino LT Std Light" w:cs="Palatino LT Std Light"/>
        </w:rPr>
        <w:footnoteReference w:id="26"/>
      </w:r>
      <w:r w:rsidRPr="00742C37">
        <w:rPr>
          <w:rFonts w:eastAsia="Palatino LT Std Light" w:cs="Palatino LT Std Light"/>
        </w:rPr>
        <w:t xml:space="preserve"> </w:t>
      </w:r>
    </w:p>
    <w:p w:rsidR="00C4345A" w:rsidRPr="00742C37" w:rsidP="00842F9B">
      <w:pPr>
        <w:pStyle w:val="ListParagraph"/>
        <w:numPr>
          <w:ilvl w:val="1"/>
          <w:numId w:val="28"/>
        </w:numPr>
        <w:spacing w:before="240" w:after="240"/>
        <w:rPr>
          <w:rFonts w:eastAsia="Palatino LT Std Light" w:cs="Palatino LT Std Light"/>
          <w:bCs/>
          <w:szCs w:val="22"/>
        </w:rPr>
      </w:pPr>
      <w:r w:rsidRPr="00742C37">
        <w:rPr>
          <w:rFonts w:eastAsia="Palatino LT Std Light" w:cs="Palatino LT Std Light"/>
          <w:bCs/>
          <w:szCs w:val="22"/>
        </w:rPr>
        <w:t xml:space="preserve">There are opportunities to make strategic investments to reduce energy costs for small tourism businesses and improve their resilience to the overlapping shocks the economy experiences in this era. Government support to develop decentralised energy generation and upgrade the electricity grid would be a welcome step. </w:t>
      </w:r>
      <w:r w:rsidRPr="00742C37">
        <w:rPr>
          <w:rFonts w:eastAsia="Palatino LT Std Light" w:cs="Palatino LT Std Light"/>
        </w:rPr>
        <w:t xml:space="preserve">The strategic coastal location of many tourist destinations should make cheap energy easier to provide. </w:t>
      </w:r>
    </w:p>
    <w:p w:rsidR="00C4345A" w:rsidRPr="00742C37" w:rsidP="00E86BCA">
      <w:pPr>
        <w:pStyle w:val="ListParagraph"/>
        <w:numPr>
          <w:ilvl w:val="1"/>
          <w:numId w:val="28"/>
        </w:numPr>
        <w:spacing w:before="240" w:after="240"/>
        <w:rPr>
          <w:rFonts w:eastAsia="Palatino LT Std Light" w:cs="Palatino LT Std Light"/>
          <w:bCs/>
          <w:szCs w:val="22"/>
        </w:rPr>
      </w:pPr>
      <w:r w:rsidRPr="00742C37">
        <w:rPr>
          <w:rFonts w:eastAsia="Palatino LT Std Light" w:cs="Palatino LT Std Light"/>
        </w:rPr>
        <w:t xml:space="preserve">As well as investing in improvements in mobile phone coverage and broadband connection, there is a role for government to catalyse digital and other skills </w:t>
      </w:r>
      <w:r w:rsidRPr="00742C37">
        <w:rPr>
          <w:rFonts w:eastAsia="Palatino LT Std Light" w:cs="Palatino LT Std Light"/>
          <w:bCs/>
          <w:szCs w:val="22"/>
        </w:rPr>
        <w:t xml:space="preserve">in rural and coastal areas so small and medium-sized enterprises (SME) tourism businesses can capitalise on the opportunities that digitalisation offers. </w:t>
      </w:r>
      <w:r>
        <w:t>SMEs need hands-on and accessible support and training across a range of areas – technology, management, marketing, social media, and resilience to risks, such as climate change. Government should work with industry and training centres to provide this.</w:t>
      </w:r>
    </w:p>
    <w:p w:rsidR="00C4345A" w:rsidP="00E86BCA">
      <w:pPr>
        <w:pStyle w:val="ListParagraph"/>
        <w:numPr>
          <w:ilvl w:val="1"/>
          <w:numId w:val="28"/>
        </w:numPr>
        <w:spacing w:before="240" w:after="240"/>
        <w:rPr>
          <w:rFonts w:eastAsia="Palatino LT Std Light" w:cs="Palatino LT Std Light"/>
          <w:bCs/>
          <w:szCs w:val="22"/>
        </w:rPr>
      </w:pPr>
      <w:r w:rsidRPr="00742C37">
        <w:rPr>
          <w:rFonts w:eastAsia="Palatino LT Std Light" w:cs="Palatino LT Std Light"/>
          <w:bCs/>
          <w:szCs w:val="22"/>
        </w:rPr>
        <w:t>Research by the National Coastal Tourism Academy has shown that business support and training initiatives for coastal tourism businesses must be bite-sized, available online, or run at times to accommodate different types of businesses. Support should also be available to help businesses improve the quality of tourism jobs on offer, for example through greater employee engagement, and the development of career progression pathways.</w:t>
      </w:r>
      <w:r>
        <w:rPr>
          <w:rStyle w:val="FootnoteReference"/>
          <w:rFonts w:eastAsia="Palatino LT Std Light" w:cs="Palatino LT Std Light"/>
          <w:bCs/>
          <w:szCs w:val="22"/>
        </w:rPr>
        <w:footnoteReference w:id="27"/>
      </w:r>
    </w:p>
    <w:p w:rsidR="00C4345A" w:rsidP="00742C37">
      <w:pPr>
        <w:spacing w:before="240" w:after="240"/>
        <w:rPr>
          <w:rFonts w:eastAsia="Palatino LT Std Light" w:cs="Palatino LT Std Light"/>
          <w:bCs/>
          <w:szCs w:val="22"/>
        </w:rPr>
      </w:pPr>
    </w:p>
    <w:p w:rsidR="00C4345A" w:rsidRPr="00742C37" w:rsidP="00742C37">
      <w:pPr>
        <w:spacing w:before="240" w:after="240"/>
        <w:rPr>
          <w:rFonts w:eastAsia="Palatino LT Std Light" w:cs="Palatino LT Std Light"/>
          <w:bCs/>
          <w:szCs w:val="22"/>
        </w:rPr>
      </w:pPr>
    </w:p>
    <w:p w:rsidR="00C4345A" w:rsidP="00DA3D12">
      <w:pPr>
        <w:pStyle w:val="Heading2"/>
      </w:pPr>
      <w:r>
        <w:t>Investing in cultural innovation</w:t>
      </w:r>
    </w:p>
    <w:p w:rsidR="00C4345A" w:rsidP="00E4353F">
      <w:pPr>
        <w:pStyle w:val="ListParagraph"/>
        <w:numPr>
          <w:ilvl w:val="1"/>
          <w:numId w:val="28"/>
        </w:numPr>
        <w:spacing w:before="240" w:after="240"/>
        <w:rPr>
          <w:rFonts w:eastAsia="Palatino LT Std Light" w:cs="Palatino LT Std Light"/>
        </w:rPr>
      </w:pPr>
      <w:r w:rsidRPr="00742C37">
        <w:rPr>
          <w:rFonts w:eastAsia="Palatino LT Std Light" w:cs="Palatino LT Std Light"/>
        </w:rPr>
        <w:t xml:space="preserve">In comparable Western European economies, income support for artists is the norm, either through direct income support or through the social security system. Closest to home, in Ireland the basic income for artists (BIA) Scheme provides qualifying artists with a €325 per week basic income to address the precarity of those working </w:t>
      </w:r>
      <w:r w:rsidRPr="00742C37">
        <w:rPr>
          <w:rFonts w:eastAsia="Palatino LT Std Light" w:cs="Palatino LT Std Light"/>
        </w:rPr>
        <w:t>in the arts and to stimulate economic activity.</w:t>
      </w:r>
      <w:r>
        <w:rPr>
          <w:rStyle w:val="FootnoteReference"/>
          <w:rFonts w:eastAsia="Palatino LT Std Light" w:cs="Palatino LT Std Light"/>
        </w:rPr>
        <w:footnoteReference w:id="28"/>
      </w:r>
      <w:r w:rsidRPr="00742C37">
        <w:rPr>
          <w:rFonts w:eastAsia="Palatino LT Std Light" w:cs="Palatino LT Std Light"/>
        </w:rPr>
        <w:t xml:space="preserve"> Analysis of the pilot scheme found “for every €1 of public money invested in the pilot, society received €1.39 in return” and “the net cost of the BIA pilot went from €105m to under €72m due to tax generated and savings on social welfare payments”.</w:t>
      </w:r>
      <w:r>
        <w:rPr>
          <w:rStyle w:val="FootnoteReference"/>
          <w:rFonts w:eastAsia="Palatino LT Std Light" w:cs="Palatino LT Std Light"/>
        </w:rPr>
        <w:footnoteReference w:id="29"/>
      </w:r>
    </w:p>
    <w:p w:rsidR="00C4345A" w:rsidRPr="00742C37" w:rsidP="00E4353F">
      <w:pPr>
        <w:pStyle w:val="ListParagraph"/>
        <w:numPr>
          <w:ilvl w:val="1"/>
          <w:numId w:val="28"/>
        </w:numPr>
        <w:spacing w:before="240" w:after="240"/>
        <w:rPr>
          <w:rFonts w:eastAsia="Palatino LT Std Light" w:cs="Palatino LT Std Light"/>
        </w:rPr>
      </w:pPr>
      <w:r w:rsidRPr="00742C37">
        <w:rPr>
          <w:rFonts w:eastAsia="Palatino LT Std Light" w:cs="Palatino LT Std Light"/>
        </w:rPr>
        <w:t>The BIA scheme built on a history of support for cultural workers; Ireland has had an artist’s tax exemption since 1969. Income from qualifying creative work, including theatre, musical composition and physical art, is exempt from tax up to €50k.</w:t>
      </w:r>
      <w:r>
        <w:rPr>
          <w:rStyle w:val="FootnoteReference"/>
          <w:rFonts w:eastAsia="Palatino LT Std Light" w:cs="Palatino LT Std Light"/>
        </w:rPr>
        <w:footnoteReference w:id="30"/>
      </w:r>
      <w:r w:rsidRPr="00742C37">
        <w:rPr>
          <w:rFonts w:eastAsia="Palatino LT Std Light" w:cs="Palatino LT Std Light"/>
        </w:rPr>
        <w:t xml:space="preserve"> In Germany, the Artists’ Social Security Fund (1983-) is a targeted social security scheme for self-employed artists. Company and state contributions mean self-employed artists pay half of the normal social insurance contributions.</w:t>
      </w:r>
      <w:r>
        <w:rPr>
          <w:rStyle w:val="FootnoteReference"/>
          <w:rFonts w:eastAsia="Palatino LT Std Light" w:cs="Palatino LT Std Light"/>
        </w:rPr>
        <w:footnoteReference w:id="31"/>
      </w:r>
      <w:r w:rsidRPr="00742C37">
        <w:rPr>
          <w:rFonts w:eastAsia="Palatino LT Std Light" w:cs="Palatino LT Std Light"/>
        </w:rPr>
        <w:t xml:space="preserve"> France has a targeted unemployment regime for performing artists, musicians and technicians. The </w:t>
      </w:r>
      <w:r w:rsidRPr="00742C37">
        <w:rPr>
          <w:rFonts w:eastAsia="Palatino LT Std Light" w:cs="Palatino LT Std Light"/>
          <w:i/>
          <w:iCs/>
        </w:rPr>
        <w:t>régime des salariés</w:t>
      </w:r>
      <w:r w:rsidRPr="00742C37">
        <w:rPr>
          <w:rFonts w:eastAsia="Palatino LT Std Light" w:cs="Palatino LT Std Light"/>
        </w:rPr>
        <w:t xml:space="preserve"> </w:t>
      </w:r>
      <w:r w:rsidRPr="00742C37">
        <w:rPr>
          <w:rFonts w:eastAsia="Palatino LT Std Light" w:cs="Palatino LT Std Light"/>
          <w:i/>
          <w:iCs/>
        </w:rPr>
        <w:t>intermittents du spectacle</w:t>
      </w:r>
      <w:r w:rsidRPr="00742C37">
        <w:rPr>
          <w:rFonts w:eastAsia="Palatino LT Std Light" w:cs="Palatino LT Std Light"/>
        </w:rPr>
        <w:t xml:space="preserve"> scheme provides unemployment benefit coverage for cultural workers in between projects.</w:t>
      </w:r>
      <w:r>
        <w:rPr>
          <w:rStyle w:val="FootnoteReference"/>
          <w:rFonts w:eastAsia="Palatino LT Std Light" w:cs="Palatino LT Std Light"/>
        </w:rPr>
        <w:footnoteReference w:id="32"/>
      </w:r>
    </w:p>
    <w:p w:rsidR="00C4345A" w:rsidRPr="00E844F7" w:rsidP="00DA3D12">
      <w:pPr>
        <w:pStyle w:val="Heading2"/>
      </w:pPr>
      <w:r>
        <w:t>Cultural regeneration</w:t>
      </w:r>
    </w:p>
    <w:p w:rsidR="00C4345A" w:rsidRPr="00742C37" w:rsidP="00742C37">
      <w:pPr>
        <w:pStyle w:val="ListParagraph"/>
        <w:numPr>
          <w:ilvl w:val="1"/>
          <w:numId w:val="28"/>
        </w:numPr>
        <w:spacing w:before="240" w:after="240"/>
        <w:rPr>
          <w:rFonts w:eastAsia="Palatino LT Std Light" w:cs="Palatino LT Std Light"/>
        </w:rPr>
      </w:pPr>
      <w:r w:rsidRPr="00742C37">
        <w:rPr>
          <w:rFonts w:eastAsia="Palatino LT Std Light" w:cs="Palatino LT Std Light"/>
        </w:rPr>
        <w:t>Relocating, or establishing, cultural institutions in deindustrialised areas has been another regeneration method employed in comparable European economies. In France there have been several cultural and tourism regeneration initiatives in deindustrialised areas, this includes the relocation of cultural institutions such as a branch of the Louvre to a former mining region.</w:t>
      </w:r>
      <w:r>
        <w:rPr>
          <w:rStyle w:val="FootnoteReference"/>
          <w:rFonts w:eastAsia="Palatino LT Std Light" w:cs="Palatino LT Std Light"/>
        </w:rPr>
        <w:footnoteReference w:id="33"/>
      </w:r>
      <w:r w:rsidRPr="00742C37">
        <w:rPr>
          <w:rFonts w:eastAsia="Palatino LT Std Light" w:cs="Palatino LT Std Light"/>
        </w:rPr>
        <w:t xml:space="preserve"> Germany leveraged the industrial heritage of the Ruhr Valley, a former coal and steel region, to establish cultural attractions including restoring former mining sites – resulting in one mine being accredited UNESCO World Heritage status.</w:t>
      </w:r>
      <w:r>
        <w:rPr>
          <w:rStyle w:val="FootnoteReference"/>
          <w:rFonts w:eastAsia="Palatino LT Std Light" w:cs="Palatino LT Std Light"/>
        </w:rPr>
        <w:footnoteReference w:id="34"/>
      </w:r>
      <w:r w:rsidRPr="00742C37">
        <w:rPr>
          <w:rFonts w:eastAsia="Palatino LT Std Light" w:cs="Palatino LT Std Light"/>
        </w:rPr>
        <w:t xml:space="preserve"> </w:t>
      </w:r>
      <w:r>
        <w:rPr>
          <w:rStyle w:val="FootnoteReference"/>
          <w:rFonts w:eastAsia="Palatino LT Std Light" w:cs="Palatino LT Std Light"/>
        </w:rPr>
        <w:footnoteReference w:id="35"/>
      </w:r>
      <w:r w:rsidRPr="00742C37">
        <w:rPr>
          <w:rFonts w:eastAsia="Palatino LT Std Light" w:cs="Palatino LT Std Light"/>
        </w:rPr>
        <w:t xml:space="preserve"> Any policy to develop cultural </w:t>
      </w:r>
      <w:r w:rsidRPr="00742C37">
        <w:rPr>
          <w:rFonts w:eastAsia="Palatino LT Std Light" w:cs="Palatino LT Std Light"/>
        </w:rPr>
        <w:t xml:space="preserve">infrastructure must curb the negative effects of gentrification, prevent displacement of locals and ensure the precarity of cultural and seasonal workers is addressed - this includes having appropriate levels of social housing in these areas. </w:t>
      </w:r>
    </w:p>
    <w:p w:rsidR="00C4345A" w:rsidP="00775CDC">
      <w:pPr>
        <w:pStyle w:val="Footer"/>
        <w:rPr>
          <w:sz w:val="20"/>
          <w:szCs w:val="20"/>
        </w:rPr>
      </w:pPr>
    </w:p>
    <w:p w:rsidR="00C4345A" w:rsidRPr="000077A5" w:rsidP="000077A5">
      <w:pPr>
        <w:pStyle w:val="Byline"/>
      </w:pPr>
      <w:r w:rsidRPr="000077A5">
        <w:rPr>
          <w:sz w:val="20"/>
          <w:szCs w:val="20"/>
        </w:rPr>
        <w:t>Briefing | Alex Chap</w:t>
      </w:r>
      <w:r>
        <w:t xml:space="preserve">man, Paula Castro, Kamran </w:t>
      </w:r>
      <w:r>
        <w:t>Malekzai</w:t>
      </w:r>
      <w:bookmarkStart w:id="3" w:name="_Toc464477683"/>
      <w:r>
        <w:br/>
      </w:r>
      <w:r>
        <w:t>May 2026</w:t>
      </w:r>
      <w:bookmarkEnd w:id="3"/>
      <w:r>
        <w:br/>
      </w:r>
      <w:r>
        <w:rPr>
          <w:sz w:val="20"/>
          <w:szCs w:val="20"/>
        </w:rPr>
        <w:br/>
      </w:r>
      <w:r>
        <w:rPr>
          <w:sz w:val="20"/>
          <w:szCs w:val="20"/>
        </w:rPr>
        <w:t>New Economics Foundation</w:t>
      </w:r>
      <w:r>
        <w:rPr>
          <w:sz w:val="20"/>
          <w:szCs w:val="20"/>
        </w:rPr>
        <w:br/>
      </w:r>
      <w:r>
        <w:fldChar w:fldCharType="begin"/>
      </w:r>
      <w:r>
        <w:instrText xml:space="preserve"> HYPERLINK "http://www.neweconomics.org" </w:instrText>
      </w:r>
      <w:r>
        <w:fldChar w:fldCharType="separate"/>
      </w:r>
      <w:r>
        <w:rPr>
          <w:rStyle w:val="Hyperlink"/>
          <w:color w:val="000000" w:themeColor="text1"/>
          <w:sz w:val="20"/>
          <w:szCs w:val="20"/>
        </w:rPr>
        <w:t>www.neweconomics.org</w:t>
      </w:r>
      <w:r>
        <w:fldChar w:fldCharType="end"/>
      </w:r>
      <w:r>
        <w:br/>
      </w:r>
      <w:r>
        <w:fldChar w:fldCharType="begin"/>
      </w:r>
      <w:r>
        <w:instrText xml:space="preserve"> HYPERLINK "mailto:info@neweconomics.org" </w:instrText>
      </w:r>
      <w:r>
        <w:fldChar w:fldCharType="separate"/>
      </w:r>
      <w:r w:rsidRPr="003562BC">
        <w:rPr>
          <w:rStyle w:val="Hyperlink"/>
          <w:sz w:val="20"/>
          <w:szCs w:val="20"/>
        </w:rPr>
        <w:t>info@neweconomics.org</w:t>
      </w:r>
      <w:r>
        <w:fldChar w:fldCharType="end"/>
      </w:r>
    </w:p>
    <w:p w:rsidR="00C4345A" w:rsidP="004E4ACF"/>
    <w:sectPr w:rsidSect="0047544E">
      <w:headerReference w:type="first" r:id="rId22"/>
      <w:pgSz w:w="11906" w:h="16838"/>
      <w:pgMar w:top="1440"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T Std Light">
    <w:altName w:val="Palatino Linotype"/>
    <w:panose1 w:val="00000000000000000000"/>
    <w:charset w:val="00"/>
    <w:family w:val="roman"/>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Palatino LT Std">
    <w:altName w:val="Palatino Linotype"/>
    <w:panose1 w:val="00000000000000000000"/>
    <w:charset w:val="00"/>
    <w:family w:val="roman"/>
    <w:notTrueType/>
    <w:pitch w:val="variable"/>
    <w:sig w:usb0="800000AF" w:usb1="5000204A"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345A" w:rsidP="00BB0440">
    <w:pPr>
      <w:pStyle w:val="Footer"/>
      <w:rPr>
        <w:noProof/>
        <w:lang w:eastAsia="en-GB"/>
      </w:rPr>
    </w:pPr>
  </w:p>
  <w:p w:rsidR="00C4345A" w:rsidP="00BB044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345A" w:rsidP="00BB0440">
    <w:pPr>
      <w:pStyle w:val="Footer"/>
      <w:rPr>
        <w:noProof/>
        <w:lang w:eastAsia="en-GB"/>
      </w:rPr>
    </w:pPr>
    <w:r>
      <w:rPr>
        <w:noProof/>
        <w:lang w:eastAsia="en-GB"/>
      </w:rPr>
      <w:tab/>
    </w:r>
  </w:p>
  <w:p w:rsidR="00C4345A" w:rsidP="00BB04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4345A">
      <w:r>
        <w:separator/>
      </w:r>
    </w:p>
  </w:footnote>
  <w:footnote w:type="continuationSeparator" w:id="1">
    <w:p w:rsidR="00C4345A" w:rsidP="00D748EC">
      <w:r>
        <w:continuationSeparator/>
      </w:r>
    </w:p>
    <w:p w:rsidR="00C4345A"/>
  </w:footnote>
  <w:footnote w:id="2">
    <w:p w:rsidR="00C4345A">
      <w:pPr>
        <w:pStyle w:val="FootnoteText"/>
      </w:pPr>
      <w:r>
        <w:rPr>
          <w:rStyle w:val="FootnoteReference"/>
        </w:rPr>
        <w:footnoteRef/>
      </w:r>
      <w:r>
        <w:t xml:space="preserve"> DCMS (</w:t>
      </w:r>
      <w:r>
        <w:t xml:space="preserve">2021) The Tourism Recovery Plan. </w:t>
      </w:r>
      <w:r>
        <w:t>Department for Culture, Media and Sport</w:t>
      </w:r>
    </w:p>
  </w:footnote>
  <w:footnote w:id="3">
    <w:p w:rsidR="00C4345A">
      <w:pPr>
        <w:pStyle w:val="FootnoteText"/>
      </w:pPr>
      <w:r>
        <w:rPr>
          <w:rStyle w:val="FootnoteReference"/>
        </w:rPr>
        <w:footnoteRef/>
      </w:r>
      <w:r>
        <w:t xml:space="preserve"> </w:t>
      </w:r>
      <w:r>
        <w:t xml:space="preserve">See T&amp;E (2023) ‘Tax exemptions saw Treasury lose £4.7 billion from aviation industry last year – study’ URL: </w:t>
      </w:r>
      <w:r>
        <w:fldChar w:fldCharType="begin"/>
      </w:r>
      <w:r>
        <w:instrText xml:space="preserve"> HYPERLINK "https://www.transportenvironment.org/te-united-kingdom/articles/tax-exemptions-saw-treasury-lose-4-7-billion-from-aviation-industry-last-year-study" </w:instrText>
      </w:r>
      <w:r>
        <w:fldChar w:fldCharType="separate"/>
      </w:r>
      <w:r w:rsidRPr="00F6314F">
        <w:rPr>
          <w:rStyle w:val="Hyperlink"/>
        </w:rPr>
        <w:t>https://www.transportenvironment.org/te-united-kingdom/articles/tax-exemptions-saw-treasury-lose-4-7-billion-from-aviation-industry-last-year-study</w:t>
      </w:r>
      <w:r>
        <w:fldChar w:fldCharType="end"/>
      </w:r>
      <w:r>
        <w:t xml:space="preserve"> </w:t>
      </w:r>
    </w:p>
  </w:footnote>
  <w:footnote w:id="4">
    <w:p w:rsidR="00C4345A">
      <w:pPr>
        <w:pStyle w:val="FootnoteText"/>
      </w:pPr>
      <w:r>
        <w:rPr>
          <w:rStyle w:val="FootnoteReference"/>
        </w:rPr>
        <w:footnoteRef/>
      </w:r>
      <w:r>
        <w:t xml:space="preserve"> </w:t>
      </w:r>
      <w:r>
        <w:t>See Gov.UK (2025) ‘Business rates relief: 2025 to 2026 retail, hospitality and leisure scheme’ URL:</w:t>
      </w:r>
      <w:r>
        <w:fldChar w:fldCharType="begin"/>
      </w:r>
      <w:r>
        <w:instrText xml:space="preserve"> HYPERLINK "https://www.gov.uk/guidance/business-rates-relief-202526-retail-hospitality-and-leisure-scheme" </w:instrText>
      </w:r>
      <w:r>
        <w:fldChar w:fldCharType="separate"/>
      </w:r>
      <w:r w:rsidRPr="00F6314F">
        <w:rPr>
          <w:rStyle w:val="Hyperlink"/>
        </w:rPr>
        <w:t>https://www.gov.uk/guidance/business-rates-relief-202526-retail-hospitality-and-leisure-scheme</w:t>
      </w:r>
      <w:r>
        <w:fldChar w:fldCharType="end"/>
      </w:r>
    </w:p>
  </w:footnote>
  <w:footnote w:id="5">
    <w:p w:rsidR="00C4345A">
      <w:pPr>
        <w:pStyle w:val="FootnoteText"/>
      </w:pPr>
      <w:r>
        <w:rPr>
          <w:rStyle w:val="FootnoteReference"/>
        </w:rPr>
        <w:footnoteRef/>
      </w:r>
      <w:r>
        <w:t xml:space="preserve"> </w:t>
      </w:r>
      <w:r>
        <w:t>The Guardian (1</w:t>
      </w:r>
      <w:r w:rsidRPr="00142FC3">
        <w:rPr>
          <w:vertAlign w:val="superscript"/>
        </w:rPr>
        <w:t>st</w:t>
      </w:r>
      <w:r>
        <w:t xml:space="preserve"> February 2026) ‘Heathrow to receive £900 million business rates discount as hospitality sector demands equal support’ URL: </w:t>
      </w:r>
      <w:r>
        <w:fldChar w:fldCharType="begin"/>
      </w:r>
      <w:r>
        <w:instrText xml:space="preserve"> HYPERLINK "https://www.theguardian.com/business/2026/feb/01/uk-business-rates-rachel-reeves-relief-fund-heathrow-hospitality" </w:instrText>
      </w:r>
      <w:r>
        <w:fldChar w:fldCharType="separate"/>
      </w:r>
      <w:r w:rsidRPr="00F6314F">
        <w:rPr>
          <w:rStyle w:val="Hyperlink"/>
        </w:rPr>
        <w:t>https://www.theguardian.com/business/2026/feb/01/uk-business-rates-rachel-reeves-relief-fund-heathrow-hospitality</w:t>
      </w:r>
      <w:r>
        <w:fldChar w:fldCharType="end"/>
      </w:r>
      <w:r>
        <w:t xml:space="preserve"> </w:t>
      </w:r>
    </w:p>
  </w:footnote>
  <w:footnote w:id="6">
    <w:p w:rsidR="00C4345A">
      <w:pPr>
        <w:pStyle w:val="FootnoteText"/>
      </w:pPr>
      <w:r>
        <w:rPr>
          <w:rStyle w:val="FootnoteReference"/>
        </w:rPr>
        <w:footnoteRef/>
      </w:r>
      <w:r>
        <w:t xml:space="preserve"> </w:t>
      </w:r>
      <w:r>
        <w:t xml:space="preserve">See Visit Britain (2026) ‘UK Domestic Travel Sentiment Tracker’: </w:t>
      </w:r>
      <w:r>
        <w:fldChar w:fldCharType="begin"/>
      </w:r>
      <w:r>
        <w:instrText xml:space="preserve"> HYPERLINK "https://www.visitbritain.org/research-insights/domestic-sentiment-tracker" </w:instrText>
      </w:r>
      <w:r>
        <w:fldChar w:fldCharType="separate"/>
      </w:r>
      <w:r w:rsidRPr="00F6314F">
        <w:rPr>
          <w:rStyle w:val="Hyperlink"/>
        </w:rPr>
        <w:t>https://www.visitbritain.org/research-insights/domestic-sentiment-tracker</w:t>
      </w:r>
      <w:r>
        <w:fldChar w:fldCharType="end"/>
      </w:r>
      <w:r>
        <w:t xml:space="preserve"> </w:t>
      </w:r>
    </w:p>
  </w:footnote>
  <w:footnote w:id="7">
    <w:p w:rsidR="00C4345A">
      <w:pPr>
        <w:pStyle w:val="FootnoteText"/>
      </w:pPr>
      <w:r>
        <w:rPr>
          <w:rStyle w:val="FootnoteReference"/>
        </w:rPr>
        <w:footnoteRef/>
      </w:r>
      <w:r>
        <w:t xml:space="preserve"> Tourism Alliance (2025) UK Tourism Facts and Figures 2025.</w:t>
      </w:r>
    </w:p>
  </w:footnote>
  <w:footnote w:id="8">
    <w:p w:rsidR="00C4345A" w:rsidP="005A38C2">
      <w:pPr>
        <w:pStyle w:val="FootnoteText"/>
      </w:pPr>
      <w:r>
        <w:rPr>
          <w:rStyle w:val="FootnoteReference"/>
        </w:rPr>
        <w:footnoteRef/>
      </w:r>
      <w:r>
        <w:t xml:space="preserve"> </w:t>
      </w:r>
      <w:r>
        <w:t>Njegovan, N. (2006) Elasticities of demand for leisure air travel: A system modelling approach. Journal of Air Transport Management, 12: 33-39</w:t>
      </w:r>
    </w:p>
  </w:footnote>
  <w:footnote w:id="9">
    <w:p w:rsidR="00C4345A" w:rsidP="00E4353F">
      <w:pPr>
        <w:pStyle w:val="FootnoteText"/>
      </w:pPr>
      <w:r w:rsidRPr="068465F3">
        <w:rPr>
          <w:rStyle w:val="FootnoteReference"/>
        </w:rPr>
        <w:footnoteRef/>
      </w:r>
      <w:r>
        <w:t xml:space="preserve"> </w:t>
      </w:r>
      <w:r>
        <w:t>BBC (29</w:t>
      </w:r>
      <w:r w:rsidRPr="00142FC3">
        <w:rPr>
          <w:vertAlign w:val="superscript"/>
        </w:rPr>
        <w:t>th</w:t>
      </w:r>
      <w:r>
        <w:t xml:space="preserve"> January 2026) ‘Pubs to get business rates cut as government faces high street pressure’ URL: </w:t>
      </w:r>
      <w:r>
        <w:fldChar w:fldCharType="begin"/>
      </w:r>
      <w:r>
        <w:instrText xml:space="preserve"> HYPERLINK "https://www.bbc.co.uk/news/articles/cg5gpe3jdl9o" </w:instrText>
      </w:r>
      <w:r>
        <w:fldChar w:fldCharType="separate"/>
      </w:r>
      <w:r w:rsidRPr="00F6314F">
        <w:rPr>
          <w:rStyle w:val="Hyperlink"/>
        </w:rPr>
        <w:t>https://www.bbc.co.uk/news/articles/cg5gpe3jdl9o</w:t>
      </w:r>
      <w:r>
        <w:fldChar w:fldCharType="end"/>
      </w:r>
      <w:r>
        <w:t xml:space="preserve"> </w:t>
      </w:r>
    </w:p>
  </w:footnote>
  <w:footnote w:id="10">
    <w:p w:rsidR="00C4345A" w:rsidP="00775CDC">
      <w:pPr>
        <w:pStyle w:val="FootnoteText"/>
      </w:pPr>
      <w:r>
        <w:rPr>
          <w:rStyle w:val="FootnoteReference"/>
        </w:rPr>
        <w:footnoteRef/>
      </w:r>
      <w:r>
        <w:t xml:space="preserve"> </w:t>
      </w:r>
      <w:r>
        <w:t xml:space="preserve">See Eurochambres (2026) ‘Eurochambres position on coordination of school holidays to strengthen tourism’ URL: </w:t>
      </w:r>
      <w:r>
        <w:fldChar w:fldCharType="begin"/>
      </w:r>
      <w:r>
        <w:instrText xml:space="preserve"> HYPERLINK "https://www.eurochambres.eu/wp-content/uploads/2026/02/Eurochambres-position-on-coordination-of-school-holidays-to-strengthen-tourism.pdf" </w:instrText>
      </w:r>
      <w:r>
        <w:fldChar w:fldCharType="separate"/>
      </w:r>
      <w:r w:rsidRPr="00F6314F">
        <w:rPr>
          <w:rStyle w:val="Hyperlink"/>
        </w:rPr>
        <w:t>https://www.eurochambres.eu/wp-content/uploads/2026/02/Eurochambres-position-on-coordination-of-school-holidays-to-strengthen-tourism.pdf</w:t>
      </w:r>
      <w:r>
        <w:fldChar w:fldCharType="end"/>
      </w:r>
      <w:r>
        <w:t xml:space="preserve"> </w:t>
      </w:r>
    </w:p>
  </w:footnote>
  <w:footnote w:id="11">
    <w:p w:rsidR="00C4345A" w:rsidP="00775CDC">
      <w:pPr>
        <w:pStyle w:val="FootnoteText"/>
      </w:pPr>
      <w:r>
        <w:rPr>
          <w:rStyle w:val="FootnoteReference"/>
        </w:rPr>
        <w:footnoteRef/>
      </w:r>
      <w:r>
        <w:t xml:space="preserve"> </w:t>
      </w:r>
      <w:r>
        <w:t xml:space="preserve">See: Historic England (2019) ‘The Serious Business of Holidaymaking’ URL: </w:t>
      </w:r>
      <w:r>
        <w:fldChar w:fldCharType="begin"/>
      </w:r>
      <w:r>
        <w:instrText xml:space="preserve"> HYPERLINK "https://historicengland.org.uk/whats-new/research/back-issues/the-serious-business-of-holidaymaking/" </w:instrText>
      </w:r>
      <w:r>
        <w:fldChar w:fldCharType="separate"/>
      </w:r>
      <w:r w:rsidRPr="00F6314F">
        <w:rPr>
          <w:rStyle w:val="Hyperlink"/>
        </w:rPr>
        <w:t>https://historicengland.org.uk/whats-new/research/back-issues/the-serious-business-of-holidaymaking/</w:t>
      </w:r>
      <w:r>
        <w:fldChar w:fldCharType="end"/>
      </w:r>
      <w:r>
        <w:t xml:space="preserve"> </w:t>
      </w:r>
    </w:p>
  </w:footnote>
  <w:footnote w:id="12">
    <w:p w:rsidR="00C4345A" w:rsidP="009D4499">
      <w:pPr>
        <w:pStyle w:val="FootnoteText"/>
      </w:pPr>
      <w:r>
        <w:rPr>
          <w:rStyle w:val="FootnoteReference"/>
        </w:rPr>
        <w:footnoteRef/>
      </w:r>
      <w:r>
        <w:t xml:space="preserve"> </w:t>
      </w:r>
      <w:r>
        <w:t xml:space="preserve">NEF (2019) ‘Increases in leisure time have decoupled from productivity increases’ URL: </w:t>
      </w:r>
      <w:r>
        <w:fldChar w:fldCharType="begin"/>
      </w:r>
      <w:r>
        <w:instrText xml:space="preserve"> HYPERLINK "https://neweconomics.org/2019/09/increases-in-leisure-time-have-decoupled-from-productivity-increases" </w:instrText>
      </w:r>
      <w:r>
        <w:fldChar w:fldCharType="separate"/>
      </w:r>
      <w:r w:rsidRPr="00F6314F">
        <w:rPr>
          <w:rStyle w:val="Hyperlink"/>
        </w:rPr>
        <w:t>https://neweconomics.org/2019/09/increases-in-leisure-time-have-decoupled-from-productivity-increases</w:t>
      </w:r>
      <w:r>
        <w:fldChar w:fldCharType="end"/>
      </w:r>
      <w:r>
        <w:t xml:space="preserve"> </w:t>
      </w:r>
    </w:p>
  </w:footnote>
  <w:footnote w:id="13">
    <w:p w:rsidR="00C4345A">
      <w:pPr>
        <w:pStyle w:val="FootnoteText"/>
      </w:pPr>
      <w:r>
        <w:rPr>
          <w:rStyle w:val="FootnoteReference"/>
        </w:rPr>
        <w:footnoteRef/>
      </w:r>
      <w:r>
        <w:t xml:space="preserve"> </w:t>
      </w:r>
      <w:r>
        <w:t xml:space="preserve">T&amp;E (2021) ‘Tax exemptions saw Treasury lose £4.7 billion from aviation industry last year – study’ URL: </w:t>
      </w:r>
      <w:r>
        <w:fldChar w:fldCharType="begin"/>
      </w:r>
      <w:r>
        <w:instrText xml:space="preserve"> HYPERLINK "https://www.transportenvironment.org/te-united-kingdom/articles/tax-exemptions-saw-treasury-lose-4-7-billion-from-aviation-industry-last-year-study" </w:instrText>
      </w:r>
      <w:r>
        <w:fldChar w:fldCharType="separate"/>
      </w:r>
      <w:r w:rsidRPr="00F6314F">
        <w:rPr>
          <w:rStyle w:val="Hyperlink"/>
        </w:rPr>
        <w:t>https://www.transportenvironment.org/te-united-kingdom/articles/tax-exemptions-saw-treasury-lose-4-7-billion-from-aviation-industry-last-year-study</w:t>
      </w:r>
      <w:r>
        <w:fldChar w:fldCharType="end"/>
      </w:r>
      <w:r>
        <w:t xml:space="preserve"> </w:t>
      </w:r>
    </w:p>
  </w:footnote>
  <w:footnote w:id="14">
    <w:p w:rsidR="00C4345A">
      <w:pPr>
        <w:pStyle w:val="FootnoteText"/>
      </w:pPr>
      <w:r>
        <w:rPr>
          <w:rStyle w:val="FootnoteReference"/>
        </w:rPr>
        <w:footnoteRef/>
      </w:r>
      <w:r>
        <w:t xml:space="preserve"> </w:t>
      </w:r>
      <w:r>
        <w:t xml:space="preserve">NEF (2025) ‘Introducing: the ultra-frequent flyer’ URL: </w:t>
      </w:r>
      <w:r>
        <w:fldChar w:fldCharType="begin"/>
      </w:r>
      <w:r>
        <w:instrText xml:space="preserve"> HYPERLINK "https://neweconomics.org/2025/06/introducing-the-ultra-frequent-flyer" </w:instrText>
      </w:r>
      <w:r>
        <w:fldChar w:fldCharType="separate"/>
      </w:r>
      <w:r w:rsidRPr="00F6314F">
        <w:rPr>
          <w:rStyle w:val="Hyperlink"/>
        </w:rPr>
        <w:t>https://neweconomics.org/2025/06/introducing-the-ultra-frequent-flyer</w:t>
      </w:r>
      <w:r>
        <w:fldChar w:fldCharType="end"/>
      </w:r>
      <w:r>
        <w:t xml:space="preserve"> </w:t>
      </w:r>
    </w:p>
  </w:footnote>
  <w:footnote w:id="15">
    <w:p w:rsidR="00C4345A">
      <w:pPr>
        <w:pStyle w:val="FootnoteText"/>
      </w:pPr>
      <w:r>
        <w:rPr>
          <w:rStyle w:val="FootnoteReference"/>
        </w:rPr>
        <w:footnoteRef/>
      </w:r>
      <w:r>
        <w:t xml:space="preserve"> </w:t>
      </w:r>
      <w:r>
        <w:t xml:space="preserve">NEF (2025) ‘Flying fair’ URL: </w:t>
      </w:r>
      <w:r>
        <w:fldChar w:fldCharType="begin"/>
      </w:r>
      <w:r>
        <w:instrText xml:space="preserve"> HYPERLINK "https://neweconomics.org/2025/05/flying-fair" </w:instrText>
      </w:r>
      <w:r>
        <w:fldChar w:fldCharType="separate"/>
      </w:r>
      <w:r w:rsidRPr="00F6314F">
        <w:rPr>
          <w:rStyle w:val="Hyperlink"/>
        </w:rPr>
        <w:t>https://neweconomics.org/2025/05/flying-fair</w:t>
      </w:r>
      <w:r>
        <w:fldChar w:fldCharType="end"/>
      </w:r>
      <w:r>
        <w:t xml:space="preserve"> </w:t>
      </w:r>
    </w:p>
  </w:footnote>
  <w:footnote w:id="16">
    <w:p w:rsidR="00C4345A">
      <w:pPr>
        <w:pStyle w:val="FootnoteText"/>
      </w:pPr>
      <w:r>
        <w:rPr>
          <w:rStyle w:val="FootnoteReference"/>
        </w:rPr>
        <w:footnoteRef/>
      </w:r>
      <w:r>
        <w:t xml:space="preserve"> </w:t>
      </w:r>
      <w:r>
        <w:t xml:space="preserve">NEF (2023) ‘A taxing problem’ URL: </w:t>
      </w:r>
      <w:r>
        <w:fldChar w:fldCharType="begin"/>
      </w:r>
      <w:r>
        <w:instrText xml:space="preserve"> HYPERLINK "https://neweconomics.org/2023/11/a-taxing-problem" </w:instrText>
      </w:r>
      <w:r>
        <w:fldChar w:fldCharType="separate"/>
      </w:r>
      <w:r w:rsidRPr="00F6314F">
        <w:rPr>
          <w:rStyle w:val="Hyperlink"/>
        </w:rPr>
        <w:t>https://neweconomics.org/2023/11/a-taxing-problem</w:t>
      </w:r>
      <w:r>
        <w:fldChar w:fldCharType="end"/>
      </w:r>
      <w:r>
        <w:t xml:space="preserve"> </w:t>
      </w:r>
    </w:p>
  </w:footnote>
  <w:footnote w:id="17">
    <w:p w:rsidR="00C4345A" w:rsidRPr="00142FC3" w:rsidP="00365F59">
      <w:pPr>
        <w:pStyle w:val="FootnoteText"/>
        <w:rPr>
          <w:rFonts w:ascii="Palatino Linotype" w:hAnsi="Palatino Linotype"/>
        </w:rPr>
      </w:pPr>
      <w:r w:rsidRPr="00142FC3">
        <w:rPr>
          <w:rStyle w:val="FootnoteReference"/>
          <w:rFonts w:ascii="Palatino Linotype" w:hAnsi="Palatino Linotype"/>
        </w:rPr>
        <w:footnoteRef/>
      </w:r>
      <w:r w:rsidRPr="00142FC3">
        <w:rPr>
          <w:rFonts w:ascii="Palatino Linotype" w:hAnsi="Palatino Linotype"/>
        </w:rPr>
        <w:t xml:space="preserve"> </w:t>
      </w:r>
      <w:r>
        <w:rPr>
          <w:rFonts w:ascii="Palatino Linotype" w:hAnsi="Palatino Linotype"/>
        </w:rPr>
        <w:t xml:space="preserve">Gov.UK (2025) ‘NTS 2024: Household car availability and trends in car trips’ URL: </w:t>
      </w:r>
      <w:r>
        <w:fldChar w:fldCharType="begin"/>
      </w:r>
      <w:r>
        <w:instrText xml:space="preserve"> HYPERLINK "https://www.gov.uk/government/statistics/national-travel-survey-2024/nts-2024-household-car-availability-and-trends-in-car-trips" </w:instrText>
      </w:r>
      <w:r>
        <w:fldChar w:fldCharType="separate"/>
      </w:r>
      <w:r w:rsidRPr="00F6314F">
        <w:rPr>
          <w:rStyle w:val="Hyperlink"/>
          <w:rFonts w:ascii="Palatino Linotype" w:eastAsia="Segoe UI" w:hAnsi="Palatino Linotype" w:cs="Segoe UI"/>
          <w:sz w:val="18"/>
          <w:szCs w:val="18"/>
        </w:rPr>
        <w:t>https://www.gov.uk/government/statistics/national-travel-survey-2024/nts-2024-household-car-availability-and-trends-in-car-trips</w:t>
      </w:r>
      <w:r>
        <w:fldChar w:fldCharType="end"/>
      </w:r>
      <w:r w:rsidRPr="00142FC3">
        <w:rPr>
          <w:rFonts w:ascii="Palatino Linotype" w:eastAsia="Segoe UI" w:hAnsi="Palatino Linotype" w:cs="Segoe UI"/>
          <w:color w:val="000000" w:themeColor="accent5"/>
          <w:sz w:val="18"/>
          <w:szCs w:val="18"/>
        </w:rPr>
        <w:t xml:space="preserve"> </w:t>
      </w:r>
    </w:p>
  </w:footnote>
  <w:footnote w:id="18">
    <w:p w:rsidR="00C4345A" w:rsidP="00C90BC7">
      <w:pPr>
        <w:pStyle w:val="FootnoteText"/>
      </w:pPr>
      <w:r w:rsidRPr="00142FC3">
        <w:rPr>
          <w:rStyle w:val="FootnoteReference"/>
          <w:rFonts w:ascii="Palatino Linotype" w:hAnsi="Palatino Linotype"/>
        </w:rPr>
        <w:footnoteRef/>
      </w:r>
      <w:r w:rsidRPr="00142FC3">
        <w:rPr>
          <w:rFonts w:ascii="Palatino Linotype" w:hAnsi="Palatino Linotype"/>
        </w:rPr>
        <w:t xml:space="preserve"> </w:t>
      </w:r>
      <w:r>
        <w:rPr>
          <w:rFonts w:ascii="Palatino Linotype" w:hAnsi="Palatino Linotype"/>
        </w:rPr>
        <w:t xml:space="preserve">Gov.UK (2025) ‘Bus statistics data tables’ URL: </w:t>
      </w:r>
      <w:r>
        <w:fldChar w:fldCharType="begin"/>
      </w:r>
      <w:r>
        <w:instrText xml:space="preserve"> HYPERLINK "https://www.gov.uk/government/statistical-data-sets/bus-statistics-data-tables" \l "local-bus-vehicle-distance-travelled-bus02" </w:instrText>
      </w:r>
      <w:r>
        <w:fldChar w:fldCharType="separate"/>
      </w:r>
      <w:r w:rsidRPr="00F6314F">
        <w:rPr>
          <w:rStyle w:val="Hyperlink"/>
          <w:rFonts w:ascii="Palatino Linotype" w:eastAsia="Segoe UI" w:hAnsi="Palatino Linotype" w:cs="Segoe UI"/>
          <w:sz w:val="18"/>
          <w:szCs w:val="18"/>
        </w:rPr>
        <w:t>https://www.gov.uk/government/statistical-data-sets/bus-statistics-data-tables#local-bus-vehicle-distance-travelled-bus02</w:t>
      </w:r>
      <w:r>
        <w:fldChar w:fldCharType="end"/>
      </w:r>
      <w:r>
        <w:rPr>
          <w:rFonts w:ascii="Segoe UI" w:eastAsia="Segoe UI" w:hAnsi="Segoe UI" w:cs="Segoe UI"/>
          <w:color w:val="000000" w:themeColor="accent5"/>
          <w:sz w:val="18"/>
          <w:szCs w:val="18"/>
        </w:rPr>
        <w:t xml:space="preserve"> </w:t>
      </w:r>
    </w:p>
  </w:footnote>
  <w:footnote w:id="19">
    <w:p w:rsidR="00C4345A" w:rsidRPr="00142FC3" w:rsidP="00C90BC7">
      <w:pPr>
        <w:pStyle w:val="FootnoteText"/>
        <w:rPr>
          <w:rFonts w:ascii="Palatino Linotype" w:hAnsi="Palatino Linotype"/>
        </w:rPr>
      </w:pPr>
      <w:r w:rsidRPr="00142FC3">
        <w:rPr>
          <w:rStyle w:val="FootnoteReference"/>
          <w:rFonts w:ascii="Palatino Linotype" w:hAnsi="Palatino Linotype"/>
        </w:rPr>
        <w:footnoteRef/>
      </w:r>
      <w:r w:rsidRPr="00142FC3">
        <w:rPr>
          <w:rFonts w:ascii="Palatino Linotype" w:hAnsi="Palatino Linotype"/>
        </w:rPr>
        <w:t xml:space="preserve"> </w:t>
      </w:r>
      <w:r>
        <w:rPr>
          <w:rFonts w:ascii="Palatino Linotype" w:hAnsi="Palatino Linotype"/>
        </w:rPr>
        <w:t xml:space="preserve">IPPR (2025) ‘Revealed: Bus cuts hit deprived areas the hardest’ URL: </w:t>
      </w:r>
      <w:r>
        <w:fldChar w:fldCharType="begin"/>
      </w:r>
      <w:r>
        <w:instrText xml:space="preserve"> HYPERLINK "https://www.ippr.org/media-office/revealed-bus-cuts-hit-deprived-areas-the-hardest" </w:instrText>
      </w:r>
      <w:r>
        <w:fldChar w:fldCharType="separate"/>
      </w:r>
      <w:r w:rsidRPr="00F6314F">
        <w:rPr>
          <w:rStyle w:val="Hyperlink"/>
          <w:rFonts w:ascii="Palatino Linotype" w:eastAsia="Segoe UI" w:hAnsi="Palatino Linotype" w:cs="Segoe UI"/>
          <w:sz w:val="18"/>
          <w:szCs w:val="18"/>
        </w:rPr>
        <w:t>https://www.ippr.org/media-office/revealed-bus-cuts-hit-deprived-areas-the-hardest</w:t>
      </w:r>
      <w:r>
        <w:fldChar w:fldCharType="end"/>
      </w:r>
      <w:r w:rsidRPr="00142FC3">
        <w:rPr>
          <w:rFonts w:ascii="Palatino Linotype" w:eastAsia="Segoe UI" w:hAnsi="Palatino Linotype" w:cs="Segoe UI"/>
          <w:color w:val="000000" w:themeColor="accent5"/>
          <w:sz w:val="18"/>
          <w:szCs w:val="18"/>
        </w:rPr>
        <w:t xml:space="preserve"> </w:t>
      </w:r>
    </w:p>
  </w:footnote>
  <w:footnote w:id="20">
    <w:p w:rsidR="00C4345A" w:rsidRPr="00142FC3" w:rsidP="00365F59">
      <w:pPr>
        <w:pStyle w:val="FootnoteText"/>
        <w:rPr>
          <w:rFonts w:ascii="Palatino Linotype" w:hAnsi="Palatino Linotype"/>
        </w:rPr>
      </w:pPr>
      <w:r w:rsidRPr="00142FC3">
        <w:rPr>
          <w:rStyle w:val="FootnoteReference"/>
          <w:rFonts w:ascii="Palatino Linotype" w:hAnsi="Palatino Linotype"/>
        </w:rPr>
        <w:footnoteRef/>
      </w:r>
      <w:r w:rsidRPr="00142FC3">
        <w:rPr>
          <w:rFonts w:ascii="Palatino Linotype" w:hAnsi="Palatino Linotype"/>
        </w:rPr>
        <w:t xml:space="preserve"> </w:t>
      </w:r>
      <w:r>
        <w:rPr>
          <w:rFonts w:ascii="Palatino Linotype" w:hAnsi="Palatino Linotype"/>
        </w:rPr>
        <w:t xml:space="preserve">VisitBritain (2026) ‘England domestic tourism: regional and sub-regional data’ URL: </w:t>
      </w:r>
      <w:r>
        <w:fldChar w:fldCharType="begin"/>
      </w:r>
      <w:r>
        <w:instrText xml:space="preserve"> HYPERLINK "https://www.visitbritain.org/research-insights/england-domestic-tourism-regional-and-subregional-data" </w:instrText>
      </w:r>
      <w:r>
        <w:fldChar w:fldCharType="separate"/>
      </w:r>
      <w:r w:rsidRPr="00F6314F">
        <w:rPr>
          <w:rStyle w:val="Hyperlink"/>
          <w:rFonts w:ascii="Palatino Linotype" w:eastAsia="Segoe UI" w:hAnsi="Palatino Linotype" w:cs="Segoe UI"/>
          <w:sz w:val="18"/>
          <w:szCs w:val="18"/>
        </w:rPr>
        <w:t>https://www.visitbritain.org/research-insights/england-domestic-tourism-regional-and-subregional-data</w:t>
      </w:r>
      <w:r>
        <w:fldChar w:fldCharType="end"/>
      </w:r>
      <w:r w:rsidRPr="00142FC3">
        <w:rPr>
          <w:rFonts w:ascii="Palatino Linotype" w:eastAsia="Segoe UI" w:hAnsi="Palatino Linotype" w:cs="Segoe UI"/>
          <w:color w:val="000000" w:themeColor="accent5"/>
          <w:sz w:val="18"/>
          <w:szCs w:val="18"/>
        </w:rPr>
        <w:t xml:space="preserve"> </w:t>
      </w:r>
    </w:p>
  </w:footnote>
  <w:footnote w:id="21">
    <w:p w:rsidR="00C4345A" w:rsidRPr="00142FC3" w:rsidP="00365F59">
      <w:pPr>
        <w:pStyle w:val="FootnoteText"/>
        <w:rPr>
          <w:rFonts w:ascii="Palatino Linotype" w:hAnsi="Palatino Linotype"/>
        </w:rPr>
      </w:pPr>
      <w:r w:rsidRPr="00142FC3">
        <w:rPr>
          <w:rStyle w:val="FootnoteReference"/>
          <w:rFonts w:ascii="Palatino Linotype" w:hAnsi="Palatino Linotype"/>
        </w:rPr>
        <w:footnoteRef/>
      </w:r>
      <w:r w:rsidRPr="00142FC3">
        <w:rPr>
          <w:rFonts w:ascii="Palatino Linotype" w:hAnsi="Palatino Linotype"/>
        </w:rPr>
        <w:t xml:space="preserve"> </w:t>
      </w:r>
      <w:r>
        <w:rPr>
          <w:rFonts w:ascii="Palatino Linotype" w:hAnsi="Palatino Linotype"/>
        </w:rPr>
        <w:t xml:space="preserve">Frontier Economics (2025) ‘Evaluation of the first 10 months of the £2 bus fare cap’ URL: </w:t>
      </w:r>
      <w:r>
        <w:fldChar w:fldCharType="begin"/>
      </w:r>
      <w:r>
        <w:instrText xml:space="preserve"> HYPERLINK "https://assets.publishing.service.gov.uk/media/681b355b9ef97b58cce3e4e0/evaluation-of-the-first-10-months-of-the-2-bus-fare-cap.pdf" </w:instrText>
      </w:r>
      <w:r>
        <w:fldChar w:fldCharType="separate"/>
      </w:r>
      <w:r w:rsidRPr="00F6314F">
        <w:rPr>
          <w:rStyle w:val="Hyperlink"/>
          <w:rFonts w:ascii="Palatino Linotype" w:eastAsia="Segoe UI" w:hAnsi="Palatino Linotype" w:cs="Segoe UI"/>
          <w:sz w:val="18"/>
          <w:szCs w:val="18"/>
        </w:rPr>
        <w:t>https://assets.publishing.service.gov.uk/media/681b355b9ef97b58cce3e4e0/evaluation-of-the-first-10-months-of-the-2-bus-fare-cap.pdf</w:t>
      </w:r>
      <w:r>
        <w:fldChar w:fldCharType="end"/>
      </w:r>
      <w:r w:rsidRPr="00142FC3">
        <w:rPr>
          <w:rFonts w:ascii="Palatino Linotype" w:eastAsia="Segoe UI" w:hAnsi="Palatino Linotype" w:cs="Segoe UI"/>
          <w:color w:val="000000" w:themeColor="accent5"/>
          <w:sz w:val="18"/>
          <w:szCs w:val="18"/>
        </w:rPr>
        <w:t xml:space="preserve"> </w:t>
      </w:r>
    </w:p>
  </w:footnote>
  <w:footnote w:id="22">
    <w:p w:rsidR="00C4345A" w:rsidRPr="00142FC3" w:rsidP="00365F59">
      <w:pPr>
        <w:pStyle w:val="FootnoteText"/>
        <w:rPr>
          <w:rFonts w:ascii="Palatino Linotype" w:hAnsi="Palatino Linotype"/>
        </w:rPr>
      </w:pPr>
      <w:r w:rsidRPr="00142FC3">
        <w:rPr>
          <w:rStyle w:val="FootnoteReference"/>
          <w:rFonts w:ascii="Palatino Linotype" w:hAnsi="Palatino Linotype"/>
        </w:rPr>
        <w:footnoteRef/>
      </w:r>
      <w:r w:rsidRPr="00142FC3">
        <w:rPr>
          <w:rFonts w:ascii="Palatino Linotype" w:hAnsi="Palatino Linotype"/>
        </w:rPr>
        <w:t xml:space="preserve"> </w:t>
      </w:r>
      <w:r>
        <w:rPr>
          <w:rFonts w:ascii="Palatino Linotype" w:hAnsi="Palatino Linotype"/>
        </w:rPr>
        <w:t xml:space="preserve">Gov.UK (2025) ‘New era of better buses: landmark Bus Bill becomes law’ URL: </w:t>
      </w:r>
      <w:r>
        <w:fldChar w:fldCharType="begin"/>
      </w:r>
      <w:r>
        <w:instrText xml:space="preserve"> HYPERLINK "https://www.gov.uk/government/news/new-era-of-better-buses-landmark-bus-bill-becomes-law" </w:instrText>
      </w:r>
      <w:r>
        <w:fldChar w:fldCharType="separate"/>
      </w:r>
      <w:r w:rsidRPr="00F6314F">
        <w:rPr>
          <w:rStyle w:val="Hyperlink"/>
          <w:rFonts w:ascii="Palatino Linotype" w:eastAsia="Segoe UI" w:hAnsi="Palatino Linotype" w:cs="Segoe UI"/>
          <w:sz w:val="18"/>
          <w:szCs w:val="18"/>
        </w:rPr>
        <w:t>https://www.gov.uk/government/news/new-era-of-better-buses-landmark-bus-bill-becomes-law</w:t>
      </w:r>
      <w:r>
        <w:fldChar w:fldCharType="end"/>
      </w:r>
      <w:r w:rsidRPr="00142FC3">
        <w:rPr>
          <w:rFonts w:ascii="Palatino Linotype" w:eastAsia="Segoe UI" w:hAnsi="Palatino Linotype" w:cs="Segoe UI"/>
          <w:color w:val="000000" w:themeColor="accent5"/>
          <w:sz w:val="18"/>
          <w:szCs w:val="18"/>
        </w:rPr>
        <w:t xml:space="preserve"> </w:t>
      </w:r>
    </w:p>
  </w:footnote>
  <w:footnote w:id="23">
    <w:p w:rsidR="00C4345A" w:rsidP="00365F59">
      <w:pPr>
        <w:pStyle w:val="FootnoteText"/>
      </w:pPr>
      <w:r w:rsidRPr="00142FC3">
        <w:rPr>
          <w:rStyle w:val="FootnoteReference"/>
          <w:rFonts w:ascii="Palatino Linotype" w:hAnsi="Palatino Linotype"/>
        </w:rPr>
        <w:footnoteRef/>
      </w:r>
      <w:r w:rsidRPr="00142FC3">
        <w:rPr>
          <w:rFonts w:ascii="Palatino Linotype" w:hAnsi="Palatino Linotype"/>
        </w:rPr>
        <w:t xml:space="preserve"> </w:t>
      </w:r>
      <w:r>
        <w:rPr>
          <w:rFonts w:ascii="Palatino Linotype" w:hAnsi="Palatino Linotype"/>
        </w:rPr>
        <w:t xml:space="preserve">T&amp;E (2024) ‘Eurostar and UK trains hit the brakes at the bottom of Europe’s rail rankings’ URL: </w:t>
      </w:r>
      <w:r>
        <w:fldChar w:fldCharType="begin"/>
      </w:r>
      <w:r>
        <w:instrText xml:space="preserve"> HYPERLINK "https://www.transportenvironment.org/te-united-kingdom/articles/eurostar-and-uk-trains-hit-the-brakes-at-the-bottom-of-europes-rail-rankings" </w:instrText>
      </w:r>
      <w:r>
        <w:fldChar w:fldCharType="separate"/>
      </w:r>
      <w:r w:rsidRPr="00F6314F">
        <w:rPr>
          <w:rStyle w:val="Hyperlink"/>
          <w:rFonts w:ascii="Palatino Linotype" w:eastAsia="Segoe UI" w:hAnsi="Palatino Linotype" w:cs="Segoe UI"/>
          <w:sz w:val="18"/>
          <w:szCs w:val="18"/>
        </w:rPr>
        <w:t>https://www.transportenvironment.org/te-united-kingdom/articles/eurostar-and-uk-trains-hit-the-brakes-at-the-bottom-of-europes-rail-rankings</w:t>
      </w:r>
      <w:r>
        <w:fldChar w:fldCharType="end"/>
      </w:r>
      <w:r>
        <w:rPr>
          <w:rFonts w:ascii="Segoe UI" w:eastAsia="Segoe UI" w:hAnsi="Segoe UI" w:cs="Segoe UI"/>
          <w:color w:val="000000" w:themeColor="accent5"/>
          <w:sz w:val="18"/>
          <w:szCs w:val="18"/>
        </w:rPr>
        <w:t xml:space="preserve"> </w:t>
      </w:r>
    </w:p>
  </w:footnote>
  <w:footnote w:id="24">
    <w:p w:rsidR="00C4345A" w:rsidRPr="00142FC3" w:rsidP="00365F59">
      <w:pPr>
        <w:pStyle w:val="FootnoteText"/>
        <w:rPr>
          <w:rFonts w:ascii="Palatino Linotype" w:hAnsi="Palatino Linotype"/>
        </w:rPr>
      </w:pPr>
      <w:r w:rsidRPr="00142FC3">
        <w:rPr>
          <w:rStyle w:val="FootnoteReference"/>
          <w:rFonts w:ascii="Palatino Linotype" w:hAnsi="Palatino Linotype"/>
        </w:rPr>
        <w:footnoteRef/>
      </w:r>
      <w:r>
        <w:rPr>
          <w:rFonts w:ascii="Palatino Linotype" w:hAnsi="Palatino Linotype"/>
        </w:rPr>
        <w:t xml:space="preserve"> Campaign for Better Transport (2026) ‘Rail’ URL: </w:t>
      </w:r>
      <w:r>
        <w:fldChar w:fldCharType="begin"/>
      </w:r>
      <w:r>
        <w:instrText xml:space="preserve"> HYPERLINK "https://bettertransport.org.uk/better-transport/rail/" </w:instrText>
      </w:r>
      <w:r>
        <w:fldChar w:fldCharType="separate"/>
      </w:r>
      <w:r w:rsidRPr="00F6314F">
        <w:rPr>
          <w:rStyle w:val="Hyperlink"/>
          <w:rFonts w:ascii="Palatino Linotype" w:eastAsia="Segoe UI" w:hAnsi="Palatino Linotype" w:cs="Segoe UI"/>
          <w:sz w:val="18"/>
          <w:szCs w:val="18"/>
        </w:rPr>
        <w:t>https://bettertransport.org.uk/better-transport/rail/</w:t>
      </w:r>
      <w:r>
        <w:fldChar w:fldCharType="end"/>
      </w:r>
      <w:r w:rsidRPr="00142FC3">
        <w:rPr>
          <w:rFonts w:ascii="Palatino Linotype" w:eastAsia="Segoe UI" w:hAnsi="Palatino Linotype" w:cs="Segoe UI"/>
          <w:color w:val="000000" w:themeColor="accent5"/>
          <w:sz w:val="18"/>
          <w:szCs w:val="18"/>
        </w:rPr>
        <w:t xml:space="preserve"> </w:t>
      </w:r>
    </w:p>
  </w:footnote>
  <w:footnote w:id="25">
    <w:p w:rsidR="00C4345A" w:rsidP="00365F59">
      <w:pPr>
        <w:pStyle w:val="FootnoteText"/>
      </w:pPr>
      <w:r w:rsidRPr="00142FC3">
        <w:rPr>
          <w:rStyle w:val="FootnoteReference"/>
          <w:rFonts w:ascii="Palatino Linotype" w:hAnsi="Palatino Linotype"/>
        </w:rPr>
        <w:footnoteRef/>
      </w:r>
      <w:r>
        <w:rPr>
          <w:rFonts w:ascii="Palatino Linotype" w:hAnsi="Palatino Linotype"/>
        </w:rPr>
        <w:t xml:space="preserve"> DfT (2017) ‘Impact of the Local Sustainable Transport Fund: summary report’ URL: </w:t>
      </w:r>
      <w:r>
        <w:fldChar w:fldCharType="begin"/>
      </w:r>
      <w:r>
        <w:instrText xml:space="preserve"> HYPERLINK "https://assets.publishing.service.gov.uk/government/uploads/system/uploads/attachment_data/file/886152/local-sustainable-transport-fund-impact-summary-report-document.pdf" </w:instrText>
      </w:r>
      <w:r>
        <w:fldChar w:fldCharType="separate"/>
      </w:r>
      <w:r w:rsidRPr="00F6314F">
        <w:rPr>
          <w:rStyle w:val="Hyperlink"/>
          <w:rFonts w:ascii="Palatino Linotype" w:eastAsia="Segoe UI" w:hAnsi="Palatino Linotype" w:cs="Segoe UI"/>
          <w:sz w:val="18"/>
          <w:szCs w:val="18"/>
        </w:rPr>
        <w:t>https://assets.publishing.service.gov.uk/government/uploads/system/uploads/attachment_data/file/886152/local-sustainable-transport-fund-impact-summary-report-document.pdf</w:t>
      </w:r>
      <w:r>
        <w:fldChar w:fldCharType="end"/>
      </w:r>
      <w:r>
        <w:rPr>
          <w:rFonts w:ascii="Segoe UI" w:eastAsia="Segoe UI" w:hAnsi="Segoe UI" w:cs="Segoe UI"/>
          <w:color w:val="000000" w:themeColor="accent5"/>
          <w:sz w:val="18"/>
          <w:szCs w:val="18"/>
        </w:rPr>
        <w:t xml:space="preserve"> </w:t>
      </w:r>
    </w:p>
  </w:footnote>
  <w:footnote w:id="26">
    <w:p w:rsidR="00C4345A">
      <w:pPr>
        <w:pStyle w:val="FootnoteText"/>
      </w:pPr>
      <w:r>
        <w:rPr>
          <w:rStyle w:val="FootnoteReference"/>
        </w:rPr>
        <w:footnoteRef/>
      </w:r>
      <w:r>
        <w:t xml:space="preserve"> </w:t>
      </w:r>
      <w:r>
        <w:t xml:space="preserve">NEF (2026) ‘Blue New Deal’ URL: </w:t>
      </w:r>
      <w:r>
        <w:fldChar w:fldCharType="begin"/>
      </w:r>
      <w:r>
        <w:instrText xml:space="preserve"> HYPERLINK "https://neweconomics.org/campaigns/blue-new-deal" </w:instrText>
      </w:r>
      <w:r>
        <w:fldChar w:fldCharType="separate"/>
      </w:r>
      <w:r w:rsidRPr="00F6314F">
        <w:rPr>
          <w:rStyle w:val="Hyperlink"/>
        </w:rPr>
        <w:t>https://neweconomics.org/campaigns/blue-new-deal</w:t>
      </w:r>
      <w:r>
        <w:fldChar w:fldCharType="end"/>
      </w:r>
      <w:r>
        <w:t xml:space="preserve"> </w:t>
      </w:r>
    </w:p>
  </w:footnote>
  <w:footnote w:id="27">
    <w:p w:rsidR="00C4345A">
      <w:pPr>
        <w:pStyle w:val="FootnoteText"/>
      </w:pPr>
      <w:r>
        <w:rPr>
          <w:rStyle w:val="FootnoteReference"/>
        </w:rPr>
        <w:footnoteRef/>
      </w:r>
      <w:r>
        <w:t xml:space="preserve"> </w:t>
      </w:r>
      <w:r>
        <w:t xml:space="preserve">NEF (2026) ‘Blue New Deal’ URL: </w:t>
      </w:r>
      <w:r>
        <w:fldChar w:fldCharType="begin"/>
      </w:r>
      <w:r>
        <w:instrText xml:space="preserve"> HYPERLINK "https://neweconomics.org/campaigns/blue-new-deal" </w:instrText>
      </w:r>
      <w:r>
        <w:fldChar w:fldCharType="separate"/>
      </w:r>
      <w:r w:rsidRPr="00F6314F">
        <w:rPr>
          <w:rStyle w:val="Hyperlink"/>
        </w:rPr>
        <w:t>https://neweconomics.org/campaigns/blue-new-deal</w:t>
      </w:r>
      <w:r>
        <w:fldChar w:fldCharType="end"/>
      </w:r>
      <w:r>
        <w:t xml:space="preserve"> </w:t>
      </w:r>
    </w:p>
  </w:footnote>
  <w:footnote w:id="28">
    <w:p w:rsidR="00C4345A" w:rsidP="00E4353F">
      <w:pPr>
        <w:pStyle w:val="FootnoteText"/>
      </w:pPr>
      <w:r>
        <w:rPr>
          <w:rStyle w:val="FootnoteReference"/>
        </w:rPr>
        <w:footnoteRef/>
      </w:r>
      <w:r>
        <w:t xml:space="preserve"> </w:t>
      </w:r>
      <w:r>
        <w:t xml:space="preserve">Gov.IE (2026) ‘Basic Income for the Arts Scheme 2026 – 2029: FAQ’ URL: </w:t>
      </w:r>
      <w:r>
        <w:fldChar w:fldCharType="begin"/>
      </w:r>
      <w:r>
        <w:instrText xml:space="preserve"> HYPERLINK "https://www.gov.ie/en/department-of-culture-communications-and-sport/publications/basic-income-for-the-arts-scheme-2026-2029-faq/" </w:instrText>
      </w:r>
      <w:r>
        <w:fldChar w:fldCharType="separate"/>
      </w:r>
      <w:r w:rsidRPr="00F6314F">
        <w:rPr>
          <w:rStyle w:val="Hyperlink"/>
        </w:rPr>
        <w:t>https://www.gov.ie/en/department-of-culture-communications-and-sport/publications/basic-income-for-the-arts-scheme-2026-2029-faq/</w:t>
      </w:r>
      <w:r>
        <w:fldChar w:fldCharType="end"/>
      </w:r>
      <w:r>
        <w:t xml:space="preserve"> </w:t>
      </w:r>
    </w:p>
  </w:footnote>
  <w:footnote w:id="29">
    <w:p w:rsidR="00C4345A" w:rsidP="00E4353F">
      <w:pPr>
        <w:pStyle w:val="FootnoteText"/>
      </w:pPr>
      <w:r>
        <w:rPr>
          <w:rStyle w:val="FootnoteReference"/>
        </w:rPr>
        <w:footnoteRef/>
      </w:r>
      <w:r>
        <w:t>Gov.IE (2026) ‘Basic Income for the Arts pilot produced over €100 million in Social and Economic Benefits’ URL:</w:t>
      </w:r>
      <w:r>
        <w:t xml:space="preserve"> </w:t>
      </w:r>
      <w:r>
        <w:fldChar w:fldCharType="begin"/>
      </w:r>
      <w:r>
        <w:instrText xml:space="preserve"> HYPERLINK "https://www.gov.ie/en/department-of-culture-communications-and-sport/press-releases/basic-income-for-the-arts-pilot-produced-over-100-million-in-social-and-economic-benefits/" </w:instrText>
      </w:r>
      <w:r>
        <w:fldChar w:fldCharType="separate"/>
      </w:r>
      <w:r w:rsidRPr="00F6314F">
        <w:rPr>
          <w:rStyle w:val="Hyperlink"/>
        </w:rPr>
        <w:t>https://www.gov.ie/en/department-of-culture-communications-and-sport/press-releases/basic-income-for-the-arts-pilot-produced-over-100-million-in-social-and-economic-benefits/</w:t>
      </w:r>
      <w:r>
        <w:fldChar w:fldCharType="end"/>
      </w:r>
      <w:r>
        <w:t xml:space="preserve"> </w:t>
      </w:r>
    </w:p>
  </w:footnote>
  <w:footnote w:id="30">
    <w:p w:rsidR="00C4345A" w:rsidP="00E4353F">
      <w:pPr>
        <w:pStyle w:val="FootnoteText"/>
      </w:pPr>
      <w:r>
        <w:rPr>
          <w:rStyle w:val="FootnoteReference"/>
        </w:rPr>
        <w:footnoteRef/>
      </w:r>
      <w:r>
        <w:t xml:space="preserve"> </w:t>
      </w:r>
      <w:r>
        <w:t>Revenue.IE (</w:t>
      </w:r>
      <w:r>
        <w:t>ND</w:t>
      </w:r>
      <w:r>
        <w:t xml:space="preserve">) ‘Artist Exemption Guidelines’ URL: </w:t>
      </w:r>
      <w:r>
        <w:fldChar w:fldCharType="begin"/>
      </w:r>
      <w:r>
        <w:instrText xml:space="preserve"> HYPERLINK "https://www.revenue.ie/en/personal-tax-credits-reliefs-and-exemptions/documents/artist-exemption-guidelines.pdf" </w:instrText>
      </w:r>
      <w:r>
        <w:fldChar w:fldCharType="separate"/>
      </w:r>
      <w:r w:rsidRPr="00F6314F">
        <w:rPr>
          <w:rStyle w:val="Hyperlink"/>
        </w:rPr>
        <w:t>https://www.revenue.ie/en/personal-tax-credits-reliefs-and-exemptions/documents/artist-exemption-guidelines.pdf</w:t>
      </w:r>
      <w:r>
        <w:fldChar w:fldCharType="end"/>
      </w:r>
      <w:r>
        <w:t xml:space="preserve"> </w:t>
      </w:r>
    </w:p>
  </w:footnote>
  <w:footnote w:id="31">
    <w:p w:rsidR="00C4345A" w:rsidP="00E4353F">
      <w:pPr>
        <w:pStyle w:val="FootnoteText"/>
      </w:pPr>
      <w:r>
        <w:rPr>
          <w:rStyle w:val="FootnoteReference"/>
        </w:rPr>
        <w:footnoteRef/>
      </w:r>
      <w:r>
        <w:t xml:space="preserve"> </w:t>
      </w:r>
      <w:r>
        <w:t xml:space="preserve">OECD (2018) ‘The Future of Social Protection’ URL: </w:t>
      </w:r>
      <w:r>
        <w:fldChar w:fldCharType="begin"/>
      </w:r>
      <w:r>
        <w:instrText xml:space="preserve"> HYPERLINK "https://www.oecd.org/en/publications/the-future-of-social-protection_9789264306943-en/full-report/component-8.html" </w:instrText>
      </w:r>
      <w:r>
        <w:fldChar w:fldCharType="separate"/>
      </w:r>
      <w:r w:rsidRPr="00F6314F">
        <w:rPr>
          <w:rStyle w:val="Hyperlink"/>
        </w:rPr>
        <w:t>https://www.oecd.org/en/publications/the-future-of-social-protection_9789264306943-en/full-report/component-8.html</w:t>
      </w:r>
      <w:r>
        <w:fldChar w:fldCharType="end"/>
      </w:r>
      <w:r>
        <w:t xml:space="preserve"> </w:t>
      </w:r>
    </w:p>
  </w:footnote>
  <w:footnote w:id="32">
    <w:p w:rsidR="00C4345A" w:rsidP="00E4353F">
      <w:pPr>
        <w:pStyle w:val="FootnoteText"/>
      </w:pPr>
      <w:r>
        <w:rPr>
          <w:rStyle w:val="FootnoteReference"/>
        </w:rPr>
        <w:footnoteRef/>
      </w:r>
      <w:r>
        <w:t xml:space="preserve"> </w:t>
      </w:r>
      <w:r>
        <w:t xml:space="preserve">ETUI (2026) ‘The art of managing the intermittent artist status in France’ URL: </w:t>
      </w:r>
      <w:r>
        <w:fldChar w:fldCharType="begin"/>
      </w:r>
      <w:r>
        <w:instrText xml:space="preserve"> HYPERLINK "https://www.etui.org/publications/art-managing-intermittent-artist-status-france" </w:instrText>
      </w:r>
      <w:r>
        <w:fldChar w:fldCharType="separate"/>
      </w:r>
      <w:r w:rsidRPr="00F6314F">
        <w:rPr>
          <w:rStyle w:val="Hyperlink"/>
        </w:rPr>
        <w:t>https://www.etui.org/publications/art-managing-intermittent-artist-status-france</w:t>
      </w:r>
      <w:r>
        <w:fldChar w:fldCharType="end"/>
      </w:r>
      <w:r>
        <w:t xml:space="preserve"> </w:t>
      </w:r>
    </w:p>
  </w:footnote>
  <w:footnote w:id="33">
    <w:p w:rsidR="00C4345A" w:rsidP="00E4353F">
      <w:pPr>
        <w:pStyle w:val="FootnoteText"/>
      </w:pPr>
      <w:r>
        <w:rPr>
          <w:rStyle w:val="FootnoteReference"/>
        </w:rPr>
        <w:footnoteRef/>
      </w:r>
      <w:r>
        <w:t xml:space="preserve"> Borin, E., &amp; Paunovi</w:t>
      </w:r>
      <w:r>
        <w:rPr>
          <w:rFonts w:ascii="Cambria" w:hAnsi="Cambria" w:cs="Cambria"/>
        </w:rPr>
        <w:t>ć</w:t>
      </w:r>
      <w:r>
        <w:t xml:space="preserve">, I. (2015). The case of Louvre-Lens: Regional regeneration through cultural innovation. In </w:t>
      </w:r>
      <w:r>
        <w:rPr>
          <w:rStyle w:val="Emphasis"/>
        </w:rPr>
        <w:t>Resources as a factor of tourism destination competitiveness: Proceedings of SITCON 2015</w:t>
      </w:r>
      <w:r>
        <w:t>. Singdunum University.</w:t>
      </w:r>
      <w:r>
        <w:t xml:space="preserve"> </w:t>
      </w:r>
    </w:p>
  </w:footnote>
  <w:footnote w:id="34">
    <w:p w:rsidR="00C4345A" w:rsidP="00E4353F">
      <w:pPr>
        <w:pStyle w:val="FootnoteText"/>
      </w:pPr>
      <w:r>
        <w:rPr>
          <w:rStyle w:val="FootnoteReference"/>
        </w:rPr>
        <w:footnoteRef/>
      </w:r>
      <w:r>
        <w:t xml:space="preserve"> </w:t>
      </w:r>
      <w:r>
        <w:t xml:space="preserve">See: Ruhrmuseum, ‘Zollverein UNESCO World Heritage Site’ </w:t>
      </w:r>
      <w:r w:rsidRPr="0014026F">
        <w:t>https://ruhrmuseum.de/en/locations/locations-at-zollverein/zollverein-unesco-world-heritage-site</w:t>
      </w:r>
    </w:p>
  </w:footnote>
  <w:footnote w:id="35">
    <w:p w:rsidR="00C4345A" w:rsidP="00E4353F">
      <w:pPr>
        <w:pStyle w:val="FootnoteText"/>
      </w:pPr>
      <w:r>
        <w:rPr>
          <w:rStyle w:val="FootnoteReference"/>
        </w:rPr>
        <w:footnoteRef/>
      </w:r>
      <w:r>
        <w:t xml:space="preserve"> </w:t>
      </w:r>
      <w:r w:rsidRPr="00775CDC">
        <w:t xml:space="preserve">Arora, A., &amp; Schroeder, H. (2022). How to avoid unjust energy transitions: Insights from the Ruhr region. </w:t>
      </w:r>
      <w:r w:rsidRPr="00775CDC">
        <w:rPr>
          <w:i/>
          <w:iCs/>
        </w:rPr>
        <w:t>Energy, Sustainability and Society</w:t>
      </w:r>
      <w:r w:rsidRPr="00775CDC">
        <w:t xml:space="preserve">, </w:t>
      </w:r>
      <w:r w:rsidRPr="00775CDC">
        <w:rPr>
          <w:i/>
          <w:iCs/>
        </w:rPr>
        <w:t>12</w:t>
      </w:r>
      <w:r w:rsidRPr="00775CDC">
        <w:t xml:space="preserve">, 19. </w:t>
      </w:r>
      <w:r>
        <w:fldChar w:fldCharType="begin"/>
      </w:r>
      <w:r>
        <w:instrText xml:space="preserve"> HYPERLINK "https://doi.org/10.1186/s13705-022-00345-5" </w:instrText>
      </w:r>
      <w:r>
        <w:fldChar w:fldCharType="separate"/>
      </w:r>
      <w:r w:rsidRPr="00775CDC">
        <w:rPr>
          <w:color w:val="0000FF"/>
          <w:u w:val="single"/>
        </w:rPr>
        <w:t>https://doi.org/10.1186/s13705-022-00345-5</w:t>
      </w:r>
      <w: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345A" w:rsidRPr="009B48E1">
    <w:pPr>
      <w:pStyle w:val="Header"/>
      <w:rPr>
        <w:color w:val="7F7F7F" w:themeColor="text1" w:themeTint="80"/>
      </w:rPr>
    </w:pPr>
  </w:p>
  <w:p w:rsidR="00C4345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345A" w:rsidP="00D04A3A">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345A" w:rsidP="00D04A3A">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2DDEF8A0"/>
    <w:lvl w:ilvl="0">
      <w:start w:val="1"/>
      <w:numFmt w:val="decimal"/>
      <w:lvlText w:val="%1."/>
      <w:lvlJc w:val="left"/>
      <w:pPr>
        <w:tabs>
          <w:tab w:val="num" w:pos="1492"/>
        </w:tabs>
        <w:ind w:left="1492" w:hanging="360"/>
      </w:pPr>
    </w:lvl>
  </w:abstractNum>
  <w:abstractNum w:abstractNumId="1">
    <w:nsid w:val="FFFFFF7D"/>
    <w:multiLevelType w:val="singleLevel"/>
    <w:tmpl w:val="B6C65A68"/>
    <w:lvl w:ilvl="0">
      <w:start w:val="1"/>
      <w:numFmt w:val="decimal"/>
      <w:lvlText w:val="%1."/>
      <w:lvlJc w:val="left"/>
      <w:pPr>
        <w:tabs>
          <w:tab w:val="num" w:pos="1209"/>
        </w:tabs>
        <w:ind w:left="1209" w:hanging="360"/>
      </w:pPr>
    </w:lvl>
  </w:abstractNum>
  <w:abstractNum w:abstractNumId="2">
    <w:nsid w:val="FFFFFF7E"/>
    <w:multiLevelType w:val="singleLevel"/>
    <w:tmpl w:val="D3E2FD82"/>
    <w:lvl w:ilvl="0">
      <w:start w:val="1"/>
      <w:numFmt w:val="decimal"/>
      <w:lvlText w:val="%1."/>
      <w:lvlJc w:val="left"/>
      <w:pPr>
        <w:tabs>
          <w:tab w:val="num" w:pos="926"/>
        </w:tabs>
        <w:ind w:left="926" w:hanging="360"/>
      </w:pPr>
    </w:lvl>
  </w:abstractNum>
  <w:abstractNum w:abstractNumId="3">
    <w:nsid w:val="FFFFFF7F"/>
    <w:multiLevelType w:val="singleLevel"/>
    <w:tmpl w:val="0C9E7A8A"/>
    <w:lvl w:ilvl="0">
      <w:start w:val="1"/>
      <w:numFmt w:val="decimal"/>
      <w:lvlText w:val="%1."/>
      <w:lvlJc w:val="left"/>
      <w:pPr>
        <w:tabs>
          <w:tab w:val="num" w:pos="643"/>
        </w:tabs>
        <w:ind w:left="643" w:hanging="360"/>
      </w:pPr>
    </w:lvl>
  </w:abstractNum>
  <w:abstractNum w:abstractNumId="4">
    <w:nsid w:val="FFFFFF80"/>
    <w:multiLevelType w:val="singleLevel"/>
    <w:tmpl w:val="9DF8C63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8A62F1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FD6723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8462D6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248FC16"/>
    <w:lvl w:ilvl="0">
      <w:start w:val="1"/>
      <w:numFmt w:val="decimal"/>
      <w:lvlText w:val="%1."/>
      <w:lvlJc w:val="left"/>
      <w:pPr>
        <w:tabs>
          <w:tab w:val="num" w:pos="360"/>
        </w:tabs>
        <w:ind w:left="360" w:hanging="360"/>
      </w:pPr>
    </w:lvl>
  </w:abstractNum>
  <w:abstractNum w:abstractNumId="9">
    <w:nsid w:val="FFFFFF89"/>
    <w:multiLevelType w:val="singleLevel"/>
    <w:tmpl w:val="1C52FC12"/>
    <w:lvl w:ilvl="0">
      <w:start w:val="1"/>
      <w:numFmt w:val="bullet"/>
      <w:lvlText w:val=""/>
      <w:lvlJc w:val="left"/>
      <w:pPr>
        <w:tabs>
          <w:tab w:val="num" w:pos="360"/>
        </w:tabs>
        <w:ind w:left="360" w:hanging="360"/>
      </w:pPr>
      <w:rPr>
        <w:rFonts w:ascii="Symbol" w:hAnsi="Symbol" w:hint="default"/>
      </w:rPr>
    </w:lvl>
  </w:abstractNum>
  <w:abstractNum w:abstractNumId="10">
    <w:nsid w:val="04305B27"/>
    <w:multiLevelType w:val="hybridMultilevel"/>
    <w:tmpl w:val="62BE93B8"/>
    <w:lvl w:ilvl="0">
      <w:start w:val="1"/>
      <w:numFmt w:val="bullet"/>
      <w:lvlText w:val=""/>
      <w:lvlJc w:val="left"/>
      <w:pPr>
        <w:ind w:left="567" w:hanging="397"/>
      </w:pPr>
      <w:rPr>
        <w:rFonts w:ascii="Symbol" w:hAnsi="Symbol" w:cs="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cs="Wingdings" w:hint="default"/>
      </w:rPr>
    </w:lvl>
    <w:lvl w:ilvl="3" w:tentative="1">
      <w:start w:val="1"/>
      <w:numFmt w:val="bullet"/>
      <w:lvlText w:val=""/>
      <w:lvlJc w:val="left"/>
      <w:pPr>
        <w:ind w:left="2880" w:hanging="360"/>
      </w:pPr>
      <w:rPr>
        <w:rFonts w:ascii="Symbol" w:hAnsi="Symbol" w:cs="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cs="Wingdings" w:hint="default"/>
      </w:rPr>
    </w:lvl>
    <w:lvl w:ilvl="6" w:tentative="1">
      <w:start w:val="1"/>
      <w:numFmt w:val="bullet"/>
      <w:lvlText w:val=""/>
      <w:lvlJc w:val="left"/>
      <w:pPr>
        <w:ind w:left="5040" w:hanging="360"/>
      </w:pPr>
      <w:rPr>
        <w:rFonts w:ascii="Symbol" w:hAnsi="Symbol" w:cs="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cs="Wingdings" w:hint="default"/>
      </w:rPr>
    </w:lvl>
  </w:abstractNum>
  <w:abstractNum w:abstractNumId="11">
    <w:nsid w:val="04A27CD0"/>
    <w:multiLevelType w:val="hybridMultilevel"/>
    <w:tmpl w:val="231A1614"/>
    <w:lvl w:ilvl="0">
      <w:start w:val="1"/>
      <w:numFmt w:val="decimal"/>
      <w:lvlText w:val="2.%1"/>
      <w:lvlJc w:val="left"/>
      <w:pPr>
        <w:ind w:left="567" w:hanging="567"/>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08817AFE"/>
    <w:multiLevelType w:val="hybridMultilevel"/>
    <w:tmpl w:val="72D6F5D4"/>
    <w:lvl w:ilvl="0">
      <w:start w:val="1"/>
      <w:numFmt w:val="bullet"/>
      <w:pStyle w:val="Bulletparagraph"/>
      <w:lvlText w:val=""/>
      <w:lvlJc w:val="left"/>
      <w:pPr>
        <w:ind w:left="567" w:hanging="340"/>
      </w:pPr>
      <w:rPr>
        <w:rFonts w:ascii="Symbol" w:hAnsi="Symbol" w:cs="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cs="Wingdings" w:hint="default"/>
      </w:rPr>
    </w:lvl>
    <w:lvl w:ilvl="3" w:tentative="1">
      <w:start w:val="1"/>
      <w:numFmt w:val="bullet"/>
      <w:lvlText w:val=""/>
      <w:lvlJc w:val="left"/>
      <w:pPr>
        <w:ind w:left="2880" w:hanging="360"/>
      </w:pPr>
      <w:rPr>
        <w:rFonts w:ascii="Symbol" w:hAnsi="Symbol" w:cs="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cs="Wingdings" w:hint="default"/>
      </w:rPr>
    </w:lvl>
    <w:lvl w:ilvl="6" w:tentative="1">
      <w:start w:val="1"/>
      <w:numFmt w:val="bullet"/>
      <w:lvlText w:val=""/>
      <w:lvlJc w:val="left"/>
      <w:pPr>
        <w:ind w:left="5040" w:hanging="360"/>
      </w:pPr>
      <w:rPr>
        <w:rFonts w:ascii="Symbol" w:hAnsi="Symbol" w:cs="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cs="Wingdings" w:hint="default"/>
      </w:rPr>
    </w:lvl>
  </w:abstractNum>
  <w:abstractNum w:abstractNumId="13">
    <w:nsid w:val="09B21C09"/>
    <w:multiLevelType w:val="hybridMultilevel"/>
    <w:tmpl w:val="7904FF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13414A8F"/>
    <w:multiLevelType w:val="multilevel"/>
    <w:tmpl w:val="E18AF32A"/>
    <w:lvl w:ilvl="0">
      <w:start w:val="0"/>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16A31693"/>
    <w:multiLevelType w:val="multilevel"/>
    <w:tmpl w:val="8E908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27113C4"/>
    <w:multiLevelType w:val="hybridMultilevel"/>
    <w:tmpl w:val="73F050C8"/>
    <w:lvl w:ilvl="0">
      <w:start w:val="1"/>
      <w:numFmt w:val="decimal"/>
      <w:pStyle w:val="Numberedlistauto"/>
      <w:lvlText w:val="1.%1"/>
      <w:lvlJc w:val="left"/>
      <w:pPr>
        <w:ind w:left="567" w:hanging="567"/>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26E3C97C"/>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nsid w:val="326C11DD"/>
    <w:multiLevelType w:val="hybridMultilevel"/>
    <w:tmpl w:val="F104C0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38C61361"/>
    <w:multiLevelType w:val="hybridMultilevel"/>
    <w:tmpl w:val="FFFFFFFF"/>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hint="default"/>
      </w:rPr>
    </w:lvl>
    <w:lvl w:ilvl="8">
      <w:start w:val="1"/>
      <w:numFmt w:val="bullet"/>
      <w:lvlText w:val=""/>
      <w:lvlJc w:val="left"/>
      <w:pPr>
        <w:ind w:left="6687" w:hanging="360"/>
      </w:pPr>
      <w:rPr>
        <w:rFonts w:ascii="Wingdings" w:hAnsi="Wingdings" w:hint="default"/>
      </w:rPr>
    </w:lvl>
  </w:abstractNum>
  <w:abstractNum w:abstractNumId="20">
    <w:nsid w:val="418328F7"/>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nsid w:val="4391ACD8"/>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nsid w:val="448A29BB"/>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4A055EF7"/>
    <w:multiLevelType w:val="hybridMultilevel"/>
    <w:tmpl w:val="02BC44A6"/>
    <w:lvl w:ilvl="0">
      <w:start w:val="0"/>
      <w:numFmt w:val="bullet"/>
      <w:lvlText w:val="-"/>
      <w:lvlJc w:val="left"/>
      <w:pPr>
        <w:ind w:left="720" w:hanging="360"/>
      </w:pPr>
      <w:rPr>
        <w:rFonts w:ascii="Palatino LT Std Light" w:eastAsia="Calibri" w:hAnsi="Palatino LT Std Light"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4B5A1392"/>
    <w:multiLevelType w:val="hybridMultilevel"/>
    <w:tmpl w:val="AFF27F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4D36476E"/>
    <w:multiLevelType w:val="hybridMultilevel"/>
    <w:tmpl w:val="07E88CE6"/>
    <w:lvl w:ilvl="0">
      <w:start w:val="0"/>
      <w:numFmt w:val="bullet"/>
      <w:lvlText w:val="-"/>
      <w:lvlJc w:val="left"/>
      <w:pPr>
        <w:ind w:left="720" w:hanging="360"/>
      </w:pPr>
      <w:rPr>
        <w:rFonts w:ascii="Montserrat" w:eastAsia="Calibri" w:hAnsi="Montserrat"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5A8866C2"/>
    <w:multiLevelType w:val="hybridMultilevel"/>
    <w:tmpl w:val="FEB4E21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5B18CCBF"/>
    <w:multiLevelType w:val="hybridMultilevel"/>
    <w:tmpl w:val="FFFFFFF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nsid w:val="74CE5836"/>
    <w:multiLevelType w:val="hybridMultilevel"/>
    <w:tmpl w:val="9E4AF6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6"/>
  </w:num>
  <w:num w:numId="2">
    <w:abstractNumId w:val="11"/>
  </w:num>
  <w:num w:numId="3">
    <w:abstractNumId w:val="10"/>
  </w:num>
  <w:num w:numId="4">
    <w:abstractNumId w:val="0"/>
  </w:num>
  <w:num w:numId="5">
    <w:abstractNumId w:val="1"/>
  </w:num>
  <w:num w:numId="6">
    <w:abstractNumId w:val="2"/>
  </w:num>
  <w:num w:numId="7">
    <w:abstractNumId w:val="3"/>
  </w:num>
  <w:num w:numId="8">
    <w:abstractNumId w:val="8"/>
  </w:num>
  <w:num w:numId="9">
    <w:abstractNumId w:val="4"/>
  </w:num>
  <w:num w:numId="10">
    <w:abstractNumId w:val="5"/>
  </w:num>
  <w:num w:numId="11">
    <w:abstractNumId w:val="6"/>
  </w:num>
  <w:num w:numId="12">
    <w:abstractNumId w:val="7"/>
  </w:num>
  <w:num w:numId="13">
    <w:abstractNumId w:val="9"/>
  </w:num>
  <w:num w:numId="14">
    <w:abstractNumId w:val="12"/>
  </w:num>
  <w:num w:numId="15">
    <w:abstractNumId w:val="24"/>
  </w:num>
  <w:num w:numId="16">
    <w:abstractNumId w:val="23"/>
  </w:num>
  <w:num w:numId="17">
    <w:abstractNumId w:val="25"/>
  </w:num>
  <w:num w:numId="18">
    <w:abstractNumId w:val="26"/>
  </w:num>
  <w:num w:numId="19">
    <w:abstractNumId w:val="13"/>
  </w:num>
  <w:num w:numId="20">
    <w:abstractNumId w:val="18"/>
  </w:num>
  <w:num w:numId="21">
    <w:abstractNumId w:val="21"/>
  </w:num>
  <w:num w:numId="22">
    <w:abstractNumId w:val="27"/>
  </w:num>
  <w:num w:numId="23">
    <w:abstractNumId w:val="19"/>
  </w:num>
  <w:num w:numId="24">
    <w:abstractNumId w:val="20"/>
  </w:num>
  <w:num w:numId="25">
    <w:abstractNumId w:val="17"/>
  </w:num>
  <w:num w:numId="26">
    <w:abstractNumId w:val="28"/>
  </w:num>
  <w:num w:numId="27">
    <w:abstractNumId w:val="15"/>
  </w:num>
  <w:num w:numId="28">
    <w:abstractNumId w:val="22"/>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stylePaneFormatFilter w:val="3F21" w:allStyles="1" w:alternateStyleNames="0" w:clearFormatting="1" w:customStyles="0" w:directFormattingOnNumbering="1" w:directFormattingOnParagraphs="1" w:directFormattingOnRuns="1" w:directFormattingOnTables="1" w:headingStyles="1" w:latentStyles="0" w:numberingStyles="0" w:stylesInUse="0" w:tableStyles="0" w:top3HeadingStyles="1" w:visibleStyles="0"/>
  <w:doNotTrackMoves/>
  <w:defaultTabStop w:val="567"/>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70" w:unhideWhenUsed="1"/>
    <w:lsdException w:name="TOC Heading" w:semiHidden="1" w:uiPriority="39" w:unhideWhenUsed="1" w:qFormat="1"/>
  </w:latentStyles>
  <w:style w:type="paragraph" w:default="1" w:styleId="Normal">
    <w:name w:val="Normal"/>
    <w:qFormat/>
    <w:rsid w:val="0002274F"/>
    <w:pPr>
      <w:spacing w:after="120" w:line="288" w:lineRule="auto"/>
    </w:pPr>
    <w:rPr>
      <w:rFonts w:ascii="Palatino LT Std Light" w:eastAsia="Calibri" w:hAnsi="Palatino LT Std Light" w:cs="Arial"/>
      <w:color w:val="000000" w:themeColor="text1"/>
      <w:szCs w:val="24"/>
    </w:rPr>
  </w:style>
  <w:style w:type="paragraph" w:styleId="Heading1">
    <w:name w:val="heading 1"/>
    <w:basedOn w:val="Normal"/>
    <w:next w:val="Normal"/>
    <w:link w:val="Heading1Char"/>
    <w:uiPriority w:val="9"/>
    <w:qFormat/>
    <w:rsid w:val="00E258CF"/>
    <w:pPr>
      <w:spacing w:before="240" w:after="180" w:line="240" w:lineRule="auto"/>
      <w:outlineLvl w:val="0"/>
    </w:pPr>
    <w:rPr>
      <w:rFonts w:ascii="Montserrat" w:hAnsi="Montserrat"/>
      <w:b/>
      <w:bCs/>
      <w:sz w:val="30"/>
      <w:szCs w:val="30"/>
    </w:rPr>
  </w:style>
  <w:style w:type="paragraph" w:styleId="Heading2">
    <w:name w:val="heading 2"/>
    <w:basedOn w:val="Normal"/>
    <w:next w:val="Normal"/>
    <w:link w:val="Heading2Char"/>
    <w:uiPriority w:val="9"/>
    <w:qFormat/>
    <w:rsid w:val="009B48E1"/>
    <w:pPr>
      <w:spacing w:after="180" w:line="240" w:lineRule="auto"/>
      <w:outlineLvl w:val="1"/>
    </w:pPr>
    <w:rPr>
      <w:rFonts w:ascii="Montserrat" w:hAnsi="Montserrat"/>
      <w:sz w:val="28"/>
      <w:szCs w:val="28"/>
    </w:rPr>
  </w:style>
  <w:style w:type="paragraph" w:styleId="Heading3">
    <w:name w:val="heading 3"/>
    <w:next w:val="Normal"/>
    <w:link w:val="Heading3Char"/>
    <w:uiPriority w:val="9"/>
    <w:rsid w:val="009B59F0"/>
    <w:pPr>
      <w:spacing w:before="240" w:line="240" w:lineRule="auto"/>
      <w:outlineLvl w:val="2"/>
    </w:pPr>
    <w:rPr>
      <w:rFonts w:ascii="Montserrat" w:eastAsia="Calibri" w:hAnsi="Montserrat" w:cs="Arial"/>
      <w:noProof/>
      <w:color w:val="000000" w:themeColor="text1"/>
      <w:sz w:val="26"/>
      <w:szCs w:val="26"/>
    </w:rPr>
  </w:style>
  <w:style w:type="paragraph" w:styleId="Heading4">
    <w:name w:val="heading 4"/>
    <w:basedOn w:val="Heading3"/>
    <w:next w:val="Normal"/>
    <w:link w:val="Heading4Char"/>
    <w:uiPriority w:val="9"/>
    <w:unhideWhenUsed/>
    <w:rsid w:val="009B59F0"/>
    <w:pPr>
      <w:keepNext/>
      <w:keepLines/>
      <w:spacing w:before="200" w:after="120"/>
      <w:outlineLvl w:val="3"/>
    </w:pPr>
    <w:rPr>
      <w:rFonts w:eastAsiaTheme="majorEastAsia" w:cstheme="majorBidi"/>
      <w:sz w:val="24"/>
      <w:szCs w:val="24"/>
    </w:rPr>
  </w:style>
  <w:style w:type="paragraph" w:styleId="Heading5">
    <w:name w:val="heading 5"/>
    <w:basedOn w:val="Heading4"/>
    <w:next w:val="Normal"/>
    <w:link w:val="Heading5Char"/>
    <w:uiPriority w:val="9"/>
    <w:unhideWhenUsed/>
    <w:rsid w:val="009B59F0"/>
    <w:pPr>
      <w:outlineLvl w:val="4"/>
    </w:pPr>
  </w:style>
  <w:style w:type="paragraph" w:styleId="Heading6">
    <w:name w:val="heading 6"/>
    <w:basedOn w:val="Heading4"/>
    <w:next w:val="Normal"/>
    <w:link w:val="Heading6Char"/>
    <w:uiPriority w:val="9"/>
    <w:unhideWhenUsed/>
    <w:rsid w:val="009B59F0"/>
    <w:pPr>
      <w:outlineLvl w:val="5"/>
    </w:pPr>
  </w:style>
  <w:style w:type="paragraph" w:styleId="Heading7">
    <w:name w:val="heading 7"/>
    <w:basedOn w:val="Heading6"/>
    <w:next w:val="Normal"/>
    <w:link w:val="Heading7Char"/>
    <w:uiPriority w:val="9"/>
    <w:unhideWhenUsed/>
    <w:rsid w:val="009B59F0"/>
    <w:pPr>
      <w:outlineLvl w:val="6"/>
    </w:pPr>
  </w:style>
  <w:style w:type="paragraph" w:styleId="Heading8">
    <w:name w:val="heading 8"/>
    <w:basedOn w:val="Heading7"/>
    <w:next w:val="Normal"/>
    <w:link w:val="Heading8Char"/>
    <w:uiPriority w:val="9"/>
    <w:unhideWhenUsed/>
    <w:rsid w:val="009B59F0"/>
    <w:pPr>
      <w:outlineLvl w:val="7"/>
    </w:pPr>
  </w:style>
  <w:style w:type="paragraph" w:styleId="Heading9">
    <w:name w:val="heading 9"/>
    <w:basedOn w:val="Heading8"/>
    <w:next w:val="Normal"/>
    <w:link w:val="Heading9Char"/>
    <w:uiPriority w:val="9"/>
    <w:unhideWhenUsed/>
    <w:rsid w:val="009B59F0"/>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7C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7CFC"/>
    <w:rPr>
      <w:rFonts w:ascii="Tahoma" w:hAnsi="Tahoma" w:cs="Tahoma"/>
      <w:sz w:val="16"/>
      <w:szCs w:val="16"/>
    </w:rPr>
  </w:style>
  <w:style w:type="paragraph" w:styleId="Header">
    <w:name w:val="header"/>
    <w:basedOn w:val="Normal"/>
    <w:link w:val="HeaderChar"/>
    <w:uiPriority w:val="99"/>
    <w:unhideWhenUsed/>
    <w:rsid w:val="00027C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7CFC"/>
  </w:style>
  <w:style w:type="paragraph" w:styleId="Footer">
    <w:name w:val="footer"/>
    <w:basedOn w:val="NoSpacing"/>
    <w:link w:val="FooterChar"/>
    <w:uiPriority w:val="99"/>
    <w:unhideWhenUsed/>
    <w:rsid w:val="00BB0440"/>
    <w:pPr>
      <w:spacing w:line="276" w:lineRule="auto"/>
      <w:ind w:right="3888"/>
    </w:pPr>
    <w:rPr>
      <w:rFonts w:ascii="Montserrat" w:hAnsi="Montserrat"/>
      <w:sz w:val="18"/>
      <w:szCs w:val="18"/>
    </w:rPr>
  </w:style>
  <w:style w:type="character" w:customStyle="1" w:styleId="FooterChar">
    <w:name w:val="Footer Char"/>
    <w:basedOn w:val="DefaultParagraphFont"/>
    <w:link w:val="Footer"/>
    <w:uiPriority w:val="99"/>
    <w:rsid w:val="00BB0440"/>
    <w:rPr>
      <w:rFonts w:ascii="Montserrat" w:eastAsia="Calibri" w:hAnsi="Montserrat" w:cs="Arial"/>
      <w:color w:val="000000" w:themeColor="text1"/>
      <w:sz w:val="18"/>
      <w:szCs w:val="18"/>
    </w:rPr>
  </w:style>
  <w:style w:type="character" w:customStyle="1" w:styleId="Heading1Char">
    <w:name w:val="Heading 1 Char"/>
    <w:basedOn w:val="DefaultParagraphFont"/>
    <w:link w:val="Heading1"/>
    <w:uiPriority w:val="9"/>
    <w:rsid w:val="00E258CF"/>
    <w:rPr>
      <w:rFonts w:ascii="Montserrat" w:eastAsia="Calibri" w:hAnsi="Montserrat" w:cs="Arial"/>
      <w:b/>
      <w:bCs/>
      <w:color w:val="000000" w:themeColor="text1"/>
      <w:sz w:val="30"/>
      <w:szCs w:val="30"/>
    </w:rPr>
  </w:style>
  <w:style w:type="character" w:customStyle="1" w:styleId="Heading2Char">
    <w:name w:val="Heading 2 Char"/>
    <w:basedOn w:val="DefaultParagraphFont"/>
    <w:link w:val="Heading2"/>
    <w:uiPriority w:val="9"/>
    <w:rsid w:val="009B48E1"/>
    <w:rPr>
      <w:rFonts w:ascii="Montserrat" w:eastAsia="Calibri" w:hAnsi="Montserrat" w:cs="Arial"/>
      <w:color w:val="000000" w:themeColor="text1"/>
      <w:sz w:val="28"/>
      <w:szCs w:val="28"/>
    </w:rPr>
  </w:style>
  <w:style w:type="character" w:customStyle="1" w:styleId="Heading3Char">
    <w:name w:val="Heading 3 Char"/>
    <w:basedOn w:val="DefaultParagraphFont"/>
    <w:link w:val="Heading3"/>
    <w:uiPriority w:val="9"/>
    <w:rsid w:val="009B59F0"/>
    <w:rPr>
      <w:rFonts w:ascii="Montserrat" w:eastAsia="Calibri" w:hAnsi="Montserrat" w:cs="Arial"/>
      <w:noProof/>
      <w:color w:val="000000" w:themeColor="text1"/>
      <w:sz w:val="26"/>
      <w:szCs w:val="26"/>
    </w:rPr>
  </w:style>
  <w:style w:type="paragraph" w:styleId="PlainText">
    <w:name w:val="Plain Text"/>
    <w:basedOn w:val="Normal"/>
    <w:link w:val="PlainTextChar"/>
    <w:uiPriority w:val="99"/>
    <w:unhideWhenUsed/>
    <w:rsid w:val="00FE4E3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E4E3C"/>
    <w:rPr>
      <w:rFonts w:ascii="Consolas" w:eastAsia="Calibri" w:hAnsi="Consolas" w:cs="Times New Roman"/>
      <w:sz w:val="21"/>
      <w:szCs w:val="21"/>
      <w:lang w:val="de-DE"/>
    </w:rPr>
  </w:style>
  <w:style w:type="paragraph" w:styleId="FootnoteText">
    <w:name w:val="footnote text"/>
    <w:basedOn w:val="Normal"/>
    <w:link w:val="FootnoteTextChar"/>
    <w:uiPriority w:val="99"/>
    <w:unhideWhenUsed/>
    <w:qFormat/>
    <w:rsid w:val="00FE4E3C"/>
    <w:pPr>
      <w:spacing w:after="0" w:line="240" w:lineRule="auto"/>
    </w:pPr>
    <w:rPr>
      <w:sz w:val="20"/>
      <w:szCs w:val="20"/>
    </w:rPr>
  </w:style>
  <w:style w:type="character" w:customStyle="1" w:styleId="FootnoteTextChar">
    <w:name w:val="Footnote Text Char"/>
    <w:basedOn w:val="DefaultParagraphFont"/>
    <w:link w:val="FootnoteText"/>
    <w:uiPriority w:val="99"/>
    <w:rsid w:val="00FE4E3C"/>
    <w:rPr>
      <w:rFonts w:ascii="Calibri" w:eastAsia="Calibri" w:hAnsi="Calibri" w:cs="Times New Roman"/>
      <w:sz w:val="20"/>
      <w:szCs w:val="20"/>
      <w:lang w:val="de-DE"/>
    </w:rPr>
  </w:style>
  <w:style w:type="character" w:styleId="FootnoteReference">
    <w:name w:val="footnote reference"/>
    <w:uiPriority w:val="99"/>
    <w:unhideWhenUsed/>
    <w:qFormat/>
    <w:rsid w:val="00FE4E3C"/>
    <w:rPr>
      <w:vertAlign w:val="superscript"/>
    </w:rPr>
  </w:style>
  <w:style w:type="character" w:customStyle="1" w:styleId="Heading5Char">
    <w:name w:val="Heading 5 Char"/>
    <w:basedOn w:val="DefaultParagraphFont"/>
    <w:link w:val="Heading5"/>
    <w:uiPriority w:val="9"/>
    <w:rsid w:val="009B59F0"/>
    <w:rPr>
      <w:rFonts w:ascii="Montserrat" w:hAnsi="Montserrat" w:eastAsiaTheme="majorEastAsia" w:cstheme="majorBidi"/>
      <w:noProof/>
      <w:color w:val="000000" w:themeColor="text1"/>
      <w:sz w:val="24"/>
      <w:szCs w:val="24"/>
    </w:rPr>
  </w:style>
  <w:style w:type="character" w:styleId="Hyperlink">
    <w:name w:val="Hyperlink"/>
    <w:uiPriority w:val="99"/>
    <w:unhideWhenUsed/>
    <w:rsid w:val="005F4C32"/>
    <w:rPr>
      <w:color w:val="225C8F" w:themeColor="accent3" w:themeShade="80"/>
      <w:u w:val="none"/>
    </w:rPr>
  </w:style>
  <w:style w:type="paragraph" w:styleId="Caption">
    <w:name w:val="caption"/>
    <w:basedOn w:val="Normal"/>
    <w:next w:val="Normal"/>
    <w:uiPriority w:val="35"/>
    <w:rsid w:val="009B59F0"/>
    <w:rPr>
      <w:rFonts w:ascii="Palatino LT Std" w:hAnsi="Palatino LT Std"/>
      <w:b/>
      <w:bCs/>
      <w:sz w:val="20"/>
      <w:szCs w:val="20"/>
    </w:rPr>
  </w:style>
  <w:style w:type="paragraph" w:customStyle="1" w:styleId="TOCHeading1">
    <w:name w:val="TOC Heading1"/>
    <w:basedOn w:val="Heading1"/>
    <w:next w:val="Normal"/>
    <w:uiPriority w:val="39"/>
    <w:semiHidden/>
    <w:unhideWhenUsed/>
    <w:qFormat/>
    <w:rsid w:val="00FE4E3C"/>
    <w:pPr>
      <w:outlineLvl w:val="9"/>
    </w:pPr>
  </w:style>
  <w:style w:type="character" w:styleId="EndnoteReference">
    <w:name w:val="endnote reference"/>
    <w:uiPriority w:val="99"/>
    <w:semiHidden/>
    <w:unhideWhenUsed/>
    <w:rsid w:val="00FE4E3C"/>
    <w:rPr>
      <w:vertAlign w:val="superscript"/>
    </w:rPr>
  </w:style>
  <w:style w:type="character" w:styleId="CommentReference">
    <w:name w:val="annotation reference"/>
    <w:uiPriority w:val="99"/>
    <w:semiHidden/>
    <w:unhideWhenUsed/>
    <w:rsid w:val="00FE4E3C"/>
    <w:rPr>
      <w:sz w:val="18"/>
      <w:szCs w:val="18"/>
    </w:rPr>
  </w:style>
  <w:style w:type="paragraph" w:styleId="CommentText">
    <w:name w:val="annotation text"/>
    <w:basedOn w:val="Normal"/>
    <w:link w:val="CommentTextChar"/>
    <w:uiPriority w:val="99"/>
    <w:unhideWhenUsed/>
    <w:rsid w:val="00FE4E3C"/>
    <w:pPr>
      <w:spacing w:line="240" w:lineRule="auto"/>
    </w:pPr>
  </w:style>
  <w:style w:type="character" w:customStyle="1" w:styleId="CommentTextChar">
    <w:name w:val="Comment Text Char"/>
    <w:basedOn w:val="DefaultParagraphFont"/>
    <w:link w:val="CommentText"/>
    <w:uiPriority w:val="99"/>
    <w:rsid w:val="00FE4E3C"/>
    <w:rPr>
      <w:rFonts w:ascii="Calibri" w:eastAsia="Calibri" w:hAnsi="Calibri" w:cs="Times New Roman"/>
      <w:sz w:val="24"/>
      <w:szCs w:val="24"/>
      <w:lang w:val="de-DE"/>
    </w:rPr>
  </w:style>
  <w:style w:type="paragraph" w:styleId="CommentSubject">
    <w:name w:val="annotation subject"/>
    <w:basedOn w:val="CommentText"/>
    <w:next w:val="CommentText"/>
    <w:link w:val="CommentSubjectChar"/>
    <w:uiPriority w:val="99"/>
    <w:semiHidden/>
    <w:unhideWhenUsed/>
    <w:rsid w:val="00FE4E3C"/>
    <w:rPr>
      <w:b/>
      <w:bCs/>
      <w:sz w:val="20"/>
      <w:szCs w:val="20"/>
    </w:rPr>
  </w:style>
  <w:style w:type="character" w:customStyle="1" w:styleId="CommentSubjectChar">
    <w:name w:val="Comment Subject Char"/>
    <w:basedOn w:val="CommentTextChar"/>
    <w:link w:val="CommentSubject"/>
    <w:uiPriority w:val="99"/>
    <w:semiHidden/>
    <w:rsid w:val="00FE4E3C"/>
    <w:rPr>
      <w:rFonts w:ascii="Calibri" w:eastAsia="Calibri" w:hAnsi="Calibri" w:cs="Times New Roman"/>
      <w:b/>
      <w:bCs/>
      <w:sz w:val="20"/>
      <w:szCs w:val="20"/>
      <w:lang w:val="de-DE"/>
    </w:rPr>
  </w:style>
  <w:style w:type="paragraph" w:customStyle="1" w:styleId="FarbigeSchattierung-Akzent11">
    <w:name w:val="Farbige Schattierung - Akzent 11"/>
    <w:hidden/>
    <w:uiPriority w:val="99"/>
    <w:semiHidden/>
    <w:rsid w:val="00FE4E3C"/>
    <w:pPr>
      <w:spacing w:after="0" w:line="240" w:lineRule="auto"/>
    </w:pPr>
    <w:rPr>
      <w:rFonts w:ascii="Calibri" w:eastAsia="Calibri" w:hAnsi="Calibri" w:cs="Times New Roman"/>
      <w:lang w:val="de-DE"/>
    </w:rPr>
  </w:style>
  <w:style w:type="paragraph" w:styleId="Bibliography">
    <w:name w:val="Bibliography"/>
    <w:basedOn w:val="Normal"/>
    <w:next w:val="Normal"/>
    <w:uiPriority w:val="70"/>
    <w:rsid w:val="00FE4E3C"/>
    <w:pPr>
      <w:spacing w:after="0" w:line="240" w:lineRule="auto"/>
      <w:ind w:left="720" w:hanging="720"/>
    </w:pPr>
  </w:style>
  <w:style w:type="paragraph" w:styleId="Revision">
    <w:name w:val="Revision"/>
    <w:hidden/>
    <w:uiPriority w:val="71"/>
    <w:rsid w:val="00FE4E3C"/>
    <w:pPr>
      <w:spacing w:after="0" w:line="240" w:lineRule="auto"/>
    </w:pPr>
    <w:rPr>
      <w:rFonts w:ascii="Calibri" w:eastAsia="Calibri" w:hAnsi="Calibri" w:cs="Times New Roman"/>
      <w:lang w:val="de-DE"/>
    </w:rPr>
  </w:style>
  <w:style w:type="paragraph" w:styleId="EndnoteText">
    <w:name w:val="endnote text"/>
    <w:basedOn w:val="Normal"/>
    <w:link w:val="EndnoteTextChar"/>
    <w:uiPriority w:val="99"/>
    <w:unhideWhenUsed/>
    <w:rsid w:val="00FE4E3C"/>
    <w:pPr>
      <w:spacing w:after="0" w:line="240" w:lineRule="auto"/>
    </w:pPr>
    <w:rPr>
      <w:sz w:val="20"/>
      <w:szCs w:val="20"/>
    </w:rPr>
  </w:style>
  <w:style w:type="character" w:customStyle="1" w:styleId="EndnoteTextChar">
    <w:name w:val="Endnote Text Char"/>
    <w:basedOn w:val="DefaultParagraphFont"/>
    <w:link w:val="EndnoteText"/>
    <w:uiPriority w:val="99"/>
    <w:rsid w:val="00FE4E3C"/>
    <w:rPr>
      <w:rFonts w:ascii="Calibri" w:eastAsia="Calibri" w:hAnsi="Calibri" w:cs="Times New Roman"/>
      <w:sz w:val="20"/>
      <w:szCs w:val="20"/>
      <w:lang w:val="de-DE"/>
    </w:rPr>
  </w:style>
  <w:style w:type="character" w:customStyle="1" w:styleId="Heading6Char">
    <w:name w:val="Heading 6 Char"/>
    <w:basedOn w:val="DefaultParagraphFont"/>
    <w:link w:val="Heading6"/>
    <w:uiPriority w:val="9"/>
    <w:rsid w:val="009B59F0"/>
    <w:rPr>
      <w:rFonts w:ascii="Montserrat" w:hAnsi="Montserrat" w:eastAsiaTheme="majorEastAsia" w:cstheme="majorBidi"/>
      <w:noProof/>
      <w:color w:val="000000" w:themeColor="text1"/>
      <w:sz w:val="24"/>
      <w:szCs w:val="24"/>
    </w:rPr>
  </w:style>
  <w:style w:type="character" w:customStyle="1" w:styleId="Heading7Char">
    <w:name w:val="Heading 7 Char"/>
    <w:basedOn w:val="DefaultParagraphFont"/>
    <w:link w:val="Heading7"/>
    <w:uiPriority w:val="9"/>
    <w:rsid w:val="009B59F0"/>
    <w:rPr>
      <w:rFonts w:ascii="Montserrat" w:hAnsi="Montserrat" w:eastAsiaTheme="majorEastAsia" w:cstheme="majorBidi"/>
      <w:noProof/>
      <w:color w:val="000000" w:themeColor="text1"/>
      <w:sz w:val="24"/>
      <w:szCs w:val="24"/>
    </w:rPr>
  </w:style>
  <w:style w:type="character" w:customStyle="1" w:styleId="Heading8Char">
    <w:name w:val="Heading 8 Char"/>
    <w:basedOn w:val="DefaultParagraphFont"/>
    <w:link w:val="Heading8"/>
    <w:uiPriority w:val="9"/>
    <w:rsid w:val="009B59F0"/>
    <w:rPr>
      <w:rFonts w:ascii="Montserrat" w:hAnsi="Montserrat" w:eastAsiaTheme="majorEastAsia" w:cstheme="majorBidi"/>
      <w:noProof/>
      <w:color w:val="000000" w:themeColor="text1"/>
      <w:sz w:val="24"/>
      <w:szCs w:val="24"/>
    </w:rPr>
  </w:style>
  <w:style w:type="character" w:customStyle="1" w:styleId="Heading9Char">
    <w:name w:val="Heading 9 Char"/>
    <w:basedOn w:val="DefaultParagraphFont"/>
    <w:link w:val="Heading9"/>
    <w:uiPriority w:val="9"/>
    <w:rsid w:val="009B59F0"/>
    <w:rPr>
      <w:rFonts w:ascii="Montserrat" w:hAnsi="Montserrat" w:eastAsiaTheme="majorEastAsia" w:cstheme="majorBidi"/>
      <w:noProof/>
      <w:color w:val="000000" w:themeColor="text1"/>
      <w:sz w:val="24"/>
      <w:szCs w:val="24"/>
    </w:rPr>
  </w:style>
  <w:style w:type="paragraph" w:customStyle="1" w:styleId="figurelabel">
    <w:name w:val="figure label"/>
    <w:basedOn w:val="Normal"/>
    <w:link w:val="figurelabelChar"/>
    <w:qFormat/>
    <w:rsid w:val="000E7391"/>
    <w:rPr>
      <w:sz w:val="20"/>
    </w:rPr>
  </w:style>
  <w:style w:type="character" w:customStyle="1" w:styleId="figurelabelChar">
    <w:name w:val="figure label Char"/>
    <w:basedOn w:val="DefaultParagraphFont"/>
    <w:link w:val="figurelabel"/>
    <w:rsid w:val="000E7391"/>
    <w:rPr>
      <w:rFonts w:ascii="Palatino LT Std Light" w:eastAsia="Calibri" w:hAnsi="Palatino LT Std Light" w:cs="Arial"/>
      <w:color w:val="000000" w:themeColor="text1"/>
      <w:sz w:val="20"/>
      <w:szCs w:val="24"/>
    </w:rPr>
  </w:style>
  <w:style w:type="paragraph" w:styleId="NoSpacing">
    <w:name w:val="No Spacing"/>
    <w:uiPriority w:val="1"/>
    <w:rsid w:val="000E7391"/>
    <w:pPr>
      <w:spacing w:after="0" w:line="240" w:lineRule="auto"/>
    </w:pPr>
    <w:rPr>
      <w:rFonts w:ascii="Palatino LT Std Light" w:eastAsia="Calibri" w:hAnsi="Palatino LT Std Light" w:cs="Arial"/>
      <w:color w:val="000000" w:themeColor="text1"/>
      <w:sz w:val="24"/>
      <w:szCs w:val="24"/>
    </w:rPr>
  </w:style>
  <w:style w:type="character" w:customStyle="1" w:styleId="Heading4Char">
    <w:name w:val="Heading 4 Char"/>
    <w:basedOn w:val="DefaultParagraphFont"/>
    <w:link w:val="Heading4"/>
    <w:uiPriority w:val="9"/>
    <w:rsid w:val="009B59F0"/>
    <w:rPr>
      <w:rFonts w:ascii="Montserrat" w:hAnsi="Montserrat" w:eastAsiaTheme="majorEastAsia" w:cstheme="majorBidi"/>
      <w:noProof/>
      <w:color w:val="000000" w:themeColor="text1"/>
      <w:sz w:val="24"/>
      <w:szCs w:val="24"/>
    </w:rPr>
  </w:style>
  <w:style w:type="paragraph" w:customStyle="1" w:styleId="Covertitle">
    <w:name w:val="Cover title"/>
    <w:basedOn w:val="Heading1"/>
    <w:rsid w:val="00F13C66"/>
    <w:pPr>
      <w:spacing w:after="0"/>
    </w:pPr>
    <w:rPr>
      <w:color w:val="099981"/>
      <w:sz w:val="72"/>
    </w:rPr>
  </w:style>
  <w:style w:type="character" w:styleId="FollowedHyperlink">
    <w:name w:val="FollowedHyperlink"/>
    <w:basedOn w:val="DefaultParagraphFont"/>
    <w:uiPriority w:val="99"/>
    <w:semiHidden/>
    <w:unhideWhenUsed/>
    <w:rsid w:val="005F4C32"/>
    <w:rPr>
      <w:color w:val="225C8F" w:themeColor="accent3" w:themeShade="80"/>
      <w:u w:val="none"/>
    </w:rPr>
  </w:style>
  <w:style w:type="paragraph" w:customStyle="1" w:styleId="Byline">
    <w:name w:val="Byline"/>
    <w:next w:val="Normal"/>
    <w:qFormat/>
    <w:rsid w:val="0066512E"/>
    <w:pPr>
      <w:tabs>
        <w:tab w:val="left" w:pos="7630"/>
      </w:tabs>
      <w:spacing w:before="120" w:after="600" w:line="320" w:lineRule="exact"/>
    </w:pPr>
    <w:rPr>
      <w:rFonts w:ascii="Montserrat" w:eastAsia="Calibri" w:hAnsi="Montserrat" w:cs="Arial"/>
      <w:color w:val="000000" w:themeColor="text1"/>
    </w:rPr>
  </w:style>
  <w:style w:type="paragraph" w:customStyle="1" w:styleId="Briefingtitle">
    <w:name w:val="Briefing title"/>
    <w:qFormat/>
    <w:rsid w:val="0066512E"/>
    <w:pPr>
      <w:spacing w:before="720" w:after="0" w:line="216" w:lineRule="auto"/>
    </w:pPr>
    <w:rPr>
      <w:rFonts w:ascii="Montserrat" w:eastAsia="Calibri" w:hAnsi="Montserrat" w:cs="Arial"/>
      <w:b/>
      <w:bCs/>
      <w:color w:val="000000" w:themeColor="text1"/>
      <w:sz w:val="48"/>
      <w:szCs w:val="48"/>
    </w:rPr>
  </w:style>
  <w:style w:type="paragraph" w:customStyle="1" w:styleId="Bulletparagraph">
    <w:name w:val="Bullet paragraph"/>
    <w:basedOn w:val="Normal"/>
    <w:qFormat/>
    <w:rsid w:val="00BB0440"/>
    <w:pPr>
      <w:numPr>
        <w:numId w:val="14"/>
      </w:numPr>
    </w:pPr>
  </w:style>
  <w:style w:type="paragraph" w:customStyle="1" w:styleId="Numberedlistmanual">
    <w:name w:val="Numbered list (manual)"/>
    <w:basedOn w:val="Normal"/>
    <w:qFormat/>
    <w:rsid w:val="00A21007"/>
    <w:pPr>
      <w:ind w:left="567" w:hanging="567"/>
    </w:pPr>
  </w:style>
  <w:style w:type="paragraph" w:customStyle="1" w:styleId="Numberedlistauto">
    <w:name w:val="Numbered list (auto)"/>
    <w:basedOn w:val="Normal"/>
    <w:qFormat/>
    <w:rsid w:val="00BB0440"/>
    <w:pPr>
      <w:numPr>
        <w:numId w:val="1"/>
      </w:numPr>
    </w:pPr>
  </w:style>
  <w:style w:type="paragraph" w:styleId="ListParagraph">
    <w:name w:val="List Paragraph"/>
    <w:basedOn w:val="Normal"/>
    <w:uiPriority w:val="34"/>
    <w:rsid w:val="00933086"/>
    <w:pPr>
      <w:ind w:left="720"/>
      <w:contextualSpacing/>
    </w:pPr>
  </w:style>
  <w:style w:type="table" w:styleId="TableGrid">
    <w:name w:val="Table Grid"/>
    <w:basedOn w:val="TableNormal"/>
    <w:uiPriority w:val="59"/>
    <w:rsid w:val="00666E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A29FA"/>
    <w:rPr>
      <w:color w:val="605E5C"/>
      <w:shd w:val="clear" w:color="auto" w:fill="E1DFDD"/>
    </w:rPr>
  </w:style>
  <w:style w:type="character" w:styleId="Emphasis">
    <w:name w:val="Emphasis"/>
    <w:basedOn w:val="DefaultParagraphFont"/>
    <w:uiPriority w:val="20"/>
    <w:qFormat/>
    <w:rsid w:val="00A80AB0"/>
    <w:rPr>
      <w:i/>
      <w:iCs/>
    </w:rPr>
  </w:style>
  <w:style w:type="character" w:customStyle="1" w:styleId="pull-single">
    <w:name w:val="pull-single"/>
    <w:basedOn w:val="DefaultParagraphFont"/>
    <w:rsid w:val="00A80AB0"/>
  </w:style>
  <w:style w:type="character" w:customStyle="1" w:styleId="Mention1">
    <w:name w:val="Mention1"/>
    <w:basedOn w:val="DefaultParagraphFont"/>
    <w:uiPriority w:val="99"/>
    <w:unhideWhenUsed/>
    <w:rsid w:val="00B22192"/>
    <w:rPr>
      <w:color w:val="2B579A"/>
      <w:shd w:val="clear" w:color="auto" w:fill="E1DFDD"/>
    </w:rPr>
  </w:style>
  <w:style w:type="character" w:customStyle="1" w:styleId="UnresolvedMention">
    <w:name w:val="Unresolved Mention"/>
    <w:basedOn w:val="DefaultParagraphFont"/>
    <w:uiPriority w:val="99"/>
    <w:rsid w:val="000077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header" Target="header2.xml" /><Relationship Id="rId13" Type="http://schemas.openxmlformats.org/officeDocument/2006/relationships/footer" Target="footer2.xml" /><Relationship Id="rId14" Type="http://schemas.openxmlformats.org/officeDocument/2006/relationships/chart" Target="charts/chart1.xml" /><Relationship Id="rId15" Type="http://schemas.openxmlformats.org/officeDocument/2006/relationships/chart" Target="charts/chart2.xml" /><Relationship Id="rId16" Type="http://schemas.openxmlformats.org/officeDocument/2006/relationships/chart" Target="charts/chart3.xml" /><Relationship Id="rId17" Type="http://schemas.openxmlformats.org/officeDocument/2006/relationships/image" Target="media/image2.png" /><Relationship Id="rId18" Type="http://schemas.openxmlformats.org/officeDocument/2006/relationships/image" Target="media/image3.png" /><Relationship Id="rId19" Type="http://schemas.openxmlformats.org/officeDocument/2006/relationships/chart" Target="charts/chart4.xml" /><Relationship Id="rId2" Type="http://schemas.openxmlformats.org/officeDocument/2006/relationships/settings" Target="settings.xml" /><Relationship Id="rId20" Type="http://schemas.openxmlformats.org/officeDocument/2006/relationships/chart" Target="charts/chart5.xml" /><Relationship Id="rId21" Type="http://schemas.openxmlformats.org/officeDocument/2006/relationships/chart" Target="charts/chart6.xml" /><Relationship Id="rId22" Type="http://schemas.openxmlformats.org/officeDocument/2006/relationships/header" Target="header3.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image" Target="media/image1.png" /></Relationships>
</file>

<file path=word/charts/_rels/chart1.xml.rels>&#65279;<?xml version="1.0" encoding="utf-8" standalone="yes"?><Relationships xmlns="http://schemas.openxmlformats.org/package/2006/relationships"><Relationship Id="rId1" Type="http://schemas.openxmlformats.org/officeDocument/2006/relationships/oleObject" Target="file:///C:\Users\Alex\Dropbox\Other%20NEF\Aviation\1.%20domestic%20tourism\2026%20committee%20submission\New%20spend%20data.xlsx" TargetMode="External" /></Relationships>
</file>

<file path=word/charts/_rels/chart2.xml.rels>&#65279;<?xml version="1.0" encoding="utf-8" standalone="yes"?><Relationships xmlns="http://schemas.openxmlformats.org/package/2006/relationships"><Relationship Id="rId1" Type="http://schemas.openxmlformats.org/officeDocument/2006/relationships/oleObject" Target="file:///C:\Users\Alex\Dropbox\Other%20NEF\Aviation\1.%20domestic%20tourism\2026%20committee%20submission\MAIN%20committee%20regional%20analysis_v2.xlsx" TargetMode="External" /></Relationships>
</file>

<file path=word/charts/_rels/chart3.xml.rels>&#65279;<?xml version="1.0" encoding="utf-8" standalone="yes"?><Relationships xmlns="http://schemas.openxmlformats.org/package/2006/relationships"><Relationship Id="rId1" Type="http://schemas.openxmlformats.org/officeDocument/2006/relationships/oleObject" Target="file:///C:\Users\Alex\Dropbox\Other%20NEF\Aviation\1.%20domestic%20tourism\2026%20committee%20submission\MAIN%20committee%20regional%20analysis_v2.xlsx" TargetMode="External" /></Relationships>
</file>

<file path=word/charts/_rels/chart4.xml.rels>&#65279;<?xml version="1.0" encoding="utf-8" standalone="yes"?><Relationships xmlns="http://schemas.openxmlformats.org/package/2006/relationships"><Relationship Id="rId1" Type="http://schemas.openxmlformats.org/officeDocument/2006/relationships/oleObject" Target="file:///C:\Users\Alex\Dropbox\Other%20NEF\Aviation\1.%20domestic%20tourism\2026%20committee%20submission\Overseas%20tourism%20spend%20an%20hospitality%20spend%20latest.xlsx" TargetMode="External" /></Relationships>
</file>

<file path=word/charts/_rels/chart5.xml.rels>&#65279;<?xml version="1.0" encoding="utf-8" standalone="yes"?><Relationships xmlns="http://schemas.openxmlformats.org/package/2006/relationships"><Relationship Id="rId1" Type="http://schemas.openxmlformats.org/officeDocument/2006/relationships/oleObject" Target="file:///C:\Users\Alex\Downloads\GBTS,%20Domestic%20overnight%20trips%202022%20to%20Q3%202025,%20Pivot(1).xlsx" TargetMode="External" /></Relationships>
</file>

<file path=word/charts/_rels/chart6.xml.rels>&#65279;<?xml version="1.0" encoding="utf-8" standalone="yes"?><Relationships xmlns="http://schemas.openxmlformats.org/package/2006/relationships"><Relationship Id="rId1" Type="http://schemas.openxmlformats.org/officeDocument/2006/relationships/oleObject" Target="file:///C:\Users\Alex\AppData\Local\Microsoft\Windows\INetCache\Content.Outlook\MZC70AVF\tourism_mode_share_2010_2024.xlsx" TargetMode="External"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Sheet1!$D$9</c:f>
              <c:strCache>
                <c:ptCount val="1"/>
                <c:pt idx="0">
                  <c:v>Overnight tourism spend per capita</c:v>
                </c:pt>
              </c:strCache>
            </c:strRef>
          </c:tx>
          <c:spPr>
            <a:ln w="28575" cap="rnd">
              <a:solidFill>
                <a:schemeClr val="accent1"/>
              </a:solidFill>
              <a:round/>
            </a:ln>
            <a:effectLst/>
          </c:spPr>
          <c:marker>
            <c:symbol val="none"/>
          </c:marker>
          <c:cat>
            <c:numRef>
              <c:f>Sheet1!$E$8:$W$8</c:f>
              <c:numCache>
                <c:formatCode>General</c:formatCode>
                <c:ptCount val="19"/>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pt idx="16">
                  <c:v>2022</c:v>
                </c:pt>
                <c:pt idx="17">
                  <c:v>2023</c:v>
                </c:pt>
                <c:pt idx="18">
                  <c:v>2024</c:v>
                </c:pt>
              </c:numCache>
            </c:numRef>
          </c:cat>
          <c:val>
            <c:numRef>
              <c:f>Sheet1!$E$9:$W$9</c:f>
              <c:numCache>
                <c:formatCode>"£"#,##0</c:formatCode>
                <c:ptCount val="19"/>
                <c:pt idx="0">
                  <c:v>575.08522494636304</c:v>
                </c:pt>
                <c:pt idx="1">
                  <c:v>562.628839394593</c:v>
                </c:pt>
                <c:pt idx="2">
                  <c:v>539.49393446909062</c:v>
                </c:pt>
                <c:pt idx="3">
                  <c:v>541.34880990167665</c:v>
                </c:pt>
                <c:pt idx="4">
                  <c:v>488.89859720900063</c:v>
                </c:pt>
                <c:pt idx="5">
                  <c:v>532.71743313537479</c:v>
                </c:pt>
                <c:pt idx="6">
                  <c:v>545.02606408770953</c:v>
                </c:pt>
                <c:pt idx="7">
                  <c:v>515.66930996332155</c:v>
                </c:pt>
                <c:pt idx="8">
                  <c:v>496.10045686987979</c:v>
                </c:pt>
                <c:pt idx="9">
                  <c:v>537.78298317027679</c:v>
                </c:pt>
                <c:pt idx="10">
                  <c:v>492.73706348520813</c:v>
                </c:pt>
                <c:pt idx="11">
                  <c:v>489.75735860987277</c:v>
                </c:pt>
                <c:pt idx="12">
                  <c:v>481.16045082461505</c:v>
                </c:pt>
                <c:pt idx="13">
                  <c:v>483.83457795217447</c:v>
                </c:pt>
              </c:numCache>
            </c:numRef>
          </c:val>
          <c:smooth val="0"/>
          <c:extLst>
            <c:ext xmlns:c16="http://schemas.microsoft.com/office/drawing/2014/chart" uri="{C3380CC4-5D6E-409C-BE32-E72D297353CC}">
              <c16:uniqueId val="{00000000-F989-4213-B6EF-DE1F15651671}"/>
            </c:ext>
          </c:extLst>
        </c:ser>
        <c:ser>
          <c:idx val="1"/>
          <c:order val="1"/>
          <c:tx>
            <c:strRef>
              <c:f>Sheet1!$D$10</c:f>
              <c:strCache>
                <c:ptCount val="1"/>
                <c:pt idx="0">
                  <c:v>Overnight tourism spend per capita (new method)</c:v>
                </c:pt>
              </c:strCache>
            </c:strRef>
          </c:tx>
          <c:spPr>
            <a:ln w="28575" cap="rnd">
              <a:solidFill>
                <a:schemeClr val="accent1">
                  <a:lumMod val="75000"/>
                </a:schemeClr>
              </a:solidFill>
              <a:prstDash val="dash"/>
              <a:round/>
            </a:ln>
            <a:effectLst/>
          </c:spPr>
          <c:marker>
            <c:symbol val="none"/>
          </c:marker>
          <c:cat>
            <c:numRef>
              <c:f>Sheet1!$E$8:$W$8</c:f>
              <c:numCache>
                <c:formatCode>General</c:formatCode>
                <c:ptCount val="19"/>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pt idx="16">
                  <c:v>2022</c:v>
                </c:pt>
                <c:pt idx="17">
                  <c:v>2023</c:v>
                </c:pt>
                <c:pt idx="18">
                  <c:v>2024</c:v>
                </c:pt>
              </c:numCache>
            </c:numRef>
          </c:cat>
          <c:val>
            <c:numRef>
              <c:f>Sheet1!$E$10:$W$10</c:f>
              <c:numCache>
                <c:formatCode>General</c:formatCode>
                <c:ptCount val="19"/>
                <c:pt idx="16" formatCode="&quot;£&quot;#,##0">
                  <c:v>548.11986622992572</c:v>
                </c:pt>
                <c:pt idx="17" formatCode="&quot;£&quot;#,##0">
                  <c:v>488.27800410015584</c:v>
                </c:pt>
                <c:pt idx="18" formatCode="&quot;£&quot;#,##0">
                  <c:v>500.47068910270286</c:v>
                </c:pt>
              </c:numCache>
            </c:numRef>
          </c:val>
          <c:smooth val="0"/>
          <c:extLst>
            <c:ext xmlns:c16="http://schemas.microsoft.com/office/drawing/2014/chart" uri="{C3380CC4-5D6E-409C-BE32-E72D297353CC}">
              <c16:uniqueId val="{00000001-F989-4213-B6EF-DE1F15651671}"/>
            </c:ext>
          </c:extLst>
        </c:ser>
        <c:dLbls>
          <c:showLegendKey val="0"/>
          <c:showVal val="0"/>
          <c:showCatName val="0"/>
          <c:showSerName val="0"/>
          <c:showPercent val="0"/>
          <c:showBubbleSize val="0"/>
        </c:dLbls>
        <c:marker val="1"/>
        <c:smooth val="0"/>
        <c:axId val="1407772752"/>
        <c:axId val="1407771312"/>
      </c:lineChart>
      <c:lineChart>
        <c:grouping val="standard"/>
        <c:varyColors val="0"/>
        <c:ser>
          <c:idx val="2"/>
          <c:order val="2"/>
          <c:tx>
            <c:strRef>
              <c:f>Sheet1!$D$11</c:f>
              <c:strCache>
                <c:ptCount val="1"/>
                <c:pt idx="0">
                  <c:v>GDP per capita</c:v>
                </c:pt>
              </c:strCache>
            </c:strRef>
          </c:tx>
          <c:spPr>
            <a:ln w="28575" cap="rnd">
              <a:solidFill>
                <a:schemeClr val="accent3"/>
              </a:solidFill>
              <a:round/>
            </a:ln>
            <a:effectLst/>
          </c:spPr>
          <c:marker>
            <c:symbol val="none"/>
          </c:marker>
          <c:cat>
            <c:numRef>
              <c:f>Sheet1!$E$8:$W$8</c:f>
              <c:numCache>
                <c:formatCode>General</c:formatCode>
                <c:ptCount val="19"/>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pt idx="16">
                  <c:v>2022</c:v>
                </c:pt>
                <c:pt idx="17">
                  <c:v>2023</c:v>
                </c:pt>
                <c:pt idx="18">
                  <c:v>2024</c:v>
                </c:pt>
              </c:numCache>
            </c:numRef>
          </c:cat>
          <c:val>
            <c:numRef>
              <c:f>Sheet1!$E$11:$W$11</c:f>
              <c:numCache>
                <c:formatCode>"£"#,##0</c:formatCode>
                <c:ptCount val="19"/>
                <c:pt idx="0">
                  <c:v>36850</c:v>
                </c:pt>
                <c:pt idx="1">
                  <c:v>37625</c:v>
                </c:pt>
                <c:pt idx="2">
                  <c:v>37300</c:v>
                </c:pt>
                <c:pt idx="3">
                  <c:v>35339</c:v>
                </c:pt>
                <c:pt idx="4">
                  <c:v>35850</c:v>
                </c:pt>
                <c:pt idx="5">
                  <c:v>35856</c:v>
                </c:pt>
                <c:pt idx="6">
                  <c:v>36160</c:v>
                </c:pt>
                <c:pt idx="7">
                  <c:v>36537</c:v>
                </c:pt>
                <c:pt idx="8">
                  <c:v>37411</c:v>
                </c:pt>
                <c:pt idx="9">
                  <c:v>37937</c:v>
                </c:pt>
                <c:pt idx="10">
                  <c:v>38467</c:v>
                </c:pt>
                <c:pt idx="11">
                  <c:v>39415</c:v>
                </c:pt>
                <c:pt idx="12">
                  <c:v>39831</c:v>
                </c:pt>
                <c:pt idx="13">
                  <c:v>40125</c:v>
                </c:pt>
                <c:pt idx="16">
                  <c:v>40581</c:v>
                </c:pt>
                <c:pt idx="17">
                  <c:v>40162</c:v>
                </c:pt>
                <c:pt idx="18">
                  <c:v>40157</c:v>
                </c:pt>
              </c:numCache>
            </c:numRef>
          </c:val>
          <c:smooth val="0"/>
          <c:extLst>
            <c:ext xmlns:c16="http://schemas.microsoft.com/office/drawing/2014/chart" uri="{C3380CC4-5D6E-409C-BE32-E72D297353CC}">
              <c16:uniqueId val="{00000002-F989-4213-B6EF-DE1F15651671}"/>
            </c:ext>
          </c:extLst>
        </c:ser>
        <c:dLbls>
          <c:showLegendKey val="0"/>
          <c:showVal val="0"/>
          <c:showCatName val="0"/>
          <c:showSerName val="0"/>
          <c:showPercent val="0"/>
          <c:showBubbleSize val="0"/>
        </c:dLbls>
        <c:marker val="1"/>
        <c:smooth val="0"/>
        <c:axId val="1533785792"/>
        <c:axId val="1533790592"/>
      </c:lineChart>
      <c:catAx>
        <c:axId val="140777275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ontserrat" panose="00000500000000000000" pitchFamily="2" charset="0"/>
                <a:ea typeface="+mn-ea"/>
                <a:cs typeface="+mn-cs"/>
              </a:defRPr>
            </a:pPr>
            <a:endParaRPr lang="en-US"/>
          </a:p>
        </c:txPr>
        <c:crossAx val="1407771312"/>
        <c:crosses val="autoZero"/>
        <c:auto val="1"/>
        <c:lblAlgn val="ctr"/>
        <c:lblOffset val="100"/>
        <c:noMultiLvlLbl val="0"/>
      </c:catAx>
      <c:valAx>
        <c:axId val="1407771312"/>
        <c:scaling>
          <c:orientation val="minMax"/>
          <c:min val="400"/>
        </c:scaling>
        <c:delete val="0"/>
        <c:axPos val="l"/>
        <c:majorGridlines>
          <c:spPr>
            <a:ln w="9525" cap="flat" cmpd="sng" algn="ctr">
              <a:solidFill>
                <a:schemeClr val="tx1">
                  <a:lumMod val="15000"/>
                  <a:lumOff val="85000"/>
                </a:schemeClr>
              </a:solidFill>
              <a:prstDash val="dash"/>
              <a:round/>
            </a:ln>
            <a:effectLst/>
          </c:spPr>
        </c:majorGridlines>
        <c:numFmt formatCode="&quot;£&quot;#,##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ontserrat" panose="00000500000000000000" pitchFamily="2" charset="0"/>
                <a:ea typeface="+mn-ea"/>
                <a:cs typeface="+mn-cs"/>
              </a:defRPr>
            </a:pPr>
            <a:endParaRPr lang="en-US"/>
          </a:p>
        </c:txPr>
        <c:crossAx val="1407772752"/>
        <c:crosses val="autoZero"/>
        <c:crossBetween val="between"/>
        <c:majorUnit val="40"/>
      </c:valAx>
      <c:valAx>
        <c:axId val="1533790592"/>
        <c:scaling>
          <c:orientation val="minMax"/>
          <c:min val="20000"/>
        </c:scaling>
        <c:delete val="0"/>
        <c:axPos val="r"/>
        <c:numFmt formatCode="&quot;£&quot;#,##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ontserrat" panose="00000500000000000000" pitchFamily="2" charset="0"/>
                <a:ea typeface="+mn-ea"/>
                <a:cs typeface="+mn-cs"/>
              </a:defRPr>
            </a:pPr>
            <a:endParaRPr lang="en-US"/>
          </a:p>
        </c:txPr>
        <c:crossAx val="1533785792"/>
        <c:crosses val="max"/>
        <c:crossBetween val="between"/>
      </c:valAx>
      <c:catAx>
        <c:axId val="1533785792"/>
        <c:scaling>
          <c:orientation val="minMax"/>
        </c:scaling>
        <c:delete val="1"/>
        <c:axPos val="b"/>
        <c:numFmt formatCode="General" sourceLinked="1"/>
        <c:majorTickMark val="out"/>
        <c:minorTickMark val="none"/>
        <c:tickLblPos val="nextTo"/>
        <c:crossAx val="153379059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ontserrat" panose="00000500000000000000" pitchFamily="2" charset="0"/>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latin typeface="Montserrat" panose="00000500000000000000" pitchFamily="2"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ontserrat" panose="00000500000000000000" pitchFamily="2" charset="0"/>
                <a:ea typeface="+mn-ea"/>
                <a:cs typeface="+mn-cs"/>
              </a:defRPr>
            </a:pPr>
            <a:r>
              <a:rPr lang="en-GB" b="1"/>
              <a:t>Spend</a:t>
            </a:r>
          </a:p>
        </c:rich>
      </c:tx>
      <c:overlay val="0"/>
      <c:spPr>
        <a:noFill/>
        <a:ln>
          <a:noFill/>
        </a:ln>
        <a:effectLst/>
      </c:spPr>
    </c:title>
    <c:autoTitleDeleted val="0"/>
    <c:plotArea>
      <c:layout/>
      <c:lineChart>
        <c:grouping val="standard"/>
        <c:varyColors val="0"/>
        <c:ser>
          <c:idx val="0"/>
          <c:order val="0"/>
          <c:tx>
            <c:strRef>
              <c:f>ANALYSIS!$X$37</c:f>
              <c:strCache>
                <c:ptCount val="1"/>
                <c:pt idx="0">
                  <c:v>London</c:v>
                </c:pt>
              </c:strCache>
            </c:strRef>
          </c:tx>
          <c:spPr>
            <a:ln w="28575" cap="rnd">
              <a:solidFill>
                <a:schemeClr val="accent1"/>
              </a:solidFill>
              <a:round/>
            </a:ln>
            <a:effectLst/>
          </c:spPr>
          <c:marker>
            <c:symbol val="none"/>
          </c:marker>
          <c:cat>
            <c:numRef>
              <c:f>ANALYSIS!$Y$36:$AI$36</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ANALYSIS!$Y$37:$AI$37</c:f>
              <c:numCache>
                <c:formatCode>0%</c:formatCode>
                <c:ptCount val="11"/>
                <c:pt idx="0">
                  <c:v>8.7972750763448432E-2</c:v>
                </c:pt>
                <c:pt idx="1">
                  <c:v>8.5882063668031777E-2</c:v>
                </c:pt>
                <c:pt idx="2">
                  <c:v>8.3791376572615123E-2</c:v>
                </c:pt>
                <c:pt idx="3">
                  <c:v>8.4025765655746626E-2</c:v>
                </c:pt>
                <c:pt idx="4">
                  <c:v>8.4260154738878143E-2</c:v>
                </c:pt>
                <c:pt idx="7">
                  <c:v>0.13780554519388696</c:v>
                </c:pt>
                <c:pt idx="8">
                  <c:v>0.14384179055766277</c:v>
                </c:pt>
                <c:pt idx="9">
                  <c:v>0.15997408318705247</c:v>
                </c:pt>
                <c:pt idx="10">
                  <c:v>0.16151209833951452</c:v>
                </c:pt>
              </c:numCache>
            </c:numRef>
          </c:val>
          <c:smooth val="0"/>
          <c:extLst>
            <c:ext xmlns:c16="http://schemas.microsoft.com/office/drawing/2014/chart" uri="{C3380CC4-5D6E-409C-BE32-E72D297353CC}">
              <c16:uniqueId val="{00000000-3F44-4050-864F-E4841260F685}"/>
            </c:ext>
          </c:extLst>
        </c:ser>
        <c:ser>
          <c:idx val="1"/>
          <c:order val="1"/>
          <c:tx>
            <c:strRef>
              <c:f>ANALYSIS!$X$38</c:f>
              <c:strCache>
                <c:ptCount val="1"/>
                <c:pt idx="0">
                  <c:v>North West</c:v>
                </c:pt>
              </c:strCache>
            </c:strRef>
          </c:tx>
          <c:spPr>
            <a:ln w="28575" cap="rnd">
              <a:solidFill>
                <a:schemeClr val="accent2"/>
              </a:solidFill>
              <a:round/>
            </a:ln>
            <a:effectLst/>
          </c:spPr>
          <c:marker>
            <c:symbol val="none"/>
          </c:marker>
          <c:cat>
            <c:numRef>
              <c:f>ANALYSIS!$Y$36:$AI$36</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ANALYSIS!$Y$38:$AI$38</c:f>
              <c:numCache>
                <c:formatCode>0%</c:formatCode>
                <c:ptCount val="11"/>
                <c:pt idx="0">
                  <c:v>9.9365750528541227E-2</c:v>
                </c:pt>
                <c:pt idx="1">
                  <c:v>9.970119699384189E-2</c:v>
                </c:pt>
                <c:pt idx="2">
                  <c:v>0.10003664345914254</c:v>
                </c:pt>
                <c:pt idx="3">
                  <c:v>0.10447915345104128</c:v>
                </c:pt>
                <c:pt idx="4">
                  <c:v>0.10892166344294003</c:v>
                </c:pt>
                <c:pt idx="7">
                  <c:v>0.1162028371071787</c:v>
                </c:pt>
                <c:pt idx="8">
                  <c:v>0.12243927905961638</c:v>
                </c:pt>
                <c:pt idx="9">
                  <c:v>0.11944367349327133</c:v>
                </c:pt>
                <c:pt idx="10">
                  <c:v>0.13097314709197283</c:v>
                </c:pt>
              </c:numCache>
            </c:numRef>
          </c:val>
          <c:smooth val="0"/>
          <c:extLst>
            <c:ext xmlns:c16="http://schemas.microsoft.com/office/drawing/2014/chart" uri="{C3380CC4-5D6E-409C-BE32-E72D297353CC}">
              <c16:uniqueId val="{00000001-3F44-4050-864F-E4841260F685}"/>
            </c:ext>
          </c:extLst>
        </c:ser>
        <c:ser>
          <c:idx val="2"/>
          <c:order val="2"/>
          <c:tx>
            <c:strRef>
              <c:f>ANALYSIS!$X$39</c:f>
              <c:strCache>
                <c:ptCount val="1"/>
                <c:pt idx="0">
                  <c:v>South East</c:v>
                </c:pt>
              </c:strCache>
            </c:strRef>
          </c:tx>
          <c:spPr>
            <a:ln w="28575" cap="rnd">
              <a:solidFill>
                <a:schemeClr val="accent3"/>
              </a:solidFill>
              <a:round/>
            </a:ln>
            <a:effectLst/>
          </c:spPr>
          <c:marker>
            <c:symbol val="none"/>
          </c:marker>
          <c:cat>
            <c:numRef>
              <c:f>ANALYSIS!$Y$36:$AI$36</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ANALYSIS!$Y$39:$AI$39</c:f>
              <c:numCache>
                <c:formatCode>0%</c:formatCode>
                <c:ptCount val="11"/>
                <c:pt idx="0">
                  <c:v>0.10653042048390886</c:v>
                </c:pt>
                <c:pt idx="1">
                  <c:v>0.10835254381957748</c:v>
                </c:pt>
                <c:pt idx="2">
                  <c:v>0.11017466715524613</c:v>
                </c:pt>
                <c:pt idx="3">
                  <c:v>0.10960861017336775</c:v>
                </c:pt>
                <c:pt idx="4">
                  <c:v>0.10904255319148937</c:v>
                </c:pt>
                <c:pt idx="7">
                  <c:v>0.11886448242062402</c:v>
                </c:pt>
                <c:pt idx="8">
                  <c:v>0.11505486863835784</c:v>
                </c:pt>
                <c:pt idx="9">
                  <c:v>9.8484774065053224E-2</c:v>
                </c:pt>
                <c:pt idx="10">
                  <c:v>0.10261681960613411</c:v>
                </c:pt>
              </c:numCache>
            </c:numRef>
          </c:val>
          <c:smooth val="0"/>
          <c:extLst>
            <c:ext xmlns:c16="http://schemas.microsoft.com/office/drawing/2014/chart" uri="{C3380CC4-5D6E-409C-BE32-E72D297353CC}">
              <c16:uniqueId val="{00000002-3F44-4050-864F-E4841260F685}"/>
            </c:ext>
          </c:extLst>
        </c:ser>
        <c:ser>
          <c:idx val="3"/>
          <c:order val="3"/>
          <c:tx>
            <c:strRef>
              <c:f>ANALYSIS!$X$40</c:f>
              <c:strCache>
                <c:ptCount val="1"/>
                <c:pt idx="0">
                  <c:v>South West</c:v>
                </c:pt>
              </c:strCache>
            </c:strRef>
          </c:tx>
          <c:spPr>
            <a:ln w="28575" cap="rnd">
              <a:solidFill>
                <a:schemeClr val="accent4"/>
              </a:solidFill>
              <a:round/>
            </a:ln>
            <a:effectLst/>
          </c:spPr>
          <c:marker>
            <c:symbol val="none"/>
          </c:marker>
          <c:cat>
            <c:numRef>
              <c:f>ANALYSIS!$Y$36:$AI$36</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ANALYSIS!$Y$40:$AI$40</c:f>
              <c:numCache>
                <c:formatCode>0%</c:formatCode>
                <c:ptCount val="11"/>
                <c:pt idx="0">
                  <c:v>0.22245712943387361</c:v>
                </c:pt>
                <c:pt idx="1">
                  <c:v>0.22427363617168211</c:v>
                </c:pt>
                <c:pt idx="2">
                  <c:v>0.22609014290949064</c:v>
                </c:pt>
                <c:pt idx="3">
                  <c:v>0.21688936545861381</c:v>
                </c:pt>
                <c:pt idx="4">
                  <c:v>0.20768858800773696</c:v>
                </c:pt>
                <c:pt idx="7">
                  <c:v>0.18580809312048646</c:v>
                </c:pt>
                <c:pt idx="8">
                  <c:v>0.14521099902393178</c:v>
                </c:pt>
                <c:pt idx="9">
                  <c:v>0.14640024903088131</c:v>
                </c:pt>
                <c:pt idx="10">
                  <c:v>0.13489135963506985</c:v>
                </c:pt>
              </c:numCache>
            </c:numRef>
          </c:val>
          <c:smooth val="0"/>
          <c:extLst>
            <c:ext xmlns:c16="http://schemas.microsoft.com/office/drawing/2014/chart" uri="{C3380CC4-5D6E-409C-BE32-E72D297353CC}">
              <c16:uniqueId val="{00000003-3F44-4050-864F-E4841260F685}"/>
            </c:ext>
          </c:extLst>
        </c:ser>
        <c:ser>
          <c:idx val="4"/>
          <c:order val="4"/>
          <c:tx>
            <c:strRef>
              <c:f>ANALYSIS!$X$41</c:f>
              <c:strCache>
                <c:ptCount val="1"/>
                <c:pt idx="0">
                  <c:v>Scotland</c:v>
                </c:pt>
              </c:strCache>
            </c:strRef>
          </c:tx>
          <c:spPr>
            <a:ln w="28575" cap="rnd">
              <a:solidFill>
                <a:schemeClr val="accent5"/>
              </a:solidFill>
              <a:round/>
            </a:ln>
            <a:effectLst/>
          </c:spPr>
          <c:marker>
            <c:symbol val="none"/>
          </c:marker>
          <c:cat>
            <c:numRef>
              <c:f>ANALYSIS!$Y$36:$AI$36</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ANALYSIS!$Y$41:$AI$41</c:f>
              <c:numCache>
                <c:formatCode>0%</c:formatCode>
                <c:ptCount val="11"/>
                <c:pt idx="0">
                  <c:v>0.13589382194033356</c:v>
                </c:pt>
                <c:pt idx="1">
                  <c:v>0.13274476122056375</c:v>
                </c:pt>
                <c:pt idx="2">
                  <c:v>0.12959570050079394</c:v>
                </c:pt>
                <c:pt idx="3">
                  <c:v>0.13225432994091924</c:v>
                </c:pt>
                <c:pt idx="4">
                  <c:v>0.1349129593810445</c:v>
                </c:pt>
                <c:pt idx="7">
                  <c:v>9.1838403878031521E-2</c:v>
                </c:pt>
                <c:pt idx="8">
                  <c:v>9.9397587402842838E-2</c:v>
                </c:pt>
                <c:pt idx="9">
                  <c:v>9.6248024436267857E-2</c:v>
                </c:pt>
                <c:pt idx="10">
                  <c:v>0.11023163099885334</c:v>
                </c:pt>
              </c:numCache>
            </c:numRef>
          </c:val>
          <c:smooth val="0"/>
          <c:extLst>
            <c:ext xmlns:c16="http://schemas.microsoft.com/office/drawing/2014/chart" uri="{C3380CC4-5D6E-409C-BE32-E72D297353CC}">
              <c16:uniqueId val="{00000004-3F44-4050-864F-E4841260F685}"/>
            </c:ext>
          </c:extLst>
        </c:ser>
        <c:dLbls>
          <c:showLegendKey val="0"/>
          <c:showVal val="0"/>
          <c:showCatName val="0"/>
          <c:showSerName val="0"/>
          <c:showPercent val="0"/>
          <c:showBubbleSize val="0"/>
        </c:dLbls>
        <c:smooth val="0"/>
        <c:axId val="2123753040"/>
        <c:axId val="2123770800"/>
      </c:lineChart>
      <c:catAx>
        <c:axId val="212375304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ontserrat" panose="00000500000000000000" pitchFamily="2" charset="0"/>
                <a:ea typeface="+mn-ea"/>
                <a:cs typeface="+mn-cs"/>
              </a:defRPr>
            </a:pPr>
            <a:endParaRPr lang="en-US"/>
          </a:p>
        </c:txPr>
        <c:crossAx val="2123770800"/>
        <c:crosses val="autoZero"/>
        <c:auto val="1"/>
        <c:lblAlgn val="ctr"/>
        <c:lblOffset val="100"/>
        <c:noMultiLvlLbl val="0"/>
      </c:catAx>
      <c:valAx>
        <c:axId val="2123770800"/>
        <c:scaling>
          <c:orientation val="minMax"/>
        </c:scaling>
        <c:delete val="0"/>
        <c:axPos val="l"/>
        <c:majorGridlines>
          <c:spPr>
            <a:ln w="9525" cap="flat" cmpd="sng" algn="ctr">
              <a:solidFill>
                <a:schemeClr val="tx1">
                  <a:lumMod val="15000"/>
                  <a:lumOff val="85000"/>
                </a:schemeClr>
              </a:solidFill>
              <a:prstDash val="dash"/>
              <a:round/>
            </a:ln>
            <a:effectLst/>
          </c:spPr>
        </c:majorGridlines>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ontserrat" panose="00000500000000000000" pitchFamily="2" charset="0"/>
                <a:ea typeface="+mn-ea"/>
                <a:cs typeface="+mn-cs"/>
              </a:defRPr>
            </a:pPr>
            <a:endParaRPr lang="en-US"/>
          </a:p>
        </c:txPr>
        <c:crossAx val="21237530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ontserrat" panose="00000500000000000000" pitchFamily="2" charset="0"/>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latin typeface="Montserrat" panose="00000500000000000000" pitchFamily="2"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ontserrat" panose="00000500000000000000" pitchFamily="2" charset="0"/>
                <a:ea typeface="+mn-ea"/>
                <a:cs typeface="+mn-cs"/>
              </a:defRPr>
            </a:pPr>
            <a:r>
              <a:rPr lang="en-GB" b="1"/>
              <a:t>Trips</a:t>
            </a:r>
          </a:p>
        </c:rich>
      </c:tx>
      <c:overlay val="0"/>
      <c:spPr>
        <a:noFill/>
        <a:ln>
          <a:noFill/>
        </a:ln>
        <a:effectLst/>
      </c:spPr>
    </c:title>
    <c:autoTitleDeleted val="0"/>
    <c:plotArea>
      <c:layout/>
      <c:lineChart>
        <c:grouping val="standard"/>
        <c:varyColors val="0"/>
        <c:ser>
          <c:idx val="0"/>
          <c:order val="0"/>
          <c:tx>
            <c:strRef>
              <c:f>ANALYSIS!$X$5</c:f>
              <c:strCache>
                <c:ptCount val="1"/>
                <c:pt idx="0">
                  <c:v>London</c:v>
                </c:pt>
              </c:strCache>
            </c:strRef>
          </c:tx>
          <c:spPr>
            <a:ln w="28575" cap="rnd">
              <a:solidFill>
                <a:schemeClr val="accent1"/>
              </a:solidFill>
              <a:round/>
            </a:ln>
            <a:effectLst/>
          </c:spPr>
          <c:marker>
            <c:symbol val="none"/>
          </c:marker>
          <c:cat>
            <c:numRef>
              <c:f>ANALYSIS!$Y$4:$AI$4</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ANALYSIS!$Y$5:$AI$5</c:f>
              <c:numCache>
                <c:formatCode>0%</c:formatCode>
                <c:ptCount val="11"/>
                <c:pt idx="0">
                  <c:v>8.0438192712217443E-2</c:v>
                </c:pt>
                <c:pt idx="1">
                  <c:v>7.9773435889401723E-2</c:v>
                </c:pt>
                <c:pt idx="2">
                  <c:v>7.9108679066586002E-2</c:v>
                </c:pt>
                <c:pt idx="3">
                  <c:v>7.8357875258853349E-2</c:v>
                </c:pt>
                <c:pt idx="4">
                  <c:v>7.7607071451120696E-2</c:v>
                </c:pt>
                <c:pt idx="7">
                  <c:v>0.10069792328239209</c:v>
                </c:pt>
                <c:pt idx="8">
                  <c:v>0.12029748951081476</c:v>
                </c:pt>
                <c:pt idx="9">
                  <c:v>0.12808263779907209</c:v>
                </c:pt>
                <c:pt idx="10">
                  <c:v>0.12988743455806187</c:v>
                </c:pt>
              </c:numCache>
            </c:numRef>
          </c:val>
          <c:smooth val="0"/>
          <c:extLst>
            <c:ext xmlns:c16="http://schemas.microsoft.com/office/drawing/2014/chart" uri="{C3380CC4-5D6E-409C-BE32-E72D297353CC}">
              <c16:uniqueId val="{00000000-0014-403F-A2C1-264F0E813133}"/>
            </c:ext>
          </c:extLst>
        </c:ser>
        <c:ser>
          <c:idx val="1"/>
          <c:order val="1"/>
          <c:tx>
            <c:strRef>
              <c:f>ANALYSIS!$X$6</c:f>
              <c:strCache>
                <c:ptCount val="1"/>
                <c:pt idx="0">
                  <c:v>North West</c:v>
                </c:pt>
              </c:strCache>
            </c:strRef>
          </c:tx>
          <c:spPr>
            <a:ln w="28575" cap="rnd">
              <a:solidFill>
                <a:schemeClr val="accent2"/>
              </a:solidFill>
              <a:round/>
            </a:ln>
            <a:effectLst/>
          </c:spPr>
          <c:marker>
            <c:symbol val="none"/>
          </c:marker>
          <c:cat>
            <c:numRef>
              <c:f>ANALYSIS!$Y$4:$AI$4</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ANALYSIS!$Y$6:$AI$6</c:f>
              <c:numCache>
                <c:formatCode>0%</c:formatCode>
                <c:ptCount val="11"/>
                <c:pt idx="0">
                  <c:v>0.10412220022115359</c:v>
                </c:pt>
                <c:pt idx="1">
                  <c:v>0.1052430737497865</c:v>
                </c:pt>
                <c:pt idx="2">
                  <c:v>0.10636394727841943</c:v>
                </c:pt>
                <c:pt idx="3">
                  <c:v>0.10727015631836367</c:v>
                </c:pt>
                <c:pt idx="4">
                  <c:v>0.10817636535830791</c:v>
                </c:pt>
                <c:pt idx="7">
                  <c:v>0.11951792930766669</c:v>
                </c:pt>
                <c:pt idx="8">
                  <c:v>0.10530076653520477</c:v>
                </c:pt>
                <c:pt idx="9">
                  <c:v>0.1243356491178433</c:v>
                </c:pt>
                <c:pt idx="10">
                  <c:v>0.12775700815974805</c:v>
                </c:pt>
              </c:numCache>
            </c:numRef>
          </c:val>
          <c:smooth val="0"/>
          <c:extLst>
            <c:ext xmlns:c16="http://schemas.microsoft.com/office/drawing/2014/chart" uri="{C3380CC4-5D6E-409C-BE32-E72D297353CC}">
              <c16:uniqueId val="{00000001-0014-403F-A2C1-264F0E813133}"/>
            </c:ext>
          </c:extLst>
        </c:ser>
        <c:ser>
          <c:idx val="2"/>
          <c:order val="2"/>
          <c:tx>
            <c:strRef>
              <c:f>ANALYSIS!$X$7</c:f>
              <c:strCache>
                <c:ptCount val="1"/>
                <c:pt idx="0">
                  <c:v>South East</c:v>
                </c:pt>
              </c:strCache>
            </c:strRef>
          </c:tx>
          <c:spPr>
            <a:ln w="28575" cap="rnd">
              <a:solidFill>
                <a:schemeClr val="accent3"/>
              </a:solidFill>
              <a:round/>
            </a:ln>
            <a:effectLst/>
          </c:spPr>
          <c:marker>
            <c:symbol val="none"/>
          </c:marker>
          <c:cat>
            <c:numRef>
              <c:f>ANALYSIS!$Y$4:$AI$4</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ANALYSIS!$Y$7:$AI$7</c:f>
              <c:numCache>
                <c:formatCode>0%</c:formatCode>
                <c:ptCount val="11"/>
                <c:pt idx="0">
                  <c:v>0.13174068454753515</c:v>
                </c:pt>
                <c:pt idx="1">
                  <c:v>0.13066737471174605</c:v>
                </c:pt>
                <c:pt idx="2">
                  <c:v>0.12959406487595698</c:v>
                </c:pt>
                <c:pt idx="3">
                  <c:v>0.1258040828431137</c:v>
                </c:pt>
                <c:pt idx="4">
                  <c:v>0.12201410081027043</c:v>
                </c:pt>
                <c:pt idx="7">
                  <c:v>0.13027850454092818</c:v>
                </c:pt>
                <c:pt idx="8">
                  <c:v>0.13457442185881519</c:v>
                </c:pt>
                <c:pt idx="9">
                  <c:v>0.11546427809901935</c:v>
                </c:pt>
                <c:pt idx="10">
                  <c:v>0.12210002168459162</c:v>
                </c:pt>
              </c:numCache>
            </c:numRef>
          </c:val>
          <c:smooth val="0"/>
          <c:extLst>
            <c:ext xmlns:c16="http://schemas.microsoft.com/office/drawing/2014/chart" uri="{C3380CC4-5D6E-409C-BE32-E72D297353CC}">
              <c16:uniqueId val="{00000002-0014-403F-A2C1-264F0E813133}"/>
            </c:ext>
          </c:extLst>
        </c:ser>
        <c:ser>
          <c:idx val="3"/>
          <c:order val="3"/>
          <c:tx>
            <c:strRef>
              <c:f>ANALYSIS!$X$8</c:f>
              <c:strCache>
                <c:ptCount val="1"/>
                <c:pt idx="0">
                  <c:v>South West</c:v>
                </c:pt>
              </c:strCache>
            </c:strRef>
          </c:tx>
          <c:spPr>
            <a:ln w="28575" cap="rnd">
              <a:solidFill>
                <a:schemeClr val="accent4"/>
              </a:solidFill>
              <a:round/>
            </a:ln>
            <a:effectLst/>
          </c:spPr>
          <c:marker>
            <c:symbol val="none"/>
          </c:marker>
          <c:cat>
            <c:numRef>
              <c:f>ANALYSIS!$Y$4:$AI$4</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ANALYSIS!$Y$8:$AI$8</c:f>
              <c:numCache>
                <c:formatCode>0%</c:formatCode>
                <c:ptCount val="11"/>
                <c:pt idx="0">
                  <c:v>0.18726052408259827</c:v>
                </c:pt>
                <c:pt idx="1">
                  <c:v>0.19298308096213784</c:v>
                </c:pt>
                <c:pt idx="2">
                  <c:v>0.19870563784167744</c:v>
                </c:pt>
                <c:pt idx="3">
                  <c:v>0.18719350081076822</c:v>
                </c:pt>
                <c:pt idx="4">
                  <c:v>0.17568136377985899</c:v>
                </c:pt>
                <c:pt idx="7">
                  <c:v>0.16227672613509653</c:v>
                </c:pt>
                <c:pt idx="8">
                  <c:v>0.1540129872844721</c:v>
                </c:pt>
                <c:pt idx="9">
                  <c:v>0.14434687559684686</c:v>
                </c:pt>
                <c:pt idx="10">
                  <c:v>0.12046589617511225</c:v>
                </c:pt>
              </c:numCache>
            </c:numRef>
          </c:val>
          <c:smooth val="0"/>
          <c:extLst>
            <c:ext xmlns:c16="http://schemas.microsoft.com/office/drawing/2014/chart" uri="{C3380CC4-5D6E-409C-BE32-E72D297353CC}">
              <c16:uniqueId val="{00000003-0014-403F-A2C1-264F0E813133}"/>
            </c:ext>
          </c:extLst>
        </c:ser>
        <c:ser>
          <c:idx val="4"/>
          <c:order val="4"/>
          <c:tx>
            <c:strRef>
              <c:f>ANALYSIS!$X$9</c:f>
              <c:strCache>
                <c:ptCount val="1"/>
                <c:pt idx="0">
                  <c:v>Scotland</c:v>
                </c:pt>
              </c:strCache>
            </c:strRef>
          </c:tx>
          <c:spPr>
            <a:ln w="28575" cap="rnd">
              <a:solidFill>
                <a:schemeClr val="accent5"/>
              </a:solidFill>
              <a:round/>
            </a:ln>
            <a:effectLst/>
          </c:spPr>
          <c:marker>
            <c:symbol val="none"/>
          </c:marker>
          <c:cat>
            <c:numRef>
              <c:f>ANALYSIS!$Y$4:$AI$4</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ANALYSIS!$Y$9:$AI$9</c:f>
              <c:numCache>
                <c:formatCode>0%</c:formatCode>
                <c:ptCount val="11"/>
                <c:pt idx="0">
                  <c:v>0.10131920693290815</c:v>
                </c:pt>
                <c:pt idx="1">
                  <c:v>9.7225071357327775E-2</c:v>
                </c:pt>
                <c:pt idx="2">
                  <c:v>9.3130935781747401E-2</c:v>
                </c:pt>
                <c:pt idx="3">
                  <c:v>0.10616506801714962</c:v>
                </c:pt>
                <c:pt idx="4">
                  <c:v>0.11919920025255182</c:v>
                </c:pt>
                <c:pt idx="7">
                  <c:v>9.0139426519909277E-2</c:v>
                </c:pt>
                <c:pt idx="8">
                  <c:v>9.9435906513317449E-2</c:v>
                </c:pt>
                <c:pt idx="9">
                  <c:v>8.99614465852345E-2</c:v>
                </c:pt>
                <c:pt idx="10">
                  <c:v>0.10364827871288849</c:v>
                </c:pt>
              </c:numCache>
            </c:numRef>
          </c:val>
          <c:smooth val="0"/>
          <c:extLst>
            <c:ext xmlns:c16="http://schemas.microsoft.com/office/drawing/2014/chart" uri="{C3380CC4-5D6E-409C-BE32-E72D297353CC}">
              <c16:uniqueId val="{00000004-0014-403F-A2C1-264F0E813133}"/>
            </c:ext>
          </c:extLst>
        </c:ser>
        <c:dLbls>
          <c:showLegendKey val="0"/>
          <c:showVal val="0"/>
          <c:showCatName val="0"/>
          <c:showSerName val="0"/>
          <c:showPercent val="0"/>
          <c:showBubbleSize val="0"/>
        </c:dLbls>
        <c:smooth val="0"/>
        <c:axId val="2123753040"/>
        <c:axId val="2123770800"/>
      </c:lineChart>
      <c:catAx>
        <c:axId val="212375304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ontserrat" panose="00000500000000000000" pitchFamily="2" charset="0"/>
                <a:ea typeface="+mn-ea"/>
                <a:cs typeface="+mn-cs"/>
              </a:defRPr>
            </a:pPr>
            <a:endParaRPr lang="en-US"/>
          </a:p>
        </c:txPr>
        <c:crossAx val="2123770800"/>
        <c:crosses val="autoZero"/>
        <c:auto val="1"/>
        <c:lblAlgn val="ctr"/>
        <c:lblOffset val="100"/>
        <c:noMultiLvlLbl val="0"/>
      </c:catAx>
      <c:valAx>
        <c:axId val="2123770800"/>
        <c:scaling>
          <c:orientation val="minMax"/>
        </c:scaling>
        <c:delete val="0"/>
        <c:axPos val="l"/>
        <c:majorGridlines>
          <c:spPr>
            <a:ln w="9525" cap="flat" cmpd="sng" algn="ctr">
              <a:solidFill>
                <a:schemeClr val="tx1">
                  <a:lumMod val="15000"/>
                  <a:lumOff val="85000"/>
                </a:schemeClr>
              </a:solidFill>
              <a:prstDash val="dash"/>
              <a:round/>
            </a:ln>
            <a:effectLst/>
          </c:spPr>
        </c:majorGridlines>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ontserrat" panose="00000500000000000000" pitchFamily="2" charset="0"/>
                <a:ea typeface="+mn-ea"/>
                <a:cs typeface="+mn-cs"/>
              </a:defRPr>
            </a:pPr>
            <a:endParaRPr lang="en-US"/>
          </a:p>
        </c:txPr>
        <c:crossAx val="21237530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ontserrat" panose="00000500000000000000" pitchFamily="2" charset="0"/>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latin typeface="Montserrat" panose="00000500000000000000" pitchFamily="2"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'main analysis'!$S$62</c:f>
              <c:strCache>
                <c:ptCount val="1"/>
                <c:pt idx="0">
                  <c:v>Overseas spend per capita</c:v>
                </c:pt>
              </c:strCache>
            </c:strRef>
          </c:tx>
          <c:spPr>
            <a:ln w="28575" cap="rnd">
              <a:solidFill>
                <a:schemeClr val="accent1"/>
              </a:solidFill>
              <a:round/>
            </a:ln>
            <a:effectLst/>
          </c:spPr>
          <c:marker>
            <c:symbol val="none"/>
          </c:marker>
          <c:cat>
            <c:numRef>
              <c:f>'main analysis'!$R$63:$R$81</c:f>
              <c:numCache>
                <c:formatCode>0</c:formatCode>
                <c:ptCount val="19"/>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formatCode="General">
                  <c:v>2020</c:v>
                </c:pt>
                <c:pt idx="15" formatCode="General">
                  <c:v>2021</c:v>
                </c:pt>
                <c:pt idx="16" formatCode="General">
                  <c:v>2022</c:v>
                </c:pt>
                <c:pt idx="17" formatCode="General">
                  <c:v>2023</c:v>
                </c:pt>
                <c:pt idx="18" formatCode="General">
                  <c:v>2024</c:v>
                </c:pt>
              </c:numCache>
            </c:numRef>
          </c:cat>
          <c:val>
            <c:numRef>
              <c:f>'main analysis'!$S$63:$S$81</c:f>
              <c:numCache>
                <c:formatCode>"£"#,##0</c:formatCode>
                <c:ptCount val="19"/>
                <c:pt idx="0">
                  <c:v>799.92299457912623</c:v>
                </c:pt>
                <c:pt idx="1">
                  <c:v>789.07048860932116</c:v>
                </c:pt>
                <c:pt idx="2">
                  <c:v>795.78872917546505</c:v>
                </c:pt>
                <c:pt idx="3">
                  <c:v>726.94779641980756</c:v>
                </c:pt>
                <c:pt idx="4">
                  <c:v>753.76076999545307</c:v>
                </c:pt>
                <c:pt idx="5">
                  <c:v>733.02419460817077</c:v>
                </c:pt>
                <c:pt idx="6">
                  <c:v>714.76145658245287</c:v>
                </c:pt>
                <c:pt idx="7">
                  <c:v>758.71115574542557</c:v>
                </c:pt>
                <c:pt idx="8">
                  <c:v>780.82296644430119</c:v>
                </c:pt>
                <c:pt idx="9">
                  <c:v>810.55057206396998</c:v>
                </c:pt>
                <c:pt idx="10">
                  <c:v>898.39572925477592</c:v>
                </c:pt>
                <c:pt idx="11">
                  <c:v>945.32316829222236</c:v>
                </c:pt>
                <c:pt idx="12">
                  <c:v>979.37703400684222</c:v>
                </c:pt>
                <c:pt idx="13">
                  <c:v>1048.2477758913919</c:v>
                </c:pt>
                <c:pt idx="16">
                  <c:v>883.28694237296895</c:v>
                </c:pt>
                <c:pt idx="17">
                  <c:v>1018.1824217228766</c:v>
                </c:pt>
                <c:pt idx="18">
                  <c:v>1032.0513630958267</c:v>
                </c:pt>
              </c:numCache>
            </c:numRef>
          </c:val>
          <c:smooth val="0"/>
          <c:extLst>
            <c:ext xmlns:c16="http://schemas.microsoft.com/office/drawing/2014/chart" uri="{C3380CC4-5D6E-409C-BE32-E72D297353CC}">
              <c16:uniqueId val="{00000000-D859-4399-A29D-D11B01E1DA09}"/>
            </c:ext>
          </c:extLst>
        </c:ser>
        <c:dLbls>
          <c:showLegendKey val="0"/>
          <c:showVal val="0"/>
          <c:showCatName val="0"/>
          <c:showSerName val="0"/>
          <c:showPercent val="0"/>
          <c:showBubbleSize val="0"/>
        </c:dLbls>
        <c:smooth val="0"/>
        <c:axId val="945888384"/>
        <c:axId val="945885504"/>
      </c:lineChart>
      <c:catAx>
        <c:axId val="945888384"/>
        <c:scaling>
          <c:orientation val="minMax"/>
        </c:scaling>
        <c:delete val="0"/>
        <c:axPos val="b"/>
        <c:numFmt formatCode="0"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ontserrat" panose="00000500000000000000" pitchFamily="2" charset="0"/>
                <a:ea typeface="+mn-ea"/>
                <a:cs typeface="+mn-cs"/>
              </a:defRPr>
            </a:pPr>
            <a:endParaRPr lang="en-US"/>
          </a:p>
        </c:txPr>
        <c:crossAx val="945885504"/>
        <c:crosses val="autoZero"/>
        <c:auto val="1"/>
        <c:lblAlgn val="ctr"/>
        <c:lblOffset val="100"/>
        <c:noMultiLvlLbl val="0"/>
      </c:catAx>
      <c:valAx>
        <c:axId val="945885504"/>
        <c:scaling>
          <c:orientation val="minMax"/>
          <c:min val="400"/>
        </c:scaling>
        <c:delete val="0"/>
        <c:axPos val="l"/>
        <c:majorGridlines>
          <c:spPr>
            <a:ln w="9525" cap="flat" cmpd="sng" algn="ctr">
              <a:solidFill>
                <a:schemeClr val="tx1">
                  <a:lumMod val="15000"/>
                  <a:lumOff val="85000"/>
                </a:schemeClr>
              </a:solidFill>
              <a:prstDash val="dash"/>
              <a:round/>
            </a:ln>
            <a:effectLst/>
          </c:spPr>
        </c:majorGridlines>
        <c:numFmt formatCode="&quot;£&quot;#,##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ontserrat" panose="00000500000000000000" pitchFamily="2" charset="0"/>
                <a:ea typeface="+mn-ea"/>
                <a:cs typeface="+mn-cs"/>
              </a:defRPr>
            </a:pPr>
            <a:endParaRPr lang="en-US"/>
          </a:p>
        </c:txPr>
        <c:crossAx val="94588838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latin typeface="Montserrat" panose="00000500000000000000" pitchFamily="2"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Sheet1!$U$22</c:f>
              <c:strCache>
                <c:ptCount val="1"/>
                <c:pt idx="0">
                  <c:v>Domestic overnight tourists</c:v>
                </c:pt>
              </c:strCache>
            </c:strRef>
          </c:tx>
          <c:spPr>
            <a:solidFill>
              <a:schemeClr val="accent1"/>
            </a:solidFill>
            <a:ln>
              <a:noFill/>
            </a:ln>
            <a:effectLst/>
          </c:spPr>
          <c:invertIfNegative val="0"/>
          <c:cat>
            <c:strRef>
              <c:f>Sheet1!$T$23:$T$31</c:f>
              <c:strCache>
                <c:ptCount val="9"/>
                <c:pt idx="0">
                  <c:v>East Midlands</c:v>
                </c:pt>
                <c:pt idx="1">
                  <c:v>East of England</c:v>
                </c:pt>
                <c:pt idx="2">
                  <c:v>London</c:v>
                </c:pt>
                <c:pt idx="3">
                  <c:v>North East</c:v>
                </c:pt>
                <c:pt idx="4">
                  <c:v>North West</c:v>
                </c:pt>
                <c:pt idx="5">
                  <c:v>South East</c:v>
                </c:pt>
                <c:pt idx="6">
                  <c:v>South West</c:v>
                </c:pt>
                <c:pt idx="7">
                  <c:v>West Midlands</c:v>
                </c:pt>
                <c:pt idx="8">
                  <c:v>Yorkshire and the Humber</c:v>
                </c:pt>
              </c:strCache>
            </c:strRef>
          </c:cat>
          <c:val>
            <c:numRef>
              <c:f>Sheet1!$U$23:$U$31</c:f>
              <c:numCache>
                <c:formatCode>0%</c:formatCode>
                <c:ptCount val="9"/>
                <c:pt idx="0">
                  <c:v>7.0764095727978232E-2</c:v>
                </c:pt>
                <c:pt idx="1">
                  <c:v>9.2207123328904947E-2</c:v>
                </c:pt>
                <c:pt idx="2">
                  <c:v>0.20374677183644896</c:v>
                </c:pt>
                <c:pt idx="3">
                  <c:v>3.6432622776504074E-2</c:v>
                </c:pt>
                <c:pt idx="4">
                  <c:v>0.15424561270704198</c:v>
                </c:pt>
                <c:pt idx="5">
                  <c:v>0.11908731532906043</c:v>
                </c:pt>
                <c:pt idx="6">
                  <c:v>0.16496552540860629</c:v>
                </c:pt>
                <c:pt idx="7">
                  <c:v>6.7411619115669258E-2</c:v>
                </c:pt>
                <c:pt idx="8">
                  <c:v>9.1139313769785915E-2</c:v>
                </c:pt>
              </c:numCache>
            </c:numRef>
          </c:val>
          <c:extLst>
            <c:ext xmlns:c16="http://schemas.microsoft.com/office/drawing/2014/chart" uri="{C3380CC4-5D6E-409C-BE32-E72D297353CC}">
              <c16:uniqueId val="{00000000-613B-4D2F-B835-8AB413B896D7}"/>
            </c:ext>
          </c:extLst>
        </c:ser>
        <c:ser>
          <c:idx val="1"/>
          <c:order val="1"/>
          <c:tx>
            <c:strRef>
              <c:f>Sheet1!$V$22</c:f>
              <c:strCache>
                <c:ptCount val="1"/>
                <c:pt idx="0">
                  <c:v>International visitors</c:v>
                </c:pt>
              </c:strCache>
            </c:strRef>
          </c:tx>
          <c:spPr>
            <a:solidFill>
              <a:schemeClr val="accent2"/>
            </a:solidFill>
            <a:ln>
              <a:noFill/>
            </a:ln>
            <a:effectLst/>
          </c:spPr>
          <c:invertIfNegative val="0"/>
          <c:cat>
            <c:strRef>
              <c:f>Sheet1!$T$23:$T$31</c:f>
              <c:strCache>
                <c:ptCount val="9"/>
                <c:pt idx="0">
                  <c:v>East Midlands</c:v>
                </c:pt>
                <c:pt idx="1">
                  <c:v>East of England</c:v>
                </c:pt>
                <c:pt idx="2">
                  <c:v>London</c:v>
                </c:pt>
                <c:pt idx="3">
                  <c:v>North East</c:v>
                </c:pt>
                <c:pt idx="4">
                  <c:v>North West</c:v>
                </c:pt>
                <c:pt idx="5">
                  <c:v>South East</c:v>
                </c:pt>
                <c:pt idx="6">
                  <c:v>South West</c:v>
                </c:pt>
                <c:pt idx="7">
                  <c:v>West Midlands</c:v>
                </c:pt>
                <c:pt idx="8">
                  <c:v>Yorkshire and the Humber</c:v>
                </c:pt>
              </c:strCache>
            </c:strRef>
          </c:cat>
          <c:val>
            <c:numRef>
              <c:f>Sheet1!$V$23:$V$31</c:f>
              <c:numCache>
                <c:formatCode>0%</c:formatCode>
                <c:ptCount val="9"/>
                <c:pt idx="0">
                  <c:v>2.0429728777738642E-2</c:v>
                </c:pt>
                <c:pt idx="1">
                  <c:v>4.9587100309185547E-2</c:v>
                </c:pt>
                <c:pt idx="2">
                  <c:v>0.64580642636296037</c:v>
                </c:pt>
                <c:pt idx="3">
                  <c:v>9.3147039254823684E-3</c:v>
                </c:pt>
                <c:pt idx="4">
                  <c:v>6.4850690775312123E-2</c:v>
                </c:pt>
                <c:pt idx="5">
                  <c:v>9.9213338029822712E-2</c:v>
                </c:pt>
                <c:pt idx="6">
                  <c:v>5.2874642871120502E-2</c:v>
                </c:pt>
                <c:pt idx="7">
                  <c:v>3.6789166764510196E-2</c:v>
                </c:pt>
                <c:pt idx="8">
                  <c:v>2.1134202183867558E-2</c:v>
                </c:pt>
              </c:numCache>
            </c:numRef>
          </c:val>
          <c:extLst>
            <c:ext xmlns:c16="http://schemas.microsoft.com/office/drawing/2014/chart" uri="{C3380CC4-5D6E-409C-BE32-E72D297353CC}">
              <c16:uniqueId val="{00000001-613B-4D2F-B835-8AB413B896D7}"/>
            </c:ext>
          </c:extLst>
        </c:ser>
        <c:dLbls>
          <c:showLegendKey val="0"/>
          <c:showVal val="0"/>
          <c:showCatName val="0"/>
          <c:showSerName val="0"/>
          <c:showPercent val="0"/>
          <c:showBubbleSize val="0"/>
        </c:dLbls>
        <c:gapWidth val="219"/>
        <c:overlap val="-27"/>
        <c:axId val="2112185664"/>
        <c:axId val="2112190944"/>
      </c:barChart>
      <c:catAx>
        <c:axId val="211218566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ontserrat" panose="00000500000000000000" pitchFamily="2" charset="0"/>
                <a:ea typeface="+mn-ea"/>
                <a:cs typeface="+mn-cs"/>
              </a:defRPr>
            </a:pPr>
            <a:endParaRPr lang="en-US"/>
          </a:p>
        </c:txPr>
        <c:crossAx val="2112190944"/>
        <c:crosses val="autoZero"/>
        <c:auto val="1"/>
        <c:lblAlgn val="ctr"/>
        <c:lblOffset val="100"/>
        <c:noMultiLvlLbl val="0"/>
      </c:catAx>
      <c:valAx>
        <c:axId val="2112190944"/>
        <c:scaling>
          <c:orientation val="minMax"/>
        </c:scaling>
        <c:delete val="0"/>
        <c:axPos val="l"/>
        <c:majorGridlines>
          <c:spPr>
            <a:ln w="9525" cap="flat" cmpd="sng" algn="ctr">
              <a:solidFill>
                <a:schemeClr val="tx1">
                  <a:lumMod val="15000"/>
                  <a:lumOff val="85000"/>
                </a:schemeClr>
              </a:solidFill>
              <a:prstDash val="dash"/>
              <a:round/>
            </a:ln>
            <a:effectLst/>
          </c:spPr>
        </c:majorGridlines>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ontserrat" panose="00000500000000000000" pitchFamily="2" charset="0"/>
                <a:ea typeface="+mn-ea"/>
                <a:cs typeface="+mn-cs"/>
              </a:defRPr>
            </a:pPr>
            <a:endParaRPr lang="en-US"/>
          </a:p>
        </c:txPr>
        <c:crossAx val="2112185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ontserrat" panose="00000500000000000000" pitchFamily="2" charset="0"/>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latin typeface="Montserrat" panose="00000500000000000000" pitchFamily="2"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Overall!$E$1</c:f>
              <c:strCache>
                <c:ptCount val="1"/>
                <c:pt idx="0">
                  <c:v>Dist_share_pct</c:v>
                </c:pt>
              </c:strCache>
            </c:strRef>
          </c:tx>
          <c:spPr>
            <a:solidFill>
              <a:schemeClr val="accent1"/>
            </a:solidFill>
            <a:ln>
              <a:noFill/>
            </a:ln>
            <a:effectLst/>
          </c:spPr>
          <c:invertIfNegative val="0"/>
          <c:cat>
            <c:strRef>
              <c:f>Overall!$A$2:$A$14</c:f>
              <c:strCache>
                <c:ptCount val="13"/>
                <c:pt idx="0">
                  <c:v>Car / van passenger</c:v>
                </c:pt>
                <c:pt idx="1">
                  <c:v>Car / van driver</c:v>
                </c:pt>
                <c:pt idx="2">
                  <c:v>Surface Rail</c:v>
                </c:pt>
                <c:pt idx="3">
                  <c:v>Other private transport</c:v>
                </c:pt>
                <c:pt idx="4">
                  <c:v>Non-local bus</c:v>
                </c:pt>
                <c:pt idx="5">
                  <c:v>Other public transport</c:v>
                </c:pt>
                <c:pt idx="6">
                  <c:v>Taxi / minicab</c:v>
                </c:pt>
                <c:pt idx="7">
                  <c:v>Motorcycle</c:v>
                </c:pt>
                <c:pt idx="8">
                  <c:v>Walk</c:v>
                </c:pt>
                <c:pt idx="9">
                  <c:v>Other local bus</c:v>
                </c:pt>
                <c:pt idx="10">
                  <c:v>London Underground</c:v>
                </c:pt>
                <c:pt idx="11">
                  <c:v>Pedal cycle</c:v>
                </c:pt>
                <c:pt idx="12">
                  <c:v>Bus in London</c:v>
                </c:pt>
              </c:strCache>
            </c:strRef>
          </c:cat>
          <c:val>
            <c:numRef>
              <c:f>Overall!$E$2:$E$14</c:f>
              <c:numCache>
                <c:formatCode>0%</c:formatCode>
                <c:ptCount val="13"/>
                <c:pt idx="0">
                  <c:v>0.43420000000000003</c:v>
                </c:pt>
                <c:pt idx="1">
                  <c:v>0.30380000000000001</c:v>
                </c:pt>
                <c:pt idx="2">
                  <c:v>0.12179999999999999</c:v>
                </c:pt>
                <c:pt idx="3">
                  <c:v>4.6500000000000007E-2</c:v>
                </c:pt>
                <c:pt idx="4">
                  <c:v>3.5400000000000001E-2</c:v>
                </c:pt>
                <c:pt idx="5">
                  <c:v>2.41E-2</c:v>
                </c:pt>
                <c:pt idx="6">
                  <c:v>2.1000000000000001E-2</c:v>
                </c:pt>
                <c:pt idx="7">
                  <c:v>3.5999999999999999E-3</c:v>
                </c:pt>
                <c:pt idx="8">
                  <c:v>2.8000000000000004E-3</c:v>
                </c:pt>
                <c:pt idx="9">
                  <c:v>2.8000000000000004E-3</c:v>
                </c:pt>
                <c:pt idx="10">
                  <c:v>2.7000000000000001E-3</c:v>
                </c:pt>
                <c:pt idx="11">
                  <c:v>5.9999999999999995E-4</c:v>
                </c:pt>
                <c:pt idx="12">
                  <c:v>5.0000000000000001E-4</c:v>
                </c:pt>
              </c:numCache>
            </c:numRef>
          </c:val>
          <c:extLst>
            <c:ext xmlns:c16="http://schemas.microsoft.com/office/drawing/2014/chart" uri="{C3380CC4-5D6E-409C-BE32-E72D297353CC}">
              <c16:uniqueId val="{00000000-0455-4BDA-A293-1DA27C31DED9}"/>
            </c:ext>
          </c:extLst>
        </c:ser>
        <c:dLbls>
          <c:showLegendKey val="0"/>
          <c:showVal val="0"/>
          <c:showCatName val="0"/>
          <c:showSerName val="0"/>
          <c:showPercent val="0"/>
          <c:showBubbleSize val="0"/>
        </c:dLbls>
        <c:gapWidth val="182"/>
        <c:axId val="1235724063"/>
        <c:axId val="910815648"/>
      </c:barChart>
      <c:catAx>
        <c:axId val="123572406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ontserrat" panose="00000500000000000000" pitchFamily="2" charset="0"/>
                <a:ea typeface="+mn-ea"/>
                <a:cs typeface="+mn-cs"/>
              </a:defRPr>
            </a:pPr>
            <a:endParaRPr lang="en-US"/>
          </a:p>
        </c:txPr>
        <c:crossAx val="910815648"/>
        <c:crosses val="autoZero"/>
        <c:auto val="1"/>
        <c:lblAlgn val="ctr"/>
        <c:lblOffset val="100"/>
        <c:noMultiLvlLbl val="0"/>
      </c:catAx>
      <c:valAx>
        <c:axId val="910815648"/>
        <c:scaling>
          <c:orientation val="minMax"/>
        </c:scaling>
        <c:delete val="0"/>
        <c:axPos val="b"/>
        <c:majorGridlines>
          <c:spPr>
            <a:ln w="9525" cap="flat" cmpd="sng" algn="ctr">
              <a:solidFill>
                <a:schemeClr val="tx1">
                  <a:lumMod val="15000"/>
                  <a:lumOff val="85000"/>
                </a:schemeClr>
              </a:solidFill>
              <a:prstDash val="dash"/>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ontserrat" panose="00000500000000000000" pitchFamily="2" charset="0"/>
                <a:ea typeface="+mn-ea"/>
                <a:cs typeface="+mn-cs"/>
              </a:defRPr>
            </a:pPr>
            <a:endParaRPr lang="en-US"/>
          </a:p>
        </c:txPr>
        <c:crossAx val="123572406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latin typeface="Montserrat" panose="00000500000000000000" pitchFamily="2"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New Economics Foundation">
      <a:dk1>
        <a:srgbClr val="000000"/>
      </a:dk1>
      <a:lt1>
        <a:srgbClr val="ECECEC"/>
      </a:lt1>
      <a:dk2>
        <a:srgbClr val="F9C640"/>
      </a:dk2>
      <a:lt2>
        <a:srgbClr val="DADAD6"/>
      </a:lt2>
      <a:accent1>
        <a:srgbClr val="F9C640"/>
      </a:accent1>
      <a:accent2>
        <a:srgbClr val="E74644"/>
      </a:accent2>
      <a:accent3>
        <a:srgbClr val="82B5E1"/>
      </a:accent3>
      <a:accent4>
        <a:srgbClr val="8AC593"/>
      </a:accent4>
      <a:accent5>
        <a:srgbClr val="000000"/>
      </a:accent5>
      <a:accent6>
        <a:srgbClr val="ECECEC"/>
      </a:accent6>
      <a:hlink>
        <a:srgbClr val="000000"/>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Hyperlink xmlns="cfbad302-80ff-4320-a1e7-718263e71ef5">
      <Url xsi:nil="true"/>
      <Description xsi:nil="true"/>
    </Hyperlink>
    <TaxCatchAll xmlns="d92c11ff-f72c-49ac-a42e-62aae1321c9a" xsi:nil="true"/>
    <lcf76f155ced4ddcb4097134ff3c332f xmlns="cfbad302-80ff-4320-a1e7-718263e71ef5">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D02B825C7E7C44CB98C25A00D5FCD6E" ma:contentTypeVersion="20" ma:contentTypeDescription="Create a new document." ma:contentTypeScope="" ma:versionID="d26c329a0bf798c96815d6330b3f5df5">
  <xsd:schema xmlns:xsd="http://www.w3.org/2001/XMLSchema" xmlns:xs="http://www.w3.org/2001/XMLSchema" xmlns:p="http://schemas.microsoft.com/office/2006/metadata/properties" xmlns:ns2="cfbad302-80ff-4320-a1e7-718263e71ef5" xmlns:ns3="d92c11ff-f72c-49ac-a42e-62aae1321c9a" targetNamespace="http://schemas.microsoft.com/office/2006/metadata/properties" ma:root="true" ma:fieldsID="eceb7d2dcb0607b0b1e6eb3cdc7f37da" ns2:_="" ns3:_="">
    <xsd:import namespace="cfbad302-80ff-4320-a1e7-718263e71ef5"/>
    <xsd:import namespace="d92c11ff-f72c-49ac-a42e-62aae1321c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CR" minOccurs="0"/>
                <xsd:element ref="ns2:Hyper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bad302-80ff-4320-a1e7-718263e71e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3017acc-9912-452e-8762-c54547ae2880"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Hyperlink" ma:index="26"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92c11ff-f72c-49ac-a42e-62aae1321c9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284f3e5-66b8-47d4-bef1-99b7624b95d9}" ma:internalName="TaxCatchAll" ma:showField="CatchAllData" ma:web="d92c11ff-f72c-49ac-a42e-62aae1321c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4C16D9-6A5C-41AF-9A07-05A5AB0756F9}">
  <ds:schemaRefs>
    <ds:schemaRef ds:uri="http://schemas.microsoft.com/sharepoint/v3/contenttype/forms"/>
  </ds:schemaRefs>
</ds:datastoreItem>
</file>

<file path=customXml/itemProps2.xml><?xml version="1.0" encoding="utf-8"?>
<ds:datastoreItem xmlns:ds="http://schemas.openxmlformats.org/officeDocument/2006/customXml" ds:itemID="{17691C55-1099-4347-8466-561A6E8EA8C3}">
  <ds:schemaRefs>
    <ds:schemaRef ds:uri="http://schemas.openxmlformats.org/officeDocument/2006/bibliography"/>
  </ds:schemaRefs>
</ds:datastoreItem>
</file>

<file path=customXml/itemProps3.xml><?xml version="1.0" encoding="utf-8"?>
<ds:datastoreItem xmlns:ds="http://schemas.openxmlformats.org/officeDocument/2006/customXml" ds:itemID="{E096B321-9330-4ABD-A2D9-980209E5CBFF}">
  <ds:schemaRefs>
    <ds:schemaRef ds:uri="http://schemas.microsoft.com/office/2006/metadata/properties"/>
    <ds:schemaRef ds:uri="http://schemas.microsoft.com/office/infopath/2007/PartnerControls"/>
    <ds:schemaRef ds:uri="cfbad302-80ff-4320-a1e7-718263e71ef5"/>
    <ds:schemaRef ds:uri="d92c11ff-f72c-49ac-a42e-62aae1321c9a"/>
  </ds:schemaRefs>
</ds:datastoreItem>
</file>

<file path=customXml/itemProps4.xml><?xml version="1.0" encoding="utf-8"?>
<ds:datastoreItem xmlns:ds="http://schemas.openxmlformats.org/officeDocument/2006/customXml" ds:itemID="{217CA4FE-2126-4F9B-9BAB-2217488643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bad302-80ff-4320-a1e7-718263e71ef5"/>
    <ds:schemaRef ds:uri="d92c11ff-f72c-49ac-a42e-62aae1321c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TOU0095</dc:title>
  <cp:revision>0</cp:revision>
</cp:coreProperties>
</file>