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FC729B" w:rsidRPr="00560C4C" w:rsidP="00FC729B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560C4C">
        <w:rPr>
          <w:rFonts w:ascii="Calibri" w:hAnsi="Calibri" w:cs="Calibri"/>
          <w:sz w:val="28"/>
          <w:szCs w:val="28"/>
        </w:rPr>
        <w:t>Written evidence submitted by</w:t>
      </w:r>
      <w:r w:rsidRPr="00922D69">
        <w:rPr>
          <w:rFonts w:ascii="Calibri" w:hAnsi="Calibri" w:cs="Calibri"/>
          <w:sz w:val="28"/>
          <w:szCs w:val="28"/>
        </w:rPr>
        <w:t xml:space="preserve"> </w:t>
      </w:r>
      <w:r w:rsidRPr="00FC729B">
        <w:rPr>
          <w:rFonts w:ascii="Calibri" w:hAnsi="Calibri" w:cs="Calibri"/>
          <w:sz w:val="28"/>
          <w:szCs w:val="28"/>
        </w:rPr>
        <w:t>Cumbria Tourism</w:t>
      </w:r>
      <w:r>
        <w:rPr>
          <w:rFonts w:ascii="Calibri" w:hAnsi="Calibri" w:cs="Calibri"/>
          <w:sz w:val="28"/>
          <w:szCs w:val="28"/>
        </w:rPr>
        <w:t xml:space="preserve"> (LVEP)</w:t>
      </w:r>
    </w:p>
    <w:p w:rsidR="00F843E3" w:rsidRPr="00923DED" w:rsidP="00DD4B3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ABOUT CUMBRIA TOURISM (LVEP)</w:t>
      </w:r>
    </w:p>
    <w:p w:rsidR="00F843E3" w:rsidRPr="00923DED" w:rsidP="00DD4B3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Cumbria Tourism is the official Local Visitor Economy Partnership (LVEP) for the county, representing approximately 2,500 member businesses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, i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ncluding two National Parks, two World Heritage Sites and a burgeoning coastal offer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. T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he visitor economy is not merely a sector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-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it is the backbone of our community.</w:t>
      </w:r>
    </w:p>
    <w:p w:rsidR="00F843E3" w:rsidRPr="00923DED" w:rsidP="00DD4B3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ABOUT THE SECTOR IN CUMBRIA</w:t>
      </w:r>
    </w:p>
    <w:p w:rsidR="00F843E3" w:rsidRPr="00923DED" w:rsidP="00DD4B3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The sector we represent:</w:t>
      </w:r>
    </w:p>
    <w:p w:rsidR="00F843E3" w:rsidRPr="00923DED" w:rsidP="00DD4B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Contributes £4.6 billion to the regional economy.</w:t>
      </w:r>
    </w:p>
    <w:p w:rsidR="00F843E3" w:rsidRPr="00923DED" w:rsidP="00DD4B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Supports 74,823 jobs—nearly 28% of the county’s entire workforce (compared to the national average of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@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7%).</w:t>
      </w:r>
    </w:p>
    <w:p w:rsidR="00F843E3" w:rsidRPr="00923DED" w:rsidP="00DD4B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I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t is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dominated by SMEs, with 90%+ of our members being small or micro-businesses.</w:t>
      </w:r>
    </w:p>
    <w:p w:rsidR="00F843E3" w:rsidRPr="00923DED" w:rsidP="001E54A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£1.1bn spend in food &amp; drink sector</w:t>
      </w:r>
    </w:p>
    <w:p w:rsidR="00F843E3" w:rsidRPr="00923DED" w:rsidP="001E54A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£1.2bn spend with indirect supply chain</w:t>
      </w:r>
    </w:p>
    <w:p w:rsidR="00F843E3" w:rsidRPr="00923DED" w:rsidP="001E54A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£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573m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spend on transport sector</w:t>
      </w:r>
    </w:p>
    <w:p w:rsidR="00F843E3" w:rsidRPr="00923DED" w:rsidP="001E54A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As set out in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Cumbria’s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Economic Growth Strategy, Cumbria’s visitor economy is a vitally important component of the county’s economic and social fabric. It’s also what makes Cumbria a great place to live, work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and study:</w:t>
      </w:r>
    </w:p>
    <w:p w:rsidR="00F843E3" w:rsidRPr="00923DED" w:rsidP="00923DED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Attracting investment and regeneration, people and skills:</w:t>
      </w:r>
    </w:p>
    <w:p w:rsidR="00F843E3" w:rsidRPr="00923DED" w:rsidP="00923DED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Underpinning a resilient supply chain</w:t>
      </w:r>
    </w:p>
    <w:p w:rsidR="00F843E3" w:rsidRPr="00923DED" w:rsidP="00923DED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Supporting sustainable and inclusive growth</w:t>
      </w:r>
    </w:p>
    <w:p w:rsidR="00F843E3" w:rsidRPr="00923DED" w:rsidP="00923DED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Bringing vital social, cultural, community and wellbeing benefits</w:t>
      </w:r>
    </w:p>
    <w:p w:rsidR="00F843E3" w:rsidRPr="00923DED" w:rsidP="001E54A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Cumbria’s Destination Management Plan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 (DMP)</w:t>
      </w:r>
    </w:p>
    <w:p w:rsidR="00F843E3" w:rsidRPr="00923DED" w:rsidP="001E54A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In 2024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,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Cumbria adopted a Destination Management Plan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(DMP)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, setting a shared vision, objectives and action plan.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This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submission is underpinned by the DMP roadmap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which is a plan for better, higher-value, and more sustainable tourism for the benefit of people, places and visitors, achieving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long-term regenerative growth.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Together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public and private sector partners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are committed to coordinating efforts and funding to seize and maximise opportunities to support a successful, countywide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,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year-round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,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visitor economy for the benefit of businesses, communities, nature and visitors.</w:t>
      </w:r>
    </w:p>
    <w:p w:rsidR="00F843E3" w:rsidRPr="00923DED" w:rsidP="00E10CA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Our four core ambitions are:</w:t>
      </w:r>
    </w:p>
    <w:p w:rsidR="00F843E3" w:rsidRPr="00923DED" w:rsidP="00E10C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Ambition 1: Seasonal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e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xtension and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g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eographic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d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ispersal </w:t>
      </w:r>
    </w:p>
    <w:p w:rsidR="00F843E3" w:rsidP="00E10CA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G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row the value of the staying visitors,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with extra focus on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the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‘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shoulder season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’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(November–March) and inspire visitors to discover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the county as a whole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.</w:t>
      </w:r>
    </w:p>
    <w:p w:rsidR="00F843E3" w:rsidRPr="00923DED" w:rsidP="0019194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Growing the value of tourism to less well visited areas is </w:t>
      </w:r>
      <w:r w:rsidRPr="00923DED">
        <w:rPr>
          <w:rFonts w:ascii="Arial" w:eastAsia="+mn-ea" w:hAnsi="Arial" w:cs="Arial"/>
          <w:color w:val="000000"/>
          <w:kern w:val="24"/>
          <w:sz w:val="22"/>
          <w:szCs w:val="22"/>
          <w:lang w:val="en-US" w:eastAsia="en-GB"/>
        </w:rPr>
        <w:t xml:space="preserve">critically important to placemaking and supporting sustainable jobs that encourage people to settle within </w:t>
      </w:r>
      <w:r>
        <w:rPr>
          <w:rFonts w:ascii="Arial" w:eastAsia="+mn-ea" w:hAnsi="Arial" w:cs="Arial"/>
          <w:color w:val="000000"/>
          <w:kern w:val="24"/>
          <w:sz w:val="22"/>
          <w:szCs w:val="22"/>
          <w:lang w:val="en-US" w:eastAsia="en-GB"/>
        </w:rPr>
        <w:t xml:space="preserve">- </w:t>
      </w:r>
      <w:r w:rsidRPr="00923DED">
        <w:rPr>
          <w:rFonts w:ascii="Arial" w:eastAsia="+mn-ea" w:hAnsi="Arial" w:cs="Arial"/>
          <w:color w:val="000000"/>
          <w:kern w:val="24"/>
          <w:sz w:val="22"/>
          <w:szCs w:val="22"/>
          <w:lang w:val="en-US" w:eastAsia="en-GB"/>
        </w:rPr>
        <w:t>and contribute socially and economically</w:t>
      </w:r>
      <w:r>
        <w:rPr>
          <w:rFonts w:ascii="Arial" w:eastAsia="+mn-ea" w:hAnsi="Arial" w:cs="Arial"/>
          <w:color w:val="000000"/>
          <w:kern w:val="24"/>
          <w:sz w:val="22"/>
          <w:szCs w:val="22"/>
          <w:lang w:val="en-US" w:eastAsia="en-GB"/>
        </w:rPr>
        <w:t xml:space="preserve"> -</w:t>
      </w:r>
      <w:r w:rsidRPr="00923DED">
        <w:rPr>
          <w:rFonts w:ascii="Arial" w:eastAsia="+mn-ea" w:hAnsi="Arial" w:cs="Arial"/>
          <w:color w:val="000000"/>
          <w:kern w:val="24"/>
          <w:sz w:val="22"/>
          <w:szCs w:val="22"/>
          <w:lang w:val="en-US" w:eastAsia="en-GB"/>
        </w:rPr>
        <w:t xml:space="preserve"> to local communities.</w:t>
      </w:r>
    </w:p>
    <w:p w:rsidR="00F843E3" w:rsidRPr="00923DED" w:rsidP="00E10C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Ambition 2: A 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l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ow 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c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arbon 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d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estination</w:t>
      </w:r>
    </w:p>
    <w:p w:rsidR="00F843E3" w:rsidRPr="00923DED" w:rsidP="00E10CA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Cumbria aims to be a leading low-carbon destination. Our DMP prioritises sustainable transport solutions and supports businesses in the transition to Net Zero. </w:t>
      </w:r>
    </w:p>
    <w:p w:rsidR="00F843E3" w:rsidRPr="00923DED" w:rsidP="00923DED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Ambition 3: An 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a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ccessible and 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i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nclusive 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d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estination</w:t>
      </w:r>
    </w:p>
    <w:p w:rsidR="00F843E3" w:rsidRPr="00923DED" w:rsidP="00E10CA7">
      <w:pPr>
        <w:spacing w:after="100" w:afterAutospacing="1" w:line="240" w:lineRule="auto"/>
        <w:ind w:left="720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Fo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r the county to become the UK’s most accessible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and inclusive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rural destination. By actively targeting the ‘Purple Pound’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-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valued nationally at £15.3 billion annually for the tourism sector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,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we aim to support health and wellbeing as well as our economy. </w:t>
      </w:r>
    </w:p>
    <w:p w:rsidR="00F843E3" w:rsidRPr="00923DED" w:rsidP="00E10CA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Ambition 4: A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w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orkforce for the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f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uture</w:t>
      </w:r>
    </w:p>
    <w:p w:rsidR="00F843E3" w:rsidP="00E10CA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We are working to transform perceptions of the sector from a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‘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summer job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’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into a viable, year-round career path.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</w:t>
      </w:r>
      <w:r w:rsidRPr="0019194B">
        <w:rPr>
          <w:rFonts w:ascii="Arial" w:eastAsia="Times New Roman" w:hAnsi="Arial" w:cs="Arial"/>
          <w:kern w:val="0"/>
          <w:sz w:val="22"/>
          <w:szCs w:val="22"/>
          <w:lang w:eastAsia="en-GB"/>
        </w:rPr>
        <w:t>This includes local initiatives to connect those out of work and address the vacancy rate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and advocating for worker-centric housing and transport solutions in rural areas.</w:t>
      </w:r>
    </w:p>
    <w:p w:rsidR="00F843E3" w:rsidRPr="00923DED" w:rsidP="00DD4B3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2. GROWTH, COMPETITIVENESS, AND RESILIENCE</w:t>
      </w:r>
    </w:p>
    <w:p w:rsidR="00F843E3" w:rsidRPr="00923DED" w:rsidP="00923DE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Collectively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,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good progress is being made against the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DMP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and its targets, but the visitor economy remains incredibly fragile. Achieving these local ambitions requires a national policy framework that recognises the unique pressures on rural destinations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and a requirement for MCAs and partners to work with LVEPs to support visitor economy delivery.</w:t>
      </w:r>
    </w:p>
    <w:p w:rsidR="00F843E3" w:rsidRPr="00923DED" w:rsidP="002C74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2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a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. Barriers to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i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nternational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c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ompetitiveness</w:t>
      </w:r>
    </w:p>
    <w:p w:rsidR="00F843E3" w:rsidRPr="00923DED" w:rsidP="002C741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While the UK average for international spend is rising, international visitors still only account for 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15%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of Cumbria’s total volume. However, these visitors spend 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74% more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per day than domestic tourists. Policy friction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-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including the lack of tax-free shopping and high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v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isa costs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-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specifically prevents this high-value spend from moving beyond London into our rural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areas.</w:t>
      </w:r>
    </w:p>
    <w:p w:rsidR="00F843E3" w:rsidRPr="00923DED" w:rsidP="002C74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2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b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. Factors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e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xplaining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d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ivergence</w:t>
      </w:r>
    </w:p>
    <w:p w:rsidR="00F843E3" w:rsidRPr="00923DED" w:rsidP="002C741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The UK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ranks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113th out of 119 for price competitiveness globally. For a family choosing between a 4-night stay in Bowness-on-Windermere vs. a 4-night stay in the Alps, the 20% VAT rate is often the deciding factor. </w:t>
      </w:r>
      <w:r w:rsidRPr="0019194B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Furthermore Cumbrian tourism businesses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are managing </w:t>
      </w:r>
      <w:r w:rsidRPr="0019194B">
        <w:rPr>
          <w:rFonts w:ascii="Arial" w:eastAsia="Times New Roman" w:hAnsi="Arial" w:cs="Arial"/>
          <w:kern w:val="0"/>
          <w:sz w:val="22"/>
          <w:szCs w:val="22"/>
          <w:lang w:eastAsia="en-GB"/>
        </w:rPr>
        <w:t>significant cost increases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,</w:t>
      </w:r>
      <w:r w:rsidRPr="0019194B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with </w:t>
      </w:r>
      <w:r w:rsidRPr="0019194B">
        <w:rPr>
          <w:rFonts w:ascii="Arial" w:eastAsia="Times New Roman" w:hAnsi="Arial" w:cs="Arial"/>
          <w:kern w:val="0"/>
          <w:sz w:val="22"/>
          <w:szCs w:val="22"/>
          <w:lang w:eastAsia="en-GB"/>
        </w:rPr>
        <w:t>many</w:t>
      </w:r>
      <w:r w:rsidRPr="0019194B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seeing a direct decline in profitability.</w:t>
      </w:r>
    </w:p>
    <w:p w:rsidR="00F843E3" w:rsidRPr="00923DED" w:rsidP="002C741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2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c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. The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i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mpact of the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f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iscal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b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urden on Cumbrian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h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ospitality</w:t>
      </w:r>
    </w:p>
    <w:p w:rsidR="00F843E3" w:rsidRPr="00923DED" w:rsidP="002C741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The cumulative tax burden now represents the single greatest barrier to the long-term resilience of Cumbria’s hospitality sector, where 90% of operators are micro-businesses or SMEs with limited capacity to absorb fiscal shocks. The 'triple hit' of the 20% VAT rate (significantly higher than </w:t>
      </w:r>
      <w:r w:rsidRPr="0088479E">
        <w:rPr>
          <w:rFonts w:ascii="Arial" w:eastAsia="Times New Roman" w:hAnsi="Arial" w:cs="Arial"/>
          <w:kern w:val="0"/>
          <w:sz w:val="22"/>
          <w:szCs w:val="22"/>
          <w:lang w:eastAsia="en-GB"/>
        </w:rPr>
        <w:t>the</w:t>
      </w:r>
      <w:r w:rsidRPr="0088479E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</w:t>
      </w:r>
      <w:r w:rsidRPr="0088479E">
        <w:rPr>
          <w:rFonts w:ascii="Arial" w:eastAsia="Times New Roman" w:hAnsi="Arial" w:cs="Arial"/>
          <w:kern w:val="0"/>
          <w:sz w:val="22"/>
          <w:szCs w:val="22"/>
          <w:lang w:eastAsia="en-GB"/>
        </w:rPr>
        <w:t>EU average),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the April 2025 increases in Employer National Insurance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contributions,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and an antiquated business rates system has created a precarious fiscal environment. In a rural economy where tourism supports 28% of all jobs, these taxes act as a 'growth ceiling'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stripping businesses of the capital needed to invest in the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transitions and opportunities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outlined in our DMP. Without targeted VAT reform, the high cost of operation in Cumbria will continue to drive price-sensitive domestic visitors toward cheaper European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competitors, risking the viability of the very businesses that define our county’s character.</w:t>
      </w:r>
    </w:p>
    <w:p w:rsidR="00F843E3" w:rsidRPr="00923DED" w:rsidP="009A26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2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d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. The workforce challenge</w:t>
      </w:r>
    </w:p>
    <w:p w:rsidR="00F843E3" w:rsidRPr="00923DED" w:rsidP="009A266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This is more acute in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rural destinations like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Cumbria than the national average.</w:t>
      </w:r>
    </w:p>
    <w:p w:rsidR="00F843E3" w:rsidRPr="0088479E" w:rsidP="009A26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Vacancies: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</w:t>
      </w:r>
      <w:r w:rsidRPr="0088479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13%</w:t>
      </w:r>
      <w:r w:rsidRPr="0088479E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of all roles in Cumbrian tourism are currently vacant.</w:t>
      </w:r>
    </w:p>
    <w:p w:rsidR="00F843E3" w:rsidRPr="0088479E" w:rsidP="009A26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88479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Operational Impact:</w:t>
      </w:r>
      <w:r w:rsidRPr="0088479E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</w:t>
      </w:r>
      <w:r w:rsidRPr="0088479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66%</w:t>
      </w:r>
      <w:r w:rsidRPr="0088479E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of our local businesses report that staff shortages are actively limiting their capacity to trade.</w:t>
      </w:r>
    </w:p>
    <w:p w:rsidR="00F843E3" w:rsidRPr="00923DED" w:rsidP="002C74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2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e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. Drivers of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e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conomic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v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alue</w:t>
      </w:r>
    </w:p>
    <w:p w:rsidR="00F843E3" w:rsidRPr="00923DED" w:rsidP="002C741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Our independent heritage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, including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historic houses and rural estates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,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faces a unique threat. Unlike national museums, these sites pay full business rates and VAT, yet they are the anchor attractions for our rural valleys.</w:t>
      </w:r>
    </w:p>
    <w:p w:rsidR="00F843E3" w:rsidRPr="00923DED" w:rsidP="002C74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2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f</w:t>
      </w: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. Overnight Visitor Levy (The "Tourism Tax")</w:t>
      </w:r>
    </w:p>
    <w:p w:rsidR="00F843E3" w:rsidRPr="00923DED" w:rsidP="002C741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Cumbria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n businesses are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deeply concerned about a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mandatory levy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:</w:t>
      </w:r>
    </w:p>
    <w:p w:rsidR="00F843E3" w:rsidRPr="0072394F" w:rsidP="0072394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Voluntary 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s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uccess</w:t>
      </w:r>
      <w:r w:rsidRPr="0072394F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: Currently, 14% of our visitors already make voluntary contributions (averaging £7.50) to schemes supporting local services like Mountain Rescue and trail repairs. A mandatory tax risks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‘</w:t>
      </w:r>
      <w:r w:rsidRPr="0072394F">
        <w:rPr>
          <w:rFonts w:ascii="Arial" w:eastAsia="Times New Roman" w:hAnsi="Arial" w:cs="Arial"/>
          <w:kern w:val="0"/>
          <w:sz w:val="22"/>
          <w:szCs w:val="22"/>
          <w:lang w:eastAsia="en-GB"/>
        </w:rPr>
        <w:t>crowding out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’</w:t>
      </w:r>
      <w:r w:rsidRPr="0072394F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this local altruism.</w:t>
      </w:r>
    </w:p>
    <w:p w:rsidR="00F843E3" w:rsidRPr="00923DED" w:rsidP="0072394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The 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‘d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ouble 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h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it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’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: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With our visitors staying an average of 4.18 nights, a per-night levy would effectively be a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r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ural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st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aycation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t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ax,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>making a week in Cumbria significantly more expensive than a week in a city-break destination.</w:t>
      </w:r>
    </w:p>
    <w:p w:rsidR="00F843E3" w:rsidRPr="00923DED" w:rsidP="00E53AB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Unlike major cities where 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l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evies are focussed on generating tourism growth across the board, we must manage a more delicate balance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 </w:t>
      </w: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in Cumbria</w:t>
      </w:r>
      <w:r w:rsidRPr="0072394F">
        <w:rPr>
          <w:rFonts w:ascii="Arial" w:eastAsia="Times New Roman" w:hAnsi="Arial" w:cs="Arial"/>
          <w:kern w:val="0"/>
          <w:sz w:val="22"/>
          <w:szCs w:val="22"/>
          <w:lang w:eastAsia="en-GB"/>
        </w:rPr>
        <w:t>. Our landscape is dominated by small, family-owned accommodation businesses, not large hotel chains, and cannot match the economies of scale found in urban centres. Rising business costs, reduced consumer spending power, and the UK's 20% VAT rate on accommodation - significantly higher than many European and global destination - create significant competitive disadvantages and risks on a secto</w:t>
      </w:r>
      <w:r w:rsidRPr="0072394F">
        <w:rPr>
          <w:rFonts w:ascii="Arial" w:eastAsia="Times New Roman" w:hAnsi="Arial" w:cs="Arial"/>
          <w:kern w:val="0"/>
          <w:sz w:val="22"/>
          <w:szCs w:val="22"/>
          <w:lang w:eastAsia="en-GB"/>
        </w:rPr>
        <w:t>r that remains fragile and has not recovered to pre Covid levels.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This evidence based call is supported </w:t>
      </w:r>
      <w:r>
        <w:rPr>
          <w:sz w:val="22"/>
          <w:szCs w:val="22"/>
        </w:rPr>
        <w:t>by many other business bodies including HARPA, Tourism Alliance, PASC, UKH, CBI and more.</w:t>
      </w:r>
    </w:p>
    <w:p w:rsidR="00F843E3" w:rsidRPr="00923DED" w:rsidP="00DD4B3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4. SUMMARY OF ASKS</w:t>
      </w:r>
    </w:p>
    <w:p w:rsidR="00F843E3" w:rsidRPr="00E53AB3" w:rsidP="00E53AB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E53AB3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Reduce VAT on </w:t>
      </w:r>
      <w:r w:rsidRPr="00E53AB3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hospitality </w:t>
      </w:r>
      <w:r w:rsidRPr="00E53AB3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to 10%</w:t>
      </w:r>
      <w:r w:rsidRPr="00E53AB3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to address the UK’s price competitiveness, which is currently driving domestic visitors toward cheaper European alternatives.</w:t>
      </w:r>
    </w:p>
    <w:p w:rsidR="00F843E3" w:rsidRPr="00923DED" w:rsidP="00681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Do not introduce an England overnight visitor levy</w:t>
      </w:r>
      <w:r w:rsidRPr="00D82A7A">
        <w:rPr>
          <w:rFonts w:ascii="Arial" w:eastAsia="Times New Roman" w:hAnsi="Arial" w:cs="Arial"/>
          <w:kern w:val="0"/>
          <w:sz w:val="22"/>
          <w:szCs w:val="22"/>
          <w:lang w:eastAsia="en-GB"/>
        </w:rPr>
        <w:t>.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</w:t>
      </w:r>
    </w:p>
    <w:p w:rsidR="00F843E3" w:rsidRPr="00681A96" w:rsidP="00681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Stabilise long-term funding for LVEPs.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LVEP</w:t>
      </w:r>
      <w:r w:rsidRPr="00681A96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activity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generates</w:t>
      </w:r>
      <w:r w:rsidRPr="00681A96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significant returns on investment. </w:t>
      </w:r>
    </w:p>
    <w:p w:rsidR="00F843E3" w:rsidRPr="00681A96" w:rsidP="00681A96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Arial" w:eastAsia="Times New Roman" w:hAnsi="Arial" w:cs="Arial"/>
          <w:sz w:val="22"/>
          <w:szCs w:val="22"/>
        </w:rPr>
      </w:pPr>
      <w:r w:rsidRPr="00681A96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Support visitor use of public transport. </w:t>
      </w:r>
      <w:r w:rsidRPr="00681A96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Extend the </w:t>
      </w:r>
      <w:r w:rsidRPr="00681A96">
        <w:rPr>
          <w:rFonts w:ascii="Arial" w:eastAsia="Times New Roman" w:hAnsi="Arial" w:cs="Arial"/>
          <w:sz w:val="22"/>
          <w:szCs w:val="22"/>
        </w:rPr>
        <w:t>fare cap and introduce an integrated Travel app</w:t>
      </w:r>
    </w:p>
    <w:p w:rsidR="00F843E3" w:rsidP="00681A96">
      <w:pPr>
        <w:numPr>
          <w:ilvl w:val="0"/>
          <w:numId w:val="2"/>
        </w:numPr>
        <w:spacing w:before="100" w:beforeAutospacing="1" w:after="0" w:afterAutospacing="1" w:line="240" w:lineRule="auto"/>
        <w:rPr>
          <w:rFonts w:eastAsia="Times New Roman"/>
          <w:sz w:val="22"/>
          <w:szCs w:val="22"/>
        </w:rPr>
      </w:pPr>
      <w:r w:rsidRPr="00E53AB3">
        <w:rPr>
          <w:rFonts w:ascii="Arial" w:eastAsia="Times New Roman" w:hAnsi="Arial" w:cs="Arial"/>
          <w:kern w:val="0"/>
          <w:sz w:val="22"/>
          <w:szCs w:val="22"/>
          <w:lang w:eastAsia="en-GB"/>
        </w:rPr>
        <w:t>Introduce a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 </w:t>
      </w:r>
      <w:r w:rsidRPr="00681A96">
        <w:rPr>
          <w:rFonts w:ascii="Arial" w:eastAsia="Times New Roman" w:hAnsi="Arial" w:cs="Arial"/>
          <w:kern w:val="0"/>
          <w:sz w:val="22"/>
          <w:szCs w:val="22"/>
          <w:lang w:eastAsia="en-GB"/>
        </w:rPr>
        <w:t>n</w:t>
      </w:r>
      <w:r w:rsidRPr="0088479E">
        <w:rPr>
          <w:rFonts w:eastAsia="Times New Roman"/>
          <w:sz w:val="22"/>
          <w:szCs w:val="22"/>
        </w:rPr>
        <w:t xml:space="preserve">ational campaign to </w:t>
      </w:r>
      <w:r w:rsidRPr="00E53AB3">
        <w:rPr>
          <w:rFonts w:eastAsia="Times New Roman"/>
          <w:b/>
          <w:bCs/>
          <w:sz w:val="22"/>
          <w:szCs w:val="22"/>
        </w:rPr>
        <w:t>raise awareness of careers</w:t>
      </w:r>
      <w:r w:rsidRPr="0088479E">
        <w:rPr>
          <w:rFonts w:eastAsia="Times New Roman"/>
          <w:sz w:val="22"/>
          <w:szCs w:val="22"/>
        </w:rPr>
        <w:t xml:space="preserve"> in the Visitor Economy</w:t>
      </w:r>
      <w:r>
        <w:rPr>
          <w:rFonts w:eastAsia="Times New Roman"/>
          <w:sz w:val="22"/>
          <w:szCs w:val="22"/>
        </w:rPr>
        <w:t xml:space="preserve"> </w:t>
      </w:r>
    </w:p>
    <w:p w:rsidR="00F843E3" w:rsidP="00E53A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Review apprenticeship </w:t>
      </w:r>
      <w:r w:rsidRPr="00E53AB3">
        <w:rPr>
          <w:rFonts w:ascii="Arial" w:eastAsia="Times New Roman" w:hAnsi="Arial" w:cs="Arial"/>
          <w:kern w:val="0"/>
          <w:sz w:val="22"/>
          <w:szCs w:val="22"/>
          <w:lang w:eastAsia="en-GB"/>
        </w:rPr>
        <w:t>funding so as not to defund apprenticeships commonly used to upskill older, more senior members of staff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.</w:t>
      </w:r>
    </w:p>
    <w:p w:rsidR="00F843E3" w:rsidRPr="00E53AB3" w:rsidP="00C45EDF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</w:pPr>
      <w:r w:rsidRPr="00E53AB3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Review Sunday working hour caps </w:t>
      </w:r>
      <w:r w:rsidRPr="00E53AB3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for young people affecting under 16s getting weekend work.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</w:rPr>
        <w:t>Current restrictions put</w:t>
      </w:r>
      <w:r w:rsidRPr="00E53AB3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businesses off taking young people on and the knock on effect is they are missing out on developing valuable skills.</w:t>
      </w:r>
      <w:r w:rsidRPr="00E53AB3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 </w:t>
      </w:r>
    </w:p>
    <w:p w:rsidR="00F843E3" w:rsidRPr="0088479E" w:rsidP="00C45EDF">
      <w:pPr>
        <w:numPr>
          <w:ilvl w:val="0"/>
          <w:numId w:val="2"/>
        </w:numPr>
        <w:spacing w:after="0" w:line="240" w:lineRule="auto"/>
        <w:ind w:left="714" w:hanging="357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72394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 xml:space="preserve">Require weather apps </w:t>
      </w:r>
      <w:r w:rsidRPr="00681A96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improvements to provide more visitor confidence</w:t>
      </w:r>
      <w:r w:rsidRPr="0072394F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.  </w:t>
      </w:r>
      <w:r w:rsidRPr="0072394F">
        <w:rPr>
          <w:rFonts w:ascii="Arial" w:hAnsi="Arial" w:cs="Arial"/>
          <w:color w:val="181818"/>
          <w:sz w:val="22"/>
          <w:szCs w:val="22"/>
          <w:shd w:val="clear" w:color="auto" w:fill="F8F8F8"/>
        </w:rPr>
        <w:t>In a sector driven by spontaneity, small design choices in forecast presentation can have disproportionate economic consequences.</w:t>
      </w:r>
    </w:p>
    <w:p w:rsidR="00F843E3" w:rsidRPr="00923DED" w:rsidP="00681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</w:rPr>
      </w:pPr>
      <w:r w:rsidRPr="00923DED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</w:rPr>
        <w:t>Publish the National Visitor Economy Strategy</w:t>
      </w:r>
      <w:r w:rsidRPr="00923DED">
        <w:rPr>
          <w:rFonts w:ascii="Arial" w:eastAsia="Times New Roman" w:hAnsi="Arial" w:cs="Arial"/>
          <w:kern w:val="0"/>
          <w:sz w:val="22"/>
          <w:szCs w:val="22"/>
          <w:lang w:eastAsia="en-GB"/>
        </w:rPr>
        <w:t xml:space="preserve"> with specific protections for rural and coastal destinations like Cumbria.</w:t>
      </w:r>
    </w:p>
    <w:p w:rsidR="00F843E3" w:rsidRPr="00E10CA7" w:rsidP="003F7B0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</w:rPr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827C0A"/>
    <w:multiLevelType w:val="hybridMultilevel"/>
    <w:tmpl w:val="62E41D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C3289"/>
    <w:multiLevelType w:val="multilevel"/>
    <w:tmpl w:val="F5DE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529FF"/>
    <w:multiLevelType w:val="hybridMultilevel"/>
    <w:tmpl w:val="CD084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73080"/>
    <w:multiLevelType w:val="multilevel"/>
    <w:tmpl w:val="B846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5B39E9"/>
    <w:multiLevelType w:val="hybridMultilevel"/>
    <w:tmpl w:val="A642BE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27100E"/>
    <w:multiLevelType w:val="multilevel"/>
    <w:tmpl w:val="4012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AE3ECE"/>
    <w:multiLevelType w:val="multilevel"/>
    <w:tmpl w:val="6952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136693"/>
    <w:multiLevelType w:val="hybridMultilevel"/>
    <w:tmpl w:val="AB3EE28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6FB0BAF"/>
    <w:multiLevelType w:val="multilevel"/>
    <w:tmpl w:val="CB10B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1E34B7"/>
    <w:multiLevelType w:val="multilevel"/>
    <w:tmpl w:val="0FB4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7A5D65"/>
    <w:multiLevelType w:val="multilevel"/>
    <w:tmpl w:val="2FC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F3372D"/>
    <w:multiLevelType w:val="multilevel"/>
    <w:tmpl w:val="F180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C60018"/>
    <w:multiLevelType w:val="hybridMultilevel"/>
    <w:tmpl w:val="88F806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6352B"/>
    <w:multiLevelType w:val="hybridMultilevel"/>
    <w:tmpl w:val="D9623D6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E4C25C3"/>
    <w:multiLevelType w:val="hybridMultilevel"/>
    <w:tmpl w:val="A53220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5067FB"/>
    <w:multiLevelType w:val="multilevel"/>
    <w:tmpl w:val="92B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C73B1C"/>
    <w:multiLevelType w:val="multilevel"/>
    <w:tmpl w:val="B500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35174E"/>
    <w:multiLevelType w:val="multilevel"/>
    <w:tmpl w:val="92B49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3"/>
  </w:num>
  <w:num w:numId="5">
    <w:abstractNumId w:val="16"/>
  </w:num>
  <w:num w:numId="6">
    <w:abstractNumId w:val="9"/>
  </w:num>
  <w:num w:numId="7">
    <w:abstractNumId w:val="11"/>
  </w:num>
  <w:num w:numId="8">
    <w:abstractNumId w:val="15"/>
  </w:num>
  <w:num w:numId="9">
    <w:abstractNumId w:val="8"/>
  </w:num>
  <w:num w:numId="10">
    <w:abstractNumId w:val="5"/>
  </w:num>
  <w:num w:numId="11">
    <w:abstractNumId w:val="0"/>
  </w:num>
  <w:num w:numId="12">
    <w:abstractNumId w:val="1"/>
  </w:num>
  <w:num w:numId="13">
    <w:abstractNumId w:val="13"/>
  </w:num>
  <w:num w:numId="14">
    <w:abstractNumId w:val="7"/>
  </w:num>
  <w:num w:numId="15">
    <w:abstractNumId w:val="2"/>
  </w:num>
  <w:num w:numId="16">
    <w:abstractNumId w:val="14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B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B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B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B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7B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B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B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B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B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B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B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B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B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B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B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B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D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</w:rPr>
  </w:style>
  <w:style w:type="character" w:customStyle="1" w:styleId="citation-34">
    <w:name w:val="citation-34"/>
    <w:basedOn w:val="DefaultParagraphFont"/>
    <w:rsid w:val="00ED6B72"/>
  </w:style>
  <w:style w:type="character" w:customStyle="1" w:styleId="citation-33">
    <w:name w:val="citation-33"/>
    <w:basedOn w:val="DefaultParagraphFont"/>
    <w:rsid w:val="00ED6B72"/>
  </w:style>
  <w:style w:type="character" w:customStyle="1" w:styleId="citation-32">
    <w:name w:val="citation-32"/>
    <w:basedOn w:val="DefaultParagraphFont"/>
    <w:rsid w:val="00ED6B72"/>
  </w:style>
  <w:style w:type="character" w:customStyle="1" w:styleId="citation-31">
    <w:name w:val="citation-31"/>
    <w:basedOn w:val="DefaultParagraphFont"/>
    <w:rsid w:val="00ED6B72"/>
  </w:style>
  <w:style w:type="character" w:styleId="CommentReference">
    <w:name w:val="annotation reference"/>
    <w:basedOn w:val="DefaultParagraphFont"/>
    <w:uiPriority w:val="99"/>
    <w:semiHidden/>
    <w:unhideWhenUsed/>
    <w:rsid w:val="009A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662"/>
    <w:rPr>
      <w:b/>
      <w:bCs/>
      <w:sz w:val="20"/>
      <w:szCs w:val="20"/>
    </w:rPr>
  </w:style>
  <w:style w:type="paragraph" w:customStyle="1" w:styleId="ssrcss-1q0x1qg-paragraph">
    <w:name w:val="ssrcss-1q0x1qg-paragraph"/>
    <w:basedOn w:val="Normal"/>
    <w:rsid w:val="00724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</w:rPr>
  </w:style>
  <w:style w:type="paragraph" w:styleId="Revision">
    <w:name w:val="Revision"/>
    <w:hidden/>
    <w:uiPriority w:val="99"/>
    <w:semiHidden/>
    <w:rsid w:val="008204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41897-C9BA-4AEE-B7A0-9F24D6E699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TOU0094</dc:title>
  <cp:revision>0</cp:revision>
</cp:coreProperties>
</file>