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D3E73" w:rsidRPr="00560C4C" w:rsidP="009D3E73">
      <w:pPr>
        <w:spacing w:line="360" w:lineRule="auto"/>
        <w:jc w:val="center"/>
        <w:rPr>
          <w:rFonts w:ascii="Calibri" w:hAnsi="Calibri" w:cs="Calibri"/>
          <w:sz w:val="28"/>
          <w:szCs w:val="28"/>
        </w:rPr>
      </w:pPr>
      <w:bookmarkStart w:id="0" w:name="_Hlk125363225"/>
      <w:r w:rsidRPr="00560C4C">
        <w:rPr>
          <w:rFonts w:ascii="Calibri" w:hAnsi="Calibri" w:cs="Calibri"/>
          <w:sz w:val="28"/>
          <w:szCs w:val="28"/>
        </w:rPr>
        <w:t>Written evidence submitted by</w:t>
      </w:r>
      <w:r>
        <w:rPr>
          <w:rFonts w:ascii="Calibri" w:hAnsi="Calibri" w:cs="Calibri"/>
          <w:sz w:val="28"/>
          <w:szCs w:val="28"/>
        </w:rPr>
        <w:t xml:space="preserve"> t</w:t>
      </w:r>
      <w:r w:rsidRPr="009D3E73">
        <w:rPr>
          <w:rFonts w:ascii="Calibri" w:hAnsi="Calibri" w:cs="Calibri"/>
          <w:sz w:val="28"/>
          <w:szCs w:val="28"/>
        </w:rPr>
        <w:t>he Heritage Alliance</w:t>
      </w:r>
    </w:p>
    <w:p w:rsidR="009D3E73" w:rsidP="009D3E73">
      <w:pPr>
        <w:pStyle w:val="Title2"/>
        <w:rPr>
          <w:rFonts w:ascii="Aptos" w:hAnsi="Aptos"/>
          <w:b/>
          <w:bCs w:val="0"/>
        </w:rPr>
      </w:pPr>
      <w:r>
        <w:t xml:space="preserve">the </w:t>
      </w:r>
      <w:r>
        <w:t xml:space="preserve">ure, Media &amp; Sport Committee </w:t>
      </w:r>
      <w:bookmarkStart w:id="1" w:name="_Toc230020908"/>
      <w:bookmarkEnd w:id="0"/>
    </w:p>
    <w:p w:rsidR="00611166" w:rsidRPr="00DB7773" w:rsidP="4F216CB9">
      <w:pPr>
        <w:pStyle w:val="Heading1"/>
        <w:rPr>
          <w:rFonts w:ascii="Aptos" w:hAnsi="Aptos"/>
          <w:b/>
          <w:bCs/>
        </w:rPr>
      </w:pPr>
      <w:r w:rsidRPr="00A24AB0">
        <w:rPr>
          <w:rFonts w:ascii="Aptos" w:hAnsi="Aptos"/>
          <w:b/>
          <w:bCs/>
        </w:rPr>
        <w:t>A</w:t>
      </w:r>
      <w:r w:rsidRPr="00A24AB0">
        <w:rPr>
          <w:rFonts w:ascii="Aptos" w:hAnsi="Aptos"/>
          <w:b/>
          <w:bCs/>
        </w:rPr>
        <w:t>bout Us</w:t>
      </w:r>
      <w:bookmarkEnd w:id="1"/>
    </w:p>
    <w:p w:rsidR="00611166" w:rsidRPr="00E26F91" w:rsidP="4F216CB9">
      <w:pPr>
        <w:spacing w:after="200"/>
        <w:rPr>
          <w:rFonts w:ascii="Aptos" w:eastAsia="Aptos" w:hAnsi="Aptos" w:cs="Aptos"/>
        </w:rPr>
      </w:pPr>
      <w:r w:rsidRPr="4F216CB9">
        <w:rPr>
          <w:rFonts w:ascii="Aptos" w:eastAsia="Aptos" w:hAnsi="Aptos" w:cs="Aptos"/>
        </w:rPr>
        <w:t xml:space="preserve">The Heritage Alliance is the national umbrella body for the independent heritage sector. We are a charity uniting more than 200 organisations including the Association of Independent Museums, English Heritage, Old Royal Naval College, </w:t>
      </w:r>
      <w:r>
        <w:rPr>
          <w:rFonts w:ascii="Aptos" w:eastAsia="Aptos" w:hAnsi="Aptos" w:cs="Aptos"/>
        </w:rPr>
        <w:t xml:space="preserve">Landmark Trust, </w:t>
      </w:r>
      <w:r w:rsidRPr="4F216CB9">
        <w:rPr>
          <w:rFonts w:ascii="Aptos" w:eastAsia="Aptos" w:hAnsi="Aptos" w:cs="Aptos"/>
        </w:rPr>
        <w:t>Historic Houses, National Trust, Piece Hall</w:t>
      </w:r>
      <w:r w:rsidRPr="0A1FA4DB">
        <w:rPr>
          <w:rFonts w:ascii="Aptos" w:eastAsia="Aptos" w:hAnsi="Aptos" w:cs="Aptos"/>
        </w:rPr>
        <w:t>,</w:t>
      </w:r>
      <w:r>
        <w:rPr>
          <w:rFonts w:ascii="Aptos" w:eastAsia="Aptos" w:hAnsi="Aptos" w:cs="Aptos"/>
        </w:rPr>
        <w:t xml:space="preserve"> </w:t>
      </w:r>
      <w:r w:rsidRPr="0A1FA4DB">
        <w:rPr>
          <w:rFonts w:ascii="Aptos" w:eastAsia="Aptos" w:hAnsi="Aptos" w:cs="Aptos"/>
        </w:rPr>
        <w:t>Tourism Alliance</w:t>
      </w:r>
      <w:r>
        <w:rPr>
          <w:rFonts w:ascii="Aptos" w:eastAsia="Aptos" w:hAnsi="Aptos" w:cs="Aptos"/>
        </w:rPr>
        <w:t>, and Youth Hostel Association</w:t>
      </w:r>
      <w:r w:rsidRPr="0A1FA4DB">
        <w:rPr>
          <w:rFonts w:ascii="Aptos" w:eastAsia="Aptos" w:hAnsi="Aptos" w:cs="Aptos"/>
        </w:rPr>
        <w:t>.</w:t>
      </w:r>
      <w:r w:rsidRPr="4F216CB9">
        <w:rPr>
          <w:rFonts w:ascii="Aptos" w:eastAsia="Aptos" w:hAnsi="Aptos" w:cs="Aptos"/>
        </w:rPr>
        <w:t xml:space="preserve"> Together the organisations we represent have over 7 million members, volunteers, trustees and staff. The vast majority of England’s historic environment is owned, managed and cared for by Heritage Alliance members. </w:t>
      </w:r>
    </w:p>
    <w:p w:rsidR="00611166" w:rsidRPr="00E26F91" w:rsidP="4F216CB9">
      <w:pPr>
        <w:spacing w:before="80" w:after="120"/>
        <w:rPr>
          <w:rFonts w:ascii="Aptos" w:hAnsi="Aptos"/>
        </w:rPr>
      </w:pPr>
      <w:r w:rsidRPr="00E26F91">
        <w:rPr>
          <w:rFonts w:ascii="Aptos" w:eastAsia="Arial" w:hAnsi="Aptos" w:cs="Arial"/>
        </w:rPr>
        <w:t>Heritage is a cornerstone of the UK’s tourism offer. The sector contributes an estimated £45.1 billion in gross value added to the UK economy and supports over 538,000 jobs, a larger direct contribution to UK GDP than the security, defence, or aerospace industries</w:t>
      </w:r>
      <w:r>
        <w:rPr>
          <w:rStyle w:val="FootnoteReference"/>
          <w:rFonts w:ascii="Aptos" w:eastAsia="Arial" w:hAnsi="Aptos" w:cs="Arial"/>
        </w:rPr>
        <w:footnoteReference w:id="2"/>
      </w:r>
      <w:r w:rsidRPr="00E26F91">
        <w:rPr>
          <w:rFonts w:ascii="Aptos" w:eastAsia="Arial" w:hAnsi="Aptos" w:cs="Arial"/>
        </w:rPr>
        <w:t xml:space="preserve">. </w:t>
      </w:r>
      <w:r w:rsidRPr="4F216CB9">
        <w:rPr>
          <w:rFonts w:ascii="Aptos" w:hAnsi="Aptos" w:cstheme="majorBidi"/>
        </w:rPr>
        <w:t>7 out of 10 of the most popular paid visitor attractions in England are heritage attractions</w:t>
      </w:r>
      <w:r>
        <w:rPr>
          <w:rStyle w:val="FootnoteReference"/>
          <w:rFonts w:ascii="Aptos" w:hAnsi="Aptos" w:cstheme="majorBidi"/>
        </w:rPr>
        <w:footnoteReference w:id="3"/>
      </w:r>
      <w:r w:rsidRPr="4F216CB9">
        <w:rPr>
          <w:rFonts w:ascii="Aptos" w:hAnsi="Aptos" w:cstheme="majorBidi"/>
        </w:rPr>
        <w:t xml:space="preserve">, and our World Heritage Sites are central to heritage tourism in the UK also contribute </w:t>
      </w:r>
      <w:r w:rsidRPr="00A24AB0">
        <w:rPr>
          <w:rFonts w:ascii="Aptos" w:hAnsi="Aptos" w:cstheme="majorBidi"/>
        </w:rPr>
        <w:t>greatly to our global standing</w:t>
      </w:r>
      <w:r>
        <w:rPr>
          <w:rStyle w:val="FootnoteReference"/>
          <w:rFonts w:ascii="Aptos" w:hAnsi="Aptos" w:cstheme="majorBidi"/>
        </w:rPr>
        <w:footnoteReference w:id="4"/>
      </w:r>
      <w:r w:rsidRPr="00A24AB0">
        <w:rPr>
          <w:rFonts w:ascii="Aptos" w:hAnsi="Aptos" w:cstheme="majorBidi"/>
        </w:rPr>
        <w:t xml:space="preserve">. </w:t>
      </w:r>
    </w:p>
    <w:p w:rsidR="00611166" w:rsidRPr="00E26F91" w:rsidP="4F216CB9">
      <w:pPr>
        <w:spacing w:after="200"/>
        <w:rPr>
          <w:rFonts w:ascii="Aptos" w:hAnsi="Aptos"/>
        </w:rPr>
      </w:pPr>
      <w:r w:rsidRPr="00A24AB0">
        <w:rPr>
          <w:rFonts w:ascii="Aptos" w:eastAsia="Aptos" w:hAnsi="Aptos" w:cs="Aptos"/>
        </w:rPr>
        <w:t xml:space="preserve">We welcome the opportunity to </w:t>
      </w:r>
      <w:r w:rsidRPr="00A24AB0">
        <w:rPr>
          <w:rFonts w:ascii="Aptos" w:eastAsia="Aptos" w:hAnsi="Aptos" w:cs="Aptos"/>
        </w:rPr>
        <w:t>respond</w:t>
      </w:r>
      <w:r w:rsidRPr="00A24AB0">
        <w:rPr>
          <w:rFonts w:ascii="Aptos" w:eastAsia="Aptos" w:hAnsi="Aptos" w:cs="Aptos"/>
        </w:rPr>
        <w:t xml:space="preserve"> to this inquiry and contribute insights regarding the drivers of international tourism, recovery from COVID-19, regional growth, the potential of cultural and creative assets, and the tourism workforce.</w:t>
      </w:r>
    </w:p>
    <w:p w:rsidR="00611166" w:rsidRPr="00E26F91" w:rsidP="4F216CB9">
      <w:pPr>
        <w:pStyle w:val="Heading1"/>
        <w:rPr>
          <w:rFonts w:ascii="Aptos" w:hAnsi="Aptos"/>
          <w:b/>
          <w:bCs/>
        </w:rPr>
      </w:pPr>
      <w:bookmarkStart w:id="2" w:name="_Toc230020909"/>
      <w:r w:rsidRPr="00A24AB0">
        <w:rPr>
          <w:rFonts w:ascii="Aptos" w:hAnsi="Aptos"/>
          <w:b/>
          <w:bCs/>
        </w:rPr>
        <w:t>Summary of Response</w:t>
      </w:r>
      <w:bookmarkEnd w:id="2"/>
      <w:r w:rsidRPr="00A24AB0">
        <w:rPr>
          <w:rFonts w:ascii="Aptos" w:hAnsi="Aptos"/>
          <w:b/>
          <w:bCs/>
        </w:rPr>
        <w:t xml:space="preserve"> </w:t>
      </w:r>
    </w:p>
    <w:p w:rsidR="00611166" w:rsidRPr="00DD3707" w:rsidP="4F216CB9">
      <w:pPr>
        <w:rPr>
          <w:rFonts w:ascii="Aptos" w:hAnsi="Aptos"/>
        </w:rPr>
      </w:pPr>
      <w:r w:rsidRPr="4F216CB9">
        <w:rPr>
          <w:rFonts w:ascii="Aptos" w:hAnsi="Aptos"/>
          <w:b/>
          <w:bCs/>
        </w:rPr>
        <w:t xml:space="preserve">Heritage is the primary pull factor for international tourism to the UK. </w:t>
      </w:r>
      <w:r w:rsidRPr="4F216CB9">
        <w:rPr>
          <w:rFonts w:ascii="Aptos" w:hAnsi="Aptos"/>
        </w:rPr>
        <w:t>International tourists spent an estimated £12.5 billion at heritage-related destinations in 2023; 7 in 10 of the most popular paid visitor attractions in England are heritage sites; and the UK ranks fifth in the Global Soft Power Index for culture and heritage. The heritage sector contributes £45.1 billion in GVA and supports over 538,000 jobs - a larger direct contribution to GDP than defence or aerospace.</w:t>
      </w:r>
    </w:p>
    <w:p w:rsidR="00611166" w:rsidP="4F216CB9">
      <w:pPr>
        <w:rPr>
          <w:rFonts w:ascii="Aptos" w:hAnsi="Aptos"/>
        </w:rPr>
      </w:pPr>
    </w:p>
    <w:p w:rsidR="00611166" w:rsidP="4F216CB9">
      <w:r w:rsidRPr="4F216CB9">
        <w:rPr>
          <w:rFonts w:ascii="Aptos" w:hAnsi="Aptos"/>
        </w:rPr>
        <w:t xml:space="preserve">The Heritage Alliance's submission addresses six of the Committee's terms of reference and makes the following recommendations: </w:t>
      </w:r>
    </w:p>
    <w:p w:rsidR="00611166" w:rsidP="1203D3FA">
      <w:pPr>
        <w:rPr>
          <w:rFonts w:ascii="Aptos" w:hAnsi="Aptos"/>
        </w:rPr>
      </w:pPr>
    </w:p>
    <w:p w:rsidR="00611166" w:rsidRPr="00366226" w:rsidP="00366226">
      <w:pPr>
        <w:pStyle w:val="ListParagraph"/>
        <w:numPr>
          <w:ilvl w:val="0"/>
          <w:numId w:val="12"/>
        </w:numPr>
      </w:pPr>
      <w:r w:rsidRPr="00366226">
        <w:rPr>
          <w:rFonts w:ascii="Aptos" w:eastAsia="Segoe UI" w:hAnsi="Aptos"/>
          <w:b/>
          <w:bCs/>
        </w:rPr>
        <w:t>National Strategy and Funding</w:t>
      </w:r>
      <w:r w:rsidRPr="00366226">
        <w:rPr>
          <w:rFonts w:ascii="Aptos" w:eastAsia="Segoe UI" w:hAnsi="Aptos"/>
          <w:b/>
          <w:bCs/>
        </w:rPr>
        <w:t>:</w:t>
      </w:r>
      <w:r w:rsidRPr="00366226">
        <w:rPr>
          <w:rFonts w:ascii="Aptos" w:eastAsia="Segoe UI" w:hAnsi="Aptos"/>
        </w:rPr>
        <w:t xml:space="preserve"> Publish the National Visitor Economy Strategy and embed heritage across its strands on screen tourism, coastal resilience, regional growth and skills</w:t>
      </w:r>
      <w:r w:rsidRPr="00366226">
        <w:rPr>
          <w:rFonts w:ascii="Aptos" w:eastAsia="Segoe UI" w:hAnsi="Aptos"/>
        </w:rPr>
        <w:t xml:space="preserve">. </w:t>
      </w:r>
      <w:r w:rsidRPr="00366226">
        <w:rPr>
          <w:rFonts w:ascii="Aptos" w:eastAsia="Segoe UI" w:hAnsi="Aptos"/>
        </w:rPr>
        <w:t>Sustain long-term funding for VisitBritain, VisitEngland and the Local Visitor Economy Partnership network, recognising that heritage organisations are key features and beneficiaries of inbound tourism marketing.</w:t>
      </w:r>
    </w:p>
    <w:p w:rsidR="00611166" w:rsidRPr="00366226" w:rsidP="00366226">
      <w:pPr>
        <w:pStyle w:val="ListParagraph"/>
        <w:numPr>
          <w:ilvl w:val="0"/>
          <w:numId w:val="12"/>
        </w:numPr>
      </w:pPr>
      <w:r w:rsidRPr="00366226">
        <w:rPr>
          <w:rFonts w:ascii="Aptos" w:eastAsia="Segoe UI" w:hAnsi="Aptos"/>
          <w:b/>
          <w:bCs/>
        </w:rPr>
        <w:t>Overnight Visitor Levy</w:t>
      </w:r>
      <w:r w:rsidRPr="00366226">
        <w:rPr>
          <w:rFonts w:ascii="Aptos" w:eastAsia="Segoe UI" w:hAnsi="Aptos"/>
          <w:b/>
          <w:bCs/>
        </w:rPr>
        <w:t>:</w:t>
      </w:r>
      <w:r w:rsidRPr="00366226">
        <w:rPr>
          <w:rFonts w:ascii="Aptos" w:eastAsia="Segoe UI" w:hAnsi="Aptos"/>
        </w:rPr>
        <w:t xml:space="preserve"> The Heritage Alliance </w:t>
      </w:r>
      <w:r w:rsidRPr="00366226">
        <w:rPr>
          <w:rFonts w:ascii="Aptos" w:eastAsia="Segoe UI" w:hAnsi="Aptos"/>
        </w:rPr>
        <w:t>recommends</w:t>
      </w:r>
      <w:r w:rsidRPr="00366226">
        <w:rPr>
          <w:rFonts w:ascii="Aptos" w:eastAsia="Segoe UI" w:hAnsi="Aptos"/>
        </w:rPr>
        <w:t xml:space="preserve"> the following conditions on the levy: statutory hypothecation of revenues for tourism</w:t>
      </w:r>
      <w:r w:rsidRPr="00366226">
        <w:rPr>
          <w:rFonts w:ascii="Aptos" w:eastAsia="Segoe UI" w:hAnsi="Aptos"/>
        </w:rPr>
        <w:t xml:space="preserve">; </w:t>
      </w:r>
      <w:r w:rsidRPr="00366226">
        <w:rPr>
          <w:rFonts w:ascii="Aptos" w:eastAsia="Segoe UI" w:hAnsi="Aptos"/>
        </w:rPr>
        <w:t>heritage and cultural infrastructure</w:t>
      </w:r>
      <w:r w:rsidRPr="00366226">
        <w:rPr>
          <w:rFonts w:ascii="Aptos" w:eastAsia="Segoe UI" w:hAnsi="Aptos"/>
        </w:rPr>
        <w:t>;</w:t>
      </w:r>
      <w:r w:rsidRPr="00366226">
        <w:rPr>
          <w:rFonts w:ascii="Aptos" w:eastAsia="Segoe UI" w:hAnsi="Aptos"/>
        </w:rPr>
        <w:t xml:space="preserve"> a consistent national framework for rates, exemptions and eligible expenditure; a cap on rates to protect the wider visitor economy; distinct treatment for registered charities and </w:t>
      </w:r>
      <w:r w:rsidRPr="00366226">
        <w:rPr>
          <w:rFonts w:ascii="Aptos" w:eastAsia="Segoe UI" w:hAnsi="Aptos"/>
        </w:rPr>
        <w:t>not-for-profit accommodation providers; and a pre-levy economic impact assessment at national and destination level. Where a levy is introduced, revenues should fund conser</w:t>
      </w:r>
      <w:r w:rsidRPr="00366226">
        <w:rPr>
          <w:rFonts w:ascii="Aptos" w:eastAsia="Segoe UI" w:hAnsi="Aptos"/>
        </w:rPr>
        <w:t>vation and maintenance of heritage assets, museums and galleries, historic town centres, transport connectivity to heritage sites, and heritage skills development.</w:t>
      </w:r>
    </w:p>
    <w:p w:rsidR="00611166" w:rsidRPr="00366226" w:rsidP="00366226">
      <w:pPr>
        <w:pStyle w:val="ListParagraph"/>
        <w:numPr>
          <w:ilvl w:val="0"/>
          <w:numId w:val="12"/>
        </w:numPr>
      </w:pPr>
      <w:r w:rsidRPr="00366226">
        <w:rPr>
          <w:rFonts w:ascii="Aptos" w:eastAsia="Segoe UI" w:hAnsi="Aptos"/>
          <w:b/>
          <w:bCs/>
        </w:rPr>
        <w:t>Investment in Heritage as Tourism Infrastructure</w:t>
      </w:r>
      <w:r w:rsidRPr="00366226">
        <w:rPr>
          <w:rFonts w:ascii="Aptos" w:eastAsia="Segoe UI" w:hAnsi="Aptos"/>
          <w:b/>
          <w:bCs/>
        </w:rPr>
        <w:t>:</w:t>
      </w:r>
      <w:r w:rsidRPr="00366226">
        <w:rPr>
          <w:rFonts w:ascii="Aptos" w:eastAsia="Segoe UI" w:hAnsi="Aptos"/>
        </w:rPr>
        <w:t xml:space="preserve"> Establish a new Culture Growth Fund to provide capital investment in heritage, sustain the skills pipeline and safeguard organisations. </w:t>
      </w:r>
      <w:r w:rsidRPr="00366226">
        <w:rPr>
          <w:rFonts w:ascii="Aptos" w:eastAsia="Segoe UI" w:hAnsi="Aptos"/>
        </w:rPr>
        <w:t>It would be beneficial for this to</w:t>
      </w:r>
      <w:r w:rsidRPr="00366226">
        <w:rPr>
          <w:rFonts w:ascii="Aptos" w:eastAsia="Segoe UI" w:hAnsi="Aptos"/>
        </w:rPr>
        <w:t xml:space="preserve"> be accompanied by: targeted energy cost support for working heritage attractions dependent on heritage fuels</w:t>
      </w:r>
      <w:r w:rsidRPr="00366226">
        <w:rPr>
          <w:rFonts w:ascii="Aptos" w:eastAsia="Segoe UI" w:hAnsi="Aptos"/>
        </w:rPr>
        <w:t>,</w:t>
      </w:r>
      <w:r w:rsidRPr="00366226">
        <w:rPr>
          <w:rFonts w:ascii="Aptos" w:eastAsia="Segoe UI" w:hAnsi="Aptos"/>
        </w:rPr>
        <w:t xml:space="preserve"> and heritage-sensitive planning reform</w:t>
      </w:r>
      <w:r w:rsidRPr="00366226">
        <w:rPr>
          <w:rFonts w:ascii="Aptos" w:eastAsia="Segoe UI" w:hAnsi="Aptos"/>
        </w:rPr>
        <w:t>,</w:t>
      </w:r>
      <w:r w:rsidRPr="00366226">
        <w:rPr>
          <w:rFonts w:ascii="Aptos" w:eastAsia="Segoe UI" w:hAnsi="Aptos"/>
        </w:rPr>
        <w:t xml:space="preserve"> including listed building consent orders and greater flexibility for sustainable development within heritage settings</w:t>
      </w:r>
      <w:r w:rsidRPr="00366226">
        <w:rPr>
          <w:rFonts w:ascii="Aptos" w:eastAsia="Segoe UI" w:hAnsi="Aptos"/>
        </w:rPr>
        <w:t>,</w:t>
      </w:r>
      <w:r w:rsidRPr="00366226">
        <w:rPr>
          <w:rFonts w:ascii="Aptos" w:eastAsia="Segoe UI" w:hAnsi="Aptos"/>
        </w:rPr>
        <w:t xml:space="preserve"> to unlock investment in visitor infrastructure.</w:t>
      </w:r>
    </w:p>
    <w:p w:rsidR="00611166" w:rsidRPr="00366226" w:rsidP="00366226">
      <w:pPr>
        <w:pStyle w:val="ListParagraph"/>
        <w:numPr>
          <w:ilvl w:val="0"/>
          <w:numId w:val="12"/>
        </w:numPr>
      </w:pPr>
      <w:r w:rsidRPr="00366226">
        <w:rPr>
          <w:rFonts w:ascii="Aptos" w:eastAsia="Segoe UI" w:hAnsi="Aptos"/>
          <w:b/>
          <w:bCs/>
        </w:rPr>
        <w:t>Screen Tourism</w:t>
      </w:r>
      <w:r w:rsidRPr="00366226">
        <w:rPr>
          <w:rFonts w:ascii="Aptos" w:eastAsia="Segoe UI" w:hAnsi="Aptos"/>
          <w:b/>
          <w:bCs/>
        </w:rPr>
        <w:t>:</w:t>
      </w:r>
      <w:r w:rsidRPr="00366226">
        <w:rPr>
          <w:rFonts w:ascii="Aptos" w:eastAsia="Segoe UI" w:hAnsi="Aptos"/>
        </w:rPr>
        <w:t xml:space="preserve"> Develop a national screen tourism strategy in partnership with VisitBritain, VisitEngland, the British Film Commission and heritage bodies, incorporating a rural strand to spread visitor spend beyond honeypot destinations. </w:t>
      </w:r>
      <w:r w:rsidRPr="00366226">
        <w:rPr>
          <w:rFonts w:ascii="Aptos" w:eastAsia="Segoe UI" w:hAnsi="Aptos"/>
        </w:rPr>
        <w:t>We recommend that this</w:t>
      </w:r>
      <w:r w:rsidRPr="00366226">
        <w:rPr>
          <w:rFonts w:ascii="Aptos" w:eastAsia="Segoe UI" w:hAnsi="Aptos"/>
        </w:rPr>
        <w:t xml:space="preserve"> include: an extended mandate for the British Film Commission to promote screen heritage tourism; support for regional screen agencies across England modelled on Screen Yorkshire; dedicated screen tourism trails and digital promotion linked to heritage filming loca</w:t>
      </w:r>
      <w:r w:rsidRPr="00366226">
        <w:rPr>
          <w:rFonts w:ascii="Aptos" w:eastAsia="Segoe UI" w:hAnsi="Aptos"/>
        </w:rPr>
        <w:t>tions; and regulatory frameworks for AI and StageCraft technology to ensure heritage site IP is protected and digital use attracts equivalent licensing to physical filming.</w:t>
      </w:r>
    </w:p>
    <w:p w:rsidR="00611166" w:rsidRPr="00366226" w:rsidP="00366226">
      <w:pPr>
        <w:pStyle w:val="ListParagraph"/>
        <w:numPr>
          <w:ilvl w:val="0"/>
          <w:numId w:val="12"/>
        </w:numPr>
      </w:pPr>
      <w:r w:rsidRPr="00366226">
        <w:rPr>
          <w:rFonts w:ascii="Aptos" w:eastAsia="Segoe UI" w:hAnsi="Aptos"/>
          <w:b/>
          <w:bCs/>
        </w:rPr>
        <w:t>Coastal Heritage</w:t>
      </w:r>
      <w:r w:rsidRPr="00366226">
        <w:rPr>
          <w:rFonts w:ascii="Aptos" w:eastAsia="Segoe UI" w:hAnsi="Aptos"/>
          <w:b/>
          <w:bCs/>
        </w:rPr>
        <w:t>:</w:t>
      </w:r>
      <w:r w:rsidRPr="00366226">
        <w:rPr>
          <w:rFonts w:ascii="Aptos" w:eastAsia="Segoe UI" w:hAnsi="Aptos"/>
        </w:rPr>
        <w:t xml:space="preserve"> Establish a dedicated Seaside Heritage Regeneration Fund to support the restoration and sustainable use of at-risk coastal assets</w:t>
      </w:r>
      <w:r w:rsidRPr="00366226">
        <w:rPr>
          <w:rFonts w:ascii="Aptos" w:eastAsia="Segoe UI" w:hAnsi="Aptos"/>
        </w:rPr>
        <w:t>. R</w:t>
      </w:r>
      <w:r w:rsidRPr="00366226">
        <w:rPr>
          <w:rFonts w:ascii="Aptos" w:eastAsia="Segoe UI" w:hAnsi="Aptos"/>
        </w:rPr>
        <w:t>eview funding eligibility frameworks to enable privately owned coastal heritage of significant tourism value to access public support for climate adaptation</w:t>
      </w:r>
      <w:r w:rsidRPr="00366226">
        <w:rPr>
          <w:rFonts w:ascii="Aptos" w:eastAsia="Segoe UI" w:hAnsi="Aptos"/>
        </w:rPr>
        <w:t xml:space="preserve">. </w:t>
      </w:r>
      <w:r w:rsidRPr="00366226">
        <w:rPr>
          <w:rFonts w:ascii="Aptos" w:eastAsia="Segoe UI" w:hAnsi="Aptos"/>
        </w:rPr>
        <w:t>I</w:t>
      </w:r>
      <w:r w:rsidRPr="00366226">
        <w:rPr>
          <w:rFonts w:ascii="Aptos" w:eastAsia="Segoe UI" w:hAnsi="Aptos"/>
        </w:rPr>
        <w:t>ntegrate</w:t>
      </w:r>
      <w:r w:rsidRPr="00366226">
        <w:rPr>
          <w:rFonts w:ascii="Aptos" w:eastAsia="Segoe UI" w:hAnsi="Aptos"/>
        </w:rPr>
        <w:t xml:space="preserve"> heritage </w:t>
      </w:r>
      <w:r w:rsidRPr="00366226">
        <w:rPr>
          <w:rFonts w:ascii="Aptos" w:eastAsia="Segoe UI" w:hAnsi="Aptos"/>
        </w:rPr>
        <w:t xml:space="preserve">into coastal resilience </w:t>
      </w:r>
      <w:r w:rsidRPr="00366226">
        <w:rPr>
          <w:rFonts w:ascii="Aptos" w:eastAsia="Segoe UI" w:hAnsi="Aptos"/>
        </w:rPr>
        <w:t>planning, including</w:t>
      </w:r>
      <w:r w:rsidRPr="00366226">
        <w:rPr>
          <w:rFonts w:ascii="Aptos" w:eastAsia="Segoe UI" w:hAnsi="Aptos"/>
        </w:rPr>
        <w:t xml:space="preserve"> Environment Agency decisions on managed retreat and sea defence investment</w:t>
      </w:r>
      <w:r w:rsidRPr="00366226">
        <w:rPr>
          <w:rFonts w:ascii="Aptos" w:eastAsia="Segoe UI" w:hAnsi="Aptos"/>
        </w:rPr>
        <w:t>. S</w:t>
      </w:r>
      <w:r w:rsidRPr="00366226">
        <w:rPr>
          <w:rFonts w:ascii="Aptos" w:eastAsia="Segoe UI" w:hAnsi="Aptos"/>
        </w:rPr>
        <w:t>upport and scale</w:t>
      </w:r>
      <w:r w:rsidRPr="00366226">
        <w:rPr>
          <w:rFonts w:ascii="Aptos" w:eastAsia="Segoe UI" w:hAnsi="Aptos"/>
        </w:rPr>
        <w:t xml:space="preserve"> innovative climate adaptation models in coastal heritage</w:t>
      </w:r>
      <w:r w:rsidRPr="00366226">
        <w:rPr>
          <w:rFonts w:ascii="Aptos" w:eastAsia="Segoe UI" w:hAnsi="Aptos"/>
        </w:rPr>
        <w:t xml:space="preserve">. </w:t>
      </w:r>
    </w:p>
    <w:p w:rsidR="00611166" w:rsidRPr="00366226" w:rsidP="00366226">
      <w:pPr>
        <w:pStyle w:val="ListParagraph"/>
        <w:numPr>
          <w:ilvl w:val="0"/>
          <w:numId w:val="12"/>
        </w:numPr>
      </w:pPr>
      <w:r w:rsidRPr="00366226">
        <w:rPr>
          <w:rFonts w:ascii="Aptos" w:eastAsia="Segoe UI" w:hAnsi="Aptos"/>
          <w:b/>
          <w:bCs/>
        </w:rPr>
        <w:t>Regional Growth, Transport and Rural Heritage</w:t>
      </w:r>
      <w:r w:rsidRPr="00366226">
        <w:rPr>
          <w:rFonts w:ascii="Aptos" w:eastAsia="Segoe UI" w:hAnsi="Aptos"/>
          <w:b/>
          <w:bCs/>
        </w:rPr>
        <w:t>:</w:t>
      </w:r>
      <w:r w:rsidRPr="00366226">
        <w:rPr>
          <w:rFonts w:ascii="Aptos" w:eastAsia="Segoe UI" w:hAnsi="Aptos"/>
        </w:rPr>
        <w:t xml:space="preserve"> </w:t>
      </w:r>
      <w:r w:rsidRPr="00366226">
        <w:rPr>
          <w:rFonts w:ascii="Aptos" w:hAnsi="Aptos"/>
        </w:rPr>
        <w:t>It would be beneficial for heritage to</w:t>
      </w:r>
      <w:r w:rsidRPr="00366226">
        <w:rPr>
          <w:rFonts w:ascii="Aptos" w:hAnsi="Aptos"/>
        </w:rPr>
        <w:t xml:space="preserve"> remain a core criterion in all regeneration </w:t>
      </w:r>
      <w:r w:rsidRPr="00366226">
        <w:rPr>
          <w:rFonts w:ascii="Aptos" w:hAnsi="Aptos"/>
        </w:rPr>
        <w:t>programmes</w:t>
      </w:r>
      <w:r w:rsidRPr="00366226">
        <w:rPr>
          <w:rFonts w:ascii="Aptos" w:eastAsia="Segoe UI" w:hAnsi="Aptos"/>
        </w:rPr>
        <w:t xml:space="preserve">, </w:t>
      </w:r>
      <w:r w:rsidRPr="00366226">
        <w:rPr>
          <w:rFonts w:ascii="Aptos" w:eastAsia="Segoe UI" w:hAnsi="Aptos"/>
        </w:rPr>
        <w:t>drawing on the evidence base from Historic England's Heritage Action Zone schemes</w:t>
      </w:r>
      <w:r w:rsidRPr="00366226">
        <w:rPr>
          <w:rFonts w:ascii="Aptos" w:eastAsia="Segoe UI" w:hAnsi="Aptos"/>
        </w:rPr>
        <w:t>.</w:t>
      </w:r>
      <w:r w:rsidRPr="00366226">
        <w:rPr>
          <w:rFonts w:ascii="Aptos" w:eastAsia="Segoe UI" w:hAnsi="Aptos"/>
        </w:rPr>
        <w:t xml:space="preserve"> Investment</w:t>
      </w:r>
      <w:r w:rsidRPr="00366226">
        <w:rPr>
          <w:rFonts w:ascii="Aptos" w:eastAsia="Segoe UI" w:hAnsi="Aptos"/>
        </w:rPr>
        <w:t xml:space="preserve"> in affordable public transport to rural heritage sites</w:t>
      </w:r>
      <w:r w:rsidRPr="00366226">
        <w:rPr>
          <w:rFonts w:ascii="Aptos" w:eastAsia="Segoe UI" w:hAnsi="Aptos"/>
        </w:rPr>
        <w:t>,</w:t>
      </w:r>
      <w:r w:rsidRPr="00366226">
        <w:rPr>
          <w:rFonts w:ascii="Aptos" w:eastAsia="Segoe UI" w:hAnsi="Aptos"/>
        </w:rPr>
        <w:t xml:space="preserve"> with targeted subsidies for school trips and community groups where short-term improvement is not feasible</w:t>
      </w:r>
      <w:r w:rsidRPr="00366226">
        <w:rPr>
          <w:rFonts w:ascii="Aptos" w:eastAsia="Segoe UI" w:hAnsi="Aptos"/>
        </w:rPr>
        <w:t>. E</w:t>
      </w:r>
      <w:r w:rsidRPr="00366226">
        <w:rPr>
          <w:rFonts w:ascii="Aptos" w:eastAsia="Segoe UI" w:hAnsi="Aptos"/>
        </w:rPr>
        <w:t>nsure heritage is explicitly eligible for Environmental Land Management funding</w:t>
      </w:r>
      <w:r w:rsidRPr="00366226">
        <w:rPr>
          <w:rFonts w:ascii="Aptos" w:eastAsia="Segoe UI" w:hAnsi="Aptos"/>
        </w:rPr>
        <w:t>. P</w:t>
      </w:r>
      <w:r w:rsidRPr="00366226">
        <w:rPr>
          <w:rFonts w:ascii="Aptos" w:eastAsia="Segoe UI" w:hAnsi="Aptos"/>
        </w:rPr>
        <w:t xml:space="preserve">rovide stable multi-year funding for rural tourism infrastructure maintained by charities and community organisations. </w:t>
      </w:r>
      <w:r w:rsidRPr="00366226">
        <w:rPr>
          <w:rFonts w:ascii="Aptos" w:eastAsia="Segoe UI" w:hAnsi="Aptos"/>
        </w:rPr>
        <w:t>Monitor t</w:t>
      </w:r>
      <w:r w:rsidRPr="00366226">
        <w:rPr>
          <w:rFonts w:ascii="Aptos" w:eastAsia="Segoe UI" w:hAnsi="Aptos"/>
        </w:rPr>
        <w:t xml:space="preserve">he cumulative impact of recent tax and regulatory changes on rural heritage accommodation viability </w:t>
      </w:r>
      <w:r w:rsidRPr="00366226">
        <w:rPr>
          <w:rFonts w:ascii="Aptos" w:eastAsia="Segoe UI" w:hAnsi="Aptos"/>
        </w:rPr>
        <w:t xml:space="preserve">and </w:t>
      </w:r>
      <w:r w:rsidRPr="00366226">
        <w:rPr>
          <w:rFonts w:ascii="Aptos" w:eastAsia="Segoe UI" w:hAnsi="Aptos"/>
        </w:rPr>
        <w:t>act</w:t>
      </w:r>
      <w:r w:rsidRPr="00366226">
        <w:rPr>
          <w:rFonts w:ascii="Aptos" w:eastAsia="Segoe UI" w:hAnsi="Aptos"/>
        </w:rPr>
        <w:t xml:space="preserve"> if supply is being reduced.</w:t>
      </w:r>
    </w:p>
    <w:p w:rsidR="00611166" w:rsidRPr="00366226" w:rsidP="00366226">
      <w:pPr>
        <w:pStyle w:val="ListParagraph"/>
        <w:numPr>
          <w:ilvl w:val="0"/>
          <w:numId w:val="12"/>
        </w:numPr>
      </w:pPr>
      <w:r w:rsidRPr="00366226">
        <w:rPr>
          <w:rFonts w:ascii="Aptos" w:eastAsia="Segoe UI" w:hAnsi="Aptos"/>
          <w:b/>
          <w:bCs/>
        </w:rPr>
        <w:t>Children, Young People and Access</w:t>
      </w:r>
      <w:r w:rsidRPr="00366226">
        <w:rPr>
          <w:rFonts w:ascii="Aptos" w:eastAsia="Segoe UI" w:hAnsi="Aptos"/>
          <w:b/>
          <w:bCs/>
        </w:rPr>
        <w:t>:</w:t>
      </w:r>
      <w:r w:rsidRPr="00366226">
        <w:rPr>
          <w:rFonts w:ascii="Aptos" w:eastAsia="Segoe UI" w:hAnsi="Aptos"/>
        </w:rPr>
        <w:t xml:space="preserve"> Embed annual visits to heritage sites in the core enrichment entitlement for primary school pupils</w:t>
      </w:r>
      <w:r w:rsidRPr="00366226">
        <w:rPr>
          <w:rFonts w:ascii="Aptos" w:eastAsia="Segoe UI" w:hAnsi="Aptos"/>
        </w:rPr>
        <w:t>. I</w:t>
      </w:r>
      <w:r w:rsidRPr="00366226">
        <w:rPr>
          <w:rFonts w:ascii="Aptos" w:eastAsia="Segoe UI" w:hAnsi="Aptos"/>
        </w:rPr>
        <w:t xml:space="preserve">ntroduce a government-subsidised youth entry scheme </w:t>
      </w:r>
      <w:r w:rsidRPr="00366226">
        <w:rPr>
          <w:rFonts w:ascii="Aptos" w:eastAsia="Segoe UI" w:hAnsi="Aptos"/>
        </w:rPr>
        <w:t>to</w:t>
      </w:r>
      <w:r w:rsidRPr="00366226">
        <w:rPr>
          <w:rFonts w:ascii="Aptos" w:eastAsia="Segoe UI" w:hAnsi="Aptos"/>
        </w:rPr>
        <w:t xml:space="preserve"> ensu</w:t>
      </w:r>
      <w:r w:rsidRPr="00366226">
        <w:rPr>
          <w:rFonts w:ascii="Aptos" w:eastAsia="Segoe UI" w:hAnsi="Aptos"/>
        </w:rPr>
        <w:t>re that</w:t>
      </w:r>
      <w:r w:rsidRPr="00366226">
        <w:rPr>
          <w:rFonts w:ascii="Aptos" w:eastAsia="Segoe UI" w:hAnsi="Aptos"/>
        </w:rPr>
        <w:t xml:space="preserve"> cost is not a barrier to cultural engagement for children from disadvantaged backgrounds.</w:t>
      </w:r>
    </w:p>
    <w:p w:rsidR="00611166" w:rsidRPr="00366226" w:rsidP="4F216CB9">
      <w:pPr>
        <w:pStyle w:val="ListParagraph"/>
        <w:numPr>
          <w:ilvl w:val="0"/>
          <w:numId w:val="12"/>
        </w:numPr>
      </w:pPr>
      <w:r w:rsidRPr="00366226">
        <w:rPr>
          <w:rFonts w:ascii="Aptos" w:eastAsia="Segoe UI" w:hAnsi="Aptos"/>
          <w:b/>
          <w:bCs/>
        </w:rPr>
        <w:t>Workforce and Skills</w:t>
      </w:r>
      <w:r w:rsidRPr="00366226">
        <w:rPr>
          <w:rFonts w:ascii="Aptos" w:eastAsia="Segoe UI" w:hAnsi="Aptos"/>
          <w:b/>
          <w:bCs/>
        </w:rPr>
        <w:t>:</w:t>
      </w:r>
      <w:r w:rsidRPr="00366226">
        <w:rPr>
          <w:rFonts w:ascii="Aptos" w:eastAsia="Segoe UI" w:hAnsi="Aptos"/>
        </w:rPr>
        <w:t xml:space="preserve"> Reform the apprenticeship system to better serve small businesses, freelancers and heritage craft practitioners through greater flexibility, partnership models and full cost recovery for the smallest operators. Review occupation shortage lists, salary thresholds and visa arrangements to reflect genuine specialist skills gaps in conservation, archaeology, traditional crafts and heritage building.</w:t>
      </w:r>
    </w:p>
    <w:p w:rsidR="00611166" w:rsidRPr="00E26F91" w:rsidP="4F216CB9">
      <w:pPr>
        <w:rPr>
          <w:rFonts w:ascii="Aptos" w:hAnsi="Aptos"/>
        </w:rPr>
      </w:pPr>
    </w:p>
    <w:p w:rsidR="00611166" w:rsidRPr="00E26F91" w:rsidP="4F216CB9">
      <w:pPr>
        <w:pStyle w:val="Heading1"/>
        <w:rPr>
          <w:rFonts w:ascii="Aptos" w:hAnsi="Aptos"/>
          <w:b/>
          <w:bCs/>
        </w:rPr>
      </w:pPr>
      <w:bookmarkStart w:id="3" w:name="_Toc230020910"/>
      <w:r w:rsidRPr="00A24AB0">
        <w:rPr>
          <w:rFonts w:ascii="Aptos" w:hAnsi="Aptos"/>
          <w:b/>
          <w:bCs/>
        </w:rPr>
        <w:t>Responses to Questions</w:t>
      </w:r>
      <w:bookmarkEnd w:id="3"/>
      <w:r w:rsidRPr="00A24AB0">
        <w:rPr>
          <w:rFonts w:ascii="Aptos" w:hAnsi="Aptos"/>
          <w:b/>
          <w:bCs/>
        </w:rPr>
        <w:t xml:space="preserve"> </w:t>
      </w:r>
    </w:p>
    <w:p w:rsidR="00611166" w:rsidRPr="00E26F91" w:rsidP="4F216CB9">
      <w:pPr>
        <w:pStyle w:val="Heading2"/>
        <w:rPr>
          <w:rFonts w:ascii="Aptos" w:hAnsi="Aptos"/>
          <w:sz w:val="28"/>
        </w:rPr>
      </w:pPr>
      <w:bookmarkStart w:id="4" w:name="_Toc230020911"/>
      <w:r w:rsidRPr="00A24AB0">
        <w:rPr>
          <w:rFonts w:ascii="Aptos" w:hAnsi="Aptos"/>
          <w:sz w:val="28"/>
        </w:rPr>
        <w:t>Question 1(i</w:t>
      </w:r>
      <w:r w:rsidRPr="00A24AB0">
        <w:rPr>
          <w:rFonts w:ascii="Aptos" w:hAnsi="Aptos"/>
          <w:sz w:val="28"/>
        </w:rPr>
        <w:t>): What are the main barriers to international competitiveness?</w:t>
      </w:r>
      <w:r w:rsidRPr="00A24AB0">
        <w:rPr>
          <w:rFonts w:ascii="Arial" w:hAnsi="Arial" w:cs="Arial"/>
          <w:sz w:val="28"/>
        </w:rPr>
        <w:t> </w:t>
      </w:r>
      <w:r w:rsidRPr="00A24AB0">
        <w:rPr>
          <w:rFonts w:ascii="Aptos" w:hAnsi="Aptos"/>
          <w:sz w:val="28"/>
        </w:rPr>
        <w:t>How effectively does the UK promote itself overseas as a destination and what more could be done to strengthen its international profile?</w:t>
      </w:r>
      <w:bookmarkEnd w:id="4"/>
    </w:p>
    <w:p w:rsidR="00611166" w:rsidRPr="00E4500B" w:rsidP="4F216CB9">
      <w:pPr>
        <w:rPr>
          <w:rFonts w:ascii="Aptos" w:hAnsi="Aptos"/>
        </w:rPr>
      </w:pPr>
      <w:r w:rsidRPr="4F216CB9">
        <w:rPr>
          <w:rFonts w:ascii="Aptos" w:hAnsi="Aptos"/>
        </w:rPr>
        <w:t xml:space="preserve">The UK’s </w:t>
      </w:r>
      <w:r w:rsidRPr="00E4500B">
        <w:rPr>
          <w:rFonts w:ascii="Aptos" w:hAnsi="Aptos"/>
        </w:rPr>
        <w:t xml:space="preserve">historic environment is central to ‘Brand Britain’ and to its international tourism competitiveness. The </w:t>
      </w:r>
      <w:r>
        <w:fldChar w:fldCharType="begin"/>
      </w:r>
      <w:r>
        <w:instrText xml:space="preserve"> HYPERLINK "https://greatcampaign.com/" </w:instrText>
      </w:r>
      <w:r>
        <w:fldChar w:fldCharType="separate"/>
      </w:r>
      <w:r w:rsidRPr="00E4500B">
        <w:rPr>
          <w:rStyle w:val="Hyperlink"/>
          <w:rFonts w:ascii="Aptos" w:hAnsi="Aptos"/>
        </w:rPr>
        <w:t>Britain is GREAT</w:t>
      </w:r>
      <w:r>
        <w:fldChar w:fldCharType="end"/>
      </w:r>
      <w:r w:rsidRPr="00E4500B">
        <w:rPr>
          <w:rFonts w:ascii="Aptos" w:hAnsi="Aptos"/>
        </w:rPr>
        <w:t xml:space="preserve"> campaign has featured heritage prominently, but more can be done to communicate not just the historic value of our heritage but its wider benefits, for the creative industries, for people’s wellbeing, and for building communities.</w:t>
      </w:r>
    </w:p>
    <w:p w:rsidR="00611166" w:rsidRPr="00E4500B" w:rsidP="4F216CB9">
      <w:pPr>
        <w:rPr>
          <w:rFonts w:ascii="Aptos" w:hAnsi="Aptos"/>
        </w:rPr>
      </w:pPr>
    </w:p>
    <w:p w:rsidR="00611166" w:rsidRPr="00E4500B" w:rsidP="4F216CB9">
      <w:pPr>
        <w:rPr>
          <w:rFonts w:ascii="Aptos" w:hAnsi="Aptos"/>
        </w:rPr>
      </w:pPr>
      <w:r w:rsidRPr="00E4500B">
        <w:rPr>
          <w:rFonts w:ascii="Aptos" w:hAnsi="Aptos"/>
        </w:rPr>
        <w:t>The heritage sector’s organisational models are considered exemplary. The National Trust, for instance, is seen as a model for heritage conservation worldwide. Its work, constitution and structure are known, admired and emulated in countries and territories ranging from Australia, Bermuda and China to Trinidad and Tobago, and Zimbabwe. Our funding and operational models have been of interest to others around the world, prompting international delegations from countries such as China, Japan, Syria and Norway</w:t>
      </w:r>
      <w:r w:rsidRPr="00E4500B">
        <w:rPr>
          <w:rFonts w:ascii="Aptos" w:hAnsi="Aptos"/>
        </w:rPr>
        <w:t>, whil</w:t>
      </w:r>
      <w:r w:rsidRPr="00E4500B">
        <w:rPr>
          <w:rFonts w:ascii="Aptos" w:hAnsi="Aptos"/>
        </w:rPr>
        <w:t>e</w:t>
      </w:r>
      <w:r w:rsidRPr="00E4500B">
        <w:rPr>
          <w:rFonts w:ascii="Aptos" w:hAnsi="Aptos"/>
        </w:rPr>
        <w:t xml:space="preserve"> </w:t>
      </w:r>
      <w:r w:rsidRPr="00E4500B">
        <w:rPr>
          <w:rFonts w:ascii="Aptos" w:hAnsi="Aptos"/>
        </w:rPr>
        <w:t> Historic England’s ‘Heritage Counts’ evidence suite has been replicated by European organisations, including in partnership with the Heritage Alliance in 2015 with Heritage Counts for Europe.</w:t>
      </w:r>
      <w:r w:rsidRPr="00E4500B">
        <w:rPr>
          <w:rFonts w:ascii="Aptos" w:hAnsi="Aptos"/>
        </w:rPr>
        <w:t xml:space="preserve"> Earlier this year, The Heritage Alliance has published </w:t>
      </w:r>
      <w:r>
        <w:fldChar w:fldCharType="begin"/>
      </w:r>
      <w:r>
        <w:instrText xml:space="preserve"> HYPERLINK "https://www.theheritagealliance.org.uk/wp-content/uploads/2026/03/2026_From-local-to-global_digital.pdf" </w:instrText>
      </w:r>
      <w:r>
        <w:fldChar w:fldCharType="separate"/>
      </w:r>
      <w:r w:rsidRPr="00E4500B">
        <w:rPr>
          <w:rStyle w:val="Hyperlink"/>
          <w:rFonts w:ascii="Aptos" w:hAnsi="Aptos"/>
          <w:i/>
          <w:iCs/>
        </w:rPr>
        <w:t>From Local to Global: The Power of Heritage in a Changing</w:t>
      </w:r>
      <w:r w:rsidRPr="00E4500B">
        <w:rPr>
          <w:rStyle w:val="Hyperlink"/>
          <w:rFonts w:ascii="Aptos" w:hAnsi="Aptos"/>
          <w:i/>
          <w:iCs/>
        </w:rPr>
        <w:t xml:space="preserve"> </w:t>
      </w:r>
      <w:r w:rsidRPr="00E4500B">
        <w:rPr>
          <w:rStyle w:val="Hyperlink"/>
          <w:rFonts w:ascii="Aptos" w:hAnsi="Aptos"/>
          <w:i/>
          <w:iCs/>
        </w:rPr>
        <w:t>World</w:t>
      </w:r>
      <w:r>
        <w:fldChar w:fldCharType="end"/>
      </w:r>
      <w:r w:rsidRPr="00E4500B">
        <w:rPr>
          <w:rFonts w:ascii="Aptos" w:hAnsi="Aptos"/>
        </w:rPr>
        <w:t xml:space="preserve">, </w:t>
      </w:r>
      <w:r w:rsidRPr="00E4500B">
        <w:rPr>
          <w:rFonts w:ascii="Aptos" w:eastAsia="Aptos" w:hAnsi="Aptos" w:cs="Aptos"/>
        </w:rPr>
        <w:t>demonstrating how heritage connects the UK to the wider world through shared learning, cultural exchange and collective responsibility</w:t>
      </w:r>
      <w:r w:rsidRPr="00E4500B">
        <w:rPr>
          <w:rFonts w:ascii="Aptos" w:eastAsia="Aptos" w:hAnsi="Aptos" w:cs="Aptos"/>
        </w:rPr>
        <w:t xml:space="preserve">. </w:t>
      </w:r>
      <w:r w:rsidRPr="00E4500B">
        <w:rPr>
          <w:rFonts w:ascii="Aptos" w:hAnsi="Aptos"/>
        </w:rPr>
        <w:t>This expertise enhances the UK’s international reputation and, in turn, drives inbound tourism interest.</w:t>
      </w:r>
    </w:p>
    <w:p w:rsidR="00611166" w:rsidRPr="00E26F91" w:rsidP="4F216CB9">
      <w:pPr>
        <w:rPr>
          <w:rFonts w:ascii="Aptos" w:hAnsi="Aptos"/>
        </w:rPr>
      </w:pPr>
    </w:p>
    <w:p w:rsidR="00611166" w:rsidRPr="00E26F91" w:rsidP="4F216CB9">
      <w:pPr>
        <w:rPr>
          <w:rFonts w:ascii="Aptos" w:hAnsi="Aptos"/>
        </w:rPr>
      </w:pPr>
      <w:r w:rsidRPr="00E26F91">
        <w:rPr>
          <w:rFonts w:ascii="Aptos" w:hAnsi="Aptos"/>
        </w:rPr>
        <w:t>However, the UK's international reputation for cultural and heritage excellence is not matched by its price competitiveness as a visitor destination. According to the Travel and Tourism Development Index, the UK ranks 113th out of 119 countries for price competitiveness</w:t>
      </w:r>
      <w:r>
        <w:rPr>
          <w:rStyle w:val="FootnoteReference"/>
          <w:rFonts w:ascii="Aptos" w:hAnsi="Aptos"/>
        </w:rPr>
        <w:footnoteReference w:id="5"/>
      </w:r>
      <w:r w:rsidRPr="00E26F91">
        <w:rPr>
          <w:rFonts w:ascii="Aptos" w:hAnsi="Aptos"/>
        </w:rPr>
        <w:t>. This is not a peripheral concern: price is a material factor in visitor decision-making, particularly for international travellers choosing between competing European destinations. The UK taxes visitor accommodation at the full standard VAT rate of 20%, with no permanent reduced rate, unlike many competitor nations. Analysis by the Tourism Alliance, a Heritage Alliance member, shows that the average tax rate paid by visitors to 12 overseas competitor destinations is 14%, compared to 20% in the UK</w:t>
      </w:r>
      <w:r>
        <w:rPr>
          <w:rStyle w:val="FootnoteReference"/>
          <w:rFonts w:ascii="Aptos" w:hAnsi="Aptos"/>
        </w:rPr>
        <w:footnoteReference w:id="6"/>
      </w:r>
      <w:r w:rsidRPr="00E26F91">
        <w:rPr>
          <w:rFonts w:ascii="Aptos" w:hAnsi="Aptos"/>
        </w:rPr>
        <w:t xml:space="preserve">. </w:t>
      </w:r>
    </w:p>
    <w:p w:rsidR="00611166" w:rsidRPr="00E26F91" w:rsidP="4F216CB9">
      <w:pPr>
        <w:rPr>
          <w:rFonts w:ascii="Aptos" w:hAnsi="Aptos"/>
        </w:rPr>
      </w:pPr>
    </w:p>
    <w:p w:rsidR="00611166" w:rsidRPr="00E26F91" w:rsidP="4F216CB9">
      <w:pPr>
        <w:rPr>
          <w:rFonts w:ascii="Aptos" w:hAnsi="Aptos"/>
        </w:rPr>
      </w:pPr>
      <w:r w:rsidRPr="05A42FD6">
        <w:rPr>
          <w:rFonts w:ascii="Aptos" w:hAnsi="Aptos"/>
        </w:rPr>
        <w:t xml:space="preserve">It would be </w:t>
      </w:r>
      <w:r w:rsidRPr="75713F8C">
        <w:rPr>
          <w:rFonts w:ascii="Aptos" w:hAnsi="Aptos"/>
        </w:rPr>
        <w:t>beneficial</w:t>
      </w:r>
      <w:r w:rsidRPr="05A42FD6">
        <w:rPr>
          <w:rFonts w:ascii="Aptos" w:hAnsi="Aptos"/>
        </w:rPr>
        <w:t xml:space="preserve"> for any</w:t>
      </w:r>
      <w:r w:rsidRPr="4F216CB9">
        <w:rPr>
          <w:rFonts w:ascii="Aptos" w:hAnsi="Aptos"/>
        </w:rPr>
        <w:t xml:space="preserve"> future policy decisions, including the proposed overnight visitor levy, </w:t>
      </w:r>
      <w:r w:rsidRPr="6AB854ED">
        <w:rPr>
          <w:rFonts w:ascii="Aptos" w:hAnsi="Aptos"/>
        </w:rPr>
        <w:t>to</w:t>
      </w:r>
      <w:r w:rsidRPr="6AB854ED">
        <w:rPr>
          <w:rFonts w:ascii="Aptos" w:hAnsi="Aptos"/>
        </w:rPr>
        <w:t xml:space="preserve"> </w:t>
      </w:r>
      <w:r w:rsidRPr="4F216CB9">
        <w:rPr>
          <w:rFonts w:ascii="Aptos" w:hAnsi="Aptos"/>
        </w:rPr>
        <w:t>be assessed against this baseline</w:t>
      </w:r>
      <w:r w:rsidRPr="4AFC06D4">
        <w:rPr>
          <w:rFonts w:ascii="Aptos" w:hAnsi="Aptos"/>
        </w:rPr>
        <w:t xml:space="preserve">. </w:t>
      </w:r>
      <w:r w:rsidRPr="7C41B9B1">
        <w:rPr>
          <w:rFonts w:ascii="Aptos" w:hAnsi="Aptos"/>
        </w:rPr>
        <w:t>A r</w:t>
      </w:r>
      <w:r w:rsidRPr="4F216CB9">
        <w:rPr>
          <w:rFonts w:ascii="Aptos" w:hAnsi="Aptos"/>
        </w:rPr>
        <w:t>educed VAT rate for visitor accommodation, as applied in many comparable destinations, could meaningfully strengthen the UK’s competitive position.</w:t>
      </w:r>
    </w:p>
    <w:p w:rsidR="00611166" w:rsidRPr="00E26F91" w:rsidP="4F216CB9">
      <w:pPr>
        <w:rPr>
          <w:rFonts w:ascii="Aptos" w:hAnsi="Aptos"/>
        </w:rPr>
      </w:pPr>
    </w:p>
    <w:p w:rsidR="00611166" w:rsidRPr="00E26F91" w:rsidP="4F216CB9">
      <w:pPr>
        <w:rPr>
          <w:rFonts w:ascii="Aptos" w:hAnsi="Aptos"/>
        </w:rPr>
      </w:pPr>
      <w:r w:rsidRPr="4F216CB9">
        <w:rPr>
          <w:rFonts w:ascii="Aptos" w:hAnsi="Aptos"/>
        </w:rPr>
        <w:t>A further structural inequity deserves explicit recognition. Independent heritage sites</w:t>
      </w:r>
      <w:r w:rsidRPr="4F216CB9">
        <w:rPr>
          <w:rFonts w:ascii="Aptos" w:hAnsi="Aptos"/>
        </w:rPr>
        <w:t>,</w:t>
      </w:r>
      <w:r w:rsidRPr="4F216CB9">
        <w:rPr>
          <w:rFonts w:ascii="Aptos" w:hAnsi="Aptos"/>
        </w:rPr>
        <w:t xml:space="preserve"> historic houses, country estates, rural gardens, private collections and working heritage properties</w:t>
      </w:r>
      <w:r w:rsidRPr="4F216CB9">
        <w:rPr>
          <w:rFonts w:ascii="Aptos" w:hAnsi="Aptos"/>
        </w:rPr>
        <w:t xml:space="preserve">, </w:t>
      </w:r>
      <w:r w:rsidRPr="4F216CB9">
        <w:rPr>
          <w:rFonts w:ascii="Aptos" w:hAnsi="Aptos"/>
        </w:rPr>
        <w:t xml:space="preserve">are often the primary visitor draw in areas where there is no major city anchor, yet they face specific financial pressures that </w:t>
      </w:r>
      <w:r w:rsidRPr="4F216CB9">
        <w:rPr>
          <w:rFonts w:ascii="Aptos" w:hAnsi="Aptos"/>
        </w:rPr>
        <w:t>publicly funded</w:t>
      </w:r>
      <w:r w:rsidRPr="4F216CB9">
        <w:rPr>
          <w:rFonts w:ascii="Aptos" w:hAnsi="Aptos"/>
        </w:rPr>
        <w:t xml:space="preserve"> institutions do not. Rising business rates and energy costs </w:t>
      </w:r>
      <w:r w:rsidRPr="4F216CB9">
        <w:rPr>
          <w:rFonts w:ascii="Aptos" w:hAnsi="Aptos"/>
        </w:rPr>
        <w:t xml:space="preserve">bear heavily on independent operators who do not benefit from the VAT rebate mechanisms available to </w:t>
      </w:r>
      <w:r w:rsidRPr="4F216CB9">
        <w:rPr>
          <w:rFonts w:ascii="Aptos" w:hAnsi="Aptos"/>
        </w:rPr>
        <w:t>publicly funded</w:t>
      </w:r>
      <w:r w:rsidRPr="4F216CB9">
        <w:rPr>
          <w:rFonts w:ascii="Aptos" w:hAnsi="Aptos"/>
        </w:rPr>
        <w:t xml:space="preserve"> bodies, creating a structural funding disadvantage that weakens their ability to invest in visitor infrastructure and maintain the fabric of the assets that attract visitors in the first place. Any government tourism strategy </w:t>
      </w:r>
      <w:r w:rsidRPr="4D6AB15C">
        <w:rPr>
          <w:rFonts w:ascii="Aptos" w:hAnsi="Aptos"/>
        </w:rPr>
        <w:t xml:space="preserve">would benefit from taking account </w:t>
      </w:r>
      <w:r w:rsidRPr="4F216CB9">
        <w:rPr>
          <w:rFonts w:ascii="Aptos" w:hAnsi="Aptos"/>
        </w:rPr>
        <w:t xml:space="preserve">of the full range of heritage operators, not only the </w:t>
      </w:r>
      <w:r w:rsidRPr="4F216CB9">
        <w:rPr>
          <w:rFonts w:ascii="Aptos" w:hAnsi="Aptos"/>
        </w:rPr>
        <w:t>publicly funded</w:t>
      </w:r>
      <w:r w:rsidRPr="4F216CB9">
        <w:rPr>
          <w:rFonts w:ascii="Aptos" w:hAnsi="Aptos"/>
        </w:rPr>
        <w:t xml:space="preserve"> national institutions.</w:t>
      </w:r>
    </w:p>
    <w:p w:rsidR="00611166" w:rsidRPr="00E26F91" w:rsidP="4F216CB9">
      <w:pPr>
        <w:rPr>
          <w:rFonts w:ascii="Aptos" w:hAnsi="Aptos"/>
        </w:rPr>
      </w:pPr>
    </w:p>
    <w:p w:rsidR="00611166" w:rsidRPr="00E26F91" w:rsidP="4F216CB9">
      <w:pPr>
        <w:rPr>
          <w:rFonts w:ascii="Aptos" w:hAnsi="Aptos"/>
        </w:rPr>
      </w:pPr>
      <w:r w:rsidRPr="4F216CB9">
        <w:rPr>
          <w:rFonts w:ascii="Aptos" w:hAnsi="Aptos"/>
        </w:rPr>
        <w:t xml:space="preserve">The Heritage Alliance </w:t>
      </w:r>
      <w:r w:rsidRPr="64810F76">
        <w:rPr>
          <w:rFonts w:ascii="Aptos" w:hAnsi="Aptos"/>
        </w:rPr>
        <w:t xml:space="preserve">looks forward to seeing the </w:t>
      </w:r>
      <w:r w:rsidRPr="00E4500B">
        <w:rPr>
          <w:rFonts w:ascii="Aptos" w:hAnsi="Aptos"/>
          <w:b/>
          <w:bCs/>
        </w:rPr>
        <w:t xml:space="preserve">publication of the </w:t>
      </w:r>
      <w:r w:rsidRPr="00E4500B">
        <w:rPr>
          <w:rFonts w:ascii="Aptos" w:hAnsi="Aptos"/>
          <w:b/>
          <w:bCs/>
        </w:rPr>
        <w:t>National Visitor Economy Strategy</w:t>
      </w:r>
      <w:r w:rsidRPr="00E4500B">
        <w:rPr>
          <w:rFonts w:ascii="Aptos" w:hAnsi="Aptos"/>
          <w:b/>
          <w:bCs/>
        </w:rPr>
        <w:t>.</w:t>
      </w:r>
      <w:r w:rsidRPr="00E4500B">
        <w:rPr>
          <w:rFonts w:ascii="Aptos" w:hAnsi="Aptos"/>
        </w:rPr>
        <w:t xml:space="preserve"> </w:t>
      </w:r>
      <w:r w:rsidRPr="00E4500B">
        <w:rPr>
          <w:rFonts w:ascii="Aptos" w:hAnsi="Aptos"/>
        </w:rPr>
        <w:t xml:space="preserve"> </w:t>
      </w:r>
      <w:r w:rsidRPr="00E4500B">
        <w:rPr>
          <w:rFonts w:ascii="Aptos" w:hAnsi="Aptos"/>
        </w:rPr>
        <w:t>We hope to see</w:t>
      </w:r>
      <w:r w:rsidRPr="00E4500B">
        <w:rPr>
          <w:rFonts w:ascii="Aptos" w:hAnsi="Aptos"/>
        </w:rPr>
        <w:t xml:space="preserve"> heritage </w:t>
      </w:r>
      <w:r w:rsidRPr="00E4500B">
        <w:rPr>
          <w:rFonts w:ascii="Aptos" w:hAnsi="Aptos"/>
        </w:rPr>
        <w:t>e</w:t>
      </w:r>
      <w:r w:rsidRPr="00E4500B">
        <w:rPr>
          <w:rFonts w:ascii="Aptos" w:hAnsi="Aptos"/>
        </w:rPr>
        <w:t>mbedded as a substantive theme</w:t>
      </w:r>
      <w:r w:rsidRPr="4F216CB9">
        <w:rPr>
          <w:rFonts w:ascii="Aptos" w:hAnsi="Aptos"/>
        </w:rPr>
        <w:t xml:space="preserve"> across the Strategy’s dedicated strands on screen tourism, coastal resilience, regional growth and skills </w:t>
      </w:r>
      <w:r w:rsidRPr="2BC0A29E">
        <w:rPr>
          <w:rFonts w:ascii="Aptos" w:hAnsi="Aptos"/>
        </w:rPr>
        <w:t xml:space="preserve">It would be </w:t>
      </w:r>
      <w:r w:rsidRPr="0B37A136">
        <w:rPr>
          <w:rFonts w:ascii="Aptos" w:hAnsi="Aptos"/>
        </w:rPr>
        <w:t xml:space="preserve">valuable </w:t>
      </w:r>
      <w:r w:rsidRPr="5A16CDE1">
        <w:rPr>
          <w:rFonts w:ascii="Aptos" w:hAnsi="Aptos"/>
        </w:rPr>
        <w:t>for</w:t>
      </w:r>
      <w:r>
        <w:rPr>
          <w:rFonts w:ascii="Aptos" w:hAnsi="Aptos"/>
        </w:rPr>
        <w:t xml:space="preserve"> </w:t>
      </w:r>
      <w:r w:rsidRPr="4F216CB9">
        <w:rPr>
          <w:rFonts w:ascii="Aptos" w:hAnsi="Aptos"/>
        </w:rPr>
        <w:t>DCMS to set out explicitly which bodies will take responsibility for delivering each element</w:t>
      </w:r>
      <w:r w:rsidRPr="4F216CB9">
        <w:rPr>
          <w:rFonts w:ascii="Aptos" w:hAnsi="Aptos"/>
        </w:rPr>
        <w:t xml:space="preserve"> of the Strategy</w:t>
      </w:r>
      <w:r w:rsidRPr="4F216CB9">
        <w:rPr>
          <w:rFonts w:ascii="Aptos" w:hAnsi="Aptos"/>
        </w:rPr>
        <w:t>, on what timeline and against what milestones.</w:t>
      </w:r>
    </w:p>
    <w:p w:rsidR="00611166" w:rsidRPr="00E26F91" w:rsidP="4F216CB9">
      <w:pPr>
        <w:rPr>
          <w:rFonts w:ascii="Aptos" w:hAnsi="Aptos"/>
        </w:rPr>
      </w:pPr>
    </w:p>
    <w:p w:rsidR="00611166" w:rsidRPr="00E26F91" w:rsidP="4F216CB9">
      <w:pPr>
        <w:rPr>
          <w:rFonts w:ascii="Aptos" w:hAnsi="Aptos"/>
        </w:rPr>
      </w:pPr>
      <w:r>
        <w:rPr>
          <w:rFonts w:ascii="Aptos" w:hAnsi="Aptos"/>
          <w:b/>
          <w:bCs/>
        </w:rPr>
        <w:t>Sustained and</w:t>
      </w:r>
      <w:r w:rsidRPr="4F216CB9">
        <w:rPr>
          <w:rFonts w:ascii="Aptos" w:hAnsi="Aptos"/>
          <w:b/>
          <w:bCs/>
        </w:rPr>
        <w:t xml:space="preserve"> long-term government funding for VisitBritain, VisitEngland and the Local Visitor Economy Partnership network</w:t>
      </w:r>
      <w:r>
        <w:rPr>
          <w:rFonts w:ascii="Aptos" w:hAnsi="Aptos"/>
          <w:b/>
          <w:bCs/>
        </w:rPr>
        <w:t xml:space="preserve"> </w:t>
      </w:r>
      <w:r>
        <w:rPr>
          <w:rFonts w:ascii="Aptos" w:hAnsi="Aptos"/>
          <w:b/>
          <w:bCs/>
        </w:rPr>
        <w:t>is</w:t>
      </w:r>
      <w:r>
        <w:rPr>
          <w:rFonts w:ascii="Aptos" w:hAnsi="Aptos"/>
          <w:b/>
          <w:bCs/>
        </w:rPr>
        <w:t xml:space="preserve"> also critical</w:t>
      </w:r>
      <w:r w:rsidRPr="4F216CB9">
        <w:rPr>
          <w:rFonts w:ascii="Aptos" w:hAnsi="Aptos"/>
        </w:rPr>
        <w:t>. These bodies currently generate £20 in additional visitor spending for every £1 of public investment</w:t>
      </w:r>
      <w:r w:rsidRPr="4F216CB9">
        <w:rPr>
          <w:rFonts w:ascii="Aptos" w:hAnsi="Aptos"/>
        </w:rPr>
        <w:t>,</w:t>
      </w:r>
      <w:r w:rsidRPr="4F216CB9">
        <w:rPr>
          <w:rFonts w:ascii="Aptos" w:hAnsi="Aptos"/>
        </w:rPr>
        <w:t xml:space="preserve"> one of the highest-yield spending decisions available to Government</w:t>
      </w:r>
      <w:r w:rsidRPr="4F216CB9">
        <w:rPr>
          <w:rFonts w:ascii="Aptos" w:hAnsi="Aptos"/>
        </w:rPr>
        <w:t xml:space="preserve">, </w:t>
      </w:r>
      <w:r w:rsidRPr="4F216CB9">
        <w:rPr>
          <w:rFonts w:ascii="Aptos" w:hAnsi="Aptos"/>
        </w:rPr>
        <w:t xml:space="preserve">yet VisitBritain’s core government grant has not kept pace with inflation and compares poorly with equivalent national tourism organisations in France, Germany, Spain and the United States. </w:t>
      </w:r>
    </w:p>
    <w:p w:rsidR="00611166" w:rsidRPr="00E26F91" w:rsidP="4F216CB9">
      <w:pPr>
        <w:rPr>
          <w:rFonts w:ascii="Aptos" w:hAnsi="Aptos"/>
        </w:rPr>
      </w:pPr>
    </w:p>
    <w:p w:rsidR="00611166" w:rsidRPr="00E26F91" w:rsidP="4F216CB9">
      <w:pPr>
        <w:pStyle w:val="Heading2"/>
        <w:rPr>
          <w:rFonts w:ascii="Aptos" w:hAnsi="Aptos"/>
          <w:sz w:val="28"/>
        </w:rPr>
      </w:pPr>
      <w:bookmarkStart w:id="5" w:name="_Toc230020912"/>
      <w:r w:rsidRPr="00A24AB0">
        <w:rPr>
          <w:rFonts w:ascii="Aptos" w:hAnsi="Aptos"/>
          <w:sz w:val="28"/>
        </w:rPr>
        <w:t>Question 1(iv): What are the specific drivers of international tourism to the UK, what is the economic value of each of those drivers and how can their value be increased?</w:t>
      </w:r>
      <w:bookmarkEnd w:id="5"/>
      <w:r w:rsidRPr="00A24AB0">
        <w:rPr>
          <w:rFonts w:ascii="Aptos" w:hAnsi="Aptos"/>
          <w:sz w:val="28"/>
        </w:rPr>
        <w:t xml:space="preserve"> </w:t>
      </w:r>
    </w:p>
    <w:p w:rsidR="00611166" w:rsidRPr="00E26F91" w:rsidP="4F216CB9">
      <w:pPr>
        <w:rPr>
          <w:rFonts w:ascii="Aptos" w:hAnsi="Aptos" w:cstheme="majorBidi"/>
        </w:rPr>
      </w:pPr>
      <w:r w:rsidRPr="4F216CB9">
        <w:rPr>
          <w:rFonts w:ascii="Aptos" w:hAnsi="Aptos" w:cstheme="majorBidi"/>
        </w:rPr>
        <w:t>Heritage is a powerful driver of international tourism to the UK. International tourists spent an estimated £12.5 billion at heritage-related destinations in 2023 alone</w:t>
      </w:r>
      <w:r>
        <w:rPr>
          <w:rStyle w:val="FootnoteReference"/>
          <w:rFonts w:ascii="Aptos" w:hAnsi="Aptos" w:cstheme="majorBidi"/>
        </w:rPr>
        <w:footnoteReference w:id="7"/>
      </w:r>
      <w:r w:rsidRPr="4F216CB9">
        <w:rPr>
          <w:rFonts w:ascii="Aptos" w:hAnsi="Aptos" w:cstheme="majorBidi"/>
        </w:rPr>
        <w:t>. According to the 2024 Visitor Attraction Survey, 7 out of 10 of the most popular paid visitor attractions in England are heritage attractions</w:t>
      </w:r>
      <w:r>
        <w:rPr>
          <w:rStyle w:val="FootnoteReference"/>
          <w:rFonts w:ascii="Aptos" w:hAnsi="Aptos" w:cstheme="majorBidi"/>
        </w:rPr>
        <w:footnoteReference w:id="8"/>
      </w:r>
      <w:r w:rsidRPr="4F216CB9">
        <w:rPr>
          <w:rFonts w:ascii="Aptos" w:hAnsi="Aptos" w:cstheme="majorBidi"/>
        </w:rPr>
        <w:t>, while our World Heritage Sites are central to heritage tourism in the UK and can contribute greatly to our global standing</w:t>
      </w:r>
      <w:r>
        <w:rPr>
          <w:rStyle w:val="FootnoteReference"/>
          <w:rFonts w:ascii="Aptos" w:hAnsi="Aptos" w:cstheme="majorBidi"/>
        </w:rPr>
        <w:footnoteReference w:id="9"/>
      </w:r>
      <w:r w:rsidRPr="4F216CB9">
        <w:rPr>
          <w:rFonts w:ascii="Aptos" w:hAnsi="Aptos" w:cstheme="majorBidi"/>
        </w:rPr>
        <w:t>.</w:t>
      </w:r>
    </w:p>
    <w:p w:rsidR="00611166" w:rsidRPr="00E26F91" w:rsidP="4F216CB9">
      <w:pPr>
        <w:rPr>
          <w:rFonts w:ascii="Aptos" w:hAnsi="Aptos" w:cstheme="majorBidi"/>
        </w:rPr>
      </w:pPr>
    </w:p>
    <w:p w:rsidR="00611166" w:rsidRPr="00E26F91" w:rsidP="4F216CB9">
      <w:pPr>
        <w:rPr>
          <w:rFonts w:ascii="Aptos" w:hAnsi="Aptos" w:cstheme="majorBidi"/>
        </w:rPr>
      </w:pPr>
      <w:r w:rsidRPr="4F216CB9">
        <w:rPr>
          <w:rFonts w:ascii="Aptos" w:hAnsi="Aptos" w:cstheme="majorBidi"/>
        </w:rPr>
        <w:t>The UK ranks fifth in the Global Soft Power Index for culture and heritage, and in a survey of 18–34-year-olds across 19 G20 nations, 23% identified the UK as one of the top three most attractive countries in the world as a source of arts and culture</w:t>
      </w:r>
      <w:r>
        <w:rPr>
          <w:rStyle w:val="FootnoteReference"/>
          <w:rFonts w:ascii="Aptos" w:hAnsi="Aptos" w:cstheme="majorBidi"/>
        </w:rPr>
        <w:footnoteReference w:id="10"/>
      </w:r>
      <w:r w:rsidRPr="4F216CB9">
        <w:rPr>
          <w:rFonts w:ascii="Aptos" w:hAnsi="Aptos" w:cstheme="majorBidi"/>
        </w:rPr>
        <w:t>. This global reputation is built on the depth and diversity of our historic environment, from prehistoric landscapes and medieval cathedrals to industrial revolution sites and post-war architecture.</w:t>
      </w:r>
    </w:p>
    <w:p w:rsidR="00611166" w:rsidRPr="00E26F91" w:rsidP="4F216CB9">
      <w:pPr>
        <w:rPr>
          <w:rFonts w:ascii="Aptos" w:hAnsi="Aptos" w:cstheme="majorBidi"/>
        </w:rPr>
      </w:pPr>
    </w:p>
    <w:p w:rsidR="00611166" w:rsidRPr="00E26F91" w:rsidP="4F216CB9">
      <w:pPr>
        <w:rPr>
          <w:rFonts w:ascii="Aptos" w:hAnsi="Aptos" w:cstheme="majorBidi"/>
        </w:rPr>
      </w:pPr>
      <w:r>
        <w:rPr>
          <w:rFonts w:ascii="Aptos" w:hAnsi="Aptos" w:cstheme="majorBidi"/>
        </w:rPr>
        <w:t xml:space="preserve">Our 2025 report, </w:t>
      </w:r>
      <w:r>
        <w:fldChar w:fldCharType="begin"/>
      </w:r>
      <w:r>
        <w:instrText xml:space="preserve"> HYPERLINK "https://www.theheritagealliance.org.uk/our-work/publications/heritage-creates/" </w:instrText>
      </w:r>
      <w:r>
        <w:fldChar w:fldCharType="separate"/>
      </w:r>
      <w:r w:rsidRPr="00E4500B">
        <w:rPr>
          <w:rStyle w:val="Hyperlink"/>
          <w:rFonts w:ascii="Aptos" w:hAnsi="Aptos" w:cstheme="majorBidi"/>
          <w:i/>
          <w:iCs/>
        </w:rPr>
        <w:t>Heritage Creates</w:t>
      </w:r>
      <w:r>
        <w:fldChar w:fldCharType="end"/>
      </w:r>
      <w:r>
        <w:rPr>
          <w:rFonts w:ascii="Aptos" w:hAnsi="Aptos" w:cstheme="majorBidi"/>
        </w:rPr>
        <w:t xml:space="preserve">, </w:t>
      </w:r>
      <w:r>
        <w:rPr>
          <w:rFonts w:ascii="Aptos" w:hAnsi="Aptos" w:cstheme="majorBidi"/>
        </w:rPr>
        <w:t xml:space="preserve">explored the relationship between </w:t>
      </w:r>
      <w:r>
        <w:rPr>
          <w:rFonts w:ascii="Aptos" w:hAnsi="Aptos" w:cstheme="majorBidi"/>
        </w:rPr>
        <w:t>he</w:t>
      </w:r>
      <w:r>
        <w:rPr>
          <w:rFonts w:ascii="Aptos" w:hAnsi="Aptos" w:cstheme="majorBidi"/>
        </w:rPr>
        <w:t xml:space="preserve"> heritage sector and the creative industries. It highlights how s</w:t>
      </w:r>
      <w:r w:rsidRPr="4F216CB9">
        <w:rPr>
          <w:rFonts w:ascii="Aptos" w:hAnsi="Aptos" w:cstheme="majorBidi"/>
        </w:rPr>
        <w:t>creen tourism is an increasingly significant sub-driver</w:t>
      </w:r>
      <w:r>
        <w:rPr>
          <w:rFonts w:ascii="Aptos" w:hAnsi="Aptos" w:cstheme="majorBidi"/>
        </w:rPr>
        <w:t xml:space="preserve"> for tourism</w:t>
      </w:r>
      <w:r w:rsidRPr="4F216CB9">
        <w:rPr>
          <w:rFonts w:ascii="Aptos" w:hAnsi="Aptos" w:cstheme="majorBidi"/>
        </w:rPr>
        <w:t xml:space="preserve">. </w:t>
      </w:r>
      <w:r>
        <w:rPr>
          <w:rFonts w:ascii="Aptos" w:hAnsi="Aptos" w:cstheme="majorBidi"/>
        </w:rPr>
        <w:t>Heritage Alliance member, the Old Royal Naval College, is the most filmed heritage location in the UK</w:t>
      </w:r>
      <w:r>
        <w:rPr>
          <w:rStyle w:val="FootnoteReference"/>
          <w:rFonts w:ascii="Aptos" w:hAnsi="Aptos" w:cstheme="majorBidi"/>
        </w:rPr>
        <w:footnoteReference w:id="11"/>
      </w:r>
      <w:r>
        <w:rPr>
          <w:rFonts w:ascii="Aptos" w:hAnsi="Aptos" w:cstheme="majorBidi"/>
        </w:rPr>
        <w:t xml:space="preserve">. </w:t>
      </w:r>
      <w:r w:rsidRPr="4F216CB9">
        <w:rPr>
          <w:rFonts w:ascii="Aptos" w:hAnsi="Aptos" w:cstheme="majorBidi"/>
        </w:rPr>
        <w:t xml:space="preserve">Research </w:t>
      </w:r>
      <w:r>
        <w:rPr>
          <w:rFonts w:ascii="Aptos" w:hAnsi="Aptos" w:cstheme="majorBidi"/>
        </w:rPr>
        <w:t xml:space="preserve">has found </w:t>
      </w:r>
      <w:r w:rsidRPr="4F216CB9">
        <w:rPr>
          <w:rFonts w:ascii="Aptos" w:hAnsi="Aptos" w:cstheme="majorBidi"/>
        </w:rPr>
        <w:t>tha</w:t>
      </w:r>
      <w:r>
        <w:rPr>
          <w:rFonts w:ascii="Aptos" w:hAnsi="Aptos" w:cstheme="majorBidi"/>
        </w:rPr>
        <w:t>t</w:t>
      </w:r>
      <w:r w:rsidRPr="4F216CB9">
        <w:rPr>
          <w:rFonts w:ascii="Aptos" w:hAnsi="Aptos" w:cstheme="majorBidi"/>
        </w:rPr>
        <w:t xml:space="preserve"> among UK visitors who took a leisure trip in the last ten years, 7 in 10 visited a film or TV location. In 2019, film-related tourism generated nearly £1 </w:t>
      </w:r>
      <w:r w:rsidRPr="4F216CB9">
        <w:rPr>
          <w:rFonts w:ascii="Aptos" w:hAnsi="Aptos" w:cstheme="majorBidi"/>
        </w:rPr>
        <w:t>billion in economic activity, while TV-related tourism contributed close to half a billion</w:t>
      </w:r>
      <w:r>
        <w:rPr>
          <w:rStyle w:val="FootnoteReference"/>
          <w:rFonts w:ascii="Aptos" w:hAnsi="Aptos" w:cstheme="majorBidi"/>
        </w:rPr>
        <w:footnoteReference w:id="12"/>
      </w:r>
      <w:r w:rsidRPr="4F216CB9">
        <w:rPr>
          <w:rFonts w:ascii="Aptos" w:hAnsi="Aptos" w:cstheme="majorBidi"/>
        </w:rPr>
        <w:t xml:space="preserve">. These figures demonstrate a clear link between investment in British film and television production, which overwhelmingly relies on heritage locations, and growth in inbound visitor numbers. </w:t>
      </w:r>
    </w:p>
    <w:p w:rsidR="00611166" w:rsidRPr="00E26F91" w:rsidP="4F216CB9">
      <w:pPr>
        <w:rPr>
          <w:rFonts w:ascii="Aptos" w:hAnsi="Aptos" w:cstheme="majorBidi"/>
        </w:rPr>
      </w:pPr>
    </w:p>
    <w:p w:rsidR="00611166" w:rsidRPr="00E26F91" w:rsidP="4F216CB9">
      <w:pPr>
        <w:rPr>
          <w:rFonts w:ascii="Aptos" w:hAnsi="Aptos" w:cstheme="majorBidi"/>
        </w:rPr>
      </w:pPr>
      <w:r w:rsidRPr="4F216CB9">
        <w:rPr>
          <w:rFonts w:ascii="Aptos" w:hAnsi="Aptos" w:cstheme="majorBidi"/>
        </w:rPr>
        <w:t>The scale of this opportunity continues to grow: VisitBritain’s Starring GREAT Britain campaign</w:t>
      </w:r>
      <w:r w:rsidRPr="4F216CB9">
        <w:rPr>
          <w:rFonts w:ascii="Aptos" w:hAnsi="Aptos" w:cstheme="majorBidi"/>
        </w:rPr>
        <w:t xml:space="preserve">, </w:t>
      </w:r>
      <w:r w:rsidRPr="4F216CB9">
        <w:rPr>
          <w:rFonts w:ascii="Aptos" w:hAnsi="Aptos" w:cstheme="majorBidi"/>
        </w:rPr>
        <w:t xml:space="preserve"> linking screen tourism to actual destination visits</w:t>
      </w:r>
      <w:r w:rsidRPr="4F216CB9">
        <w:rPr>
          <w:rFonts w:ascii="Aptos" w:hAnsi="Aptos" w:cstheme="majorBidi"/>
        </w:rPr>
        <w:t>,</w:t>
      </w:r>
      <w:r w:rsidRPr="4F216CB9">
        <w:rPr>
          <w:rFonts w:ascii="Aptos" w:hAnsi="Aptos" w:cstheme="majorBidi"/>
        </w:rPr>
        <w:t xml:space="preserve"> generated an estimated £217 million in additional visitor spending in its first six months alone</w:t>
      </w:r>
      <w:r>
        <w:rPr>
          <w:rStyle w:val="FootnoteReference"/>
          <w:rFonts w:ascii="Aptos" w:hAnsi="Aptos" w:cstheme="majorBidi"/>
        </w:rPr>
        <w:footnoteReference w:id="13"/>
      </w:r>
      <w:r w:rsidRPr="4F216CB9">
        <w:rPr>
          <w:rFonts w:ascii="Aptos" w:hAnsi="Aptos" w:cstheme="majorBidi"/>
        </w:rPr>
        <w:t xml:space="preserve">, demonstrating the direct economic return available when screen production and destination marketing are coordinated around the UK’s heritage assets. Many visitors flock to our </w:t>
      </w:r>
      <w:r w:rsidRPr="4F216CB9">
        <w:rPr>
          <w:rFonts w:ascii="Aptos" w:hAnsi="Aptos" w:cstheme="majorBidi"/>
        </w:rPr>
        <w:t xml:space="preserve">historic sites because they are intrinsically linked to our cultural exports – there's no Peaky Blinders without Birmingham’s industrial heritage, no Poldark without the mines, and no Ghosts without West Horsley Place. </w:t>
      </w:r>
    </w:p>
    <w:p w:rsidR="00611166" w:rsidRPr="00E26F91" w:rsidP="4F216CB9">
      <w:pPr>
        <w:rPr>
          <w:rFonts w:ascii="Aptos" w:hAnsi="Aptos" w:cstheme="majorBidi"/>
        </w:rPr>
      </w:pPr>
    </w:p>
    <w:p w:rsidR="00611166" w:rsidRPr="00E26F91" w:rsidP="4F216CB9">
      <w:pPr>
        <w:rPr>
          <w:rFonts w:ascii="Aptos" w:hAnsi="Aptos" w:cstheme="majorBidi"/>
        </w:rPr>
      </w:pPr>
      <w:r w:rsidRPr="4F216CB9">
        <w:rPr>
          <w:rFonts w:ascii="Aptos" w:hAnsi="Aptos" w:cstheme="majorBidi"/>
        </w:rPr>
        <w:t>In 2021, despite lockdown restrictions, there were over 119 million domestic day visits to heritage sites generating an estimated visitor spend of £5.5 billion, 15 million domestic overnight heritage trips generating £3.9 billion, and 2.74 million international heritage visits generating £2.4 billion</w:t>
      </w:r>
      <w:r>
        <w:rPr>
          <w:rStyle w:val="FootnoteReference"/>
          <w:rFonts w:ascii="Aptos" w:hAnsi="Aptos" w:cstheme="majorBidi"/>
        </w:rPr>
        <w:footnoteReference w:id="14"/>
      </w:r>
      <w:r w:rsidRPr="4F216CB9">
        <w:rPr>
          <w:rFonts w:ascii="Aptos" w:hAnsi="Aptos" w:cstheme="majorBidi"/>
        </w:rPr>
        <w:t>.</w:t>
      </w:r>
    </w:p>
    <w:p w:rsidR="00611166" w:rsidRPr="00E26F91" w:rsidP="4F216CB9">
      <w:pPr>
        <w:rPr>
          <w:rFonts w:ascii="Aptos" w:hAnsi="Aptos" w:cstheme="majorBidi"/>
        </w:rPr>
      </w:pPr>
    </w:p>
    <w:p w:rsidR="00611166" w:rsidRPr="00E26F91" w:rsidP="4F216CB9">
      <w:pPr>
        <w:rPr>
          <w:rFonts w:ascii="Aptos" w:hAnsi="Aptos" w:cstheme="majorBidi"/>
        </w:rPr>
      </w:pPr>
      <w:r w:rsidRPr="4F216CB9">
        <w:rPr>
          <w:rFonts w:ascii="Aptos" w:hAnsi="Aptos" w:cstheme="majorBidi"/>
        </w:rPr>
        <w:t>Historic Houses sites alone are estimated to have generated £1.3 billion for the UK economy in 2022, two-thirds of which was spent locally</w:t>
      </w:r>
      <w:r>
        <w:rPr>
          <w:rStyle w:val="FootnoteReference"/>
          <w:rFonts w:ascii="Aptos" w:hAnsi="Aptos" w:cstheme="majorBidi"/>
        </w:rPr>
        <w:footnoteReference w:id="15"/>
      </w:r>
      <w:r w:rsidRPr="4F216CB9">
        <w:rPr>
          <w:rFonts w:ascii="Aptos" w:hAnsi="Aptos" w:cstheme="majorBidi"/>
        </w:rPr>
        <w:t xml:space="preserve">, underscoring heritage’s role not just as a national asset but as an engine of local economic growth. </w:t>
      </w:r>
    </w:p>
    <w:p w:rsidR="00611166" w:rsidRPr="00E26F91" w:rsidP="4F216CB9">
      <w:pPr>
        <w:rPr>
          <w:rFonts w:ascii="Aptos" w:hAnsi="Aptos" w:cstheme="majorBidi"/>
        </w:rPr>
      </w:pPr>
    </w:p>
    <w:p w:rsidR="00611166" w:rsidRPr="00E26F91" w:rsidP="4F216CB9">
      <w:pPr>
        <w:rPr>
          <w:rFonts w:ascii="Aptos" w:hAnsi="Aptos" w:cstheme="majorBidi"/>
        </w:rPr>
      </w:pPr>
      <w:r>
        <w:rPr>
          <w:rFonts w:ascii="Aptos" w:hAnsi="Aptos" w:cstheme="majorBidi"/>
        </w:rPr>
        <w:t>The</w:t>
      </w:r>
      <w:r w:rsidRPr="4F216CB9">
        <w:rPr>
          <w:rFonts w:ascii="Aptos" w:hAnsi="Aptos" w:cstheme="majorBidi"/>
        </w:rPr>
        <w:t xml:space="preserve"> value of heritage as a tourism driver</w:t>
      </w:r>
      <w:r>
        <w:rPr>
          <w:rFonts w:ascii="Aptos" w:hAnsi="Aptos" w:cstheme="majorBidi"/>
        </w:rPr>
        <w:t xml:space="preserve"> could be in</w:t>
      </w:r>
      <w:r>
        <w:rPr>
          <w:rFonts w:ascii="Aptos" w:hAnsi="Aptos" w:cstheme="majorBidi"/>
        </w:rPr>
        <w:t>creased and enhanced by:</w:t>
      </w:r>
    </w:p>
    <w:p w:rsidR="00611166" w:rsidRPr="00E26F91" w:rsidP="4F216CB9">
      <w:pPr>
        <w:pStyle w:val="ListParagraph"/>
        <w:numPr>
          <w:ilvl w:val="0"/>
          <w:numId w:val="2"/>
        </w:numPr>
        <w:rPr>
          <w:rFonts w:ascii="Aptos" w:hAnsi="Aptos" w:cstheme="majorBidi"/>
        </w:rPr>
      </w:pPr>
      <w:r w:rsidRPr="00E4500B">
        <w:rPr>
          <w:rFonts w:ascii="Aptos" w:hAnsi="Aptos" w:cstheme="majorBidi"/>
          <w:b/>
          <w:bCs/>
        </w:rPr>
        <w:t>Invest</w:t>
      </w:r>
      <w:r w:rsidRPr="00E4500B">
        <w:rPr>
          <w:rFonts w:ascii="Aptos" w:hAnsi="Aptos" w:cstheme="majorBidi"/>
          <w:b/>
          <w:bCs/>
        </w:rPr>
        <w:t>ment</w:t>
      </w:r>
      <w:r w:rsidRPr="00E4500B">
        <w:rPr>
          <w:rFonts w:ascii="Aptos" w:hAnsi="Aptos" w:cstheme="majorBidi"/>
          <w:b/>
          <w:bCs/>
        </w:rPr>
        <w:t xml:space="preserve"> in heritage conservation as tourism infrastructure:</w:t>
      </w:r>
      <w:r w:rsidRPr="4F216CB9">
        <w:rPr>
          <w:rFonts w:ascii="Aptos" w:hAnsi="Aptos" w:cstheme="majorBidi"/>
        </w:rPr>
        <w:t xml:space="preserve"> protecting and restoring historic sites directly strengthens the quality and diversity of the UK’s offer to international visitors.</w:t>
      </w:r>
    </w:p>
    <w:p w:rsidR="00611166" w:rsidRPr="00E26F91" w:rsidP="4F216CB9">
      <w:pPr>
        <w:pStyle w:val="ListParagraph"/>
        <w:numPr>
          <w:ilvl w:val="0"/>
          <w:numId w:val="2"/>
        </w:numPr>
        <w:rPr>
          <w:rFonts w:ascii="Aptos" w:hAnsi="Aptos" w:cstheme="majorBidi"/>
        </w:rPr>
      </w:pPr>
      <w:r w:rsidRPr="00547CC7">
        <w:rPr>
          <w:rFonts w:ascii="Aptos" w:hAnsi="Aptos" w:cstheme="majorBidi"/>
          <w:b/>
          <w:bCs/>
        </w:rPr>
        <w:t>Strengthening the British Film Commission’s mandate to promote screen heritage tourism</w:t>
      </w:r>
      <w:r w:rsidRPr="4F216CB9">
        <w:rPr>
          <w:rFonts w:ascii="Aptos" w:hAnsi="Aptos" w:cstheme="majorBidi"/>
        </w:rPr>
        <w:t>, building on the existing connections between filming locations and visitor footfall.</w:t>
      </w:r>
    </w:p>
    <w:p w:rsidR="00611166" w:rsidRPr="00E26F91" w:rsidP="4F216CB9">
      <w:pPr>
        <w:pStyle w:val="ListParagraph"/>
        <w:numPr>
          <w:ilvl w:val="0"/>
          <w:numId w:val="2"/>
        </w:numPr>
        <w:rPr>
          <w:rFonts w:ascii="Aptos" w:hAnsi="Aptos" w:cstheme="majorBidi"/>
        </w:rPr>
      </w:pPr>
      <w:r w:rsidRPr="00547CC7">
        <w:rPr>
          <w:rFonts w:ascii="Aptos" w:hAnsi="Aptos" w:cstheme="majorBidi"/>
          <w:b/>
          <w:bCs/>
        </w:rPr>
        <w:t>Develop</w:t>
      </w:r>
      <w:r w:rsidRPr="00547CC7">
        <w:rPr>
          <w:rFonts w:ascii="Aptos" w:hAnsi="Aptos" w:cstheme="majorBidi"/>
          <w:b/>
          <w:bCs/>
        </w:rPr>
        <w:t>ing</w:t>
      </w:r>
      <w:r w:rsidRPr="00547CC7">
        <w:rPr>
          <w:rFonts w:ascii="Aptos" w:hAnsi="Aptos" w:cstheme="majorBidi"/>
          <w:b/>
          <w:bCs/>
        </w:rPr>
        <w:t xml:space="preserve"> a national screen tourism strategy</w:t>
      </w:r>
      <w:r w:rsidRPr="4F216CB9">
        <w:rPr>
          <w:rFonts w:ascii="Aptos" w:hAnsi="Aptos" w:cstheme="majorBidi"/>
        </w:rPr>
        <w:t>, in partnership with VisitBritain, VisitEngland and the British Film Commission, to capture and maximise the tourism dividend from UK film and TV production.</w:t>
      </w:r>
    </w:p>
    <w:p w:rsidR="00611166" w:rsidRPr="00E26F91" w:rsidP="4F216CB9">
      <w:pPr>
        <w:pStyle w:val="ListParagraph"/>
        <w:numPr>
          <w:ilvl w:val="0"/>
          <w:numId w:val="2"/>
        </w:numPr>
        <w:rPr>
          <w:rFonts w:ascii="Aptos" w:hAnsi="Aptos" w:cstheme="majorBidi"/>
        </w:rPr>
      </w:pPr>
      <w:r w:rsidRPr="00547CC7">
        <w:rPr>
          <w:rFonts w:ascii="Aptos" w:hAnsi="Aptos" w:cstheme="majorBidi"/>
          <w:b/>
          <w:bCs/>
        </w:rPr>
        <w:t>Protect</w:t>
      </w:r>
      <w:r w:rsidRPr="00547CC7">
        <w:rPr>
          <w:rFonts w:ascii="Aptos" w:hAnsi="Aptos" w:cstheme="majorBidi"/>
          <w:b/>
          <w:bCs/>
        </w:rPr>
        <w:t>ion of</w:t>
      </w:r>
      <w:r w:rsidRPr="00547CC7">
        <w:rPr>
          <w:rFonts w:ascii="Aptos" w:hAnsi="Aptos" w:cstheme="majorBidi"/>
          <w:b/>
          <w:bCs/>
        </w:rPr>
        <w:t xml:space="preserve"> the intellectual property rights of heritage sites</w:t>
      </w:r>
      <w:r w:rsidRPr="4F216CB9">
        <w:rPr>
          <w:rFonts w:ascii="Aptos" w:hAnsi="Aptos" w:cstheme="majorBidi"/>
        </w:rPr>
        <w:t xml:space="preserve"> used as filming locations, including in relation to emerging AI and StageCraft technologies, to ensure that the tourism and reputational value of these locations is preserved. </w:t>
      </w:r>
    </w:p>
    <w:p w:rsidR="00611166" w:rsidRPr="00E26F91" w:rsidP="4F216CB9">
      <w:pPr>
        <w:rPr>
          <w:rFonts w:ascii="Aptos" w:hAnsi="Aptos" w:cstheme="majorBidi"/>
        </w:rPr>
      </w:pPr>
    </w:p>
    <w:p w:rsidR="00611166" w:rsidRPr="00E26F91" w:rsidP="4F216CB9">
      <w:pPr>
        <w:pStyle w:val="Heading2"/>
        <w:rPr>
          <w:rFonts w:ascii="Aptos" w:hAnsi="Aptos"/>
          <w:sz w:val="28"/>
        </w:rPr>
      </w:pPr>
      <w:bookmarkStart w:id="6" w:name="_Toc230020913"/>
      <w:r w:rsidRPr="00A24AB0">
        <w:rPr>
          <w:rFonts w:ascii="Aptos" w:hAnsi="Aptos"/>
          <w:sz w:val="28"/>
        </w:rPr>
        <w:t>Question 1v: What are the arguments for and against the proposal to give mayoral strategic authorities the power to introduce an overnight visitor levy?</w:t>
      </w:r>
      <w:r w:rsidRPr="00A24AB0">
        <w:rPr>
          <w:rFonts w:ascii="Arial" w:hAnsi="Arial" w:cs="Arial"/>
          <w:sz w:val="28"/>
        </w:rPr>
        <w:t> </w:t>
      </w:r>
      <w:r w:rsidRPr="00A24AB0">
        <w:rPr>
          <w:rFonts w:ascii="Aptos" w:hAnsi="Aptos"/>
          <w:sz w:val="28"/>
        </w:rPr>
        <w:t>If a levy is introduced, how should it best be spent to attract tourism and investment?</w:t>
      </w:r>
      <w:bookmarkEnd w:id="6"/>
      <w:r w:rsidRPr="00A24AB0">
        <w:rPr>
          <w:rFonts w:ascii="Aptos" w:hAnsi="Aptos" w:cs="Aptos"/>
          <w:sz w:val="28"/>
        </w:rPr>
        <w:t> </w:t>
      </w:r>
    </w:p>
    <w:p w:rsidR="00611166" w:rsidRPr="00E26F91" w:rsidP="4F216CB9">
      <w:pPr>
        <w:rPr>
          <w:rFonts w:ascii="Aptos" w:hAnsi="Aptos" w:cstheme="majorBidi"/>
        </w:rPr>
      </w:pPr>
      <w:r w:rsidRPr="4F216CB9">
        <w:rPr>
          <w:rFonts w:ascii="Aptos" w:hAnsi="Aptos" w:cstheme="majorBidi"/>
        </w:rPr>
        <w:t xml:space="preserve">The Heritage Alliance recently submitted evidence to the Government’s consultation on introducing a </w:t>
      </w:r>
      <w:r>
        <w:fldChar w:fldCharType="begin"/>
      </w:r>
      <w:r>
        <w:instrText xml:space="preserve"> HYPERLINK "https://www.gov.uk/government/consultations/overnight-visitor-levy-in-england" </w:instrText>
      </w:r>
      <w:r>
        <w:fldChar w:fldCharType="separate"/>
      </w:r>
      <w:r w:rsidRPr="4F216CB9">
        <w:rPr>
          <w:rStyle w:val="Hyperlink"/>
          <w:rFonts w:ascii="Aptos" w:hAnsi="Aptos" w:cstheme="majorBidi"/>
        </w:rPr>
        <w:t>Visitor Levy in England</w:t>
      </w:r>
      <w:r>
        <w:fldChar w:fldCharType="end"/>
      </w:r>
      <w:r w:rsidRPr="4F216CB9">
        <w:rPr>
          <w:rFonts w:ascii="Aptos" w:hAnsi="Aptos" w:cstheme="majorBidi"/>
        </w:rPr>
        <w:t xml:space="preserve">. </w:t>
      </w:r>
    </w:p>
    <w:p w:rsidR="00611166" w:rsidRPr="00E26F91" w:rsidP="4F216CB9">
      <w:pPr>
        <w:rPr>
          <w:rFonts w:ascii="Aptos" w:hAnsi="Aptos" w:cstheme="majorBidi"/>
        </w:rPr>
      </w:pPr>
    </w:p>
    <w:p w:rsidR="00611166" w:rsidRPr="00E26F91" w:rsidP="4F216CB9">
      <w:pPr>
        <w:rPr>
          <w:rFonts w:ascii="Aptos" w:hAnsi="Aptos" w:cstheme="majorBidi"/>
        </w:rPr>
      </w:pPr>
      <w:r w:rsidRPr="0D496C38">
        <w:rPr>
          <w:rFonts w:ascii="Aptos" w:hAnsi="Aptos" w:cstheme="majorBidi"/>
        </w:rPr>
        <w:t xml:space="preserve">Our </w:t>
      </w:r>
      <w:r w:rsidRPr="2614A826">
        <w:rPr>
          <w:rFonts w:ascii="Aptos" w:hAnsi="Aptos" w:cstheme="majorBidi"/>
        </w:rPr>
        <w:t xml:space="preserve">membership across the heritage sector </w:t>
      </w:r>
      <w:r w:rsidRPr="7DEBAE27">
        <w:rPr>
          <w:rFonts w:ascii="Aptos" w:hAnsi="Aptos" w:cstheme="majorBidi"/>
        </w:rPr>
        <w:t xml:space="preserve">has </w:t>
      </w:r>
      <w:r w:rsidRPr="6A36D0BD">
        <w:rPr>
          <w:rFonts w:ascii="Aptos" w:hAnsi="Aptos" w:cstheme="majorBidi"/>
        </w:rPr>
        <w:t>highlighted</w:t>
      </w:r>
      <w:r w:rsidRPr="7DEBAE27">
        <w:rPr>
          <w:rFonts w:ascii="Aptos" w:hAnsi="Aptos" w:cstheme="majorBidi"/>
        </w:rPr>
        <w:t xml:space="preserve"> </w:t>
      </w:r>
      <w:r w:rsidRPr="0EDFB8D4">
        <w:rPr>
          <w:rFonts w:ascii="Aptos" w:hAnsi="Aptos" w:cstheme="majorBidi"/>
        </w:rPr>
        <w:t xml:space="preserve">that </w:t>
      </w:r>
      <w:r w:rsidRPr="3EDC9396">
        <w:rPr>
          <w:rFonts w:ascii="Aptos" w:hAnsi="Aptos" w:cstheme="majorBidi"/>
        </w:rPr>
        <w:t xml:space="preserve">the sector would </w:t>
      </w:r>
      <w:r w:rsidRPr="65840F0C">
        <w:rPr>
          <w:rFonts w:ascii="Aptos" w:hAnsi="Aptos" w:cstheme="majorBidi"/>
        </w:rPr>
        <w:t xml:space="preserve">only be able to </w:t>
      </w:r>
      <w:r w:rsidRPr="71C76554">
        <w:rPr>
          <w:rFonts w:ascii="Aptos" w:hAnsi="Aptos" w:cstheme="majorBidi"/>
        </w:rPr>
        <w:t xml:space="preserve">support </w:t>
      </w:r>
      <w:r w:rsidRPr="4F216CB9">
        <w:rPr>
          <w:rFonts w:ascii="Aptos" w:hAnsi="Aptos" w:cstheme="majorBidi"/>
        </w:rPr>
        <w:t xml:space="preserve">the introduction of a local overnight visitor levy </w:t>
      </w:r>
      <w:r w:rsidRPr="191FCEB2">
        <w:rPr>
          <w:rFonts w:ascii="Aptos" w:hAnsi="Aptos" w:cstheme="majorBidi"/>
        </w:rPr>
        <w:t xml:space="preserve">once </w:t>
      </w:r>
      <w:r w:rsidRPr="0AEDF61F">
        <w:rPr>
          <w:rFonts w:ascii="Aptos" w:hAnsi="Aptos" w:cstheme="majorBidi"/>
        </w:rPr>
        <w:t>specific</w:t>
      </w:r>
      <w:r w:rsidRPr="191FCEB2">
        <w:rPr>
          <w:rFonts w:ascii="Aptos" w:hAnsi="Aptos" w:cstheme="majorBidi"/>
        </w:rPr>
        <w:t xml:space="preserve"> </w:t>
      </w:r>
      <w:r w:rsidRPr="652F6016">
        <w:rPr>
          <w:rFonts w:ascii="Aptos" w:hAnsi="Aptos" w:cstheme="majorBidi"/>
        </w:rPr>
        <w:t>prerequisite conditions are met</w:t>
      </w:r>
      <w:r w:rsidRPr="4F216CB9">
        <w:rPr>
          <w:rFonts w:ascii="Aptos" w:hAnsi="Aptos" w:cstheme="majorBidi"/>
        </w:rPr>
        <w:t xml:space="preserve">. We recognise the potential of a well-designed levy to provide additional local funding for tourism infrastructure, cultural assets and heritage </w:t>
      </w:r>
      <w:r w:rsidRPr="4F216CB9">
        <w:rPr>
          <w:rFonts w:ascii="Aptos" w:hAnsi="Aptos" w:cstheme="majorBidi"/>
        </w:rPr>
        <w:t>conservation;</w:t>
      </w:r>
      <w:r w:rsidRPr="4F216CB9">
        <w:rPr>
          <w:rFonts w:ascii="Aptos" w:hAnsi="Aptos" w:cstheme="majorBidi"/>
        </w:rPr>
        <w:t xml:space="preserve"> however, t</w:t>
      </w:r>
      <w:r w:rsidRPr="4F216CB9">
        <w:rPr>
          <w:rFonts w:ascii="Aptos" w:hAnsi="Aptos" w:cstheme="majorBidi"/>
        </w:rPr>
        <w:t xml:space="preserve">he design and implementation of any levy will be decisive, and the heritage and tourism sectors have concerns that </w:t>
      </w:r>
      <w:r w:rsidRPr="6AE31B3D">
        <w:rPr>
          <w:rFonts w:ascii="Aptos" w:hAnsi="Aptos" w:cstheme="majorBidi"/>
        </w:rPr>
        <w:t xml:space="preserve">would be </w:t>
      </w:r>
      <w:r w:rsidRPr="39402C6B">
        <w:rPr>
          <w:rFonts w:ascii="Aptos" w:hAnsi="Aptos" w:cstheme="majorBidi"/>
        </w:rPr>
        <w:t xml:space="preserve">beneficial to </w:t>
      </w:r>
      <w:r w:rsidRPr="4F216CB9">
        <w:rPr>
          <w:rFonts w:ascii="Aptos" w:hAnsi="Aptos" w:cstheme="majorBidi"/>
        </w:rPr>
        <w:t>address before introduction</w:t>
      </w:r>
      <w:r w:rsidRPr="513235E4">
        <w:rPr>
          <w:rFonts w:ascii="Aptos" w:hAnsi="Aptos" w:cstheme="majorBidi"/>
        </w:rPr>
        <w:t xml:space="preserve">. </w:t>
      </w:r>
    </w:p>
    <w:p w:rsidR="00611166" w:rsidRPr="00E26F91" w:rsidP="4F216CB9">
      <w:pPr>
        <w:rPr>
          <w:rFonts w:ascii="Aptos" w:hAnsi="Aptos" w:cstheme="majorBidi"/>
          <w:b/>
          <w:bCs/>
        </w:rPr>
      </w:pPr>
    </w:p>
    <w:p w:rsidR="00611166" w:rsidRPr="00E26F91" w:rsidP="4F216CB9">
      <w:pPr>
        <w:rPr>
          <w:rFonts w:ascii="Aptos" w:hAnsi="Aptos" w:cstheme="majorBidi"/>
        </w:rPr>
      </w:pPr>
      <w:r w:rsidRPr="4F216CB9">
        <w:rPr>
          <w:rFonts w:ascii="Aptos" w:hAnsi="Aptos" w:cstheme="majorBidi"/>
          <w:b/>
          <w:bCs/>
        </w:rPr>
        <w:t xml:space="preserve">The </w:t>
      </w:r>
      <w:r w:rsidRPr="2335B2B6">
        <w:rPr>
          <w:rFonts w:ascii="Aptos" w:hAnsi="Aptos" w:cstheme="majorBidi"/>
          <w:b/>
          <w:bCs/>
        </w:rPr>
        <w:t xml:space="preserve">Benefits </w:t>
      </w:r>
    </w:p>
    <w:p w:rsidR="00611166" w:rsidRPr="00E26F91" w:rsidP="4F216CB9">
      <w:pPr>
        <w:rPr>
          <w:rFonts w:ascii="Aptos" w:hAnsi="Aptos" w:cstheme="majorBidi"/>
        </w:rPr>
      </w:pPr>
      <w:r w:rsidRPr="4F216CB9">
        <w:rPr>
          <w:rFonts w:ascii="Aptos" w:hAnsi="Aptos" w:cstheme="majorBidi"/>
        </w:rPr>
        <w:t xml:space="preserve">The principal argument in favour of a levy is that it creates a direct and transparent link between the revenues generated by tourism and investment in the assets and infrastructure that make destinations worth visiting. England's </w:t>
      </w:r>
      <w:r w:rsidRPr="7A2E2DFD">
        <w:rPr>
          <w:rFonts w:ascii="Aptos" w:hAnsi="Aptos" w:cstheme="majorBidi"/>
        </w:rPr>
        <w:t xml:space="preserve">public </w:t>
      </w:r>
      <w:r w:rsidRPr="7A2E2DFD">
        <w:rPr>
          <w:rFonts w:ascii="Aptos" w:hAnsi="Aptos" w:cstheme="majorBidi"/>
        </w:rPr>
        <w:t>cultural</w:t>
      </w:r>
      <w:r w:rsidRPr="4F216CB9">
        <w:rPr>
          <w:rFonts w:ascii="Aptos" w:hAnsi="Aptos" w:cstheme="majorBidi"/>
        </w:rPr>
        <w:t xml:space="preserve"> infrastructure currently faces a repair backlog of </w:t>
      </w:r>
      <w:r>
        <w:rPr>
          <w:rFonts w:ascii="Aptos" w:hAnsi="Aptos" w:cstheme="majorBidi"/>
        </w:rPr>
        <w:t xml:space="preserve">at least </w:t>
      </w:r>
      <w:r w:rsidRPr="4F216CB9">
        <w:rPr>
          <w:rFonts w:ascii="Aptos" w:hAnsi="Aptos" w:cstheme="majorBidi"/>
        </w:rPr>
        <w:t>£7 billion</w:t>
      </w:r>
      <w:r>
        <w:rPr>
          <w:rStyle w:val="FootnoteReference"/>
          <w:rFonts w:ascii="Aptos" w:hAnsi="Aptos" w:cstheme="majorBidi"/>
        </w:rPr>
        <w:footnoteReference w:id="16"/>
      </w:r>
      <w:r w:rsidRPr="4F216CB9">
        <w:rPr>
          <w:rFonts w:ascii="Aptos" w:hAnsi="Aptos" w:cstheme="majorBidi"/>
        </w:rPr>
        <w:t>, and Heritage Alliance member Historic Houses calculates that their member properties alone face a backlog exceeding £2 billion</w:t>
      </w:r>
      <w:r>
        <w:rPr>
          <w:rStyle w:val="FootnoteReference"/>
          <w:rFonts w:ascii="Aptos" w:hAnsi="Aptos" w:cstheme="majorBidi"/>
        </w:rPr>
        <w:footnoteReference w:id="17"/>
      </w:r>
      <w:r w:rsidRPr="4F216CB9">
        <w:rPr>
          <w:rFonts w:ascii="Aptos" w:hAnsi="Aptos" w:cstheme="majorBidi"/>
        </w:rPr>
        <w:t>. At the same time, local authority spending on heritage and culture has been cut by 43% in real terms per capita over the past decade</w:t>
      </w:r>
      <w:r>
        <w:rPr>
          <w:rStyle w:val="FootnoteReference"/>
          <w:rFonts w:ascii="Aptos" w:hAnsi="Aptos" w:cstheme="majorBidi"/>
        </w:rPr>
        <w:footnoteReference w:id="18"/>
      </w:r>
      <w:r w:rsidRPr="4F216CB9">
        <w:rPr>
          <w:rFonts w:ascii="Aptos" w:hAnsi="Aptos" w:cstheme="majorBidi"/>
        </w:rPr>
        <w:t>. A well-designed levy, with revenues hypothecated to the tourism, heritage and cultural sectors, could help to address this structural underfunding, sustaining the very assets that draw visitors and generate economic activity.</w:t>
      </w:r>
    </w:p>
    <w:p w:rsidR="00611166" w:rsidRPr="00E26F91" w:rsidP="4F216CB9">
      <w:pPr>
        <w:rPr>
          <w:rFonts w:ascii="Aptos" w:hAnsi="Aptos" w:cstheme="majorBidi"/>
        </w:rPr>
      </w:pPr>
    </w:p>
    <w:p w:rsidR="00611166" w:rsidRPr="00E26F91" w:rsidP="4F216CB9">
      <w:pPr>
        <w:rPr>
          <w:rFonts w:ascii="Aptos" w:hAnsi="Aptos" w:cstheme="majorBidi"/>
        </w:rPr>
      </w:pPr>
      <w:r w:rsidRPr="036CB459">
        <w:rPr>
          <w:rFonts w:ascii="Aptos" w:hAnsi="Aptos" w:cstheme="majorBidi"/>
        </w:rPr>
        <w:t>The tourism sector is of significant scale: it directly supports 2.4 million jobs and generates £147 billion of economic output</w:t>
      </w:r>
      <w:r>
        <w:rPr>
          <w:rStyle w:val="FootnoteReference"/>
          <w:rFonts w:ascii="Aptos" w:hAnsi="Aptos" w:cstheme="majorBidi"/>
        </w:rPr>
        <w:footnoteReference w:id="19"/>
      </w:r>
      <w:r w:rsidRPr="036CB459">
        <w:rPr>
          <w:rFonts w:ascii="Aptos" w:hAnsi="Aptos" w:cstheme="majorBidi"/>
        </w:rPr>
        <w:t>. Modest, well-targeted investment in the visitor offer and supporting infrastructure can therefore produce substantial returns. Where levies are well designed and hypothecated, they also have a legitimising function: visitors who understand that a small charge will be reinvested in the places they are visiting are, in our experience, broadly supportive. The government has set an ambition for 50 million annual visits to the UK by 2030</w:t>
      </w:r>
      <w:r>
        <w:rPr>
          <w:rStyle w:val="FootnoteReference"/>
          <w:rFonts w:ascii="Aptos" w:hAnsi="Aptos" w:cstheme="majorBidi"/>
        </w:rPr>
        <w:footnoteReference w:id="20"/>
      </w:r>
      <w:r w:rsidRPr="036CB459">
        <w:rPr>
          <w:rFonts w:ascii="Aptos" w:hAnsi="Aptos" w:cstheme="majorBidi"/>
        </w:rPr>
        <w:t>, a l</w:t>
      </w:r>
      <w:r w:rsidRPr="036CB459">
        <w:rPr>
          <w:rFonts w:ascii="Aptos" w:hAnsi="Aptos" w:cstheme="majorBidi"/>
        </w:rPr>
        <w:t>evy structured to invest in heritage and tourism infrastructure is consistent with that objective.</w:t>
      </w:r>
    </w:p>
    <w:p w:rsidR="00611166" w:rsidRPr="00E26F91" w:rsidP="4F216CB9">
      <w:pPr>
        <w:rPr>
          <w:rFonts w:ascii="Aptos" w:hAnsi="Aptos" w:cstheme="majorBidi"/>
        </w:rPr>
      </w:pPr>
    </w:p>
    <w:p w:rsidR="00611166" w:rsidRPr="00E26F91" w:rsidP="4F216CB9">
      <w:pPr>
        <w:rPr>
          <w:rFonts w:ascii="Aptos" w:hAnsi="Aptos" w:cstheme="majorBidi"/>
        </w:rPr>
      </w:pPr>
      <w:r w:rsidRPr="4F216CB9">
        <w:rPr>
          <w:rFonts w:ascii="Aptos" w:hAnsi="Aptos" w:cstheme="majorBidi"/>
          <w:b/>
          <w:bCs/>
        </w:rPr>
        <w:t>Key Risks</w:t>
      </w:r>
      <w:r w:rsidRPr="00E26F91">
        <w:rPr>
          <w:rFonts w:ascii="Aptos" w:hAnsi="Aptos" w:cstheme="majorBidi"/>
          <w:b/>
          <w:bCs/>
        </w:rPr>
        <w:br/>
      </w:r>
      <w:r w:rsidRPr="4F216CB9">
        <w:rPr>
          <w:rFonts w:ascii="Aptos" w:hAnsi="Aptos" w:cstheme="majorBidi"/>
        </w:rPr>
        <w:t>The case against rests primarily on the UK's existing and already acute competitiveness challenge as a visitor destination. According to the Travel and Tourism Development Index, the UK ranks 113th out of 119 countries for price competitiveness</w:t>
      </w:r>
      <w:r>
        <w:rPr>
          <w:rStyle w:val="FootnoteReference"/>
          <w:rFonts w:ascii="Aptos" w:hAnsi="Aptos" w:cstheme="majorBidi"/>
        </w:rPr>
        <w:footnoteReference w:id="21"/>
      </w:r>
      <w:r w:rsidRPr="4F216CB9">
        <w:rPr>
          <w:rFonts w:ascii="Aptos" w:hAnsi="Aptos" w:cstheme="majorBidi"/>
        </w:rPr>
        <w:t xml:space="preserve">. The UK taxes visitor accommodation at the full standard VAT rate of 20%, with no permanent reduced rate, unlike many competitor </w:t>
      </w:r>
      <w:r w:rsidRPr="4F216CB9">
        <w:rPr>
          <w:rFonts w:ascii="Aptos" w:hAnsi="Aptos" w:cstheme="majorBidi"/>
        </w:rPr>
        <w:t>destinations. Analysis by the Tourism Alliance</w:t>
      </w:r>
      <w:r w:rsidRPr="4F216CB9">
        <w:rPr>
          <w:rFonts w:ascii="Aptos" w:hAnsi="Aptos" w:cstheme="majorBidi"/>
        </w:rPr>
        <w:t xml:space="preserve"> </w:t>
      </w:r>
      <w:r w:rsidRPr="4F216CB9">
        <w:rPr>
          <w:rFonts w:ascii="Aptos" w:hAnsi="Aptos" w:cstheme="majorBidi"/>
        </w:rPr>
        <w:t>shows that the average tax rate paid by visitors to 12 overseas competitor destinations is 14%, compared to 20% in the UK</w:t>
      </w:r>
      <w:r>
        <w:rPr>
          <w:rStyle w:val="FootnoteReference"/>
          <w:rFonts w:ascii="Aptos" w:hAnsi="Aptos" w:cstheme="majorBidi"/>
        </w:rPr>
        <w:footnoteReference w:id="22"/>
      </w:r>
      <w:r w:rsidRPr="4F216CB9">
        <w:rPr>
          <w:rFonts w:ascii="Aptos" w:hAnsi="Aptos" w:cstheme="majorBidi"/>
        </w:rPr>
        <w:t>. Adding a local levy on top of this baseline is therefore not a marginal adjustment: it risks compounding a structural disadvantage that already affects visitor decision-making.</w:t>
      </w:r>
    </w:p>
    <w:p w:rsidR="00611166" w:rsidRPr="00E26F91" w:rsidP="4F216CB9">
      <w:pPr>
        <w:rPr>
          <w:rFonts w:ascii="Aptos" w:hAnsi="Aptos" w:cstheme="majorBidi"/>
        </w:rPr>
      </w:pPr>
    </w:p>
    <w:p w:rsidR="00611166" w:rsidRPr="00E26F91" w:rsidP="4F216CB9">
      <w:pPr>
        <w:rPr>
          <w:rFonts w:ascii="Aptos" w:hAnsi="Aptos" w:cstheme="majorBidi"/>
        </w:rPr>
      </w:pPr>
      <w:r w:rsidRPr="4F216CB9">
        <w:rPr>
          <w:rFonts w:ascii="Aptos" w:hAnsi="Aptos" w:cstheme="majorBidi"/>
        </w:rPr>
        <w:t>Research by the Welsh Government suggests that demand falls by approximately 1% for every 1% increase in costs, with accommodation tax elasticity of approximately -0.7%</w:t>
      </w:r>
      <w:r>
        <w:rPr>
          <w:rStyle w:val="FootnoteReference"/>
          <w:rFonts w:ascii="Aptos" w:hAnsi="Aptos" w:cstheme="majorBidi"/>
        </w:rPr>
        <w:footnoteReference w:id="23"/>
      </w:r>
      <w:r w:rsidRPr="4F216CB9">
        <w:rPr>
          <w:rFonts w:ascii="Aptos" w:hAnsi="Aptos" w:cstheme="majorBidi"/>
        </w:rPr>
        <w:t>. At a national scale, even small demand reductions translate into meaningful job losses and revenue shortfalls for the wider economy. The sector is also overwhelmingly composed of small businesses, 99.6% of hospitality businesses are SMEs, and 97.7% are small businesses</w:t>
      </w:r>
      <w:r>
        <w:rPr>
          <w:rStyle w:val="FootnoteReference"/>
          <w:rFonts w:ascii="Aptos" w:hAnsi="Aptos" w:cstheme="majorBidi"/>
        </w:rPr>
        <w:footnoteReference w:id="24"/>
      </w:r>
      <w:r w:rsidRPr="4F216CB9">
        <w:rPr>
          <w:rFonts w:ascii="Aptos" w:hAnsi="Aptos" w:cstheme="majorBidi"/>
        </w:rPr>
        <w:t xml:space="preserve"> many operating with limited back-office capacity. Any administrative burden associated with levy collection falls disproportionately on those least equipped to absorb it.</w:t>
      </w:r>
    </w:p>
    <w:p w:rsidR="00611166" w:rsidRPr="00E26F91" w:rsidP="4F216CB9">
      <w:pPr>
        <w:rPr>
          <w:rFonts w:ascii="Aptos" w:hAnsi="Aptos" w:cstheme="majorBidi"/>
        </w:rPr>
      </w:pPr>
    </w:p>
    <w:p w:rsidR="00611166" w:rsidRPr="00E26F91" w:rsidP="4F216CB9">
      <w:pPr>
        <w:rPr>
          <w:rFonts w:ascii="Aptos" w:hAnsi="Aptos" w:cstheme="majorBidi"/>
        </w:rPr>
      </w:pPr>
      <w:r w:rsidRPr="4F216CB9">
        <w:rPr>
          <w:rFonts w:ascii="Aptos" w:hAnsi="Aptos" w:cstheme="majorBidi"/>
        </w:rPr>
        <w:t>The experience of Scotland and Wales provides instructive lessons. In Edinburgh, the original percentage-based model for the visitor levy proved so burdensome and complex to implement that the Visitor Levy (Amendment) Bill was introduced to switch to a simpler fixed-charge model. This experience, as well as evidence that investment decisions have already been affected by levy uncertainty, underscores the importance of simplicity and predictability in any scheme introduced in England.</w:t>
      </w:r>
    </w:p>
    <w:p w:rsidR="00611166" w:rsidRPr="00E26F91" w:rsidP="4F216CB9">
      <w:pPr>
        <w:rPr>
          <w:rFonts w:ascii="Aptos" w:hAnsi="Aptos" w:cstheme="majorBidi"/>
        </w:rPr>
      </w:pPr>
    </w:p>
    <w:p w:rsidR="00611166" w:rsidRPr="00E26F91" w:rsidP="4F216CB9">
      <w:pPr>
        <w:rPr>
          <w:rFonts w:ascii="Aptos" w:hAnsi="Aptos" w:cstheme="majorBidi"/>
        </w:rPr>
      </w:pPr>
      <w:r w:rsidRPr="4F216CB9">
        <w:rPr>
          <w:rFonts w:ascii="Aptos" w:hAnsi="Aptos" w:cstheme="majorBidi"/>
        </w:rPr>
        <w:t>There is also a material risk that revenues are not ringfenced for the tourism and heritage sectors. The heritage sector has experienced instances where tourism-related revenues have been absorbed into general local authority budgets. The legitimacy of charging visitors depends entirely on funds being used to manage the impacts of tourism and to support the visitor economy, and not to backfill existing local authority spending commitments.</w:t>
      </w:r>
    </w:p>
    <w:p w:rsidR="00611166" w:rsidRPr="00E26F91" w:rsidP="4F216CB9">
      <w:pPr>
        <w:rPr>
          <w:rFonts w:ascii="Aptos" w:hAnsi="Aptos" w:cstheme="majorBidi"/>
        </w:rPr>
      </w:pPr>
    </w:p>
    <w:p w:rsidR="00611166" w:rsidRPr="00E26F91" w:rsidP="4F216CB9">
      <w:pPr>
        <w:rPr>
          <w:rFonts w:ascii="Aptos" w:hAnsi="Aptos" w:cstheme="majorBidi"/>
          <w:b/>
          <w:bCs/>
        </w:rPr>
      </w:pPr>
      <w:r w:rsidRPr="4F216CB9">
        <w:rPr>
          <w:rFonts w:ascii="Aptos" w:hAnsi="Aptos" w:cstheme="majorBidi"/>
          <w:b/>
          <w:bCs/>
        </w:rPr>
        <w:t>Heritage-Specific Concerns</w:t>
      </w:r>
    </w:p>
    <w:p w:rsidR="00611166" w:rsidRPr="00E26F91" w:rsidP="4F216CB9">
      <w:pPr>
        <w:rPr>
          <w:rFonts w:ascii="Aptos" w:hAnsi="Aptos" w:cstheme="majorBidi"/>
        </w:rPr>
      </w:pPr>
      <w:r w:rsidRPr="4F216CB9">
        <w:rPr>
          <w:rFonts w:ascii="Aptos" w:hAnsi="Aptos" w:cstheme="majorBidi"/>
        </w:rPr>
        <w:t>Heritage organisations face a particular set of concerns. Many Heritage Alliance members operate accommodation, from youth hostels to holiday cottages within historic buildings, to support their conservation mission or provide subsidised access to under-served communities. These organisations are not profit-making operators, and treating them identically to commercial hotels would be inequitable and counterproductive.</w:t>
      </w:r>
    </w:p>
    <w:p w:rsidR="00611166" w:rsidRPr="00E26F91" w:rsidP="4F216CB9">
      <w:pPr>
        <w:rPr>
          <w:rFonts w:ascii="Aptos" w:hAnsi="Aptos" w:cstheme="majorBidi"/>
        </w:rPr>
      </w:pPr>
    </w:p>
    <w:p w:rsidR="00611166" w:rsidP="4F216CB9">
      <w:pPr>
        <w:rPr>
          <w:rFonts w:ascii="Aptos" w:hAnsi="Aptos" w:cstheme="majorBidi"/>
        </w:rPr>
      </w:pPr>
      <w:r w:rsidRPr="4F216CB9">
        <w:rPr>
          <w:rFonts w:ascii="Aptos" w:hAnsi="Aptos" w:cstheme="majorBidi"/>
        </w:rPr>
        <w:t>The Youth Hostel Association (YHA), a Heritage Alliance member, estimates that based on existing levy models (£1 per night in Manchester, £2 per night in Liverpool), a national levy could create an additional liability of £1.3 million to £2.6 million per year for YHA alone. As YHA does not generate profit, this cost would be passed directly to guests, disproportionately affecting lower-income visitors, young people and families. The YHA's 'Outdoor Citizens' programme supports people sharing protected charac</w:t>
      </w:r>
      <w:r w:rsidRPr="4F216CB9">
        <w:rPr>
          <w:rFonts w:ascii="Aptos" w:hAnsi="Aptos" w:cstheme="majorBidi"/>
        </w:rPr>
        <w:t xml:space="preserve">teristics, including culturally diverse communities, LGBTQIA+ individuals, people with disabilities, and those with limited economic means: applying a levy to such programmes would </w:t>
      </w:r>
      <w:r w:rsidRPr="2CF415F0">
        <w:rPr>
          <w:rFonts w:ascii="Aptos" w:hAnsi="Aptos" w:cstheme="majorBidi"/>
        </w:rPr>
        <w:t>risk</w:t>
      </w:r>
      <w:r w:rsidRPr="2CF415F0">
        <w:rPr>
          <w:rFonts w:ascii="Aptos" w:hAnsi="Aptos" w:cstheme="majorBidi"/>
        </w:rPr>
        <w:t xml:space="preserve"> entrench</w:t>
      </w:r>
      <w:r w:rsidRPr="2CF415F0">
        <w:rPr>
          <w:rFonts w:ascii="Aptos" w:hAnsi="Aptos" w:cstheme="majorBidi"/>
        </w:rPr>
        <w:t>ing</w:t>
      </w:r>
      <w:r>
        <w:rPr>
          <w:rFonts w:ascii="Aptos" w:hAnsi="Aptos" w:cstheme="majorBidi"/>
        </w:rPr>
        <w:t xml:space="preserve"> i</w:t>
      </w:r>
      <w:r w:rsidRPr="4F216CB9">
        <w:rPr>
          <w:rFonts w:ascii="Aptos" w:hAnsi="Aptos" w:cstheme="majorBidi"/>
        </w:rPr>
        <w:t xml:space="preserve">nequalities in access to heritage and the natural environment. </w:t>
      </w:r>
      <w:r w:rsidRPr="6770ADE2">
        <w:rPr>
          <w:rFonts w:ascii="Aptos" w:hAnsi="Aptos" w:cstheme="majorBidi"/>
        </w:rPr>
        <w:t xml:space="preserve">Explicitly building </w:t>
      </w:r>
      <w:r w:rsidRPr="5C49616F">
        <w:rPr>
          <w:rFonts w:ascii="Aptos" w:hAnsi="Aptos" w:cstheme="majorBidi"/>
        </w:rPr>
        <w:t>a</w:t>
      </w:r>
      <w:r w:rsidRPr="4F216CB9">
        <w:rPr>
          <w:rFonts w:ascii="Aptos" w:hAnsi="Aptos" w:cstheme="majorBidi"/>
        </w:rPr>
        <w:t xml:space="preserve">n exemption for registered charities and social enterprises providing </w:t>
      </w:r>
      <w:r w:rsidRPr="4F216CB9">
        <w:rPr>
          <w:rFonts w:ascii="Aptos" w:hAnsi="Aptos" w:cstheme="majorBidi"/>
        </w:rPr>
        <w:t>accommodation in pursuit of charitable objectives into any national framework</w:t>
      </w:r>
      <w:r w:rsidRPr="38D7D0F6">
        <w:rPr>
          <w:rFonts w:ascii="Aptos" w:hAnsi="Aptos" w:cstheme="majorBidi"/>
        </w:rPr>
        <w:t xml:space="preserve"> would be</w:t>
      </w:r>
      <w:r w:rsidRPr="1C1EBAB5">
        <w:rPr>
          <w:rFonts w:ascii="Aptos" w:hAnsi="Aptos" w:cstheme="majorBidi"/>
        </w:rPr>
        <w:t xml:space="preserve"> </w:t>
      </w:r>
      <w:r w:rsidRPr="416E3D8F">
        <w:rPr>
          <w:rFonts w:ascii="Aptos" w:hAnsi="Aptos" w:cstheme="majorBidi"/>
        </w:rPr>
        <w:t xml:space="preserve">equitable. </w:t>
      </w:r>
    </w:p>
    <w:p w:rsidR="00611166" w:rsidRPr="00E26F91" w:rsidP="4F216CB9">
      <w:pPr>
        <w:rPr>
          <w:rFonts w:ascii="Aptos" w:hAnsi="Aptos" w:cstheme="majorBidi"/>
        </w:rPr>
      </w:pPr>
    </w:p>
    <w:p w:rsidR="00611166" w:rsidRPr="00E26F91" w:rsidP="4F216CB9">
      <w:pPr>
        <w:rPr>
          <w:rFonts w:ascii="Aptos" w:hAnsi="Aptos" w:cstheme="majorBidi"/>
        </w:rPr>
      </w:pPr>
      <w:r w:rsidRPr="4F216CB9">
        <w:rPr>
          <w:rFonts w:ascii="Aptos" w:hAnsi="Aptos" w:cstheme="majorBidi"/>
        </w:rPr>
        <w:t xml:space="preserve">Historic buildings given new life as short-term lets represent another area of concern. The viability of many such businesses is already strained by the introduction of a new registration scheme, rising business rates, and the abolition of the Furnished Holiday Lets Tax Regime. Heritage properties that already contribute to their local economy and are restricted by planning regulations to short-term use </w:t>
      </w:r>
      <w:r w:rsidRPr="5AB48880">
        <w:rPr>
          <w:rFonts w:ascii="Aptos" w:hAnsi="Aptos" w:cstheme="majorBidi"/>
        </w:rPr>
        <w:t xml:space="preserve">would benefit from a </w:t>
      </w:r>
      <w:r w:rsidRPr="7D1283FD">
        <w:rPr>
          <w:rFonts w:ascii="Aptos" w:hAnsi="Aptos" w:cstheme="majorBidi"/>
        </w:rPr>
        <w:t>proportionate</w:t>
      </w:r>
      <w:r w:rsidRPr="11958EFE">
        <w:rPr>
          <w:rFonts w:ascii="Aptos" w:hAnsi="Aptos" w:cstheme="majorBidi"/>
        </w:rPr>
        <w:t xml:space="preserve"> </w:t>
      </w:r>
      <w:r w:rsidRPr="090D0ED3">
        <w:rPr>
          <w:rFonts w:ascii="Aptos" w:hAnsi="Aptos" w:cstheme="majorBidi"/>
        </w:rPr>
        <w:t xml:space="preserve">approach to any additional </w:t>
      </w:r>
      <w:r w:rsidRPr="7EDC7A67">
        <w:rPr>
          <w:rFonts w:ascii="Aptos" w:hAnsi="Aptos" w:cstheme="majorBidi"/>
        </w:rPr>
        <w:t>tax burden.</w:t>
      </w:r>
    </w:p>
    <w:p w:rsidR="00611166" w:rsidRPr="00E26F91" w:rsidP="4F216CB9">
      <w:pPr>
        <w:rPr>
          <w:rFonts w:ascii="Aptos" w:hAnsi="Aptos" w:cstheme="majorBidi"/>
        </w:rPr>
      </w:pPr>
    </w:p>
    <w:p w:rsidR="00611166" w:rsidRPr="00E26F91" w:rsidP="4F216CB9">
      <w:pPr>
        <w:rPr>
          <w:rFonts w:ascii="Aptos" w:hAnsi="Aptos" w:cstheme="majorBidi"/>
        </w:rPr>
      </w:pPr>
      <w:r w:rsidRPr="4F216CB9">
        <w:rPr>
          <w:rFonts w:ascii="Aptos" w:hAnsi="Aptos" w:cstheme="majorBidi"/>
          <w:b/>
          <w:bCs/>
        </w:rPr>
        <w:t xml:space="preserve">How Levy Revenue </w:t>
      </w:r>
      <w:r>
        <w:rPr>
          <w:rFonts w:ascii="Aptos" w:hAnsi="Aptos" w:cstheme="majorBidi"/>
          <w:b/>
          <w:bCs/>
        </w:rPr>
        <w:t>C</w:t>
      </w:r>
      <w:r w:rsidRPr="4F216CB9">
        <w:rPr>
          <w:rFonts w:ascii="Aptos" w:hAnsi="Aptos" w:cstheme="majorBidi"/>
          <w:b/>
          <w:bCs/>
        </w:rPr>
        <w:t>ould Best Be Spent</w:t>
      </w:r>
    </w:p>
    <w:p w:rsidR="00611166" w:rsidRPr="00E26F91" w:rsidP="4F216CB9">
      <w:pPr>
        <w:rPr>
          <w:rFonts w:ascii="Aptos" w:hAnsi="Aptos" w:cstheme="majorBidi"/>
        </w:rPr>
      </w:pPr>
      <w:r w:rsidRPr="4F216CB9">
        <w:rPr>
          <w:rFonts w:ascii="Aptos" w:hAnsi="Aptos" w:cstheme="majorBidi"/>
        </w:rPr>
        <w:t xml:space="preserve">If a levy is introduced, </w:t>
      </w:r>
      <w:r w:rsidRPr="092D692A">
        <w:rPr>
          <w:rFonts w:ascii="Aptos" w:hAnsi="Aptos" w:cstheme="majorBidi"/>
        </w:rPr>
        <w:t xml:space="preserve">it would be </w:t>
      </w:r>
      <w:r w:rsidRPr="11F49D6A">
        <w:rPr>
          <w:rFonts w:ascii="Aptos" w:hAnsi="Aptos" w:cstheme="majorBidi"/>
        </w:rPr>
        <w:t xml:space="preserve">most </w:t>
      </w:r>
      <w:r w:rsidRPr="11F49D6A">
        <w:rPr>
          <w:rFonts w:ascii="Aptos" w:hAnsi="Aptos" w:cstheme="majorBidi"/>
        </w:rPr>
        <w:t>beneficial</w:t>
      </w:r>
      <w:r w:rsidRPr="11F49D6A">
        <w:rPr>
          <w:rFonts w:ascii="Aptos" w:hAnsi="Aptos" w:cstheme="majorBidi"/>
        </w:rPr>
        <w:t xml:space="preserve"> </w:t>
      </w:r>
      <w:r w:rsidRPr="32400688">
        <w:rPr>
          <w:rFonts w:ascii="Aptos" w:hAnsi="Aptos" w:cstheme="majorBidi"/>
        </w:rPr>
        <w:t xml:space="preserve">for </w:t>
      </w:r>
      <w:r w:rsidRPr="11F49D6A">
        <w:rPr>
          <w:rFonts w:ascii="Aptos" w:hAnsi="Aptos" w:cstheme="majorBidi"/>
        </w:rPr>
        <w:t>revenues</w:t>
      </w:r>
      <w:r w:rsidRPr="4F216CB9">
        <w:rPr>
          <w:rFonts w:ascii="Aptos" w:hAnsi="Aptos" w:cstheme="majorBidi"/>
        </w:rPr>
        <w:t xml:space="preserve"> </w:t>
      </w:r>
      <w:r w:rsidRPr="0D1EB277">
        <w:rPr>
          <w:rFonts w:ascii="Aptos" w:hAnsi="Aptos" w:cstheme="majorBidi"/>
        </w:rPr>
        <w:t xml:space="preserve">to be </w:t>
      </w:r>
      <w:r w:rsidRPr="0D1EB277">
        <w:rPr>
          <w:rFonts w:ascii="Aptos" w:hAnsi="Aptos" w:cstheme="majorBidi"/>
        </w:rPr>
        <w:t>ringfenced</w:t>
      </w:r>
      <w:r w:rsidRPr="4F216CB9">
        <w:rPr>
          <w:rFonts w:ascii="Aptos" w:hAnsi="Aptos" w:cstheme="majorBidi"/>
        </w:rPr>
        <w:t xml:space="preserve"> through statutory hypothecation for tourism, heritage and cultural infrastructure. Central government </w:t>
      </w:r>
      <w:r w:rsidRPr="7C99DF09">
        <w:rPr>
          <w:rFonts w:ascii="Aptos" w:hAnsi="Aptos" w:cstheme="majorBidi"/>
        </w:rPr>
        <w:t xml:space="preserve">would be well placed to </w:t>
      </w:r>
      <w:r w:rsidRPr="27D703C7">
        <w:rPr>
          <w:rFonts w:ascii="Aptos" w:hAnsi="Aptos" w:cstheme="majorBidi"/>
        </w:rPr>
        <w:t xml:space="preserve">establish </w:t>
      </w:r>
      <w:r w:rsidRPr="27D703C7">
        <w:rPr>
          <w:rFonts w:ascii="Aptos" w:hAnsi="Aptos" w:cstheme="majorBidi"/>
        </w:rPr>
        <w:t>clear</w:t>
      </w:r>
      <w:r w:rsidRPr="4F216CB9">
        <w:rPr>
          <w:rFonts w:ascii="Aptos" w:hAnsi="Aptos" w:cstheme="majorBidi"/>
        </w:rPr>
        <w:t xml:space="preserve"> criteria in legislation or guidance defining eligible expenditure, with mandatory annual public reporting on how revenues have directly benefited the visitor economy. The following categories represent the appropriate scope of expenditure:</w:t>
      </w:r>
    </w:p>
    <w:p w:rsidR="00611166" w:rsidRPr="00E26F91" w:rsidP="4F216CB9">
      <w:pPr>
        <w:rPr>
          <w:rFonts w:ascii="Aptos" w:hAnsi="Aptos" w:cstheme="majorBidi"/>
        </w:rPr>
      </w:pPr>
    </w:p>
    <w:p w:rsidR="00611166" w:rsidRPr="00E26F91" w:rsidP="4F216CB9">
      <w:pPr>
        <w:numPr>
          <w:ilvl w:val="0"/>
          <w:numId w:val="4"/>
        </w:numPr>
        <w:rPr>
          <w:rFonts w:ascii="Aptos" w:hAnsi="Aptos" w:cstheme="majorBidi"/>
        </w:rPr>
      </w:pPr>
      <w:r w:rsidRPr="4F216CB9">
        <w:rPr>
          <w:rFonts w:ascii="Aptos" w:hAnsi="Aptos" w:cstheme="majorBidi"/>
        </w:rPr>
        <w:t>Conservation and maintenance of heritage assets, including addressing the repair backlog across heritage sites and cultural institutions</w:t>
      </w:r>
    </w:p>
    <w:p w:rsidR="00611166" w:rsidRPr="00E26F91" w:rsidP="4F216CB9">
      <w:pPr>
        <w:numPr>
          <w:ilvl w:val="0"/>
          <w:numId w:val="4"/>
        </w:numPr>
        <w:rPr>
          <w:rFonts w:ascii="Aptos" w:hAnsi="Aptos" w:cstheme="majorBidi"/>
        </w:rPr>
      </w:pPr>
      <w:r w:rsidRPr="4F216CB9">
        <w:rPr>
          <w:rFonts w:ascii="Aptos" w:hAnsi="Aptos" w:cstheme="majorBidi"/>
        </w:rPr>
        <w:t>Improvements to museums, galleries and heritage attractions as visitor destinations</w:t>
      </w:r>
    </w:p>
    <w:p w:rsidR="00611166" w:rsidRPr="00E26F91" w:rsidP="4F216CB9">
      <w:pPr>
        <w:numPr>
          <w:ilvl w:val="0"/>
          <w:numId w:val="4"/>
        </w:numPr>
        <w:rPr>
          <w:rFonts w:ascii="Aptos" w:hAnsi="Aptos" w:cstheme="majorBidi"/>
        </w:rPr>
      </w:pPr>
      <w:r w:rsidRPr="4F216CB9">
        <w:rPr>
          <w:rFonts w:ascii="Aptos" w:hAnsi="Aptos" w:cstheme="majorBidi"/>
        </w:rPr>
        <w:t>Enhancement of historic town centres and public spaces around heritage sites</w:t>
      </w:r>
    </w:p>
    <w:p w:rsidR="00611166" w:rsidRPr="00E26F91" w:rsidP="4F216CB9">
      <w:pPr>
        <w:numPr>
          <w:ilvl w:val="0"/>
          <w:numId w:val="4"/>
        </w:numPr>
        <w:rPr>
          <w:rFonts w:ascii="Aptos" w:hAnsi="Aptos" w:cstheme="majorBidi"/>
        </w:rPr>
      </w:pPr>
      <w:r w:rsidRPr="4F216CB9">
        <w:rPr>
          <w:rFonts w:ascii="Aptos" w:hAnsi="Aptos" w:cstheme="majorBidi"/>
        </w:rPr>
        <w:t>Restoration projects that create new or improved visitor attractions</w:t>
      </w:r>
    </w:p>
    <w:p w:rsidR="00611166" w:rsidRPr="00E26F91" w:rsidP="4F216CB9">
      <w:pPr>
        <w:numPr>
          <w:ilvl w:val="0"/>
          <w:numId w:val="4"/>
        </w:numPr>
        <w:rPr>
          <w:rFonts w:ascii="Aptos" w:hAnsi="Aptos" w:cstheme="majorBidi"/>
        </w:rPr>
      </w:pPr>
      <w:r w:rsidRPr="4F216CB9">
        <w:rPr>
          <w:rFonts w:ascii="Aptos" w:hAnsi="Aptos" w:cstheme="majorBidi"/>
        </w:rPr>
        <w:t>Transport connectivity to heritage sites, particularly in rural and coastal areas</w:t>
      </w:r>
    </w:p>
    <w:p w:rsidR="00611166" w:rsidRPr="00E26F91" w:rsidP="4F216CB9">
      <w:pPr>
        <w:numPr>
          <w:ilvl w:val="0"/>
          <w:numId w:val="4"/>
        </w:numPr>
        <w:rPr>
          <w:rFonts w:ascii="Aptos" w:hAnsi="Aptos" w:cstheme="majorBidi"/>
        </w:rPr>
      </w:pPr>
      <w:r w:rsidRPr="4F216CB9">
        <w:rPr>
          <w:rFonts w:ascii="Aptos" w:hAnsi="Aptos" w:cstheme="majorBidi"/>
        </w:rPr>
        <w:t>Visitor information services and public facilities at heritage destinations</w:t>
      </w:r>
    </w:p>
    <w:p w:rsidR="00611166" w:rsidRPr="00E26F91" w:rsidP="4F216CB9">
      <w:pPr>
        <w:numPr>
          <w:ilvl w:val="0"/>
          <w:numId w:val="4"/>
        </w:numPr>
        <w:rPr>
          <w:rFonts w:ascii="Aptos" w:hAnsi="Aptos" w:cstheme="majorBidi"/>
        </w:rPr>
      </w:pPr>
      <w:r w:rsidRPr="4F216CB9">
        <w:rPr>
          <w:rFonts w:ascii="Aptos" w:hAnsi="Aptos" w:cstheme="majorBidi"/>
        </w:rPr>
        <w:t>Support for local heritage and tourism organisations to improve their offer</w:t>
      </w:r>
    </w:p>
    <w:p w:rsidR="00611166" w:rsidRPr="00E26F91" w:rsidP="4F216CB9">
      <w:pPr>
        <w:numPr>
          <w:ilvl w:val="0"/>
          <w:numId w:val="4"/>
        </w:numPr>
        <w:rPr>
          <w:rFonts w:ascii="Aptos" w:hAnsi="Aptos" w:cstheme="majorBidi"/>
        </w:rPr>
      </w:pPr>
      <w:r w:rsidRPr="4F216CB9">
        <w:rPr>
          <w:rFonts w:ascii="Aptos" w:hAnsi="Aptos" w:cstheme="majorBidi"/>
        </w:rPr>
        <w:t>Skills development in heritage conservation and tourism management</w:t>
      </w:r>
    </w:p>
    <w:p w:rsidR="00611166" w:rsidRPr="00E26F91" w:rsidP="4F216CB9">
      <w:pPr>
        <w:rPr>
          <w:rFonts w:ascii="Aptos" w:hAnsi="Aptos" w:cstheme="majorBidi"/>
          <w:b/>
          <w:bCs/>
        </w:rPr>
      </w:pPr>
    </w:p>
    <w:p w:rsidR="00611166" w:rsidRPr="00E26F91" w:rsidP="4F216CB9">
      <w:pPr>
        <w:rPr>
          <w:rFonts w:ascii="Aptos" w:hAnsi="Aptos" w:cstheme="majorBidi"/>
        </w:rPr>
      </w:pPr>
      <w:r w:rsidRPr="4F216CB9">
        <w:rPr>
          <w:rFonts w:ascii="Aptos" w:hAnsi="Aptos" w:cstheme="majorBidi"/>
          <w:b/>
          <w:bCs/>
        </w:rPr>
        <w:t>Recommendations</w:t>
      </w:r>
    </w:p>
    <w:p w:rsidR="00611166" w:rsidRPr="00E26F91" w:rsidP="4F216CB9">
      <w:pPr>
        <w:rPr>
          <w:rFonts w:ascii="Aptos" w:hAnsi="Aptos" w:cstheme="majorBidi"/>
        </w:rPr>
      </w:pPr>
      <w:r w:rsidRPr="4F216CB9">
        <w:rPr>
          <w:rFonts w:ascii="Aptos" w:hAnsi="Aptos" w:cstheme="majorBidi"/>
        </w:rPr>
        <w:t xml:space="preserve">The Heritage Alliance makes the following recommendations regarding the introduction of an Overnight Visitor Levy: </w:t>
      </w:r>
    </w:p>
    <w:p w:rsidR="00611166" w:rsidRPr="00E26F91" w:rsidP="4F216CB9">
      <w:pPr>
        <w:rPr>
          <w:rFonts w:ascii="Aptos" w:hAnsi="Aptos" w:cstheme="majorBidi"/>
        </w:rPr>
      </w:pPr>
    </w:p>
    <w:p w:rsidR="00611166" w:rsidRPr="00E26F91" w:rsidP="4F216CB9">
      <w:pPr>
        <w:numPr>
          <w:ilvl w:val="0"/>
          <w:numId w:val="5"/>
        </w:numPr>
        <w:rPr>
          <w:rFonts w:ascii="Aptos" w:hAnsi="Aptos" w:cstheme="majorBidi"/>
        </w:rPr>
      </w:pPr>
      <w:r w:rsidRPr="30207077">
        <w:rPr>
          <w:rFonts w:ascii="Aptos" w:hAnsi="Aptos" w:cstheme="majorBidi"/>
          <w:b/>
          <w:bCs/>
        </w:rPr>
        <w:t>Statutory hypothecation</w:t>
      </w:r>
      <w:r w:rsidRPr="4F216CB9">
        <w:rPr>
          <w:rFonts w:ascii="Aptos" w:hAnsi="Aptos" w:cstheme="majorBidi"/>
          <w:b/>
          <w:bCs/>
        </w:rPr>
        <w:t xml:space="preserve"> </w:t>
      </w:r>
      <w:r w:rsidRPr="4E91CE10">
        <w:rPr>
          <w:rFonts w:ascii="Aptos" w:hAnsi="Aptos" w:cstheme="majorBidi"/>
          <w:b/>
          <w:bCs/>
        </w:rPr>
        <w:t xml:space="preserve">is strongly </w:t>
      </w:r>
      <w:r w:rsidRPr="39898D19">
        <w:rPr>
          <w:rFonts w:ascii="Aptos" w:hAnsi="Aptos" w:cstheme="majorBidi"/>
          <w:b/>
          <w:bCs/>
        </w:rPr>
        <w:t>recommended</w:t>
      </w:r>
      <w:r w:rsidRPr="39898D19">
        <w:rPr>
          <w:rFonts w:ascii="Aptos" w:hAnsi="Aptos" w:cstheme="majorBidi"/>
          <w:b/>
          <w:bCs/>
        </w:rPr>
        <w:t xml:space="preserve">. </w:t>
      </w:r>
      <w:r w:rsidRPr="4F216CB9">
        <w:rPr>
          <w:rFonts w:ascii="Aptos" w:hAnsi="Aptos" w:cstheme="majorBidi"/>
        </w:rPr>
        <w:t xml:space="preserve"> Levy revenues </w:t>
      </w:r>
      <w:r w:rsidRPr="7E639C58">
        <w:rPr>
          <w:rFonts w:ascii="Aptos" w:hAnsi="Aptos" w:cstheme="majorBidi"/>
        </w:rPr>
        <w:t xml:space="preserve">are best </w:t>
      </w:r>
      <w:r w:rsidRPr="7E639C58">
        <w:rPr>
          <w:rFonts w:ascii="Aptos" w:hAnsi="Aptos" w:cstheme="majorBidi"/>
        </w:rPr>
        <w:t>ringfenced</w:t>
      </w:r>
      <w:r w:rsidRPr="4F216CB9">
        <w:rPr>
          <w:rFonts w:ascii="Aptos" w:hAnsi="Aptos" w:cstheme="majorBidi"/>
        </w:rPr>
        <w:t xml:space="preserve"> for tourism, heritage and cultural infrastructure</w:t>
      </w:r>
      <w:r w:rsidRPr="0D80F6C6">
        <w:rPr>
          <w:rFonts w:ascii="Aptos" w:hAnsi="Aptos" w:cstheme="majorBidi"/>
        </w:rPr>
        <w:t>, serving to complement</w:t>
      </w:r>
      <w:r w:rsidRPr="4F216CB9">
        <w:rPr>
          <w:rFonts w:ascii="Aptos" w:hAnsi="Aptos" w:cstheme="majorBidi"/>
        </w:rPr>
        <w:t xml:space="preserve"> </w:t>
      </w:r>
      <w:r w:rsidRPr="28560FC8">
        <w:rPr>
          <w:rFonts w:ascii="Aptos" w:hAnsi="Aptos" w:cstheme="majorBidi"/>
        </w:rPr>
        <w:t>rather than</w:t>
      </w:r>
      <w:r w:rsidRPr="4F216CB9">
        <w:rPr>
          <w:rFonts w:ascii="Aptos" w:hAnsi="Aptos" w:cstheme="majorBidi"/>
        </w:rPr>
        <w:t xml:space="preserve"> replace existing baseline local authority spending.</w:t>
      </w:r>
    </w:p>
    <w:p w:rsidR="00611166" w:rsidRPr="00E26F91" w:rsidP="4F216CB9">
      <w:pPr>
        <w:numPr>
          <w:ilvl w:val="0"/>
          <w:numId w:val="5"/>
        </w:numPr>
        <w:rPr>
          <w:rFonts w:ascii="Aptos" w:hAnsi="Aptos" w:cstheme="majorBidi"/>
        </w:rPr>
      </w:pPr>
      <w:r w:rsidRPr="4F216CB9">
        <w:rPr>
          <w:rFonts w:ascii="Aptos" w:hAnsi="Aptos" w:cstheme="majorBidi"/>
          <w:b/>
          <w:bCs/>
        </w:rPr>
        <w:t>A national framework is essential.</w:t>
      </w:r>
      <w:r w:rsidRPr="4F216CB9">
        <w:rPr>
          <w:rFonts w:ascii="Aptos" w:hAnsi="Aptos" w:cstheme="majorBidi"/>
        </w:rPr>
        <w:t xml:space="preserve"> A consistent national framework for rates, exemptions and eligible expenditure will reduce complexity for businesses, particularly SMEs and multi-site operators, and for visitors.</w:t>
      </w:r>
    </w:p>
    <w:p w:rsidR="00611166" w:rsidRPr="00E26F91" w:rsidP="4F216CB9">
      <w:pPr>
        <w:numPr>
          <w:ilvl w:val="0"/>
          <w:numId w:val="5"/>
        </w:numPr>
        <w:rPr>
          <w:rFonts w:ascii="Aptos" w:hAnsi="Aptos" w:cstheme="majorBidi"/>
        </w:rPr>
      </w:pPr>
      <w:r w:rsidRPr="4F216CB9">
        <w:rPr>
          <w:rFonts w:ascii="Aptos" w:hAnsi="Aptos" w:cstheme="majorBidi"/>
          <w:b/>
          <w:bCs/>
        </w:rPr>
        <w:t>A cap on rates</w:t>
      </w:r>
      <w:r>
        <w:rPr>
          <w:rFonts w:ascii="Aptos" w:hAnsi="Aptos" w:cstheme="majorBidi"/>
          <w:b/>
          <w:bCs/>
        </w:rPr>
        <w:t xml:space="preserve"> </w:t>
      </w:r>
      <w:r w:rsidRPr="00547CC7">
        <w:rPr>
          <w:rFonts w:ascii="Aptos" w:hAnsi="Aptos" w:cstheme="majorBidi"/>
        </w:rPr>
        <w:t>w</w:t>
      </w:r>
      <w:r w:rsidRPr="00547CC7">
        <w:rPr>
          <w:rFonts w:ascii="Aptos" w:hAnsi="Aptos" w:cstheme="majorBidi"/>
        </w:rPr>
        <w:t xml:space="preserve">ould </w:t>
      </w:r>
      <w:r w:rsidRPr="00547CC7">
        <w:rPr>
          <w:rFonts w:ascii="Aptos" w:hAnsi="Aptos" w:cstheme="majorBidi"/>
        </w:rPr>
        <w:t>reduce the</w:t>
      </w:r>
      <w:r w:rsidRPr="4F216CB9">
        <w:rPr>
          <w:rFonts w:ascii="Aptos" w:hAnsi="Aptos" w:cstheme="majorBidi"/>
        </w:rPr>
        <w:t xml:space="preserve"> risk </w:t>
      </w:r>
      <w:r>
        <w:rPr>
          <w:rFonts w:ascii="Aptos" w:hAnsi="Aptos" w:cstheme="majorBidi"/>
        </w:rPr>
        <w:t>of</w:t>
      </w:r>
      <w:r w:rsidRPr="4F216CB9">
        <w:rPr>
          <w:rFonts w:ascii="Aptos" w:hAnsi="Aptos" w:cstheme="majorBidi"/>
        </w:rPr>
        <w:t xml:space="preserve"> individual authorities set</w:t>
      </w:r>
      <w:r>
        <w:rPr>
          <w:rFonts w:ascii="Aptos" w:hAnsi="Aptos" w:cstheme="majorBidi"/>
        </w:rPr>
        <w:t>ting</w:t>
      </w:r>
      <w:r w:rsidRPr="4F216CB9">
        <w:rPr>
          <w:rFonts w:ascii="Aptos" w:hAnsi="Aptos" w:cstheme="majorBidi"/>
        </w:rPr>
        <w:t xml:space="preserve"> very high rates, generating negative publicity that damages the entire English visitor economy. A tight cap, linked to transparent hypothecation, would signal that the levy is designed to develop tourism rather than deter it.</w:t>
      </w:r>
    </w:p>
    <w:p w:rsidR="00611166" w:rsidRPr="00E26F91" w:rsidP="4F216CB9">
      <w:pPr>
        <w:numPr>
          <w:ilvl w:val="0"/>
          <w:numId w:val="5"/>
        </w:numPr>
        <w:rPr>
          <w:rFonts w:ascii="Aptos" w:hAnsi="Aptos" w:cstheme="majorBidi"/>
        </w:rPr>
      </w:pPr>
      <w:r w:rsidRPr="00547CC7">
        <w:rPr>
          <w:rFonts w:ascii="Aptos" w:hAnsi="Aptos" w:cstheme="majorBidi"/>
        </w:rPr>
        <w:t>It would be equitable to</w:t>
      </w:r>
      <w:r w:rsidRPr="00547CC7">
        <w:rPr>
          <w:rFonts w:ascii="Aptos" w:hAnsi="Aptos" w:cstheme="majorBidi"/>
          <w:b/>
          <w:bCs/>
        </w:rPr>
        <w:t xml:space="preserve"> treat </w:t>
      </w:r>
      <w:r w:rsidRPr="00547CC7">
        <w:rPr>
          <w:rFonts w:ascii="Aptos" w:hAnsi="Aptos" w:cstheme="majorBidi"/>
          <w:b/>
          <w:bCs/>
        </w:rPr>
        <w:t>c</w:t>
      </w:r>
      <w:r w:rsidRPr="00547CC7">
        <w:rPr>
          <w:rFonts w:ascii="Aptos" w:hAnsi="Aptos" w:cstheme="majorBidi"/>
          <w:b/>
          <w:bCs/>
        </w:rPr>
        <w:t>haritable and not-for-profit providers distinctly from commercial operators</w:t>
      </w:r>
      <w:r w:rsidRPr="4F216CB9">
        <w:rPr>
          <w:rFonts w:ascii="Aptos" w:hAnsi="Aptos" w:cstheme="majorBidi"/>
        </w:rPr>
        <w:t>. An exemption for registered charities and social enterprises providing accommodation in pursuit of charitable objectives is consistent with existing policy frameworks, such as mandatory business rates relief for charities.</w:t>
      </w:r>
    </w:p>
    <w:p w:rsidR="00611166" w:rsidRPr="00E26F91" w:rsidP="4F216CB9">
      <w:pPr>
        <w:numPr>
          <w:ilvl w:val="0"/>
          <w:numId w:val="5"/>
        </w:numPr>
        <w:rPr>
          <w:rFonts w:ascii="Aptos" w:hAnsi="Aptos" w:cstheme="majorBidi"/>
        </w:rPr>
      </w:pPr>
      <w:r w:rsidRPr="4F216CB9">
        <w:rPr>
          <w:rFonts w:ascii="Aptos" w:hAnsi="Aptos" w:cstheme="majorBidi"/>
          <w:b/>
          <w:bCs/>
        </w:rPr>
        <w:t xml:space="preserve">A pre-levy economic impact assessment </w:t>
      </w:r>
      <w:r w:rsidRPr="00547CC7">
        <w:rPr>
          <w:rFonts w:ascii="Aptos" w:hAnsi="Aptos" w:cstheme="majorBidi"/>
        </w:rPr>
        <w:t xml:space="preserve">is strongly </w:t>
      </w:r>
      <w:r w:rsidRPr="00547CC7">
        <w:rPr>
          <w:rFonts w:ascii="Aptos" w:hAnsi="Aptos" w:cstheme="majorBidi"/>
        </w:rPr>
        <w:t>recommended</w:t>
      </w:r>
      <w:r w:rsidRPr="6E74C26D">
        <w:rPr>
          <w:rFonts w:ascii="Aptos" w:hAnsi="Aptos" w:cstheme="majorBidi"/>
          <w:b/>
          <w:bCs/>
        </w:rPr>
        <w:t xml:space="preserve"> </w:t>
      </w:r>
      <w:r w:rsidRPr="4F216CB9">
        <w:rPr>
          <w:rFonts w:ascii="Aptos" w:hAnsi="Aptos" w:cstheme="majorBidi"/>
        </w:rPr>
        <w:t>before any authority consults on or implements a levy, to establish the net benefit to the local tourism and heritage economy.</w:t>
      </w:r>
    </w:p>
    <w:p w:rsidR="00611166" w:rsidRPr="00E26F91" w:rsidP="4F216CB9">
      <w:pPr>
        <w:numPr>
          <w:ilvl w:val="0"/>
          <w:numId w:val="5"/>
        </w:numPr>
        <w:rPr>
          <w:rFonts w:ascii="Aptos" w:hAnsi="Aptos" w:cstheme="majorBidi"/>
        </w:rPr>
      </w:pPr>
      <w:r w:rsidRPr="4F216CB9">
        <w:rPr>
          <w:rFonts w:ascii="Aptos" w:hAnsi="Aptos" w:cstheme="majorBidi"/>
          <w:b/>
          <w:bCs/>
        </w:rPr>
        <w:t>Learn from Scotland and Wales.</w:t>
      </w:r>
      <w:r w:rsidRPr="4F216CB9">
        <w:rPr>
          <w:rFonts w:ascii="Aptos" w:hAnsi="Aptos" w:cstheme="majorBidi"/>
        </w:rPr>
        <w:t xml:space="preserve"> The simpler a levy's design, the lower the compliance cost and the lower the risk of perverse incentives or unintended displacement effects. England has an opportunity to implement a more effective model by absorbing the lessons of early adoption elsewhere.</w:t>
      </w:r>
    </w:p>
    <w:p w:rsidR="00611166" w:rsidRPr="00E26F91" w:rsidP="4F216CB9">
      <w:pPr>
        <w:rPr>
          <w:rFonts w:ascii="Aptos" w:hAnsi="Aptos" w:cstheme="majorBidi"/>
        </w:rPr>
      </w:pPr>
    </w:p>
    <w:p w:rsidR="00611166" w:rsidRPr="00E26F91" w:rsidP="4F216CB9">
      <w:pPr>
        <w:pStyle w:val="Heading2"/>
        <w:rPr>
          <w:rFonts w:ascii="Aptos" w:hAnsi="Aptos"/>
          <w:sz w:val="28"/>
        </w:rPr>
      </w:pPr>
      <w:bookmarkStart w:id="7" w:name="_Toc230020914"/>
      <w:r w:rsidRPr="00A24AB0">
        <w:rPr>
          <w:rFonts w:ascii="Aptos" w:hAnsi="Aptos"/>
          <w:sz w:val="28"/>
        </w:rPr>
        <w:t>Question 4: How well is the visitor economy recovering from the COVID-19 pandemic and what challenges continue to affect business and destinations?</w:t>
      </w:r>
      <w:bookmarkEnd w:id="7"/>
    </w:p>
    <w:p w:rsidR="00611166" w:rsidRPr="00E26F91" w:rsidP="4F216CB9">
      <w:pPr>
        <w:spacing w:before="80" w:after="120"/>
        <w:rPr>
          <w:rFonts w:ascii="Aptos" w:hAnsi="Aptos"/>
        </w:rPr>
      </w:pPr>
      <w:r w:rsidRPr="4F216CB9">
        <w:rPr>
          <w:rFonts w:ascii="Aptos" w:eastAsia="Arial" w:hAnsi="Aptos" w:cs="Arial"/>
        </w:rPr>
        <w:t xml:space="preserve">As our 2024 Report, </w:t>
      </w:r>
      <w:r>
        <w:fldChar w:fldCharType="begin"/>
      </w:r>
      <w:r>
        <w:instrText xml:space="preserve"> HYPERLINK "https://www.theheritagealliance.org.uk/wp-content/uploads/2024/05/On-The-Brink-Heritage-in-the-Cost-of-Living-Crisis.pdf" </w:instrText>
      </w:r>
      <w:r>
        <w:fldChar w:fldCharType="separate"/>
      </w:r>
      <w:r w:rsidRPr="4F216CB9">
        <w:rPr>
          <w:rStyle w:val="Hyperlink"/>
          <w:rFonts w:ascii="Aptos" w:eastAsia="Arial" w:hAnsi="Aptos" w:cs="Arial"/>
          <w:i/>
          <w:iCs/>
        </w:rPr>
        <w:t xml:space="preserve">On the Brink: Heritage in the </w:t>
      </w:r>
      <w:r w:rsidRPr="4F216CB9">
        <w:rPr>
          <w:rStyle w:val="Hyperlink"/>
          <w:rFonts w:ascii="Aptos" w:eastAsia="Arial" w:hAnsi="Aptos" w:cs="Arial"/>
          <w:i/>
          <w:iCs/>
        </w:rPr>
        <w:t>Cost of Living</w:t>
      </w:r>
      <w:r w:rsidRPr="4F216CB9">
        <w:rPr>
          <w:rStyle w:val="Hyperlink"/>
          <w:rFonts w:ascii="Aptos" w:eastAsia="Arial" w:hAnsi="Aptos" w:cs="Arial"/>
          <w:i/>
          <w:iCs/>
        </w:rPr>
        <w:t xml:space="preserve"> Crisis</w:t>
      </w:r>
      <w:r>
        <w:fldChar w:fldCharType="end"/>
      </w:r>
      <w:r w:rsidRPr="4F216CB9">
        <w:rPr>
          <w:rFonts w:ascii="Aptos" w:eastAsia="Arial" w:hAnsi="Aptos" w:cs="Arial"/>
        </w:rPr>
        <w:t>, highlights, the heritage sector was among the hardest hit by the pandemic, and its visitor economy has not yet fully recovered. Recovery has been slow, uneven and is now seriously threatened by the ongoing cost of living crisis.</w:t>
      </w:r>
    </w:p>
    <w:p w:rsidR="00611166" w:rsidRPr="00E26F91" w:rsidP="4F216CB9">
      <w:pPr>
        <w:rPr>
          <w:rFonts w:ascii="Aptos" w:hAnsi="Aptos"/>
          <w:b/>
          <w:bCs/>
        </w:rPr>
      </w:pPr>
      <w:r w:rsidRPr="4F216CB9">
        <w:rPr>
          <w:rFonts w:ascii="Aptos" w:hAnsi="Aptos"/>
          <w:b/>
          <w:bCs/>
        </w:rPr>
        <w:t>Visitor Numbers</w:t>
      </w:r>
    </w:p>
    <w:p w:rsidR="00611166" w:rsidRPr="00E26F91" w:rsidP="4F216CB9">
      <w:pPr>
        <w:spacing w:before="80" w:after="120"/>
        <w:rPr>
          <w:rFonts w:ascii="Aptos" w:hAnsi="Aptos"/>
        </w:rPr>
      </w:pPr>
      <w:r w:rsidRPr="00E26F91">
        <w:rPr>
          <w:rFonts w:ascii="Aptos" w:eastAsia="Arial" w:hAnsi="Aptos" w:cs="Arial"/>
        </w:rPr>
        <w:t xml:space="preserve">According to the Association of Leading Visitor Attractions (ALVA), total visits in 2024 increased by 3.4% from 2023 levels but remained 8.8% below 2019 figures, the most recent data for 2025 shows a further 2% increase on the previous year, though visits </w:t>
      </w:r>
      <w:r w:rsidRPr="4F216CB9">
        <w:rPr>
          <w:rFonts w:ascii="Aptos" w:eastAsia="Arial" w:hAnsi="Aptos" w:cs="Arial"/>
        </w:rPr>
        <w:t>still remain 7% below pre-pandemic 2019 levels</w:t>
      </w:r>
      <w:r>
        <w:rPr>
          <w:rStyle w:val="FootnoteReference"/>
          <w:rFonts w:ascii="Aptos" w:eastAsia="Arial" w:hAnsi="Aptos" w:cs="Arial"/>
        </w:rPr>
        <w:footnoteReference w:id="25"/>
      </w:r>
      <w:r w:rsidRPr="00E26F91">
        <w:rPr>
          <w:rFonts w:ascii="Aptos" w:eastAsia="Arial" w:hAnsi="Aptos" w:cs="Arial"/>
        </w:rPr>
        <w:t>. A survey by the Audience Agency found that 59% of UK adults are actively ‘put off’ attending heritage and culture venues due to the cost of living, and 38% are engaging less than before the pandemic</w:t>
      </w:r>
      <w:r>
        <w:rPr>
          <w:rStyle w:val="FootnoteReference"/>
          <w:rFonts w:ascii="Aptos" w:eastAsia="Arial" w:hAnsi="Aptos" w:cs="Arial"/>
        </w:rPr>
        <w:footnoteReference w:id="26"/>
      </w:r>
      <w:r w:rsidRPr="00E26F91">
        <w:rPr>
          <w:rFonts w:ascii="Aptos" w:eastAsia="Arial" w:hAnsi="Aptos" w:cs="Arial"/>
        </w:rPr>
        <w:t>.</w:t>
      </w:r>
    </w:p>
    <w:p w:rsidR="00611166" w:rsidP="4F216CB9">
      <w:pPr>
        <w:rPr>
          <w:rFonts w:ascii="Aptos" w:hAnsi="Aptos" w:cs="Arial"/>
          <w:b/>
          <w:bCs/>
        </w:rPr>
      </w:pPr>
    </w:p>
    <w:p w:rsidR="00611166" w:rsidRPr="00E26F91" w:rsidP="4F216CB9">
      <w:pPr>
        <w:rPr>
          <w:rFonts w:ascii="Aptos" w:hAnsi="Aptos" w:cs="Arial"/>
          <w:b/>
          <w:bCs/>
        </w:rPr>
      </w:pPr>
      <w:r w:rsidRPr="4F216CB9">
        <w:rPr>
          <w:rFonts w:ascii="Aptos" w:hAnsi="Aptos" w:cs="Arial"/>
          <w:b/>
          <w:bCs/>
        </w:rPr>
        <w:t>The Cost of Living as a Barrier to Recovery</w:t>
      </w:r>
    </w:p>
    <w:p w:rsidR="00611166" w:rsidRPr="00E26F91" w:rsidP="4F216CB9">
      <w:pPr>
        <w:spacing w:before="80" w:after="120"/>
        <w:rPr>
          <w:rFonts w:ascii="Aptos" w:hAnsi="Aptos"/>
        </w:rPr>
      </w:pPr>
      <w:r w:rsidRPr="00E26F91">
        <w:rPr>
          <w:rFonts w:ascii="Aptos" w:eastAsia="Arial" w:hAnsi="Aptos" w:cs="Arial"/>
        </w:rPr>
        <w:t xml:space="preserve">Beyond visitor numbers, heritage sites face a compound challenge of declining secondary spend. Research by the Audience Agency found that post-pandemic visitors to heritage sites are reducing their discretionary spending: visitors who would previously have </w:t>
      </w:r>
      <w:r w:rsidRPr="4F216CB9">
        <w:rPr>
          <w:rFonts w:ascii="Aptos" w:eastAsia="Arial" w:hAnsi="Aptos" w:cs="Arial"/>
        </w:rPr>
        <w:t>made a donation, purchased a souvenir or visited the café no longer feel able to do so</w:t>
      </w:r>
      <w:r>
        <w:rPr>
          <w:rStyle w:val="FootnoteReference"/>
          <w:rFonts w:ascii="Aptos" w:eastAsia="Arial" w:hAnsi="Aptos" w:cs="Arial"/>
        </w:rPr>
        <w:footnoteReference w:id="27"/>
      </w:r>
      <w:r w:rsidRPr="00E26F91">
        <w:rPr>
          <w:rFonts w:ascii="Aptos" w:eastAsia="Arial" w:hAnsi="Aptos" w:cs="Arial"/>
        </w:rPr>
        <w:t xml:space="preserve">. </w:t>
      </w:r>
    </w:p>
    <w:p w:rsidR="00611166" w:rsidRPr="00E26F91" w:rsidP="4F216CB9">
      <w:pPr>
        <w:spacing w:before="80" w:after="120"/>
        <w:rPr>
          <w:rFonts w:ascii="Aptos" w:hAnsi="Aptos"/>
        </w:rPr>
      </w:pPr>
      <w:r w:rsidRPr="00E26F91">
        <w:rPr>
          <w:rFonts w:ascii="Aptos" w:eastAsia="Arial" w:hAnsi="Aptos" w:cs="Arial"/>
        </w:rPr>
        <w:t>The April 2024 VisitBritain Domestic Sentiment Tracker found that 30% of UK residents plan to reduce their day trips, and 40% believe the worst is yet to come from the economic crisis</w:t>
      </w:r>
      <w:r>
        <w:rPr>
          <w:rStyle w:val="FootnoteReference"/>
          <w:rFonts w:ascii="Aptos" w:eastAsia="Arial" w:hAnsi="Aptos" w:cs="Arial"/>
        </w:rPr>
        <w:footnoteReference w:id="28"/>
      </w:r>
      <w:r w:rsidRPr="00E26F91">
        <w:rPr>
          <w:rFonts w:ascii="Aptos" w:eastAsia="Arial" w:hAnsi="Aptos" w:cs="Arial"/>
        </w:rPr>
        <w:t>. This profoundly affects heritage sites that depend on domestic visitors, particularly those in rural or coastal areas without easy access to international tourist flows.</w:t>
      </w:r>
    </w:p>
    <w:p w:rsidR="00611166" w:rsidRPr="00E26F91" w:rsidP="4F216CB9">
      <w:pPr>
        <w:spacing w:before="80" w:after="120"/>
        <w:rPr>
          <w:rFonts w:ascii="Aptos" w:eastAsia="Arial" w:hAnsi="Aptos" w:cs="Arial"/>
        </w:rPr>
      </w:pPr>
      <w:r w:rsidRPr="00E26F91">
        <w:rPr>
          <w:rFonts w:ascii="Aptos" w:eastAsia="Arial" w:hAnsi="Aptos" w:cs="Arial"/>
        </w:rPr>
        <w:t>School trips to heritage sites, a critical pipeline for future visitors and a key access mechanism for disadvantaged young people, have fallen sharply. In 2023, 39% of school leaders reported cuts to trips due to the cost of living</w:t>
      </w:r>
      <w:r>
        <w:rPr>
          <w:rStyle w:val="FootnoteReference"/>
          <w:rFonts w:ascii="Aptos" w:eastAsia="Arial" w:hAnsi="Aptos" w:cs="Arial"/>
        </w:rPr>
        <w:footnoteReference w:id="29"/>
      </w:r>
      <w:r w:rsidRPr="00E26F91">
        <w:rPr>
          <w:rFonts w:ascii="Aptos" w:eastAsia="Arial" w:hAnsi="Aptos" w:cs="Arial"/>
        </w:rPr>
        <w:t>. According to English Heritage, as of 2023 school trips at their sites were still down 28% from pre-pandemic levels</w:t>
      </w:r>
      <w:r>
        <w:rPr>
          <w:rStyle w:val="FootnoteReference"/>
          <w:rFonts w:ascii="Aptos" w:eastAsia="Arial" w:hAnsi="Aptos" w:cs="Arial"/>
        </w:rPr>
        <w:footnoteReference w:id="30"/>
      </w:r>
      <w:r w:rsidRPr="00E26F91">
        <w:rPr>
          <w:rFonts w:ascii="Aptos" w:eastAsia="Arial" w:hAnsi="Aptos" w:cs="Arial"/>
        </w:rPr>
        <w:t xml:space="preserve">. </w:t>
      </w:r>
    </w:p>
    <w:p w:rsidR="00611166" w:rsidRPr="00E26F91" w:rsidP="4F216CB9">
      <w:pPr>
        <w:spacing w:before="40" w:after="40"/>
        <w:rPr>
          <w:rFonts w:ascii="Aptos" w:hAnsi="Aptos"/>
        </w:rPr>
      </w:pPr>
      <w:r w:rsidRPr="00A24AB0">
        <w:rPr>
          <w:rFonts w:ascii="Aptos" w:eastAsia="Arial" w:hAnsi="Aptos" w:cs="Arial"/>
        </w:rPr>
        <w:t xml:space="preserve">Early educational engagement with heritage is vital to inspire the next generation, but many schools have cut back on trips since the pandemic. </w:t>
      </w:r>
      <w:r w:rsidRPr="00A24AB0">
        <w:rPr>
          <w:rFonts w:ascii="Aptos" w:eastAsia="Arial" w:hAnsi="Aptos" w:cs="Arial"/>
          <w:b/>
          <w:bCs/>
        </w:rPr>
        <w:t xml:space="preserve">We ask the Government to make school trips to local heritage sites compulsory every year </w:t>
      </w:r>
      <w:r w:rsidRPr="00547CC7">
        <w:rPr>
          <w:rFonts w:ascii="Aptos" w:eastAsia="Arial" w:hAnsi="Aptos" w:cs="Arial"/>
        </w:rPr>
        <w:t>in primary school</w:t>
      </w:r>
      <w:r w:rsidRPr="00547CC7">
        <w:rPr>
          <w:rFonts w:ascii="Aptos" w:eastAsia="Arial" w:hAnsi="Aptos" w:cs="Arial"/>
        </w:rPr>
        <w:t xml:space="preserve"> as part of the core enrichment entitlement</w:t>
      </w:r>
      <w:r w:rsidRPr="00547CC7">
        <w:rPr>
          <w:rFonts w:ascii="Aptos" w:eastAsia="Arial" w:hAnsi="Aptos" w:cs="Arial"/>
        </w:rPr>
        <w:t>, and take steps to mitigate costs associated with school visits.</w:t>
      </w:r>
      <w:r w:rsidRPr="00A24AB0">
        <w:rPr>
          <w:rFonts w:ascii="Aptos" w:eastAsia="Arial" w:hAnsi="Aptos" w:cs="Arial"/>
        </w:rPr>
        <w:t xml:space="preserve"> </w:t>
      </w:r>
    </w:p>
    <w:p w:rsidR="00611166" w:rsidRPr="00547CC7" w:rsidP="4F216CB9">
      <w:pPr>
        <w:spacing w:before="40" w:after="40"/>
        <w:rPr>
          <w:rFonts w:ascii="Aptos" w:hAnsi="Aptos"/>
        </w:rPr>
      </w:pPr>
      <w:r w:rsidRPr="00E26F91">
        <w:rPr>
          <w:rFonts w:ascii="Aptos" w:eastAsia="Arial" w:hAnsi="Aptos" w:cs="Arial"/>
        </w:rPr>
        <w:br/>
      </w:r>
      <w:r w:rsidRPr="00E26F91">
        <w:rPr>
          <w:rFonts w:ascii="Aptos" w:eastAsia="Arial" w:hAnsi="Aptos" w:cs="Arial"/>
        </w:rPr>
        <w:t xml:space="preserve">In support of further attendance by young people to heritage sites, we would encourage </w:t>
      </w:r>
      <w:r>
        <w:rPr>
          <w:rFonts w:ascii="Aptos" w:eastAsia="Arial" w:hAnsi="Aptos" w:cs="Arial"/>
        </w:rPr>
        <w:t>th</w:t>
      </w:r>
      <w:r>
        <w:rPr>
          <w:rFonts w:ascii="Aptos" w:eastAsia="Arial" w:hAnsi="Aptos" w:cs="Arial"/>
        </w:rPr>
        <w:t xml:space="preserve">e </w:t>
      </w:r>
      <w:r w:rsidRPr="00E26F91">
        <w:rPr>
          <w:rFonts w:ascii="Aptos" w:eastAsia="Arial" w:hAnsi="Aptos" w:cs="Arial"/>
          <w:b/>
          <w:bCs/>
        </w:rPr>
        <w:t>introduc</w:t>
      </w:r>
      <w:r>
        <w:rPr>
          <w:rFonts w:ascii="Aptos" w:eastAsia="Arial" w:hAnsi="Aptos" w:cs="Arial"/>
          <w:b/>
          <w:bCs/>
        </w:rPr>
        <w:t>tion of</w:t>
      </w:r>
      <w:r w:rsidRPr="00E26F91">
        <w:rPr>
          <w:rFonts w:ascii="Aptos" w:eastAsia="Arial" w:hAnsi="Aptos" w:cs="Arial"/>
          <w:b/>
          <w:bCs/>
        </w:rPr>
        <w:t xml:space="preserve"> a government-subsidised youth entry, </w:t>
      </w:r>
      <w:r w:rsidRPr="00547CC7">
        <w:rPr>
          <w:rFonts w:ascii="Aptos" w:eastAsia="Arial" w:hAnsi="Aptos" w:cs="Arial"/>
        </w:rPr>
        <w:t>modelled on the successful Young Scot scheme</w:t>
      </w:r>
      <w:r>
        <w:rPr>
          <w:rStyle w:val="FootnoteReference"/>
          <w:rFonts w:ascii="Aptos" w:eastAsia="Arial" w:hAnsi="Aptos" w:cs="Arial"/>
        </w:rPr>
        <w:footnoteReference w:id="31"/>
      </w:r>
      <w:r w:rsidRPr="00547CC7">
        <w:rPr>
          <w:rFonts w:ascii="Aptos" w:eastAsia="Arial" w:hAnsi="Aptos" w:cs="Arial"/>
        </w:rPr>
        <w:t>, to protect school trip access and ensure that cost is not a barrier to cultural engagement for children from disadvantaged backgrounds.</w:t>
      </w:r>
    </w:p>
    <w:p w:rsidR="00611166" w:rsidRPr="00E26F91" w:rsidP="4F216CB9">
      <w:pPr>
        <w:spacing w:before="40" w:after="40"/>
        <w:rPr>
          <w:rFonts w:ascii="Aptos" w:eastAsia="Arial" w:hAnsi="Aptos" w:cs="Arial"/>
        </w:rPr>
      </w:pPr>
    </w:p>
    <w:p w:rsidR="00611166" w:rsidRPr="00E26F91" w:rsidP="4F216CB9">
      <w:pPr>
        <w:spacing w:before="40" w:after="40"/>
        <w:rPr>
          <w:rFonts w:ascii="Aptos" w:eastAsia="Arial" w:hAnsi="Aptos" w:cs="Arial"/>
          <w:b/>
          <w:bCs/>
        </w:rPr>
      </w:pPr>
      <w:r w:rsidRPr="4F216CB9">
        <w:rPr>
          <w:rFonts w:ascii="Aptos" w:eastAsia="Arial" w:hAnsi="Aptos" w:cs="Arial"/>
          <w:b/>
          <w:bCs/>
        </w:rPr>
        <w:t xml:space="preserve">The Scale of Repair Needed </w:t>
      </w:r>
    </w:p>
    <w:p w:rsidR="00611166" w:rsidRPr="00E26F91" w:rsidP="4F216CB9">
      <w:pPr>
        <w:spacing w:before="40" w:after="40"/>
      </w:pPr>
      <w:r w:rsidRPr="00E26F91">
        <w:rPr>
          <w:rFonts w:ascii="Aptos" w:eastAsia="Arial" w:hAnsi="Aptos" w:cs="Arial"/>
        </w:rPr>
        <w:t>The challenge facing the sector is not only one of visitor numbers and revenue. England's</w:t>
      </w:r>
      <w:r w:rsidRPr="662ECDD0">
        <w:rPr>
          <w:rFonts w:ascii="Aptos" w:eastAsia="Arial" w:hAnsi="Aptos" w:cs="Arial"/>
        </w:rPr>
        <w:t xml:space="preserve"> </w:t>
      </w:r>
      <w:r w:rsidRPr="63C9D5B2">
        <w:rPr>
          <w:rFonts w:ascii="Aptos" w:eastAsia="Arial" w:hAnsi="Aptos" w:cs="Arial"/>
        </w:rPr>
        <w:t>public</w:t>
      </w:r>
      <w:r w:rsidRPr="00E26F91">
        <w:rPr>
          <w:rFonts w:ascii="Aptos" w:eastAsia="Arial" w:hAnsi="Aptos" w:cs="Arial"/>
        </w:rPr>
        <w:t xml:space="preserve"> cultural infrastructure, the historic buildings, museum </w:t>
      </w:r>
      <w:r w:rsidRPr="4F216CB9">
        <w:rPr>
          <w:rFonts w:ascii="Aptos" w:eastAsia="Arial" w:hAnsi="Aptos" w:cs="Arial"/>
        </w:rPr>
        <w:t>collections and heritage landscapes that underpin the visitor offer, faces a repair backlog of £7 billion, as identified in the Government's recent assessment</w:t>
      </w:r>
      <w:r>
        <w:rPr>
          <w:rStyle w:val="FootnoteReference"/>
          <w:rFonts w:ascii="Aptos" w:eastAsia="Arial" w:hAnsi="Aptos" w:cs="Arial"/>
        </w:rPr>
        <w:footnoteReference w:id="32"/>
      </w:r>
      <w:r w:rsidRPr="00E26F91">
        <w:rPr>
          <w:rFonts w:ascii="Aptos" w:eastAsia="Arial" w:hAnsi="Aptos" w:cs="Arial"/>
        </w:rPr>
        <w:t xml:space="preserve"> Heritage Alliance member Historic Houses calculates that their member properties </w:t>
      </w:r>
      <w:r>
        <w:rPr>
          <w:rFonts w:ascii="Aptos" w:eastAsia="Arial" w:hAnsi="Aptos" w:cs="Arial"/>
        </w:rPr>
        <w:t xml:space="preserve">additionally </w:t>
      </w:r>
      <w:r w:rsidRPr="00E26F91">
        <w:rPr>
          <w:rFonts w:ascii="Aptos" w:eastAsia="Arial" w:hAnsi="Aptos" w:cs="Arial"/>
        </w:rPr>
        <w:t>alone face a backlog exceeding £2 billion</w:t>
      </w:r>
      <w:r>
        <w:rPr>
          <w:rStyle w:val="FootnoteReference"/>
          <w:rFonts w:ascii="Aptos" w:eastAsia="Arial" w:hAnsi="Aptos" w:cs="Arial"/>
        </w:rPr>
        <w:footnoteReference w:id="33"/>
      </w:r>
      <w:r w:rsidRPr="00E26F91">
        <w:rPr>
          <w:rFonts w:ascii="Aptos" w:eastAsia="Arial" w:hAnsi="Aptos" w:cs="Arial"/>
        </w:rPr>
        <w:t xml:space="preserve">. These figures </w:t>
      </w:r>
      <w:r w:rsidRPr="4F216CB9">
        <w:rPr>
          <w:rFonts w:ascii="Aptos" w:eastAsia="Arial" w:hAnsi="Aptos" w:cs="Arial"/>
        </w:rPr>
        <w:t>represent a structural threat to the UK's tourism offer: without sustained capital investment, the fabric of the assets that attract visitors will continue to deteriorate, undermining both the visitor experience and the long-term viability of the sector.</w:t>
      </w:r>
    </w:p>
    <w:p w:rsidR="00611166" w:rsidRPr="00E26F91" w:rsidP="00A24AB0">
      <w:pPr>
        <w:spacing w:before="80" w:after="120"/>
        <w:rPr>
          <w:rFonts w:ascii="Aptos" w:eastAsia="Aptos" w:hAnsi="Aptos" w:cs="Aptos"/>
        </w:rPr>
      </w:pPr>
      <w:r w:rsidRPr="00A24AB0">
        <w:rPr>
          <w:rFonts w:ascii="Aptos" w:eastAsia="Aptos" w:hAnsi="Aptos" w:cs="Aptos"/>
        </w:rPr>
        <w:t>81% of Heritage Alliance survey respondents cited funding as a significant concern;</w:t>
      </w:r>
      <w:r w:rsidRPr="00A24AB0">
        <w:rPr>
          <w:rFonts w:ascii="Aptos" w:eastAsia="Aptos" w:hAnsi="Aptos" w:cs="Aptos"/>
        </w:rPr>
        <w:t xml:space="preserve"> </w:t>
      </w:r>
      <w:r w:rsidRPr="00A24AB0">
        <w:rPr>
          <w:rFonts w:ascii="Aptos" w:eastAsia="Aptos" w:hAnsi="Aptos" w:cs="Aptos"/>
        </w:rPr>
        <w:t xml:space="preserve">over half are more concerned about rising costs than they were last year; and only </w:t>
      </w:r>
      <w:r w:rsidRPr="00A24AB0">
        <w:rPr>
          <w:rFonts w:ascii="Aptos" w:eastAsia="Aptos" w:hAnsi="Aptos" w:cs="Aptos"/>
        </w:rPr>
        <w:t xml:space="preserve">a third </w:t>
      </w:r>
      <w:r w:rsidRPr="00A24AB0">
        <w:rPr>
          <w:rFonts w:ascii="Aptos" w:eastAsia="Aptos" w:hAnsi="Aptos" w:cs="Aptos"/>
        </w:rPr>
        <w:t>of heritage organisations report that they are currently unable to adequately care for their area of building or collections</w:t>
      </w:r>
      <w:r>
        <w:rPr>
          <w:rStyle w:val="FootnoteReference"/>
          <w:rFonts w:ascii="Aptos" w:eastAsia="Aptos" w:hAnsi="Aptos" w:cs="Aptos"/>
        </w:rPr>
        <w:footnoteReference w:id="34"/>
      </w:r>
      <w:r w:rsidRPr="00A24AB0">
        <w:rPr>
          <w:rFonts w:ascii="Aptos" w:eastAsia="Aptos" w:hAnsi="Aptos" w:cs="Aptos"/>
        </w:rPr>
        <w:t>.</w:t>
      </w:r>
    </w:p>
    <w:p w:rsidR="00611166" w:rsidRPr="00E26F91" w:rsidP="4F216CB9">
      <w:pPr>
        <w:spacing w:before="80" w:after="120"/>
        <w:rPr>
          <w:rFonts w:ascii="Aptos" w:eastAsia="Arial" w:hAnsi="Aptos" w:cs="Arial"/>
        </w:rPr>
      </w:pPr>
      <w:r w:rsidRPr="4F216CB9">
        <w:rPr>
          <w:rFonts w:ascii="Aptos" w:eastAsia="Arial" w:hAnsi="Aptos" w:cs="Arial"/>
        </w:rPr>
        <w:t xml:space="preserve">The April 2025 increases in employer National Insurance contributions and the national minimum wage have had </w:t>
      </w:r>
      <w:r w:rsidRPr="4F216CB9">
        <w:rPr>
          <w:rFonts w:ascii="Aptos" w:eastAsia="Arial" w:hAnsi="Aptos" w:cs="Arial"/>
        </w:rPr>
        <w:t xml:space="preserve">a significant impact </w:t>
      </w:r>
      <w:r w:rsidRPr="4F216CB9">
        <w:rPr>
          <w:rFonts w:ascii="Aptos" w:eastAsia="Arial" w:hAnsi="Aptos" w:cs="Arial"/>
        </w:rPr>
        <w:t>on heritage organisations operating at the margins of financial sustainability. Across the heritage sector, redundancies are being made, operating hours reduced and capital investment deferred</w:t>
      </w:r>
      <w:r w:rsidRPr="4F216CB9">
        <w:rPr>
          <w:rFonts w:ascii="Aptos" w:eastAsia="Arial" w:hAnsi="Aptos" w:cs="Arial"/>
        </w:rPr>
        <w:t xml:space="preserve">, </w:t>
      </w:r>
      <w:r w:rsidRPr="4F216CB9">
        <w:rPr>
          <w:rFonts w:ascii="Aptos" w:eastAsia="Arial" w:hAnsi="Aptos" w:cs="Arial"/>
        </w:rPr>
        <w:t xml:space="preserve">not because of weak visitor demand, but because the cost base has shifted too sharply and too quickly for organisations to absorb. </w:t>
      </w:r>
    </w:p>
    <w:p w:rsidR="00611166" w:rsidRPr="00E26F91" w:rsidP="00547CC7">
      <w:pPr>
        <w:spacing w:before="80" w:after="120"/>
        <w:rPr>
          <w:rFonts w:ascii="Aptos" w:eastAsia="Arial" w:hAnsi="Aptos" w:cs="Arial"/>
        </w:rPr>
      </w:pPr>
      <w:r w:rsidRPr="4F216CB9">
        <w:rPr>
          <w:rFonts w:ascii="Aptos" w:eastAsia="Arial" w:hAnsi="Aptos" w:cs="Arial"/>
        </w:rPr>
        <w:t>A category of heritage attraction that faces particular energy</w:t>
      </w:r>
      <w:r w:rsidRPr="4F216CB9">
        <w:rPr>
          <w:rFonts w:ascii="Aptos" w:eastAsia="Arial" w:hAnsi="Aptos" w:cs="Arial"/>
        </w:rPr>
        <w:t xml:space="preserve"> cost vulnerability deserves specific recognition: working and mobile heritage attractions</w:t>
      </w:r>
      <w:r w:rsidRPr="4F216CB9">
        <w:rPr>
          <w:rFonts w:ascii="Aptos" w:eastAsia="Arial" w:hAnsi="Aptos" w:cs="Arial"/>
        </w:rPr>
        <w:t>,</w:t>
      </w:r>
      <w:r w:rsidRPr="4F216CB9">
        <w:rPr>
          <w:rFonts w:ascii="Aptos" w:eastAsia="Arial" w:hAnsi="Aptos" w:cs="Arial"/>
        </w:rPr>
        <w:t xml:space="preserve"> heritage railways, vintage vehicles and historic aircraft</w:t>
      </w:r>
      <w:r w:rsidRPr="4F216CB9">
        <w:rPr>
          <w:rFonts w:ascii="Aptos" w:eastAsia="Arial" w:hAnsi="Aptos" w:cs="Arial"/>
        </w:rPr>
        <w:t xml:space="preserve">, </w:t>
      </w:r>
      <w:r w:rsidRPr="4F216CB9">
        <w:rPr>
          <w:rFonts w:ascii="Aptos" w:eastAsia="Arial" w:hAnsi="Aptos" w:cs="Arial"/>
        </w:rPr>
        <w:t xml:space="preserve">depend on heritage fuels (coal, specialist aviation fuel, leaded petrol) whose costs have in some cases doubled or tripled since 2022. These attractions have no practical ability to switch to alternative fuels without </w:t>
      </w:r>
      <w:r w:rsidRPr="4F216CB9">
        <w:rPr>
          <w:rFonts w:ascii="Aptos" w:eastAsia="Arial" w:hAnsi="Aptos" w:cs="Arial"/>
        </w:rPr>
        <w:t xml:space="preserve">compromising on the specific </w:t>
      </w:r>
      <w:r w:rsidRPr="4F216CB9">
        <w:rPr>
          <w:rFonts w:ascii="Aptos" w:eastAsia="Arial" w:hAnsi="Aptos" w:cs="Arial"/>
        </w:rPr>
        <w:t>heritage offer that makes them a visitor draw. They are often the primary reason domestic and international visito</w:t>
      </w:r>
      <w:r w:rsidRPr="4F216CB9">
        <w:rPr>
          <w:rFonts w:ascii="Aptos" w:eastAsia="Arial" w:hAnsi="Aptos" w:cs="Arial"/>
        </w:rPr>
        <w:t xml:space="preserve">rs travel to rural areas and represent an irreplaceable part of the UK’s living heritage. </w:t>
      </w:r>
      <w:r w:rsidRPr="21C87CD8">
        <w:rPr>
          <w:rFonts w:ascii="Aptos" w:eastAsia="Arial" w:hAnsi="Aptos" w:cs="Arial"/>
        </w:rPr>
        <w:t xml:space="preserve">Targeted energy cost support mechanisms for heritage </w:t>
      </w:r>
      <w:r w:rsidRPr="3DA52729">
        <w:rPr>
          <w:rFonts w:ascii="Aptos" w:eastAsia="Arial" w:hAnsi="Aptos" w:cs="Arial"/>
        </w:rPr>
        <w:t>attractions</w:t>
      </w:r>
      <w:r w:rsidRPr="21C87CD8">
        <w:rPr>
          <w:rFonts w:ascii="Aptos" w:eastAsia="Arial" w:hAnsi="Aptos" w:cs="Arial"/>
        </w:rPr>
        <w:t xml:space="preserve"> in this category would be highly </w:t>
      </w:r>
      <w:r w:rsidRPr="2EEF7FEA">
        <w:rPr>
          <w:rFonts w:ascii="Aptos" w:eastAsia="Arial" w:hAnsi="Aptos" w:cs="Arial"/>
        </w:rPr>
        <w:t>beneficial</w:t>
      </w:r>
      <w:r w:rsidRPr="21C87CD8">
        <w:rPr>
          <w:rFonts w:ascii="Aptos" w:eastAsia="Arial" w:hAnsi="Aptos" w:cs="Arial"/>
        </w:rPr>
        <w:t xml:space="preserve"> in sustaining this </w:t>
      </w:r>
      <w:r w:rsidRPr="5EAB3649">
        <w:rPr>
          <w:rFonts w:ascii="Aptos" w:eastAsia="Arial" w:hAnsi="Aptos" w:cs="Arial"/>
        </w:rPr>
        <w:t>distinctive</w:t>
      </w:r>
      <w:r w:rsidRPr="2EEF7FEA">
        <w:rPr>
          <w:rFonts w:ascii="Aptos" w:eastAsia="Arial" w:hAnsi="Aptos" w:cs="Arial"/>
        </w:rPr>
        <w:t xml:space="preserve"> part</w:t>
      </w:r>
      <w:r w:rsidRPr="21C87CD8">
        <w:rPr>
          <w:rFonts w:ascii="Aptos" w:eastAsia="Arial" w:hAnsi="Aptos" w:cs="Arial"/>
        </w:rPr>
        <w:t xml:space="preserve"> of </w:t>
      </w:r>
      <w:r w:rsidRPr="5EAB3649">
        <w:rPr>
          <w:rFonts w:ascii="Aptos" w:eastAsia="Arial" w:hAnsi="Aptos" w:cs="Arial"/>
        </w:rPr>
        <w:t>the</w:t>
      </w:r>
      <w:r w:rsidRPr="21C87CD8">
        <w:rPr>
          <w:rFonts w:ascii="Aptos" w:eastAsia="Arial" w:hAnsi="Aptos" w:cs="Arial"/>
        </w:rPr>
        <w:t xml:space="preserve"> UK’s tourism </w:t>
      </w:r>
      <w:r w:rsidRPr="3DA52729">
        <w:rPr>
          <w:rFonts w:ascii="Aptos" w:eastAsia="Arial" w:hAnsi="Aptos" w:cs="Arial"/>
        </w:rPr>
        <w:t xml:space="preserve">offer. </w:t>
      </w:r>
      <w:r w:rsidRPr="21C87CD8">
        <w:rPr>
          <w:rFonts w:ascii="Aptos" w:eastAsia="Arial" w:hAnsi="Aptos" w:cs="Arial"/>
        </w:rPr>
        <w:t xml:space="preserve"> </w:t>
      </w:r>
    </w:p>
    <w:p w:rsidR="00611166" w:rsidRPr="00547CC7" w:rsidP="4F216CB9">
      <w:pPr>
        <w:spacing w:before="40" w:after="40"/>
        <w:rPr>
          <w:rFonts w:ascii="Aptos" w:eastAsia="Arial" w:hAnsi="Aptos" w:cs="Arial"/>
        </w:rPr>
      </w:pPr>
      <w:r w:rsidRPr="00E26F91">
        <w:rPr>
          <w:rFonts w:ascii="Aptos" w:eastAsia="Arial" w:hAnsi="Aptos" w:cs="Arial"/>
        </w:rPr>
        <w:t>The Government has set an ambition for 50 million annual visits to the UK by 2030</w:t>
      </w:r>
      <w:r>
        <w:rPr>
          <w:rStyle w:val="FootnoteReference"/>
          <w:rFonts w:ascii="Aptos" w:eastAsia="Arial" w:hAnsi="Aptos" w:cs="Arial"/>
        </w:rPr>
        <w:footnoteReference w:id="35"/>
      </w:r>
      <w:r w:rsidRPr="00E26F91">
        <w:rPr>
          <w:rFonts w:ascii="Aptos" w:eastAsia="Arial" w:hAnsi="Aptos" w:cs="Arial"/>
        </w:rPr>
        <w:t xml:space="preserve">. Given that visits remain 7% below pre-pandemic 2019 levels, achieving this target will require deliberate and </w:t>
      </w:r>
      <w:r w:rsidRPr="00E26F91">
        <w:rPr>
          <w:rFonts w:ascii="Aptos" w:eastAsia="Arial" w:hAnsi="Aptos" w:cs="Arial"/>
        </w:rPr>
        <w:t>sustained investment in the quality of the visitor offer, not only in marketing and promotion, but in the conservation and accessibility of the heritage assets that are, as our research consistently shows, the primary pull factor for international visitors.</w:t>
      </w:r>
      <w:r w:rsidRPr="4F216CB9">
        <w:rPr>
          <w:rFonts w:ascii="Aptos" w:eastAsia="Arial" w:hAnsi="Aptos" w:cs="Arial"/>
        </w:rPr>
        <w:t xml:space="preserve"> </w:t>
      </w:r>
      <w:r w:rsidRPr="4F216CB9">
        <w:rPr>
          <w:rFonts w:ascii="Aptos" w:hAnsi="Aptos"/>
        </w:rPr>
        <w:t>The Arts Everywhere fund has provided an important boost to capital funding, though all infrastructure grants remain over-subscribed</w:t>
      </w:r>
      <w:r w:rsidRPr="4F216CB9">
        <w:rPr>
          <w:rFonts w:ascii="Aptos" w:hAnsi="Aptos"/>
        </w:rPr>
        <w:t xml:space="preserve"> due to th</w:t>
      </w:r>
      <w:r w:rsidRPr="4F216CB9">
        <w:rPr>
          <w:rFonts w:ascii="Aptos" w:hAnsi="Aptos"/>
        </w:rPr>
        <w:t>e scale of need</w:t>
      </w:r>
      <w:r w:rsidRPr="4F216CB9">
        <w:rPr>
          <w:rFonts w:ascii="Aptos" w:hAnsi="Aptos"/>
        </w:rPr>
        <w:t>.</w:t>
      </w:r>
      <w:r w:rsidRPr="4F216CB9">
        <w:rPr>
          <w:rFonts w:ascii="Aptos" w:eastAsia="Arial" w:hAnsi="Aptos" w:cs="Arial"/>
        </w:rPr>
        <w:t xml:space="preserve"> </w:t>
      </w:r>
      <w:r w:rsidRPr="4F216CB9">
        <w:rPr>
          <w:rFonts w:ascii="Aptos" w:eastAsia="Arial" w:hAnsi="Aptos" w:cs="Arial"/>
          <w:b/>
          <w:bCs/>
        </w:rPr>
        <w:t>The Heritage Alliance recommends the establishment of a new Culture Growth Fund</w:t>
      </w:r>
      <w:r w:rsidRPr="00547CC7">
        <w:rPr>
          <w:rFonts w:ascii="Aptos" w:eastAsia="Arial" w:hAnsi="Aptos" w:cs="Arial"/>
        </w:rPr>
        <w:t>, building on the success of the Culture Recovery Fund, to provide a new major phase of capital funding for heritage to sustain the skills pipeline and safeguard these organisations into the future.</w:t>
      </w:r>
    </w:p>
    <w:p w:rsidR="00611166" w:rsidRPr="00E26F91" w:rsidP="4F216CB9">
      <w:pPr>
        <w:pStyle w:val="Heading2"/>
        <w:rPr>
          <w:rFonts w:ascii="Aptos" w:hAnsi="Aptos"/>
          <w:sz w:val="28"/>
        </w:rPr>
      </w:pPr>
      <w:bookmarkStart w:id="8" w:name="_Toc230020915"/>
      <w:r w:rsidRPr="00A24AB0">
        <w:rPr>
          <w:rFonts w:ascii="Aptos" w:hAnsi="Aptos"/>
          <w:sz w:val="28"/>
        </w:rPr>
        <w:t>Question 6: How can tourism better support regional growth, community prosperity and wider Government objectives?</w:t>
      </w:r>
      <w:bookmarkEnd w:id="8"/>
    </w:p>
    <w:p w:rsidR="00611166" w:rsidRPr="00E26F91" w:rsidP="4F216CB9">
      <w:pPr>
        <w:pStyle w:val="ListParagraph"/>
        <w:numPr>
          <w:ilvl w:val="0"/>
          <w:numId w:val="6"/>
        </w:numPr>
        <w:rPr>
          <w:rFonts w:ascii="Aptos" w:hAnsi="Aptos"/>
          <w:b/>
          <w:bCs/>
        </w:rPr>
      </w:pPr>
      <w:r w:rsidRPr="4F216CB9">
        <w:rPr>
          <w:rFonts w:ascii="Aptos" w:hAnsi="Aptos"/>
          <w:b/>
          <w:bCs/>
        </w:rPr>
        <w:t xml:space="preserve">What barriers prevent regions from capitalising fully on tourism demand and what opportunities remain overlooked? </w:t>
      </w:r>
    </w:p>
    <w:p w:rsidR="00611166" w:rsidRPr="00E26F91" w:rsidP="00A24AB0">
      <w:pPr>
        <w:spacing w:before="80" w:after="120"/>
        <w:rPr>
          <w:rFonts w:ascii="Aptos" w:eastAsia="Arial" w:hAnsi="Aptos" w:cs="Arial"/>
          <w:highlight w:val="yellow"/>
        </w:rPr>
      </w:pPr>
      <w:r w:rsidRPr="00A24AB0">
        <w:rPr>
          <w:rFonts w:ascii="Aptos" w:eastAsia="Arial" w:hAnsi="Aptos" w:cs="Arial"/>
        </w:rPr>
        <w:t xml:space="preserve">Heritage tourism offers significant potential to drive regional growth, but this potential is unevenly distributed and, without deliberate intervention, risks becoming more concentrated in London and the South East. </w:t>
      </w:r>
    </w:p>
    <w:p w:rsidR="00611166" w:rsidRPr="00547CC7" w:rsidP="4F216CB9">
      <w:pPr>
        <w:spacing w:before="80" w:after="120"/>
        <w:rPr>
          <w:rFonts w:ascii="Aptos" w:eastAsia="Arial" w:hAnsi="Aptos" w:cs="Arial"/>
        </w:rPr>
      </w:pPr>
      <w:r w:rsidRPr="4F216CB9">
        <w:rPr>
          <w:rFonts w:ascii="Aptos" w:eastAsia="Arial" w:hAnsi="Aptos" w:cs="Arial"/>
        </w:rPr>
        <w:t xml:space="preserve">Investment in regional heritage sites, through sustained capital funding and planning support, would help unlock their potential as anchors for local tourism economies. </w:t>
      </w:r>
      <w:r w:rsidRPr="00547CC7">
        <w:rPr>
          <w:rFonts w:ascii="Aptos" w:eastAsia="Arial" w:hAnsi="Aptos" w:cs="Arial"/>
        </w:rPr>
        <w:t>It is important that</w:t>
      </w:r>
      <w:r>
        <w:rPr>
          <w:rFonts w:ascii="Aptos" w:eastAsia="Arial" w:hAnsi="Aptos" w:cs="Arial"/>
          <w:b/>
          <w:bCs/>
        </w:rPr>
        <w:t xml:space="preserve"> heritage</w:t>
      </w:r>
      <w:r w:rsidRPr="4F216CB9">
        <w:rPr>
          <w:rFonts w:ascii="Aptos" w:eastAsia="Arial" w:hAnsi="Aptos" w:cs="Arial"/>
          <w:b/>
          <w:bCs/>
        </w:rPr>
        <w:t xml:space="preserve"> remain</w:t>
      </w:r>
      <w:r>
        <w:rPr>
          <w:rFonts w:ascii="Aptos" w:eastAsia="Arial" w:hAnsi="Aptos" w:cs="Arial"/>
          <w:b/>
          <w:bCs/>
        </w:rPr>
        <w:t>s</w:t>
      </w:r>
      <w:r w:rsidRPr="4F216CB9">
        <w:rPr>
          <w:rFonts w:ascii="Aptos" w:eastAsia="Arial" w:hAnsi="Aptos" w:cs="Arial"/>
          <w:b/>
          <w:bCs/>
        </w:rPr>
        <w:t xml:space="preserve"> a core criterion in all regeneration programmes</w:t>
      </w:r>
      <w:r w:rsidRPr="00547CC7">
        <w:rPr>
          <w:rFonts w:ascii="Aptos" w:eastAsia="Arial" w:hAnsi="Aptos" w:cs="Arial"/>
        </w:rPr>
        <w:t>, whether centralised or devolved, and for place-based investment strategies to draw on the evidence base from Historic England’s Heritage Action Zone schemes.</w:t>
      </w:r>
    </w:p>
    <w:p w:rsidR="00611166" w:rsidRPr="00E26F91" w:rsidP="4F216CB9">
      <w:pPr>
        <w:spacing w:before="80" w:after="120"/>
        <w:rPr>
          <w:rFonts w:ascii="Aptos" w:hAnsi="Aptos"/>
        </w:rPr>
      </w:pPr>
      <w:r w:rsidRPr="00E26F91">
        <w:rPr>
          <w:rFonts w:ascii="Aptos" w:hAnsi="Aptos"/>
        </w:rPr>
        <w:t xml:space="preserve">Tourism directly supports 2.4 million jobs and generates £147 </w:t>
      </w:r>
      <w:r w:rsidRPr="4F216CB9">
        <w:rPr>
          <w:rFonts w:ascii="Aptos" w:hAnsi="Aptos"/>
        </w:rPr>
        <w:t>billion of economic output across the UK</w:t>
      </w:r>
      <w:r>
        <w:rPr>
          <w:rStyle w:val="FootnoteReference"/>
          <w:rFonts w:ascii="Aptos" w:hAnsi="Aptos"/>
        </w:rPr>
        <w:footnoteReference w:id="36"/>
      </w:r>
      <w:r w:rsidRPr="00E26F91">
        <w:rPr>
          <w:rFonts w:ascii="Aptos" w:hAnsi="Aptos"/>
        </w:rPr>
        <w:t xml:space="preserve">. Heritage is central to this: </w:t>
      </w:r>
      <w:r w:rsidRPr="4F216CB9">
        <w:rPr>
          <w:rFonts w:ascii="Aptos" w:hAnsi="Aptos"/>
        </w:rPr>
        <w:t>the majority of England's top visitor attractions are heritage sites, and their geographic spread means that heritage tourism has an unparalleled capacity to distribute economic benefit beyond London and the major cities. However, this potential is constrained by chronic underfunding: local authority spending on heritage and culture services has been cut by 43% in real terms per capita over the past decade</w:t>
      </w:r>
      <w:r>
        <w:rPr>
          <w:rStyle w:val="FootnoteReference"/>
          <w:rFonts w:ascii="Aptos" w:hAnsi="Aptos"/>
        </w:rPr>
        <w:footnoteReference w:id="37"/>
      </w:r>
      <w:r w:rsidRPr="00E26F91">
        <w:rPr>
          <w:rFonts w:ascii="Aptos" w:hAnsi="Aptos"/>
        </w:rPr>
        <w:t xml:space="preserve">. This has reduced the capacity of local authorities to </w:t>
      </w:r>
      <w:r w:rsidRPr="4F216CB9">
        <w:rPr>
          <w:rFonts w:ascii="Aptos" w:hAnsi="Aptos"/>
        </w:rPr>
        <w:t xml:space="preserve">maintain the heritage assets, public realm and visitor infrastructure that support regional tourism economies. Any future policy framework for tourism </w:t>
      </w:r>
      <w:r w:rsidRPr="62B08C0B">
        <w:rPr>
          <w:rFonts w:ascii="Aptos" w:hAnsi="Aptos"/>
        </w:rPr>
        <w:t xml:space="preserve">would benefit from </w:t>
      </w:r>
      <w:r w:rsidRPr="49704058">
        <w:rPr>
          <w:rFonts w:ascii="Aptos" w:hAnsi="Aptos"/>
        </w:rPr>
        <w:t>account</w:t>
      </w:r>
      <w:r w:rsidRPr="49704058">
        <w:rPr>
          <w:rFonts w:ascii="Aptos" w:hAnsi="Aptos"/>
        </w:rPr>
        <w:t>ing</w:t>
      </w:r>
      <w:r w:rsidRPr="4F216CB9">
        <w:rPr>
          <w:rFonts w:ascii="Aptos" w:hAnsi="Aptos"/>
        </w:rPr>
        <w:t xml:space="preserve"> for this funding gap</w:t>
      </w:r>
      <w:r w:rsidRPr="15EB1468">
        <w:rPr>
          <w:rFonts w:ascii="Aptos" w:hAnsi="Aptos"/>
        </w:rPr>
        <w:t xml:space="preserve">, with </w:t>
      </w:r>
      <w:r w:rsidRPr="4F216CB9">
        <w:rPr>
          <w:rFonts w:ascii="Aptos" w:hAnsi="Aptos"/>
        </w:rPr>
        <w:t>new revenues directed to addressing it rather than substituting for spending that has already been lost.</w:t>
      </w:r>
    </w:p>
    <w:p w:rsidR="00611166" w:rsidRPr="00E26F91" w:rsidP="4F216CB9">
      <w:pPr>
        <w:pStyle w:val="ListParagraph"/>
        <w:numPr>
          <w:ilvl w:val="0"/>
          <w:numId w:val="6"/>
        </w:numPr>
        <w:rPr>
          <w:rFonts w:ascii="Aptos" w:hAnsi="Aptos"/>
          <w:b/>
          <w:bCs/>
        </w:rPr>
      </w:pPr>
      <w:r w:rsidRPr="4F216CB9">
        <w:rPr>
          <w:rFonts w:ascii="Aptos" w:hAnsi="Aptos"/>
          <w:b/>
          <w:bCs/>
        </w:rPr>
        <w:t>Are transport links, digital connectivity and cultural infrastructure adequate to support regional tourism growth?</w:t>
      </w:r>
    </w:p>
    <w:p w:rsidR="00611166" w:rsidRPr="00E26F91" w:rsidP="4F216CB9">
      <w:pPr>
        <w:spacing w:before="80" w:after="120"/>
        <w:rPr>
          <w:rFonts w:ascii="Aptos" w:hAnsi="Aptos"/>
        </w:rPr>
      </w:pPr>
      <w:r w:rsidRPr="4F216CB9">
        <w:rPr>
          <w:rFonts w:ascii="Aptos" w:eastAsia="Arial" w:hAnsi="Aptos" w:cs="Arial"/>
        </w:rPr>
        <w:t>Transport is one of the most significant barriers to regional heritage tourism. Many of England's most important rural heritage sites are located in areas with limited or no public transport provision, effectively restricting access to visitors who are able and willing to drive. This has dual consequences: it limits the visitor market to those with private transport, excluding lower-income visitors, young people and international tourists unfamiliar with rural road networks; and it concentrates visitor pres</w:t>
      </w:r>
      <w:r w:rsidRPr="4F216CB9">
        <w:rPr>
          <w:rFonts w:ascii="Aptos" w:eastAsia="Arial" w:hAnsi="Aptos" w:cs="Arial"/>
        </w:rPr>
        <w:t>sure on a small number of easily accessible sites, while leaving equally significant heritage in nearby areas unvisited and unable to generate economic activity.</w:t>
      </w:r>
    </w:p>
    <w:p w:rsidR="00611166" w:rsidRPr="00E26F91" w:rsidP="4F216CB9">
      <w:pPr>
        <w:spacing w:before="80" w:after="120"/>
        <w:rPr>
          <w:rFonts w:ascii="Aptos" w:hAnsi="Aptos"/>
        </w:rPr>
      </w:pPr>
      <w:r w:rsidRPr="00547CC7">
        <w:rPr>
          <w:rFonts w:ascii="Aptos" w:eastAsia="Arial" w:hAnsi="Aptos" w:cs="Arial"/>
          <w:b/>
          <w:bCs/>
        </w:rPr>
        <w:t>Investment in affordable</w:t>
      </w:r>
      <w:r w:rsidRPr="4F216CB9">
        <w:rPr>
          <w:rFonts w:ascii="Aptos" w:eastAsia="Arial" w:hAnsi="Aptos" w:cs="Arial"/>
          <w:b/>
          <w:bCs/>
        </w:rPr>
        <w:t xml:space="preserve"> public transport in rural areas</w:t>
      </w:r>
      <w:r>
        <w:rPr>
          <w:rFonts w:ascii="Aptos" w:eastAsia="Arial" w:hAnsi="Aptos" w:cs="Arial"/>
          <w:b/>
          <w:bCs/>
        </w:rPr>
        <w:t xml:space="preserve"> is critical</w:t>
      </w:r>
      <w:r w:rsidRPr="4F216CB9">
        <w:rPr>
          <w:rFonts w:ascii="Aptos" w:eastAsia="Arial" w:hAnsi="Aptos" w:cs="Arial"/>
          <w:b/>
          <w:bCs/>
        </w:rPr>
        <w:t xml:space="preserve">, </w:t>
      </w:r>
      <w:r w:rsidRPr="00547CC7">
        <w:rPr>
          <w:rFonts w:ascii="Aptos" w:eastAsia="Arial" w:hAnsi="Aptos" w:cs="Arial"/>
        </w:rPr>
        <w:t xml:space="preserve">recognising that making heritage sites accessible to all is both a social equity and an economic growth imperative. Where public transport improvement is not feasible in the short term, targeted transport subsidies for school trips and community groups </w:t>
      </w:r>
      <w:r w:rsidRPr="00547CC7">
        <w:rPr>
          <w:rFonts w:ascii="Aptos" w:eastAsia="Arial" w:hAnsi="Aptos" w:cs="Arial"/>
        </w:rPr>
        <w:t xml:space="preserve">offer a valuable interim measure. </w:t>
      </w:r>
      <w:r w:rsidRPr="00547CC7">
        <w:br/>
      </w:r>
    </w:p>
    <w:p w:rsidR="00611166" w:rsidRPr="00E26F91" w:rsidP="4F216CB9">
      <w:pPr>
        <w:pStyle w:val="ListParagraph"/>
        <w:numPr>
          <w:ilvl w:val="0"/>
          <w:numId w:val="6"/>
        </w:numPr>
        <w:rPr>
          <w:rFonts w:ascii="Aptos" w:hAnsi="Aptos"/>
          <w:b/>
          <w:bCs/>
        </w:rPr>
      </w:pPr>
      <w:r w:rsidRPr="4F216CB9">
        <w:rPr>
          <w:rFonts w:ascii="Aptos" w:hAnsi="Aptos"/>
          <w:b/>
          <w:bCs/>
        </w:rPr>
        <w:t xml:space="preserve">What are the particular opportunities and challenges for tourism in: a) coastal areas, and b) rural areas? </w:t>
      </w:r>
    </w:p>
    <w:p w:rsidR="00611166" w:rsidRPr="00E26F91" w:rsidP="4F216CB9">
      <w:pPr>
        <w:spacing w:before="80" w:after="120"/>
        <w:rPr>
          <w:rFonts w:ascii="Aptos" w:eastAsia="Arial" w:hAnsi="Aptos" w:cs="Arial"/>
          <w:b/>
          <w:bCs/>
        </w:rPr>
      </w:pPr>
      <w:r>
        <w:br/>
      </w:r>
      <w:r w:rsidRPr="4F216CB9">
        <w:rPr>
          <w:rFonts w:ascii="Aptos" w:eastAsia="Arial" w:hAnsi="Aptos" w:cs="Arial"/>
          <w:b/>
          <w:bCs/>
        </w:rPr>
        <w:t xml:space="preserve">a) Coastal Areas </w:t>
      </w:r>
    </w:p>
    <w:p w:rsidR="00611166" w:rsidRPr="00E26F91" w:rsidP="4F216CB9">
      <w:pPr>
        <w:spacing w:before="80" w:after="120"/>
        <w:rPr>
          <w:rFonts w:ascii="Aptos" w:eastAsia="Arial" w:hAnsi="Aptos" w:cs="Arial"/>
          <w:b/>
          <w:bCs/>
        </w:rPr>
      </w:pPr>
      <w:r w:rsidRPr="4F216CB9">
        <w:rPr>
          <w:rFonts w:ascii="Aptos" w:eastAsia="Arial" w:hAnsi="Aptos" w:cs="Arial"/>
          <w:b/>
          <w:bCs/>
        </w:rPr>
        <w:t>Heritage as the Economic Anchor of Coastal Tourism</w:t>
      </w:r>
    </w:p>
    <w:p w:rsidR="00611166" w:rsidRPr="00E26F91" w:rsidP="4F216CB9">
      <w:pPr>
        <w:spacing w:before="80" w:after="120"/>
        <w:rPr>
          <w:rFonts w:ascii="Aptos" w:eastAsia="Arial" w:hAnsi="Aptos" w:cs="Arial"/>
        </w:rPr>
      </w:pPr>
      <w:r w:rsidRPr="4F216CB9">
        <w:rPr>
          <w:rFonts w:ascii="Aptos" w:eastAsia="Arial" w:hAnsi="Aptos" w:cs="Arial"/>
        </w:rPr>
        <w:t>Coastal heritage is not merely an amenity for visitors: it is the primary reason millions of people choose to visit England's coastline. Blackpool's three Victorian piers, the finest assemblage of seaside piers in the country, are central to the town's identity and economy, attracting visitors among the 17 million who visit Blackpool annually. Maritime Greenwich, a UNESCO World Heritage Site encompassing the National Maritime Museum, the Royal Observatory, the Queen's House and the Cutty Sark, draws interna</w:t>
      </w:r>
      <w:r w:rsidRPr="4F216CB9">
        <w:rPr>
          <w:rFonts w:ascii="Aptos" w:eastAsia="Arial" w:hAnsi="Aptos" w:cs="Arial"/>
        </w:rPr>
        <w:t>tional visitors whose spending supports the surrounding economy. Historic ports, coastal fortifications, lighthouses, fishing settlements and working maritime landscapes provide the distinctive character that gives coastal destinations their competitive advantage over generic leisure alternatives.</w:t>
      </w:r>
    </w:p>
    <w:p w:rsidR="00611166" w:rsidRPr="00E26F91" w:rsidP="4F216CB9">
      <w:pPr>
        <w:spacing w:before="80" w:after="120"/>
        <w:rPr>
          <w:rFonts w:ascii="Aptos" w:eastAsia="Arial" w:hAnsi="Aptos" w:cs="Arial"/>
        </w:rPr>
      </w:pPr>
      <w:r w:rsidRPr="00E26F91">
        <w:rPr>
          <w:rFonts w:ascii="Aptos" w:eastAsia="Arial" w:hAnsi="Aptos" w:cs="Arial"/>
        </w:rPr>
        <w:t xml:space="preserve">The heritage sector is itself a major coastal landowner and custodian. </w:t>
      </w:r>
      <w:r w:rsidRPr="00E4500B">
        <w:rPr>
          <w:rFonts w:ascii="Aptos" w:eastAsia="Arial" w:hAnsi="Aptos" w:cs="Arial"/>
        </w:rPr>
        <w:t>From the</w:t>
      </w:r>
      <w:r w:rsidRPr="00E4500B">
        <w:rPr>
          <w:rFonts w:ascii="Aptos" w:eastAsia="Arial" w:hAnsi="Aptos" w:cs="Arial"/>
        </w:rPr>
        <w:t xml:space="preserve"> buildings and historic vessels in the care of</w:t>
      </w:r>
      <w:r w:rsidRPr="00E4500B">
        <w:rPr>
          <w:rFonts w:ascii="Aptos" w:eastAsia="Arial" w:hAnsi="Aptos" w:cs="Arial"/>
        </w:rPr>
        <w:t xml:space="preserve"> </w:t>
      </w:r>
      <w:r w:rsidRPr="00E4500B">
        <w:rPr>
          <w:rFonts w:ascii="Aptos" w:eastAsia="Arial" w:hAnsi="Aptos" w:cs="Arial"/>
        </w:rPr>
        <w:t>Portsmouth</w:t>
      </w:r>
      <w:r w:rsidRPr="00E4500B">
        <w:rPr>
          <w:rFonts w:ascii="Aptos" w:eastAsia="Arial" w:hAnsi="Aptos" w:cs="Arial"/>
        </w:rPr>
        <w:t xml:space="preserve"> Historic Dockyard</w:t>
      </w:r>
      <w:r w:rsidRPr="00E4500B">
        <w:rPr>
          <w:rFonts w:ascii="Aptos" w:eastAsia="Arial" w:hAnsi="Aptos" w:cs="Arial"/>
        </w:rPr>
        <w:t xml:space="preserve">, </w:t>
      </w:r>
      <w:r w:rsidRPr="00E4500B">
        <w:rPr>
          <w:rFonts w:ascii="Aptos" w:eastAsia="Arial" w:hAnsi="Aptos" w:cs="Arial"/>
        </w:rPr>
        <w:t>to</w:t>
      </w:r>
      <w:r>
        <w:rPr>
          <w:rFonts w:ascii="Aptos" w:eastAsia="Arial" w:hAnsi="Aptos" w:cs="Arial"/>
        </w:rPr>
        <w:t xml:space="preserve"> t</w:t>
      </w:r>
      <w:r w:rsidRPr="00E26F91">
        <w:rPr>
          <w:rFonts w:ascii="Aptos" w:eastAsia="Arial" w:hAnsi="Aptos" w:cs="Arial"/>
        </w:rPr>
        <w:t>he National Trust</w:t>
      </w:r>
      <w:r>
        <w:rPr>
          <w:rFonts w:ascii="Aptos" w:eastAsia="Arial" w:hAnsi="Aptos" w:cs="Arial"/>
        </w:rPr>
        <w:t>, which m</w:t>
      </w:r>
      <w:r w:rsidRPr="4F216CB9">
        <w:rPr>
          <w:rFonts w:ascii="Aptos" w:eastAsia="Arial" w:hAnsi="Aptos" w:cs="Arial"/>
        </w:rPr>
        <w:t>aintains over 890 miles of the UK's coastline, at a maintenance cost of around £3,000 per mile per year</w:t>
      </w:r>
      <w:r>
        <w:rPr>
          <w:rStyle w:val="FootnoteReference"/>
          <w:rFonts w:ascii="Aptos" w:eastAsia="Arial" w:hAnsi="Aptos" w:cs="Arial"/>
        </w:rPr>
        <w:footnoteReference w:id="38"/>
      </w:r>
      <w:r w:rsidRPr="00E26F91">
        <w:rPr>
          <w:rFonts w:ascii="Aptos" w:eastAsia="Arial" w:hAnsi="Aptos" w:cs="Arial"/>
        </w:rPr>
        <w:t xml:space="preserve">, costs that are rising as climate pressures intensify. This stewardship role, </w:t>
      </w:r>
      <w:r w:rsidRPr="4F216CB9">
        <w:rPr>
          <w:rFonts w:ascii="Aptos" w:eastAsia="Arial" w:hAnsi="Aptos" w:cs="Arial"/>
        </w:rPr>
        <w:t>largely invisible in tourism statistics, is a precondition of the visitor experience that coastal tourism depends upon.</w:t>
      </w:r>
    </w:p>
    <w:p w:rsidR="00611166" w:rsidRPr="00E26F91" w:rsidP="4F216CB9">
      <w:pPr>
        <w:spacing w:before="80" w:after="120"/>
        <w:rPr>
          <w:rFonts w:ascii="Aptos" w:eastAsia="Arial" w:hAnsi="Aptos" w:cs="Arial"/>
          <w:b/>
          <w:bCs/>
        </w:rPr>
      </w:pPr>
      <w:r w:rsidRPr="4F216CB9">
        <w:rPr>
          <w:rFonts w:ascii="Aptos" w:eastAsia="Arial" w:hAnsi="Aptos" w:cs="Arial"/>
          <w:b/>
          <w:bCs/>
        </w:rPr>
        <w:t xml:space="preserve">The Challenge: Accelerating climate threat to heritage sites </w:t>
      </w:r>
    </w:p>
    <w:p w:rsidR="00611166" w:rsidRPr="00E26F91" w:rsidP="4F216CB9">
      <w:pPr>
        <w:spacing w:before="80" w:after="120"/>
        <w:rPr>
          <w:rFonts w:ascii="Aptos" w:eastAsia="Arial" w:hAnsi="Aptos" w:cs="Arial"/>
        </w:rPr>
      </w:pPr>
      <w:r w:rsidRPr="00E26F91">
        <w:rPr>
          <w:rFonts w:ascii="Aptos" w:eastAsia="Arial" w:hAnsi="Aptos" w:cs="Arial"/>
        </w:rPr>
        <w:t xml:space="preserve">Coastal heritage sites are facing </w:t>
      </w:r>
      <w:r w:rsidRPr="4F216CB9">
        <w:rPr>
          <w:rFonts w:ascii="Aptos" w:eastAsia="Arial" w:hAnsi="Aptos" w:cs="Arial"/>
        </w:rPr>
        <w:t>particular challenges from climate change, flooding, coastal erosion and storm damage, which directly threaten the assets that attract visitors and require increasingly costly adaptation. Many coastal heritage sites are at serious long-term risk without investment in climate resilience</w:t>
      </w:r>
      <w:r>
        <w:rPr>
          <w:rStyle w:val="FootnoteReference"/>
          <w:rFonts w:ascii="Aptos" w:eastAsia="Arial" w:hAnsi="Aptos" w:cs="Arial"/>
        </w:rPr>
        <w:footnoteReference w:id="39"/>
      </w:r>
      <w:r w:rsidRPr="00E26F91">
        <w:rPr>
          <w:rFonts w:ascii="Aptos" w:eastAsia="Arial" w:hAnsi="Aptos" w:cs="Arial"/>
        </w:rPr>
        <w:t>.</w:t>
      </w:r>
    </w:p>
    <w:p w:rsidR="00611166" w:rsidRPr="00E26F91" w:rsidP="4F216CB9">
      <w:pPr>
        <w:spacing w:before="80" w:after="120"/>
        <w:rPr>
          <w:rFonts w:ascii="Aptos" w:hAnsi="Aptos"/>
        </w:rPr>
      </w:pPr>
      <w:r w:rsidRPr="00E26F91">
        <w:rPr>
          <w:rFonts w:ascii="Aptos" w:hAnsi="Aptos"/>
        </w:rPr>
        <w:t>Beyond catastrophic loss, progressive damage undermines visitor access and the visitor experience at a far wider range of sites. Studland's coastline is eroding at around 60cm per year, with several metres potentially lost in a single extreme weather event</w:t>
      </w:r>
      <w:r>
        <w:rPr>
          <w:rStyle w:val="FootnoteReference"/>
          <w:rFonts w:ascii="Aptos" w:hAnsi="Aptos"/>
        </w:rPr>
        <w:footnoteReference w:id="40"/>
      </w:r>
      <w:r w:rsidRPr="00E26F91">
        <w:rPr>
          <w:rFonts w:ascii="Aptos" w:hAnsi="Aptos"/>
        </w:rPr>
        <w:t xml:space="preserve"> Increased storm surge flooding poses a growing threat to major visitor destinations: Maritime Greenwich, while currently protected by the Thames Barrier, faces escalating long-term risk. The Barrier was designed for two to three closures annually but was activated 50 times in 2014 alone; by 2100 it may require 200 closures per year, with its protective standard declining significantly</w:t>
      </w:r>
      <w:r>
        <w:rPr>
          <w:rStyle w:val="FootnoteReference"/>
          <w:rFonts w:ascii="Aptos" w:hAnsi="Aptos"/>
        </w:rPr>
        <w:footnoteReference w:id="41"/>
      </w:r>
      <w:r w:rsidRPr="00E26F91">
        <w:rPr>
          <w:rFonts w:ascii="Aptos" w:hAnsi="Aptos"/>
        </w:rPr>
        <w:t xml:space="preserve">. For internationally </w:t>
      </w:r>
      <w:r w:rsidRPr="00E26F91">
        <w:rPr>
          <w:rFonts w:ascii="Aptos" w:hAnsi="Aptos"/>
        </w:rPr>
        <w:t>significant visitor destinations of this kind, the long-term tourism consequences of infrastructure failure are profound.</w:t>
      </w:r>
    </w:p>
    <w:p w:rsidR="00611166" w:rsidRPr="00E26F91" w:rsidP="4F216CB9">
      <w:pPr>
        <w:spacing w:before="80" w:after="120"/>
        <w:rPr>
          <w:rFonts w:ascii="Aptos" w:hAnsi="Aptos"/>
          <w:b/>
          <w:bCs/>
        </w:rPr>
      </w:pPr>
      <w:r w:rsidRPr="4F216CB9">
        <w:rPr>
          <w:rFonts w:ascii="Aptos" w:hAnsi="Aptos"/>
          <w:b/>
          <w:bCs/>
        </w:rPr>
        <w:t>Structural Funding Gaps</w:t>
      </w:r>
    </w:p>
    <w:p w:rsidR="00611166" w:rsidRPr="00E26F91" w:rsidP="4F216CB9">
      <w:pPr>
        <w:spacing w:before="80" w:after="120"/>
        <w:rPr>
          <w:rFonts w:ascii="Aptos" w:hAnsi="Aptos"/>
        </w:rPr>
      </w:pPr>
      <w:r w:rsidRPr="00E26F91">
        <w:rPr>
          <w:rFonts w:ascii="Aptos" w:hAnsi="Aptos"/>
        </w:rPr>
        <w:t>Current funding frameworks do not adequately address the specific vulnerabilities of coastal heritage. Blackpool's Victorian piers are a telling example: despite their centrality to one of England's largest seaside visitor economies, as privately owned structures they are ineligible for public rehabilitation funding, leaving them exposed to ongoing deterioration</w:t>
      </w:r>
      <w:r>
        <w:rPr>
          <w:rStyle w:val="FootnoteReference"/>
          <w:rFonts w:ascii="Aptos" w:hAnsi="Aptos"/>
        </w:rPr>
        <w:footnoteReference w:id="42"/>
      </w:r>
      <w:r w:rsidRPr="00E26F91">
        <w:rPr>
          <w:rFonts w:ascii="Aptos" w:hAnsi="Aptos"/>
        </w:rPr>
        <w:t xml:space="preserve">. The Environment Agency has confirmed it will not </w:t>
      </w:r>
      <w:r w:rsidRPr="4F216CB9">
        <w:rPr>
          <w:rFonts w:ascii="Aptos" w:hAnsi="Aptos"/>
        </w:rPr>
        <w:t xml:space="preserve">maintain existing sea defences at Faversham, a heritage-rich coastal town identified as highly vulnerable, beyond 2048, placing the town's </w:t>
      </w:r>
      <w:r w:rsidRPr="00E26F91">
        <w:rPr>
          <w:rFonts w:ascii="Aptos" w:hAnsi="Aptos"/>
        </w:rPr>
        <w:t>historic environment at direct risk without any established alternative framework for protection or managed transition</w:t>
      </w:r>
      <w:r>
        <w:rPr>
          <w:rStyle w:val="FootnoteReference"/>
          <w:rFonts w:ascii="Aptos" w:hAnsi="Aptos"/>
        </w:rPr>
        <w:footnoteReference w:id="43"/>
      </w:r>
      <w:r w:rsidRPr="00E26F91">
        <w:rPr>
          <w:rFonts w:ascii="Aptos" w:hAnsi="Aptos"/>
        </w:rPr>
        <w:t xml:space="preserve">. </w:t>
      </w:r>
    </w:p>
    <w:p w:rsidR="00611166" w:rsidRPr="00E26F91" w:rsidP="4F216CB9">
      <w:pPr>
        <w:spacing w:before="80" w:after="120"/>
        <w:rPr>
          <w:rFonts w:ascii="Aptos" w:hAnsi="Aptos"/>
        </w:rPr>
      </w:pPr>
      <w:r w:rsidRPr="00E26F91">
        <w:rPr>
          <w:rFonts w:ascii="Aptos" w:hAnsi="Aptos"/>
        </w:rPr>
        <w:t xml:space="preserve">More broadly, coastal heritage organisations face the same compound funding pressures affecting the wider sector, a 43% </w:t>
      </w:r>
      <w:r w:rsidRPr="4F216CB9">
        <w:rPr>
          <w:rFonts w:ascii="Aptos" w:hAnsi="Aptos"/>
        </w:rPr>
        <w:t>real-terms cut in local authority spending on heritage and culture per capita over the past decade</w:t>
      </w:r>
      <w:r>
        <w:rPr>
          <w:rStyle w:val="FootnoteReference"/>
          <w:rFonts w:ascii="Aptos" w:hAnsi="Aptos"/>
        </w:rPr>
        <w:footnoteReference w:id="44"/>
      </w:r>
      <w:r w:rsidRPr="00E26F91">
        <w:rPr>
          <w:rFonts w:ascii="Aptos" w:hAnsi="Aptos"/>
        </w:rPr>
        <w:t>, at precisely the moment when climate adaptation demands are increasing maintenance costs. Prevention is demonstrably more cost-effective than emergency response or loss, yet there is no dedicated funding stream for coastal heritage at risk.</w:t>
      </w:r>
    </w:p>
    <w:p w:rsidR="00611166" w:rsidRPr="00E26F91" w:rsidP="4F216CB9">
      <w:pPr>
        <w:spacing w:before="80" w:after="120"/>
        <w:rPr>
          <w:rFonts w:ascii="Aptos" w:hAnsi="Aptos"/>
        </w:rPr>
      </w:pPr>
      <w:r w:rsidRPr="4F216CB9">
        <w:rPr>
          <w:rFonts w:ascii="Aptos" w:hAnsi="Aptos"/>
        </w:rPr>
        <w:t xml:space="preserve">The Heritage Alliance wishes to emphasise </w:t>
      </w:r>
      <w:r>
        <w:rPr>
          <w:rFonts w:ascii="Aptos" w:hAnsi="Aptos"/>
        </w:rPr>
        <w:t xml:space="preserve">that </w:t>
      </w:r>
      <w:r w:rsidRPr="4F216CB9">
        <w:rPr>
          <w:rFonts w:ascii="Aptos" w:hAnsi="Aptos"/>
        </w:rPr>
        <w:t xml:space="preserve">heritage is not only a passive victim of coastal erosion, it is an active contributor to coastal resilience. </w:t>
      </w:r>
      <w:r w:rsidRPr="00E4500B">
        <w:rPr>
          <w:rFonts w:ascii="Aptos" w:hAnsi="Aptos"/>
        </w:rPr>
        <w:t>As documented in the Historic Environment Forum’s flagship report, </w:t>
      </w:r>
      <w:r w:rsidRPr="00E4500B">
        <w:rPr>
          <w:rFonts w:ascii="Aptos" w:hAnsi="Aptos"/>
          <w:i/>
          <w:iCs/>
        </w:rPr>
        <w:t>Heritage Responds: Taking Positive Action on Climate Change</w:t>
      </w:r>
      <w:r w:rsidRPr="00E4500B">
        <w:rPr>
          <w:rFonts w:ascii="Aptos" w:hAnsi="Aptos"/>
          <w:i/>
          <w:iCs/>
          <w:vertAlign w:val="superscript"/>
        </w:rPr>
        <w:t>1</w:t>
      </w:r>
      <w:r w:rsidRPr="00E4500B">
        <w:rPr>
          <w:rFonts w:ascii="Aptos" w:hAnsi="Aptos"/>
          <w:i/>
          <w:iCs/>
        </w:rPr>
        <w:t>, </w:t>
      </w:r>
      <w:r w:rsidRPr="00E4500B">
        <w:rPr>
          <w:rFonts w:ascii="Aptos" w:hAnsi="Aptos"/>
        </w:rPr>
        <w:t xml:space="preserve">the heritage community is addressing climate challenges </w:t>
      </w:r>
      <w:r>
        <w:rPr>
          <w:rFonts w:ascii="Aptos" w:hAnsi="Aptos"/>
        </w:rPr>
        <w:t xml:space="preserve">through decarbonisation and improved energy efficiency, supporting sustainable communities, championing nature, building new and traditional skills, and pioneering research. </w:t>
      </w:r>
      <w:r w:rsidRPr="4F216CB9">
        <w:rPr>
          <w:rFonts w:ascii="Aptos" w:hAnsi="Aptos"/>
        </w:rPr>
        <w:t>The heritage sector has been engaged in</w:t>
      </w:r>
      <w:r w:rsidRPr="4F216CB9">
        <w:rPr>
          <w:rFonts w:ascii="Aptos" w:hAnsi="Aptos"/>
        </w:rPr>
        <w:t xml:space="preserve"> climate adaptation and innovation for over two decades, developing expertise in sustainable coastal management, nature-based solutions and climate-resilient design that has direct relevance to the sustainability of coastal tourism.</w:t>
      </w:r>
      <w:r>
        <w:rPr>
          <w:rFonts w:ascii="Aptos" w:hAnsi="Aptos"/>
        </w:rPr>
        <w:t xml:space="preserve"> </w:t>
      </w:r>
    </w:p>
    <w:p w:rsidR="00611166" w:rsidRPr="00943FE8" w:rsidP="4F216CB9">
      <w:pPr>
        <w:pStyle w:val="ListParagraph"/>
        <w:numPr>
          <w:ilvl w:val="0"/>
          <w:numId w:val="7"/>
        </w:numPr>
        <w:spacing w:before="80" w:after="120"/>
        <w:rPr>
          <w:rFonts w:ascii="Aptos" w:hAnsi="Aptos"/>
        </w:rPr>
      </w:pPr>
      <w:r w:rsidRPr="79EBFD36">
        <w:rPr>
          <w:rFonts w:ascii="Aptos" w:hAnsi="Aptos"/>
          <w:b/>
          <w:bCs/>
        </w:rPr>
        <w:t>Dedicated</w:t>
      </w:r>
      <w:r w:rsidRPr="4F216CB9">
        <w:rPr>
          <w:rFonts w:ascii="Aptos" w:hAnsi="Aptos"/>
          <w:b/>
          <w:bCs/>
        </w:rPr>
        <w:t xml:space="preserve"> funding for coastal heritage at risk</w:t>
      </w:r>
      <w:r w:rsidRPr="79EBFD36">
        <w:rPr>
          <w:rFonts w:ascii="Aptos" w:hAnsi="Aptos"/>
          <w:b/>
          <w:bCs/>
        </w:rPr>
        <w:t xml:space="preserve"> would be valuable</w:t>
      </w:r>
      <w:r w:rsidRPr="00943FE8">
        <w:rPr>
          <w:rFonts w:ascii="Aptos" w:hAnsi="Aptos"/>
        </w:rPr>
        <w:t xml:space="preserve">, recognising that the loss of coastal heritage assets represents an irreversible economic loss for coastal tourism destinations, </w:t>
      </w:r>
      <w:r w:rsidRPr="00943FE8">
        <w:rPr>
          <w:rFonts w:ascii="Aptos" w:hAnsi="Aptos"/>
        </w:rPr>
        <w:t xml:space="preserve">not only a cultural one. </w:t>
      </w:r>
      <w:r w:rsidRPr="00943FE8">
        <w:rPr>
          <w:rFonts w:ascii="Aptos" w:hAnsi="Aptos"/>
        </w:rPr>
        <w:t>A p</w:t>
      </w:r>
      <w:r w:rsidRPr="00943FE8">
        <w:rPr>
          <w:rFonts w:ascii="Aptos" w:hAnsi="Aptos"/>
        </w:rPr>
        <w:t>revention</w:t>
      </w:r>
      <w:r w:rsidRPr="00943FE8">
        <w:rPr>
          <w:rFonts w:ascii="Aptos" w:hAnsi="Aptos"/>
        </w:rPr>
        <w:t xml:space="preserve">-first approach </w:t>
      </w:r>
      <w:r w:rsidRPr="00943FE8">
        <w:rPr>
          <w:rFonts w:ascii="Aptos" w:hAnsi="Aptos"/>
        </w:rPr>
        <w:t>offers</w:t>
      </w:r>
      <w:r w:rsidRPr="00943FE8">
        <w:rPr>
          <w:rFonts w:ascii="Aptos" w:hAnsi="Aptos"/>
        </w:rPr>
        <w:t xml:space="preserve"> </w:t>
      </w:r>
      <w:r w:rsidRPr="00943FE8">
        <w:rPr>
          <w:rFonts w:ascii="Aptos" w:hAnsi="Aptos"/>
        </w:rPr>
        <w:t>the</w:t>
      </w:r>
      <w:r w:rsidRPr="00943FE8">
        <w:rPr>
          <w:rFonts w:ascii="Aptos" w:hAnsi="Aptos"/>
        </w:rPr>
        <w:t xml:space="preserve"> m</w:t>
      </w:r>
      <w:r w:rsidRPr="00943FE8">
        <w:rPr>
          <w:rFonts w:ascii="Aptos" w:hAnsi="Aptos"/>
        </w:rPr>
        <w:t xml:space="preserve">ost cost-effective way to </w:t>
      </w:r>
      <w:r w:rsidRPr="00943FE8">
        <w:rPr>
          <w:rFonts w:ascii="Aptos" w:hAnsi="Aptos"/>
        </w:rPr>
        <w:t>safeguard</w:t>
      </w:r>
      <w:r w:rsidRPr="00943FE8">
        <w:rPr>
          <w:rFonts w:ascii="Aptos" w:hAnsi="Aptos"/>
        </w:rPr>
        <w:t xml:space="preserve"> these assets. </w:t>
      </w:r>
    </w:p>
    <w:p w:rsidR="00611166" w:rsidRPr="00943FE8" w:rsidP="4F216CB9">
      <w:pPr>
        <w:pStyle w:val="ListParagraph"/>
        <w:numPr>
          <w:ilvl w:val="0"/>
          <w:numId w:val="7"/>
        </w:numPr>
        <w:spacing w:before="80" w:after="120"/>
        <w:rPr>
          <w:rFonts w:ascii="Aptos" w:hAnsi="Aptos"/>
        </w:rPr>
      </w:pPr>
      <w:r w:rsidRPr="4F216CB9">
        <w:rPr>
          <w:rFonts w:ascii="Aptos" w:hAnsi="Aptos"/>
          <w:b/>
          <w:bCs/>
        </w:rPr>
        <w:t>Review funding eligibility frameworks to ensure that privately owned heritage assets of significant tourism value can access public support for climate adaptation</w:t>
      </w:r>
      <w:r w:rsidRPr="00943FE8">
        <w:rPr>
          <w:rFonts w:ascii="Aptos" w:hAnsi="Aptos"/>
        </w:rPr>
        <w:t>, whether through existing heritage at-risk mechanisms or new coastal resilience funding streams.</w:t>
      </w:r>
    </w:p>
    <w:p w:rsidR="00611166" w:rsidRPr="00943FE8" w:rsidP="4F216CB9">
      <w:pPr>
        <w:pStyle w:val="ListParagraph"/>
        <w:numPr>
          <w:ilvl w:val="0"/>
          <w:numId w:val="7"/>
        </w:numPr>
        <w:spacing w:before="80" w:after="120"/>
        <w:rPr>
          <w:rFonts w:ascii="Aptos" w:hAnsi="Aptos"/>
        </w:rPr>
      </w:pPr>
      <w:r w:rsidRPr="4F216CB9">
        <w:rPr>
          <w:rFonts w:ascii="Aptos" w:hAnsi="Aptos"/>
          <w:b/>
          <w:bCs/>
        </w:rPr>
        <w:t xml:space="preserve">Integrate heritage explicitly into coastal resilience planning, </w:t>
      </w:r>
      <w:r w:rsidRPr="00943FE8">
        <w:rPr>
          <w:rFonts w:ascii="Aptos" w:hAnsi="Aptos"/>
        </w:rPr>
        <w:t>including in the work of the Environment Agency, ensuring that decisions about managed retreat and sea defence investment account for the tourism economic value of heritage assets in their area of effect.</w:t>
      </w:r>
    </w:p>
    <w:p w:rsidR="00611166" w:rsidRPr="00E26F91" w:rsidP="4F216CB9">
      <w:pPr>
        <w:pStyle w:val="ListParagraph"/>
        <w:numPr>
          <w:ilvl w:val="0"/>
          <w:numId w:val="7"/>
        </w:numPr>
        <w:spacing w:before="80" w:after="120"/>
        <w:rPr>
          <w:rFonts w:ascii="Aptos" w:hAnsi="Aptos"/>
          <w:b/>
          <w:bCs/>
        </w:rPr>
      </w:pPr>
      <w:r w:rsidRPr="4F216CB9">
        <w:rPr>
          <w:rFonts w:ascii="Aptos" w:hAnsi="Aptos"/>
          <w:b/>
          <w:bCs/>
        </w:rPr>
        <w:t xml:space="preserve">Support </w:t>
      </w:r>
      <w:r w:rsidRPr="00E4500B">
        <w:rPr>
          <w:rFonts w:ascii="Aptos" w:hAnsi="Aptos"/>
          <w:b/>
          <w:bCs/>
        </w:rPr>
        <w:t xml:space="preserve">and scale innovative climate adaptation models in coastal heritage, </w:t>
      </w:r>
      <w:r w:rsidRPr="00943FE8">
        <w:rPr>
          <w:rFonts w:ascii="Aptos" w:hAnsi="Aptos"/>
        </w:rPr>
        <w:t>learning from examples such as the Windermere Jetty Museum, and ensure that heritage expertise is embedded in broader coastal management strategies.</w:t>
      </w:r>
      <w:r w:rsidRPr="00E4500B">
        <w:rPr>
          <w:rFonts w:ascii="Aptos" w:hAnsi="Aptos"/>
          <w:b/>
          <w:bCs/>
        </w:rPr>
        <w:t xml:space="preserve"> </w:t>
      </w:r>
      <w:r w:rsidRPr="00E4500B">
        <w:rPr>
          <w:rFonts w:ascii="Aptos" w:hAnsi="Aptos"/>
        </w:rPr>
        <w:t xml:space="preserve">The </w:t>
      </w:r>
      <w:r>
        <w:fldChar w:fldCharType="begin"/>
      </w:r>
      <w:r>
        <w:instrText xml:space="preserve"> HYPERLINK "https://www.wmf.org/programs/coastal-connections" </w:instrText>
      </w:r>
      <w:r>
        <w:fldChar w:fldCharType="separate"/>
      </w:r>
      <w:r w:rsidRPr="00E4500B">
        <w:rPr>
          <w:rStyle w:val="Hyperlink"/>
          <w:rFonts w:ascii="Aptos" w:hAnsi="Aptos"/>
        </w:rPr>
        <w:t>Coastal Connections</w:t>
      </w:r>
      <w:r>
        <w:fldChar w:fldCharType="end"/>
      </w:r>
      <w:r w:rsidRPr="00E4500B">
        <w:rPr>
          <w:rFonts w:ascii="Aptos" w:hAnsi="Aptos"/>
        </w:rPr>
        <w:t xml:space="preserve"> project, </w:t>
      </w:r>
      <w:r w:rsidRPr="00E4500B">
        <w:rPr>
          <w:rFonts w:ascii="Aptos" w:hAnsi="Aptos"/>
        </w:rPr>
        <w:t xml:space="preserve">coordinated </w:t>
      </w:r>
      <w:r w:rsidRPr="00E4500B">
        <w:rPr>
          <w:rFonts w:ascii="Aptos" w:hAnsi="Aptos"/>
        </w:rPr>
        <w:t>jointly</w:t>
      </w:r>
      <w:r w:rsidRPr="00E4500B">
        <w:rPr>
          <w:rFonts w:ascii="Aptos" w:hAnsi="Aptos"/>
        </w:rPr>
        <w:t xml:space="preserve"> between Heritage Alliance members’ World Monuments Fund UK and English Heritage, would be a valuable source of insights in support of this.</w:t>
      </w:r>
      <w:r w:rsidRPr="00366226">
        <w:rPr>
          <w:rFonts w:ascii="Aptos" w:hAnsi="Aptos"/>
        </w:rPr>
        <w:t xml:space="preserve"> </w:t>
      </w:r>
    </w:p>
    <w:p w:rsidR="00611166" w:rsidRPr="00E26F91" w:rsidP="4F216CB9">
      <w:pPr>
        <w:pStyle w:val="ListParagraph"/>
        <w:numPr>
          <w:ilvl w:val="0"/>
          <w:numId w:val="7"/>
        </w:numPr>
        <w:spacing w:before="80" w:after="120"/>
        <w:rPr>
          <w:rFonts w:ascii="Aptos" w:hAnsi="Aptos"/>
          <w:b/>
          <w:bCs/>
        </w:rPr>
      </w:pPr>
      <w:r w:rsidRPr="00A24AB0">
        <w:rPr>
          <w:rFonts w:ascii="Aptos" w:hAnsi="Aptos"/>
          <w:b/>
          <w:bCs/>
        </w:rPr>
        <w:t xml:space="preserve">Establish a dedicated Seaside Heritage Regeneration Fund, </w:t>
      </w:r>
      <w:r w:rsidRPr="00943FE8">
        <w:rPr>
          <w:rFonts w:ascii="Aptos" w:hAnsi="Aptos"/>
        </w:rPr>
        <w:t>targeted at the restoration and sustainable use of at-risk coastal heritage assets which are a defining and distinctive part of the UK’s tourism offer and a major driver of domestic visitor attachment to coastal places. A targeted fund of this kind could be a powerful mechanism for coastal regeneration at relatively modest cost to government, generating returns through increased visitor spend and the protection of assets that underpin entire coastal visitor economies.</w:t>
      </w:r>
    </w:p>
    <w:p w:rsidR="00611166" w:rsidRPr="00943FE8" w:rsidP="4F216CB9">
      <w:pPr>
        <w:pStyle w:val="ListParagraph"/>
        <w:numPr>
          <w:ilvl w:val="0"/>
          <w:numId w:val="7"/>
        </w:numPr>
        <w:spacing w:before="80" w:after="120"/>
        <w:rPr>
          <w:rFonts w:ascii="Aptos" w:hAnsi="Aptos"/>
        </w:rPr>
      </w:pPr>
      <w:r w:rsidRPr="00A24AB0">
        <w:rPr>
          <w:rFonts w:ascii="Aptos" w:hAnsi="Aptos"/>
          <w:b/>
          <w:bCs/>
        </w:rPr>
        <w:t xml:space="preserve">Ensure heritage tourism is considered within the new mayoral competency for ‘coastal communities’ as set out in the English Devolution Act, </w:t>
      </w:r>
      <w:r w:rsidRPr="00943FE8">
        <w:rPr>
          <w:rFonts w:ascii="Aptos" w:hAnsi="Aptos"/>
        </w:rPr>
        <w:t>recognising the importance of this sector to coastal prosperity in tandem with the mayoral competency for culture.</w:t>
      </w:r>
    </w:p>
    <w:p w:rsidR="00611166" w:rsidP="00A24AB0">
      <w:pPr>
        <w:spacing w:before="80" w:after="120"/>
        <w:rPr>
          <w:rFonts w:ascii="Aptos" w:hAnsi="Aptos"/>
          <w:b/>
          <w:bCs/>
        </w:rPr>
      </w:pPr>
    </w:p>
    <w:p w:rsidR="00611166" w:rsidRPr="00E26F91" w:rsidP="4F216CB9">
      <w:pPr>
        <w:spacing w:before="80" w:after="120"/>
        <w:rPr>
          <w:rFonts w:ascii="Aptos" w:eastAsia="Arial" w:hAnsi="Aptos" w:cs="Arial"/>
          <w:b/>
          <w:bCs/>
        </w:rPr>
      </w:pPr>
      <w:r w:rsidRPr="4F216CB9">
        <w:rPr>
          <w:rFonts w:ascii="Aptos" w:eastAsia="Arial" w:hAnsi="Aptos" w:cs="Arial"/>
          <w:b/>
          <w:bCs/>
        </w:rPr>
        <w:t>b) Rural Heritage</w:t>
      </w:r>
    </w:p>
    <w:p w:rsidR="00611166" w:rsidRPr="00E26F91" w:rsidP="4F216CB9">
      <w:pPr>
        <w:spacing w:before="80" w:after="120"/>
        <w:rPr>
          <w:rFonts w:ascii="Aptos" w:eastAsia="Arial" w:hAnsi="Aptos" w:cs="Arial"/>
        </w:rPr>
      </w:pPr>
      <w:r w:rsidRPr="4F216CB9">
        <w:rPr>
          <w:rFonts w:ascii="Aptos" w:eastAsia="Arial" w:hAnsi="Aptos" w:cs="Arial"/>
        </w:rPr>
        <w:t>Rural heritage forms the backdrop to a significant proportion of UK screen tourism, from period dramas to countryside series. This ‘dispersed’ heritage tourism has the potential to spread visitor spend across wider areas and sustain rural economies, but requires adequate infrastructure, signage, digital connectivity and accommodation to convert interest into overnight stays</w:t>
      </w:r>
      <w:r w:rsidRPr="4F216CB9">
        <w:rPr>
          <w:rFonts w:ascii="Aptos" w:eastAsia="Arial" w:hAnsi="Aptos" w:cs="Arial"/>
        </w:rPr>
        <w:t xml:space="preserve">. </w:t>
      </w:r>
    </w:p>
    <w:p w:rsidR="00611166" w:rsidRPr="00E26F91" w:rsidP="4F216CB9">
      <w:pPr>
        <w:spacing w:before="80" w:after="120"/>
        <w:rPr>
          <w:rFonts w:ascii="Aptos" w:hAnsi="Aptos"/>
        </w:rPr>
      </w:pPr>
      <w:r w:rsidRPr="4F216CB9">
        <w:rPr>
          <w:rFonts w:ascii="Aptos" w:hAnsi="Aptos"/>
        </w:rPr>
        <w:t>The scale of the rural heritage asset is substantial. England's National Parks and National Landscapes alone contain 66,000 listed buildings, 9,000 scheduled monuments and more than 360 registered parks and gardens. These assets, the landscapes, buildings, field patterns, trackways and settlements that define the character of the English countryside, are the primary reason many visitors choose rural destinations. They are also, for the most part, in the care of charities, private landowners and community or</w:t>
      </w:r>
      <w:r w:rsidRPr="4F216CB9">
        <w:rPr>
          <w:rFonts w:ascii="Aptos" w:hAnsi="Aptos"/>
        </w:rPr>
        <w:t>ganisations operating on limited resources with minimal dedicated public funding.</w:t>
      </w:r>
    </w:p>
    <w:p w:rsidR="00611166" w:rsidRPr="00E26F91" w:rsidP="4F216CB9">
      <w:pPr>
        <w:spacing w:before="80" w:after="120"/>
        <w:rPr>
          <w:rFonts w:ascii="Aptos" w:hAnsi="Aptos"/>
        </w:rPr>
      </w:pPr>
      <w:r w:rsidRPr="4F216CB9">
        <w:rPr>
          <w:rFonts w:ascii="Aptos" w:hAnsi="Aptos"/>
        </w:rPr>
        <w:t>Rural heritage also underpins a significant proportion of UK screen tourism, from period dramas to countryside and wildlife series. This screen-heritage tourism relationship has the potential to spread visitor spend across wider areas and sustain rural economies beyond honeypot destinations, but requires adequate infrastructure, signage, digital connectivity and overnight accommodation to convert screen-inspired interest into multi-night visits.</w:t>
      </w:r>
    </w:p>
    <w:p w:rsidR="00611166" w:rsidRPr="00E26F91" w:rsidP="4F216CB9">
      <w:pPr>
        <w:spacing w:before="80" w:after="120"/>
        <w:rPr>
          <w:rFonts w:ascii="Aptos" w:hAnsi="Aptos"/>
        </w:rPr>
      </w:pPr>
      <w:r w:rsidRPr="00E26F91">
        <w:rPr>
          <w:rFonts w:ascii="Aptos" w:hAnsi="Aptos"/>
        </w:rPr>
        <w:t xml:space="preserve">Historic Houses members, whose properties are </w:t>
      </w:r>
      <w:r w:rsidRPr="4F216CB9">
        <w:rPr>
          <w:rFonts w:ascii="Aptos" w:hAnsi="Aptos"/>
        </w:rPr>
        <w:t>predominantly rural, generated an estimated £1.3 billion for the UK economy in 2022, two-thirds of which was spent locally, underscoring the role of rural heritage not only as a national asset but as an engine of genuinely local economic growth</w:t>
      </w:r>
      <w:r>
        <w:rPr>
          <w:rStyle w:val="FootnoteReference"/>
          <w:rFonts w:ascii="Aptos" w:hAnsi="Aptos"/>
        </w:rPr>
        <w:footnoteReference w:id="45"/>
      </w:r>
      <w:r w:rsidRPr="00E26F91">
        <w:rPr>
          <w:rFonts w:ascii="Aptos" w:hAnsi="Aptos"/>
        </w:rPr>
        <w:t>.</w:t>
      </w:r>
    </w:p>
    <w:p w:rsidR="00611166" w:rsidRPr="00547CC7" w:rsidP="4F216CB9">
      <w:pPr>
        <w:pStyle w:val="ListParagraph"/>
        <w:numPr>
          <w:ilvl w:val="0"/>
          <w:numId w:val="8"/>
        </w:numPr>
        <w:spacing w:before="80" w:after="120"/>
        <w:rPr>
          <w:rFonts w:ascii="Aptos" w:hAnsi="Aptos"/>
        </w:rPr>
      </w:pPr>
      <w:r w:rsidRPr="4F216CB9">
        <w:rPr>
          <w:rFonts w:ascii="Aptos" w:hAnsi="Aptos"/>
          <w:b/>
          <w:bCs/>
        </w:rPr>
        <w:t xml:space="preserve">Develop a national screen tourism strategy, </w:t>
      </w:r>
      <w:r w:rsidRPr="00547CC7">
        <w:rPr>
          <w:rFonts w:ascii="Aptos" w:hAnsi="Aptos"/>
        </w:rPr>
        <w:t>in partnership with VisitBritain, VisitEngland</w:t>
      </w:r>
      <w:r w:rsidRPr="00547CC7">
        <w:rPr>
          <w:rFonts w:ascii="Aptos" w:hAnsi="Aptos"/>
        </w:rPr>
        <w:t>, the British Film Commission and heritage bodies, to systematically capture the tourism dividend from UK film and television production in rural locations and convert screen-inspired interest into overnight visits.</w:t>
      </w:r>
    </w:p>
    <w:p w:rsidR="00611166" w:rsidRPr="00E26F91" w:rsidP="4F216CB9">
      <w:pPr>
        <w:pStyle w:val="ListParagraph"/>
        <w:numPr>
          <w:ilvl w:val="0"/>
          <w:numId w:val="8"/>
        </w:numPr>
        <w:spacing w:before="80" w:after="120"/>
        <w:rPr>
          <w:rFonts w:ascii="Aptos" w:hAnsi="Aptos"/>
          <w:b/>
          <w:bCs/>
        </w:rPr>
      </w:pPr>
      <w:r w:rsidRPr="00A24AB0">
        <w:rPr>
          <w:rFonts w:ascii="Aptos" w:hAnsi="Aptos"/>
          <w:b/>
          <w:bCs/>
        </w:rPr>
        <w:t xml:space="preserve">Ensure heritage </w:t>
      </w:r>
      <w:r w:rsidRPr="00A24AB0">
        <w:rPr>
          <w:rFonts w:ascii="Aptos" w:hAnsi="Aptos"/>
          <w:b/>
          <w:bCs/>
        </w:rPr>
        <w:t>assets are embedd</w:t>
      </w:r>
      <w:r w:rsidRPr="00A24AB0">
        <w:rPr>
          <w:rFonts w:ascii="Aptos" w:hAnsi="Aptos"/>
          <w:b/>
          <w:bCs/>
        </w:rPr>
        <w:t>ed</w:t>
      </w:r>
      <w:r w:rsidRPr="00A24AB0">
        <w:rPr>
          <w:rFonts w:ascii="Aptos" w:hAnsi="Aptos"/>
          <w:b/>
          <w:bCs/>
        </w:rPr>
        <w:t xml:space="preserve"> in</w:t>
      </w:r>
      <w:r w:rsidRPr="00A24AB0">
        <w:rPr>
          <w:rFonts w:ascii="Aptos" w:hAnsi="Aptos"/>
          <w:b/>
          <w:bCs/>
        </w:rPr>
        <w:t xml:space="preserve"> Environmental Land Management funding </w:t>
      </w:r>
      <w:r w:rsidRPr="00547CC7">
        <w:rPr>
          <w:rFonts w:ascii="Aptos" w:hAnsi="Aptos"/>
        </w:rPr>
        <w:t>and other rural funding streams</w:t>
      </w:r>
      <w:r w:rsidRPr="00547CC7">
        <w:rPr>
          <w:rFonts w:ascii="Aptos" w:hAnsi="Aptos"/>
        </w:rPr>
        <w:t xml:space="preserve"> on equal footing with actions for nature</w:t>
      </w:r>
      <w:r w:rsidRPr="00547CC7">
        <w:rPr>
          <w:rFonts w:ascii="Aptos" w:hAnsi="Aptos"/>
        </w:rPr>
        <w:t>, recognising the interdependence of cultural and natural heritage in protected landscapes</w:t>
      </w:r>
      <w:r w:rsidRPr="00547CC7">
        <w:rPr>
          <w:rFonts w:ascii="Aptos" w:hAnsi="Aptos"/>
        </w:rPr>
        <w:t xml:space="preserve"> and the </w:t>
      </w:r>
      <w:r w:rsidRPr="00547CC7">
        <w:rPr>
          <w:rFonts w:ascii="Aptos" w:hAnsi="Aptos"/>
        </w:rPr>
        <w:t xml:space="preserve">fundamental role </w:t>
      </w:r>
      <w:r w:rsidRPr="00547CC7">
        <w:rPr>
          <w:rFonts w:ascii="Aptos" w:hAnsi="Aptos"/>
        </w:rPr>
        <w:t>heritage</w:t>
      </w:r>
      <w:r w:rsidRPr="00547CC7">
        <w:rPr>
          <w:rFonts w:ascii="Aptos" w:hAnsi="Aptos"/>
        </w:rPr>
        <w:t xml:space="preserve"> plays in </w:t>
      </w:r>
      <w:r w:rsidRPr="00547CC7">
        <w:rPr>
          <w:rFonts w:ascii="Aptos" w:hAnsi="Aptos"/>
        </w:rPr>
        <w:t>achieving</w:t>
      </w:r>
      <w:r w:rsidRPr="00547CC7">
        <w:rPr>
          <w:rFonts w:ascii="Aptos" w:hAnsi="Aptos"/>
        </w:rPr>
        <w:t xml:space="preserve"> Goal 10 of the Environmental Improvement Plan</w:t>
      </w:r>
      <w:r w:rsidRPr="00547CC7">
        <w:rPr>
          <w:rFonts w:ascii="Aptos" w:hAnsi="Aptos"/>
        </w:rPr>
        <w:t>.</w:t>
      </w:r>
    </w:p>
    <w:p w:rsidR="00611166" w:rsidRPr="00547CC7" w:rsidP="4F216CB9">
      <w:pPr>
        <w:pStyle w:val="ListParagraph"/>
        <w:numPr>
          <w:ilvl w:val="0"/>
          <w:numId w:val="8"/>
        </w:numPr>
        <w:spacing w:before="80" w:after="120"/>
        <w:rPr>
          <w:rFonts w:ascii="Aptos" w:hAnsi="Aptos"/>
        </w:rPr>
      </w:pPr>
      <w:r w:rsidRPr="4F216CB9">
        <w:rPr>
          <w:rFonts w:ascii="Aptos" w:hAnsi="Aptos"/>
          <w:b/>
          <w:bCs/>
        </w:rPr>
        <w:t>Provide stable, multi-year funding for rural tourism infrastructure</w:t>
      </w:r>
      <w:r w:rsidRPr="4F216CB9">
        <w:rPr>
          <w:rFonts w:ascii="Aptos" w:hAnsi="Aptos"/>
          <w:b/>
          <w:bCs/>
        </w:rPr>
        <w:t xml:space="preserve">, </w:t>
      </w:r>
      <w:r w:rsidRPr="00547CC7">
        <w:rPr>
          <w:rFonts w:ascii="Aptos" w:hAnsi="Aptos"/>
        </w:rPr>
        <w:t>i</w:t>
      </w:r>
      <w:r w:rsidRPr="00547CC7">
        <w:rPr>
          <w:rFonts w:ascii="Aptos" w:hAnsi="Aptos"/>
        </w:rPr>
        <w:t>ncluding path networks, visitor facilities and interpretation</w:t>
      </w:r>
      <w:r w:rsidRPr="00547CC7">
        <w:rPr>
          <w:rFonts w:ascii="Aptos" w:hAnsi="Aptos"/>
        </w:rPr>
        <w:t xml:space="preserve">, </w:t>
      </w:r>
      <w:r w:rsidRPr="00547CC7">
        <w:rPr>
          <w:rFonts w:ascii="Aptos" w:hAnsi="Aptos"/>
        </w:rPr>
        <w:t>where it is maintained by charities and community organisations to the benefit of the wider visitor economy.</w:t>
      </w:r>
    </w:p>
    <w:p w:rsidR="00611166" w:rsidRPr="00547CC7" w:rsidP="4F216CB9">
      <w:pPr>
        <w:pStyle w:val="ListParagraph"/>
        <w:numPr>
          <w:ilvl w:val="0"/>
          <w:numId w:val="8"/>
        </w:numPr>
        <w:spacing w:before="80" w:after="120"/>
        <w:rPr>
          <w:rFonts w:ascii="Aptos" w:hAnsi="Aptos"/>
        </w:rPr>
      </w:pPr>
      <w:r w:rsidRPr="00A24AB0">
        <w:rPr>
          <w:rFonts w:ascii="Aptos" w:hAnsi="Aptos"/>
          <w:b/>
          <w:bCs/>
        </w:rPr>
        <w:t xml:space="preserve">Monitor the cumulative impact of recent tax and regulatory changes on rural heritage accommodation viability, </w:t>
      </w:r>
      <w:r w:rsidRPr="00547CC7">
        <w:rPr>
          <w:rFonts w:ascii="Aptos" w:hAnsi="Aptos"/>
        </w:rPr>
        <w:t>and take corrective action if supply is being reduced in areas dependent on heritage tourism.</w:t>
      </w:r>
    </w:p>
    <w:p w:rsidR="00611166" w:rsidRPr="00547CC7" w:rsidP="4F216CB9">
      <w:pPr>
        <w:pStyle w:val="ListParagraph"/>
        <w:numPr>
          <w:ilvl w:val="0"/>
          <w:numId w:val="8"/>
        </w:numPr>
        <w:spacing w:before="80" w:after="120"/>
        <w:rPr>
          <w:rFonts w:ascii="Aptos" w:hAnsi="Aptos"/>
        </w:rPr>
      </w:pPr>
      <w:r w:rsidRPr="00A24AB0">
        <w:rPr>
          <w:rFonts w:ascii="Aptos" w:hAnsi="Aptos"/>
          <w:b/>
          <w:bCs/>
        </w:rPr>
        <w:t xml:space="preserve">Ensure heritage tourism is considered within the new mayoral competency for ‘rural affairs’ as set out in the English Devolution Act, </w:t>
      </w:r>
      <w:r w:rsidRPr="00547CC7">
        <w:rPr>
          <w:rFonts w:ascii="Aptos" w:hAnsi="Aptos"/>
        </w:rPr>
        <w:t>recognising the importance of this sector to rural prosperity in tandem with the m</w:t>
      </w:r>
      <w:r w:rsidRPr="00547CC7">
        <w:rPr>
          <w:rFonts w:ascii="Aptos" w:hAnsi="Aptos"/>
        </w:rPr>
        <w:t>ayoral competency for culture.</w:t>
      </w:r>
    </w:p>
    <w:p w:rsidR="00611166" w:rsidRPr="00E26F91" w:rsidP="4F216CB9">
      <w:pPr>
        <w:spacing w:before="80" w:after="120"/>
        <w:rPr>
          <w:rFonts w:ascii="Aptos" w:hAnsi="Aptos"/>
        </w:rPr>
      </w:pPr>
    </w:p>
    <w:p w:rsidR="00611166" w:rsidRPr="00E26F91" w:rsidP="4F216CB9">
      <w:pPr>
        <w:pStyle w:val="Heading2"/>
        <w:rPr>
          <w:rFonts w:ascii="Aptos" w:hAnsi="Aptos"/>
          <w:color w:val="auto"/>
        </w:rPr>
      </w:pPr>
      <w:bookmarkStart w:id="9" w:name="_Toc230020916"/>
      <w:r w:rsidRPr="00A24AB0">
        <w:rPr>
          <w:rFonts w:ascii="Aptos" w:hAnsi="Aptos"/>
          <w:sz w:val="28"/>
        </w:rPr>
        <w:t>Question 7: How can the Government and tourism sector maximise the potential of cultural heritage and creative assets to attract visitors?</w:t>
      </w:r>
      <w:bookmarkEnd w:id="9"/>
    </w:p>
    <w:p w:rsidR="00611166" w:rsidRPr="00E26F91" w:rsidP="4F216CB9">
      <w:pPr>
        <w:spacing w:before="80" w:after="120"/>
        <w:rPr>
          <w:rFonts w:ascii="Aptos" w:hAnsi="Aptos"/>
        </w:rPr>
      </w:pPr>
      <w:r w:rsidRPr="00A24AB0">
        <w:rPr>
          <w:rFonts w:ascii="Aptos" w:eastAsia="Arial" w:hAnsi="Aptos" w:cs="Arial"/>
        </w:rPr>
        <w:t xml:space="preserve">‘Cultural heritage’ </w:t>
      </w:r>
      <w:r w:rsidRPr="6A000DE5">
        <w:rPr>
          <w:rFonts w:ascii="Aptos" w:eastAsia="Arial" w:hAnsi="Aptos" w:cs="Arial"/>
        </w:rPr>
        <w:t xml:space="preserve">is best </w:t>
      </w:r>
      <w:r w:rsidRPr="6A000DE5">
        <w:rPr>
          <w:rFonts w:ascii="Aptos" w:eastAsia="Arial" w:hAnsi="Aptos" w:cs="Arial"/>
        </w:rPr>
        <w:t>understood</w:t>
      </w:r>
      <w:r w:rsidRPr="00A24AB0">
        <w:rPr>
          <w:rFonts w:ascii="Aptos" w:eastAsia="Arial" w:hAnsi="Aptos" w:cs="Arial"/>
        </w:rPr>
        <w:t xml:space="preserve"> in its fullest sense. It encompasses not only tangible assets</w:t>
      </w:r>
      <w:r w:rsidRPr="00A24AB0">
        <w:rPr>
          <w:rFonts w:ascii="Aptos" w:eastAsia="Arial" w:hAnsi="Aptos" w:cs="Arial"/>
        </w:rPr>
        <w:t>,</w:t>
      </w:r>
      <w:r w:rsidRPr="00A24AB0">
        <w:rPr>
          <w:rFonts w:ascii="Aptos" w:eastAsia="Arial" w:hAnsi="Aptos" w:cs="Arial"/>
        </w:rPr>
        <w:t xml:space="preserve"> buildings, landscapes, collections, monuments</w:t>
      </w:r>
      <w:r w:rsidRPr="00A24AB0">
        <w:rPr>
          <w:rFonts w:ascii="Aptos" w:eastAsia="Arial" w:hAnsi="Aptos" w:cs="Arial"/>
        </w:rPr>
        <w:t xml:space="preserve">, </w:t>
      </w:r>
      <w:r w:rsidRPr="00A24AB0">
        <w:rPr>
          <w:rFonts w:ascii="Aptos" w:eastAsia="Arial" w:hAnsi="Aptos" w:cs="Arial"/>
        </w:rPr>
        <w:t xml:space="preserve">but also intangible heritage: our living traditions, performing arts, festivals, seasonal celebrations, traditional crafts and cultural events. A visitor </w:t>
      </w:r>
      <w:r w:rsidRPr="00A24AB0">
        <w:rPr>
          <w:rFonts w:ascii="Aptos" w:eastAsia="Arial" w:hAnsi="Aptos" w:cs="Arial"/>
        </w:rPr>
        <w:t>taking in Morris dancing</w:t>
      </w:r>
      <w:r w:rsidRPr="00A24AB0">
        <w:rPr>
          <w:rFonts w:ascii="Aptos" w:eastAsia="Arial" w:hAnsi="Aptos" w:cs="Arial"/>
        </w:rPr>
        <w:t xml:space="preserve">, </w:t>
      </w:r>
      <w:r w:rsidRPr="00A24AB0">
        <w:rPr>
          <w:rFonts w:ascii="Aptos" w:eastAsia="Arial" w:hAnsi="Aptos" w:cs="Arial"/>
        </w:rPr>
        <w:t xml:space="preserve">a </w:t>
      </w:r>
      <w:r w:rsidRPr="00A24AB0">
        <w:rPr>
          <w:rFonts w:ascii="Aptos" w:eastAsia="Arial" w:hAnsi="Aptos" w:cs="Arial"/>
        </w:rPr>
        <w:t xml:space="preserve">highland gathering, </w:t>
      </w:r>
      <w:r w:rsidRPr="00A24AB0">
        <w:rPr>
          <w:rFonts w:ascii="Aptos" w:eastAsia="Arial" w:hAnsi="Aptos" w:cs="Arial"/>
        </w:rPr>
        <w:t xml:space="preserve">bell ringing </w:t>
      </w:r>
      <w:r w:rsidRPr="00A24AB0">
        <w:rPr>
          <w:rFonts w:ascii="Aptos" w:eastAsia="Arial" w:hAnsi="Aptos" w:cs="Arial"/>
        </w:rPr>
        <w:t xml:space="preserve">or </w:t>
      </w:r>
      <w:r w:rsidRPr="00A24AB0">
        <w:rPr>
          <w:rFonts w:ascii="Aptos" w:eastAsia="Arial" w:hAnsi="Aptos" w:cs="Arial"/>
        </w:rPr>
        <w:t xml:space="preserve">a </w:t>
      </w:r>
      <w:r w:rsidRPr="00A24AB0">
        <w:rPr>
          <w:rFonts w:ascii="Aptos" w:eastAsia="Arial" w:hAnsi="Aptos" w:cs="Arial"/>
        </w:rPr>
        <w:t xml:space="preserve">traditional </w:t>
      </w:r>
      <w:r w:rsidRPr="00A24AB0">
        <w:rPr>
          <w:rFonts w:ascii="Aptos" w:eastAsia="Arial" w:hAnsi="Aptos" w:cs="Arial"/>
        </w:rPr>
        <w:t>craft demonstration is engaging with heritage as directly as one touring a stately home or a UNESCO World Heritage Site. Policy that treats cultural he</w:t>
      </w:r>
      <w:r w:rsidRPr="00A24AB0">
        <w:rPr>
          <w:rFonts w:ascii="Aptos" w:eastAsia="Arial" w:hAnsi="Aptos" w:cs="Arial"/>
        </w:rPr>
        <w:t xml:space="preserve">ritage only as its physical fabric risks systematically undervaluing the full breadth of what draws visitors to the </w:t>
      </w:r>
      <w:r w:rsidRPr="00A24AB0">
        <w:rPr>
          <w:rFonts w:ascii="Aptos" w:eastAsia="Arial" w:hAnsi="Aptos" w:cs="Arial"/>
        </w:rPr>
        <w:t>UK and</w:t>
      </w:r>
      <w:r w:rsidRPr="00A24AB0">
        <w:rPr>
          <w:rFonts w:ascii="Aptos" w:eastAsia="Arial" w:hAnsi="Aptos" w:cs="Arial"/>
        </w:rPr>
        <w:t xml:space="preserve"> will under-invest in some of the most distinctive and locally rooted elements of our tourism proposition.</w:t>
      </w:r>
    </w:p>
    <w:p w:rsidR="00611166" w:rsidRPr="00547CC7" w:rsidP="4F216CB9">
      <w:pPr>
        <w:spacing w:before="80" w:after="120"/>
        <w:rPr>
          <w:rFonts w:ascii="Aptos" w:eastAsia="Arial" w:hAnsi="Aptos" w:cs="Arial"/>
        </w:rPr>
      </w:pPr>
      <w:r w:rsidRPr="00A24AB0">
        <w:rPr>
          <w:rFonts w:ascii="Aptos" w:eastAsia="Arial" w:hAnsi="Aptos" w:cs="Arial"/>
        </w:rPr>
        <w:t xml:space="preserve">Our </w:t>
      </w:r>
      <w:r w:rsidRPr="00A24AB0">
        <w:rPr>
          <w:rFonts w:ascii="Aptos" w:eastAsia="Arial" w:hAnsi="Aptos" w:cs="Arial"/>
        </w:rPr>
        <w:t>heritage</w:t>
      </w:r>
      <w:r w:rsidRPr="00A24AB0">
        <w:rPr>
          <w:rFonts w:ascii="Aptos" w:eastAsia="Arial" w:hAnsi="Aptos" w:cs="Arial"/>
        </w:rPr>
        <w:t xml:space="preserve"> </w:t>
      </w:r>
      <w:r w:rsidRPr="00A24AB0">
        <w:rPr>
          <w:rFonts w:ascii="Aptos" w:eastAsia="Arial" w:hAnsi="Aptos" w:cs="Arial"/>
        </w:rPr>
        <w:t>underpins the</w:t>
      </w:r>
      <w:r w:rsidRPr="00A24AB0">
        <w:rPr>
          <w:rFonts w:ascii="Aptos" w:eastAsia="Arial" w:hAnsi="Aptos" w:cs="Arial"/>
        </w:rPr>
        <w:t xml:space="preserve"> success of Britain’s creative industries and are integral to our cultural identity as a nation. </w:t>
      </w:r>
      <w:r w:rsidRPr="00A24AB0">
        <w:rPr>
          <w:rFonts w:ascii="Aptos" w:eastAsia="Arial" w:hAnsi="Aptos" w:cs="Arial"/>
        </w:rPr>
        <w:t xml:space="preserve">From film and TV to performing arts studios, live venues, workshops and hubs for living creative practices, heritage is both </w:t>
      </w:r>
      <w:r w:rsidRPr="00A24AB0">
        <w:rPr>
          <w:rFonts w:ascii="Aptos" w:eastAsia="Arial" w:hAnsi="Aptos" w:cs="Arial"/>
        </w:rPr>
        <w:t xml:space="preserve">the host, the muse, and a living embodiment of our creative industries. </w:t>
      </w:r>
    </w:p>
    <w:p w:rsidR="00611166" w:rsidRPr="00E26F91" w:rsidP="4F216CB9">
      <w:pPr>
        <w:spacing w:before="80" w:after="120"/>
        <w:rPr>
          <w:rFonts w:ascii="Aptos" w:hAnsi="Aptos"/>
          <w:b/>
          <w:bCs/>
        </w:rPr>
      </w:pPr>
      <w:r w:rsidRPr="00A24AB0">
        <w:rPr>
          <w:rFonts w:ascii="Aptos" w:hAnsi="Aptos"/>
          <w:b/>
          <w:bCs/>
        </w:rPr>
        <w:t>Heritage as Host</w:t>
      </w:r>
      <w:r w:rsidRPr="00A24AB0">
        <w:rPr>
          <w:rFonts w:ascii="Aptos" w:hAnsi="Aptos"/>
          <w:b/>
          <w:bCs/>
        </w:rPr>
        <w:t xml:space="preserve"> to Creativity</w:t>
      </w:r>
    </w:p>
    <w:p w:rsidR="00611166" w:rsidRPr="00E26F91" w:rsidP="4F216CB9">
      <w:pPr>
        <w:spacing w:before="80" w:after="120"/>
      </w:pPr>
      <w:r w:rsidRPr="00A24AB0">
        <w:rPr>
          <w:rFonts w:ascii="Aptos" w:hAnsi="Aptos"/>
        </w:rPr>
        <w:t>From classical museums, grand theatres, brutalist galleries and art deco cinemas to open-air theatre, concerts and festivals hosted in historic parks and gardens, heritage plays host to a</w:t>
      </w:r>
      <w:r w:rsidRPr="00A24AB0">
        <w:rPr>
          <w:rFonts w:ascii="Aptos" w:hAnsi="Aptos"/>
        </w:rPr>
        <w:t>n</w:t>
      </w:r>
      <w:r w:rsidRPr="00A24AB0">
        <w:rPr>
          <w:rFonts w:ascii="Aptos" w:hAnsi="Aptos"/>
        </w:rPr>
        <w:t xml:space="preserve"> array of cultural and creative activity</w:t>
      </w:r>
      <w:r w:rsidRPr="00A24AB0">
        <w:rPr>
          <w:rFonts w:ascii="Aptos" w:hAnsi="Aptos"/>
        </w:rPr>
        <w:t xml:space="preserve"> which is key to our tourism offer</w:t>
      </w:r>
      <w:r w:rsidRPr="00A24AB0">
        <w:rPr>
          <w:rFonts w:ascii="Aptos" w:hAnsi="Aptos"/>
        </w:rPr>
        <w:t>. These unique places act as more than a backdrop: the atmosphere they provide is key to enticing and exciting audiences.</w:t>
      </w:r>
    </w:p>
    <w:p w:rsidR="00611166" w:rsidRPr="00E26F91" w:rsidP="4F216CB9">
      <w:pPr>
        <w:spacing w:before="80" w:after="120"/>
      </w:pPr>
      <w:r w:rsidRPr="4F216CB9">
        <w:rPr>
          <w:rFonts w:ascii="Aptos" w:hAnsi="Aptos"/>
        </w:rPr>
        <w:t xml:space="preserve"> Entrepreneurs and investors are likewise drawn to our historic environment. Research shows that creative industries are more likely to operate out of listed buildings than non-listed buildings and businesses based in old buildings generate a higher-than-average GVA </w:t>
      </w:r>
      <w:r w:rsidRPr="4F216CB9">
        <w:rPr>
          <w:rFonts w:ascii="Aptos" w:hAnsi="Aptos"/>
        </w:rPr>
        <w:t xml:space="preserve">(4.4% more on average) </w:t>
      </w:r>
      <w:r w:rsidRPr="4F216CB9">
        <w:rPr>
          <w:rFonts w:ascii="Aptos" w:hAnsi="Aptos"/>
        </w:rPr>
        <w:t>– a phenomenon known as the ‘Heritage Premium’</w:t>
      </w:r>
      <w:r>
        <w:rPr>
          <w:rStyle w:val="FootnoteReference"/>
          <w:rFonts w:ascii="Aptos" w:hAnsi="Aptos"/>
        </w:rPr>
        <w:footnoteReference w:id="46"/>
      </w:r>
      <w:r w:rsidRPr="00A24AB0">
        <w:rPr>
          <w:rFonts w:ascii="Aptos" w:hAnsi="Aptos"/>
        </w:rPr>
        <w:t>.</w:t>
      </w:r>
      <w:r w:rsidRPr="00A24AB0">
        <w:rPr>
          <w:rFonts w:ascii="Aptos" w:hAnsi="Aptos"/>
        </w:rPr>
        <w:t xml:space="preserve"> The restoration and re-use of historic buildings and places for creative-use offers significant </w:t>
      </w:r>
      <w:r w:rsidRPr="00A24AB0">
        <w:rPr>
          <w:rFonts w:ascii="Aptos" w:hAnsi="Aptos"/>
        </w:rPr>
        <w:t>wealth generation</w:t>
      </w:r>
      <w:r w:rsidRPr="00A24AB0">
        <w:rPr>
          <w:rFonts w:ascii="Aptos" w:hAnsi="Aptos"/>
        </w:rPr>
        <w:t xml:space="preserve"> potential and has been at the heart of some of the most successful culture-led regeneration projects. </w:t>
      </w:r>
    </w:p>
    <w:p w:rsidR="00611166" w:rsidRPr="00E26F91" w:rsidP="4F216CB9">
      <w:pPr>
        <w:spacing w:before="80" w:after="120"/>
        <w:rPr>
          <w:rFonts w:ascii="Aptos" w:hAnsi="Aptos"/>
          <w:b/>
          <w:bCs/>
        </w:rPr>
      </w:pPr>
      <w:r w:rsidRPr="00547CC7">
        <w:rPr>
          <w:rFonts w:ascii="Aptos" w:hAnsi="Aptos"/>
        </w:rPr>
        <w:t>To encourage the creative reuse of historic buildings, and to support cultural venues,</w:t>
      </w:r>
      <w:r w:rsidRPr="00A24AB0">
        <w:rPr>
          <w:rFonts w:ascii="Aptos" w:hAnsi="Aptos"/>
          <w:b/>
          <w:bCs/>
        </w:rPr>
        <w:t xml:space="preserve"> sustained capital investment in the form of a Culture Growth Fund </w:t>
      </w:r>
      <w:r w:rsidRPr="00547CC7">
        <w:rPr>
          <w:rFonts w:ascii="Aptos" w:hAnsi="Aptos"/>
        </w:rPr>
        <w:t>would benefit both e</w:t>
      </w:r>
      <w:r w:rsidRPr="00547CC7">
        <w:rPr>
          <w:rFonts w:ascii="Aptos" w:hAnsi="Aptos"/>
        </w:rPr>
        <w:t xml:space="preserve">xisting cultural assets and new enterprises and community groups seeking to find new creative uses for valued local </w:t>
      </w:r>
      <w:r w:rsidRPr="00547CC7">
        <w:rPr>
          <w:rFonts w:ascii="Aptos" w:hAnsi="Aptos"/>
        </w:rPr>
        <w:t>buildings</w:t>
      </w:r>
      <w:r w:rsidRPr="00547CC7">
        <w:rPr>
          <w:rFonts w:ascii="Aptos" w:hAnsi="Aptos"/>
        </w:rPr>
        <w:t>.</w:t>
      </w:r>
      <w:r w:rsidRPr="00A24AB0">
        <w:rPr>
          <w:rFonts w:ascii="Aptos" w:hAnsi="Aptos"/>
          <w:b/>
          <w:bCs/>
        </w:rPr>
        <w:t xml:space="preserve"> Reforming the VAT regime to equalise repair with new build, reviewing the Permitted </w:t>
      </w:r>
      <w:r w:rsidRPr="00A24AB0">
        <w:rPr>
          <w:rFonts w:ascii="Aptos" w:hAnsi="Aptos"/>
          <w:b/>
          <w:bCs/>
        </w:rPr>
        <w:t>Development</w:t>
      </w:r>
      <w:r w:rsidRPr="00A24AB0">
        <w:rPr>
          <w:rFonts w:ascii="Aptos" w:hAnsi="Aptos"/>
          <w:b/>
          <w:bCs/>
        </w:rPr>
        <w:t xml:space="preserve"> Right for demolition, and </w:t>
      </w:r>
      <w:r w:rsidRPr="00A24AB0">
        <w:rPr>
          <w:rFonts w:ascii="Aptos" w:hAnsi="Aptos"/>
          <w:b/>
          <w:bCs/>
        </w:rPr>
        <w:t>introducing</w:t>
      </w:r>
      <w:r w:rsidRPr="00A24AB0">
        <w:rPr>
          <w:rFonts w:ascii="Aptos" w:hAnsi="Aptos"/>
          <w:b/>
          <w:bCs/>
        </w:rPr>
        <w:t xml:space="preserve"> national Liste</w:t>
      </w:r>
      <w:r w:rsidRPr="00A24AB0">
        <w:rPr>
          <w:rFonts w:ascii="Aptos" w:hAnsi="Aptos"/>
          <w:b/>
          <w:bCs/>
        </w:rPr>
        <w:t xml:space="preserve">d Building Consent Orders would further incentivise repair and reuse. </w:t>
      </w:r>
    </w:p>
    <w:p w:rsidR="00611166" w:rsidRPr="00E26F91" w:rsidP="4F216CB9">
      <w:pPr>
        <w:spacing w:before="80" w:after="120"/>
        <w:rPr>
          <w:rFonts w:ascii="Aptos" w:hAnsi="Aptos"/>
          <w:b/>
          <w:bCs/>
        </w:rPr>
      </w:pPr>
      <w:r w:rsidRPr="4F216CB9">
        <w:rPr>
          <w:rFonts w:ascii="Aptos" w:hAnsi="Aptos"/>
          <w:b/>
          <w:bCs/>
        </w:rPr>
        <w:t>Screen Tourism</w:t>
      </w:r>
    </w:p>
    <w:p w:rsidR="00611166" w:rsidRPr="00E26F91" w:rsidP="4F216CB9">
      <w:pPr>
        <w:spacing w:before="80" w:after="120"/>
        <w:rPr>
          <w:rFonts w:ascii="Aptos" w:hAnsi="Aptos"/>
        </w:rPr>
      </w:pPr>
      <w:r w:rsidRPr="00A24AB0">
        <w:rPr>
          <w:rFonts w:ascii="Aptos" w:eastAsia="Arial" w:hAnsi="Aptos" w:cs="Arial"/>
        </w:rPr>
        <w:t>The UK’s unique heritage draws filming crews from around the world and underpins the screen tourism economy that follows.</w:t>
      </w:r>
    </w:p>
    <w:p w:rsidR="00611166" w:rsidRPr="00E26F91" w:rsidP="4F216CB9">
      <w:pPr>
        <w:spacing w:before="80" w:after="120"/>
      </w:pPr>
      <w:r w:rsidRPr="00E26F91">
        <w:rPr>
          <w:rFonts w:ascii="Aptos" w:eastAsia="Arial" w:hAnsi="Aptos" w:cs="Arial"/>
        </w:rPr>
        <w:t>The National Trust reports that in any given month it has two to three different television series or movies being filmed on its sites, with multiple crews on location at any given time. The Old Royal Naval College has attracted over 100 films since 1925 and carries the title of “the most filmed location in Europe.” Historic Houses members host productions from Downton Abbey and Ted Lasso to Bridgerton and Sex Education</w:t>
      </w:r>
      <w:r>
        <w:rPr>
          <w:rStyle w:val="FootnoteReference"/>
          <w:rFonts w:ascii="Aptos" w:eastAsia="Arial" w:hAnsi="Aptos" w:cs="Arial"/>
        </w:rPr>
        <w:footnoteReference w:id="47"/>
      </w:r>
      <w:r w:rsidRPr="00E26F91">
        <w:rPr>
          <w:rFonts w:ascii="Aptos" w:eastAsia="Arial" w:hAnsi="Aptos" w:cs="Arial"/>
        </w:rPr>
        <w:t xml:space="preserve"> </w:t>
      </w:r>
      <w:r>
        <w:rPr>
          <w:rStyle w:val="FootnoteReference"/>
          <w:rFonts w:ascii="Aptos" w:eastAsia="Arial" w:hAnsi="Aptos" w:cs="Arial"/>
        </w:rPr>
        <w:footnoteReference w:id="48"/>
      </w:r>
      <w:r w:rsidRPr="00E26F91">
        <w:rPr>
          <w:rFonts w:ascii="Aptos" w:eastAsia="Arial" w:hAnsi="Aptos" w:cs="Arial"/>
        </w:rPr>
        <w:t xml:space="preserve">. In all cases, the heritage setting is not just a backdrop, it is a principal </w:t>
      </w:r>
      <w:r w:rsidRPr="00A24AB0">
        <w:rPr>
          <w:rFonts w:ascii="Aptos" w:eastAsia="Arial" w:hAnsi="Aptos" w:cs="Arial"/>
        </w:rPr>
        <w:t>reason why productions choose to film in the UK rather than overseas.</w:t>
      </w:r>
      <w:r w:rsidRPr="4F216CB9">
        <w:rPr>
          <w:rFonts w:ascii="Aptos" w:eastAsia="Arial" w:hAnsi="Aptos" w:cs="Arial"/>
        </w:rPr>
        <w:t xml:space="preserve"> </w:t>
      </w:r>
    </w:p>
    <w:p w:rsidR="00611166" w:rsidRPr="00E26F91" w:rsidP="4F216CB9">
      <w:pPr>
        <w:spacing w:before="80" w:after="120"/>
        <w:rPr>
          <w:rFonts w:ascii="Aptos" w:eastAsia="Arial" w:hAnsi="Aptos" w:cs="Arial"/>
        </w:rPr>
      </w:pPr>
      <w:r w:rsidRPr="4F216CB9">
        <w:rPr>
          <w:rFonts w:ascii="Aptos" w:eastAsia="Arial" w:hAnsi="Aptos" w:cs="Arial"/>
        </w:rPr>
        <w:t>Despite the documented economic value of screen tourism, with film-related tourism accrued nearly £1 billion in economic activity, while tv-related tourism resulted in nearly half a billion in economic activity in 2019</w:t>
      </w:r>
      <w:r>
        <w:rPr>
          <w:rStyle w:val="FootnoteReference"/>
          <w:rFonts w:ascii="Aptos" w:eastAsia="Arial" w:hAnsi="Aptos" w:cs="Arial"/>
        </w:rPr>
        <w:footnoteReference w:id="49"/>
      </w:r>
      <w:r w:rsidRPr="4F216CB9">
        <w:rPr>
          <w:rFonts w:ascii="Aptos" w:eastAsia="Arial" w:hAnsi="Aptos" w:cs="Arial"/>
        </w:rPr>
        <w:t>, there is no dedicated national strategy to maximise this opportunity systematically. The scale of the opportunity is significant: VisitBritain’s Starring GREAT Britain campaign</w:t>
      </w:r>
      <w:r w:rsidRPr="4F216CB9">
        <w:rPr>
          <w:rFonts w:ascii="Aptos" w:eastAsia="Arial" w:hAnsi="Aptos" w:cs="Arial"/>
        </w:rPr>
        <w:t>,</w:t>
      </w:r>
      <w:r w:rsidRPr="4F216CB9">
        <w:rPr>
          <w:rFonts w:ascii="Aptos" w:eastAsia="Arial" w:hAnsi="Aptos" w:cs="Arial"/>
        </w:rPr>
        <w:t xml:space="preserve"> which links screen tourism to actual destination visits</w:t>
      </w:r>
      <w:r w:rsidRPr="4F216CB9">
        <w:rPr>
          <w:rFonts w:ascii="Aptos" w:eastAsia="Arial" w:hAnsi="Aptos" w:cs="Arial"/>
        </w:rPr>
        <w:t>,</w:t>
      </w:r>
      <w:r w:rsidRPr="4F216CB9">
        <w:rPr>
          <w:rFonts w:ascii="Aptos" w:eastAsia="Arial" w:hAnsi="Aptos" w:cs="Arial"/>
        </w:rPr>
        <w:t xml:space="preserve"> generated an estimated £217 million in additional visitor spending in its first six months alone</w:t>
      </w:r>
      <w:r>
        <w:rPr>
          <w:rStyle w:val="FootnoteReference"/>
          <w:rFonts w:ascii="Aptos" w:eastAsia="Arial" w:hAnsi="Aptos" w:cs="Arial"/>
        </w:rPr>
        <w:footnoteReference w:id="50"/>
      </w:r>
      <w:r w:rsidRPr="4F216CB9">
        <w:rPr>
          <w:rFonts w:ascii="Aptos" w:eastAsia="Arial" w:hAnsi="Aptos" w:cs="Arial"/>
        </w:rPr>
        <w:t xml:space="preserve">. As such, The Heritage Alliance </w:t>
      </w:r>
      <w:r w:rsidRPr="18487104">
        <w:rPr>
          <w:rFonts w:ascii="Aptos" w:eastAsia="Arial" w:hAnsi="Aptos" w:cs="Arial"/>
        </w:rPr>
        <w:t>recommends</w:t>
      </w:r>
      <w:r w:rsidRPr="18487104">
        <w:rPr>
          <w:rFonts w:ascii="Aptos" w:eastAsia="Arial" w:hAnsi="Aptos" w:cs="Arial"/>
        </w:rPr>
        <w:t xml:space="preserve"> </w:t>
      </w:r>
      <w:r w:rsidRPr="34577034">
        <w:rPr>
          <w:rFonts w:ascii="Aptos" w:eastAsia="Arial" w:hAnsi="Aptos" w:cs="Arial"/>
        </w:rPr>
        <w:t xml:space="preserve">that the Government: </w:t>
      </w:r>
    </w:p>
    <w:p w:rsidR="00611166" w:rsidRPr="00547CC7" w:rsidP="4F216CB9">
      <w:pPr>
        <w:pStyle w:val="ListParagraph"/>
        <w:numPr>
          <w:ilvl w:val="0"/>
          <w:numId w:val="3"/>
        </w:numPr>
        <w:spacing w:before="40" w:after="40"/>
        <w:rPr>
          <w:rFonts w:ascii="Aptos" w:hAnsi="Aptos"/>
        </w:rPr>
      </w:pPr>
      <w:r w:rsidRPr="4F216CB9">
        <w:rPr>
          <w:rFonts w:ascii="Aptos" w:eastAsia="Arial" w:hAnsi="Aptos" w:cs="Arial"/>
          <w:b/>
          <w:bCs/>
        </w:rPr>
        <w:t>Develop</w:t>
      </w:r>
      <w:r>
        <w:rPr>
          <w:rFonts w:ascii="Aptos" w:eastAsia="Arial" w:hAnsi="Aptos" w:cs="Arial"/>
          <w:b/>
          <w:bCs/>
        </w:rPr>
        <w:t>s</w:t>
      </w:r>
      <w:r w:rsidRPr="4F216CB9">
        <w:rPr>
          <w:rFonts w:ascii="Aptos" w:eastAsia="Arial" w:hAnsi="Aptos" w:cs="Arial"/>
          <w:b/>
          <w:bCs/>
        </w:rPr>
        <w:t xml:space="preserve"> a national screen tourism strategy </w:t>
      </w:r>
      <w:r w:rsidRPr="00547CC7">
        <w:rPr>
          <w:rFonts w:ascii="Aptos" w:eastAsia="Arial" w:hAnsi="Aptos" w:cs="Arial"/>
        </w:rPr>
        <w:t>in partnership with VisitBritain, VisitEngland, the British Film Commission and heritage bodies, to ensure that the tourism dividend from UK film and TV production is systematically captured and promoted.</w:t>
      </w:r>
    </w:p>
    <w:p w:rsidR="00611166" w:rsidRPr="00547CC7" w:rsidP="4F216CB9">
      <w:pPr>
        <w:pStyle w:val="ListParagraph"/>
        <w:numPr>
          <w:ilvl w:val="0"/>
          <w:numId w:val="3"/>
        </w:numPr>
        <w:spacing w:before="40" w:after="40"/>
        <w:rPr>
          <w:rFonts w:ascii="Aptos" w:hAnsi="Aptos"/>
        </w:rPr>
      </w:pPr>
      <w:r w:rsidRPr="4F216CB9">
        <w:rPr>
          <w:rFonts w:ascii="Aptos" w:eastAsia="Arial" w:hAnsi="Aptos" w:cs="Arial"/>
          <w:b/>
          <w:bCs/>
        </w:rPr>
        <w:t>Support</w:t>
      </w:r>
      <w:r>
        <w:rPr>
          <w:rFonts w:ascii="Aptos" w:eastAsia="Arial" w:hAnsi="Aptos" w:cs="Arial"/>
          <w:b/>
          <w:bCs/>
        </w:rPr>
        <w:t>s</w:t>
      </w:r>
      <w:r w:rsidRPr="4F216CB9">
        <w:rPr>
          <w:rFonts w:ascii="Aptos" w:eastAsia="Arial" w:hAnsi="Aptos" w:cs="Arial"/>
          <w:b/>
          <w:bCs/>
        </w:rPr>
        <w:t xml:space="preserve"> the creation of regional screen agencies across all parts of England, </w:t>
      </w:r>
      <w:r w:rsidRPr="00547CC7">
        <w:rPr>
          <w:rFonts w:ascii="Aptos" w:eastAsia="Arial" w:hAnsi="Aptos" w:cs="Arial"/>
        </w:rPr>
        <w:t>modelled on the success of Screen Yorkshire, to attract productions beyond London and the South East and distribute screen tourism benefits more equitably.</w:t>
      </w:r>
    </w:p>
    <w:p w:rsidR="00611166" w:rsidRPr="00547CC7" w:rsidP="4F216CB9">
      <w:pPr>
        <w:pStyle w:val="ListParagraph"/>
        <w:numPr>
          <w:ilvl w:val="0"/>
          <w:numId w:val="3"/>
        </w:numPr>
        <w:spacing w:before="40" w:after="40"/>
        <w:rPr>
          <w:rFonts w:ascii="Aptos" w:hAnsi="Aptos"/>
        </w:rPr>
      </w:pPr>
      <w:r w:rsidRPr="4F216CB9">
        <w:rPr>
          <w:rFonts w:ascii="Aptos" w:eastAsia="Arial" w:hAnsi="Aptos" w:cs="Arial"/>
          <w:b/>
          <w:bCs/>
        </w:rPr>
        <w:t>Fund</w:t>
      </w:r>
      <w:r>
        <w:rPr>
          <w:rFonts w:ascii="Aptos" w:eastAsia="Arial" w:hAnsi="Aptos" w:cs="Arial"/>
          <w:b/>
          <w:bCs/>
        </w:rPr>
        <w:t>s</w:t>
      </w:r>
      <w:r w:rsidRPr="4F216CB9">
        <w:rPr>
          <w:rFonts w:ascii="Aptos" w:eastAsia="Arial" w:hAnsi="Aptos" w:cs="Arial"/>
          <w:b/>
          <w:bCs/>
        </w:rPr>
        <w:t xml:space="preserve"> dedicated screen tourism trails and digital promotion </w:t>
      </w:r>
      <w:r w:rsidRPr="00547CC7">
        <w:rPr>
          <w:rFonts w:ascii="Aptos" w:eastAsia="Arial" w:hAnsi="Aptos" w:cs="Arial"/>
        </w:rPr>
        <w:t>linked to specific heritage locations used in major productions, enabling visitors to connect on-screen imagery to physical places.</w:t>
      </w:r>
    </w:p>
    <w:p w:rsidR="00611166" w:rsidRPr="00E26F91" w:rsidP="4F216CB9">
      <w:pPr>
        <w:rPr>
          <w:rFonts w:ascii="Aptos" w:hAnsi="Aptos"/>
        </w:rPr>
      </w:pPr>
    </w:p>
    <w:p w:rsidR="00611166" w:rsidRPr="00E26F91" w:rsidP="4F216CB9">
      <w:pPr>
        <w:rPr>
          <w:rFonts w:ascii="Aptos" w:hAnsi="Aptos"/>
          <w:b/>
          <w:bCs/>
        </w:rPr>
      </w:pPr>
      <w:r w:rsidRPr="4F216CB9">
        <w:rPr>
          <w:rFonts w:ascii="Aptos" w:hAnsi="Aptos"/>
          <w:b/>
          <w:bCs/>
        </w:rPr>
        <w:t>Protecting Heritage IP in the Age of AI</w:t>
      </w:r>
    </w:p>
    <w:p w:rsidR="00611166" w:rsidRPr="00E26F91" w:rsidP="4F216CB9">
      <w:pPr>
        <w:spacing w:before="80" w:after="120"/>
        <w:rPr>
          <w:rFonts w:ascii="Aptos" w:hAnsi="Aptos"/>
        </w:rPr>
      </w:pPr>
      <w:r w:rsidRPr="4F216CB9">
        <w:rPr>
          <w:rFonts w:ascii="Aptos" w:eastAsia="Arial" w:hAnsi="Aptos" w:cs="Arial"/>
        </w:rPr>
        <w:t>The rise of StageCraft</w:t>
      </w:r>
      <w:r w:rsidRPr="4F216CB9">
        <w:rPr>
          <w:rFonts w:ascii="Aptos" w:eastAsia="Arial" w:hAnsi="Aptos" w:cs="Arial"/>
        </w:rPr>
        <w:t xml:space="preserve"> technology, where a filming backdrop is digitally replicated in a studio environment, presents an emerging risk to the heritage tourism model. If heritage sites can be reproduced virtually at no ongoing cost to the producer, the economic relationship between screen production and heritage tourism could be fundamentally disrupted. The National Trust has specifically raised concerns about the intellectual property implications: should a site’s </w:t>
      </w:r>
      <w:r w:rsidRPr="4F216CB9">
        <w:rPr>
          <w:rFonts w:ascii="Aptos" w:eastAsia="Arial" w:hAnsi="Aptos" w:cs="Arial"/>
        </w:rPr>
        <w:t>appearance be recorded and reused without appropriate consent and</w:t>
      </w:r>
      <w:r w:rsidRPr="4F216CB9">
        <w:rPr>
          <w:rFonts w:ascii="Aptos" w:eastAsia="Arial" w:hAnsi="Aptos" w:cs="Arial"/>
        </w:rPr>
        <w:t xml:space="preserve"> fees, both the income and the reputational association between the site and a major production could be lost.</w:t>
      </w:r>
    </w:p>
    <w:p w:rsidR="00611166" w:rsidRPr="00547CC7" w:rsidP="4F216CB9">
      <w:pPr>
        <w:spacing w:before="80" w:after="120"/>
      </w:pPr>
      <w:r w:rsidRPr="00A24AB0">
        <w:rPr>
          <w:rFonts w:ascii="Aptos" w:eastAsia="Arial" w:hAnsi="Aptos" w:cs="Arial"/>
          <w:b/>
          <w:bCs/>
        </w:rPr>
        <w:t xml:space="preserve"> </w:t>
      </w:r>
      <w:r w:rsidRPr="79CB4D87">
        <w:rPr>
          <w:rFonts w:ascii="Aptos" w:eastAsia="Arial" w:hAnsi="Aptos" w:cs="Arial"/>
          <w:b/>
          <w:bCs/>
        </w:rPr>
        <w:t>The</w:t>
      </w:r>
      <w:r w:rsidRPr="79CB4D87">
        <w:rPr>
          <w:rFonts w:ascii="Aptos" w:eastAsia="Arial" w:hAnsi="Aptos" w:cs="Arial"/>
          <w:b/>
          <w:bCs/>
        </w:rPr>
        <w:t xml:space="preserve"> </w:t>
      </w:r>
      <w:r w:rsidRPr="00A24AB0">
        <w:rPr>
          <w:rFonts w:ascii="Aptos" w:eastAsia="Arial" w:hAnsi="Aptos" w:cs="Arial"/>
          <w:b/>
          <w:bCs/>
        </w:rPr>
        <w:t xml:space="preserve">development of regulatory </w:t>
      </w:r>
      <w:r w:rsidRPr="00547CC7">
        <w:rPr>
          <w:rFonts w:ascii="Aptos" w:eastAsia="Arial" w:hAnsi="Aptos" w:cs="Arial"/>
        </w:rPr>
        <w:t>frameworks to ensure that digital recording and utilisation of heritage sites through AI StageCraft attracts the same licensing arrangements as physical filming</w:t>
      </w:r>
      <w:r w:rsidRPr="00547CC7">
        <w:rPr>
          <w:rFonts w:ascii="Aptos" w:eastAsia="Arial" w:hAnsi="Aptos" w:cs="Arial"/>
        </w:rPr>
        <w:t xml:space="preserve"> </w:t>
      </w:r>
      <w:r w:rsidRPr="00547CC7">
        <w:rPr>
          <w:rFonts w:ascii="Aptos" w:eastAsia="Arial" w:hAnsi="Aptos" w:cs="Arial"/>
        </w:rPr>
        <w:t xml:space="preserve">is </w:t>
      </w:r>
      <w:r w:rsidRPr="00547CC7">
        <w:rPr>
          <w:rFonts w:ascii="Aptos" w:eastAsia="Arial" w:hAnsi="Aptos" w:cs="Arial"/>
        </w:rPr>
        <w:t>recommended</w:t>
      </w:r>
      <w:r w:rsidRPr="00547CC7">
        <w:rPr>
          <w:rFonts w:ascii="Aptos" w:eastAsia="Arial" w:hAnsi="Aptos" w:cs="Arial"/>
        </w:rPr>
        <w:t>,</w:t>
      </w:r>
      <w:r w:rsidRPr="00547CC7">
        <w:rPr>
          <w:rFonts w:ascii="Aptos" w:eastAsia="Arial" w:hAnsi="Aptos" w:cs="Arial"/>
        </w:rPr>
        <w:t xml:space="preserve"> as would the</w:t>
      </w:r>
      <w:r w:rsidRPr="00547CC7">
        <w:rPr>
          <w:rFonts w:ascii="Aptos" w:eastAsia="Arial" w:hAnsi="Aptos" w:cs="Arial"/>
        </w:rPr>
        <w:t xml:space="preserve"> </w:t>
      </w:r>
      <w:r w:rsidRPr="00547CC7">
        <w:rPr>
          <w:rFonts w:ascii="Aptos" w:eastAsia="Arial" w:hAnsi="Aptos" w:cs="Arial"/>
        </w:rPr>
        <w:t xml:space="preserve">full protection of the </w:t>
      </w:r>
      <w:r w:rsidRPr="00547CC7">
        <w:rPr>
          <w:rFonts w:ascii="Aptos" w:eastAsia="Arial" w:hAnsi="Aptos" w:cs="Arial"/>
        </w:rPr>
        <w:t xml:space="preserve"> branding and IP of heritage sites</w:t>
      </w:r>
      <w:r w:rsidRPr="00547CC7">
        <w:rPr>
          <w:rFonts w:ascii="Aptos" w:eastAsia="Arial" w:hAnsi="Aptos" w:cs="Arial"/>
        </w:rPr>
        <w:t xml:space="preserve">. </w:t>
      </w:r>
      <w:r>
        <w:br/>
      </w:r>
    </w:p>
    <w:p w:rsidR="00611166" w:rsidRPr="00E26F91" w:rsidP="4F216CB9">
      <w:pPr>
        <w:rPr>
          <w:rFonts w:ascii="Aptos" w:hAnsi="Aptos"/>
          <w:b/>
          <w:bCs/>
        </w:rPr>
      </w:pPr>
      <w:r w:rsidRPr="4F216CB9">
        <w:rPr>
          <w:rFonts w:ascii="Aptos" w:hAnsi="Aptos"/>
          <w:b/>
          <w:bCs/>
        </w:rPr>
        <w:t>Heritage as the Strongest Pull Factor for Tourism</w:t>
      </w:r>
    </w:p>
    <w:p w:rsidR="00611166" w:rsidRPr="00E26F91" w:rsidP="4F216CB9">
      <w:pPr>
        <w:spacing w:before="80" w:after="120"/>
        <w:rPr>
          <w:rFonts w:ascii="Aptos" w:hAnsi="Aptos"/>
          <w:b/>
          <w:bCs/>
        </w:rPr>
      </w:pPr>
      <w:r w:rsidRPr="4F216CB9">
        <w:rPr>
          <w:rFonts w:ascii="Aptos" w:eastAsia="Arial" w:hAnsi="Aptos" w:cs="Arial"/>
        </w:rPr>
        <w:t xml:space="preserve">Our own research, as set out in our 2020 </w:t>
      </w:r>
      <w:r>
        <w:fldChar w:fldCharType="begin"/>
      </w:r>
      <w:r>
        <w:instrText xml:space="preserve"> HYPERLINK "https://www.theheritagealliance.org.uk/wp-content/uploads/2020/10/InspiringCreativity_THAreport.pdf" </w:instrText>
      </w:r>
      <w:r>
        <w:fldChar w:fldCharType="separate"/>
      </w:r>
      <w:r w:rsidRPr="4F216CB9">
        <w:rPr>
          <w:rStyle w:val="Hyperlink"/>
          <w:rFonts w:ascii="Aptos" w:eastAsia="Arial" w:hAnsi="Aptos" w:cs="Arial"/>
          <w:i/>
          <w:iCs/>
        </w:rPr>
        <w:t>Inspiring Creativity, Heritage and the Creative Industries</w:t>
      </w:r>
      <w:r>
        <w:fldChar w:fldCharType="end"/>
      </w:r>
      <w:r w:rsidRPr="4F216CB9">
        <w:rPr>
          <w:rFonts w:ascii="Aptos" w:eastAsia="Arial" w:hAnsi="Aptos" w:cs="Arial"/>
          <w:i/>
          <w:iCs/>
        </w:rPr>
        <w:t xml:space="preserve"> </w:t>
      </w:r>
      <w:r w:rsidRPr="4F216CB9">
        <w:rPr>
          <w:rFonts w:ascii="Aptos" w:eastAsia="Arial" w:hAnsi="Aptos" w:cs="Arial"/>
        </w:rPr>
        <w:t xml:space="preserve">report and subsequent 2025 update, </w:t>
      </w:r>
      <w:r>
        <w:fldChar w:fldCharType="begin"/>
      </w:r>
      <w:r>
        <w:instrText xml:space="preserve"> HYPERLINK "https://www.theheritagealliance.org.uk/wp-content/uploads/2025/03/THA_Heritage-Creates_2025.pdf" </w:instrText>
      </w:r>
      <w:r>
        <w:fldChar w:fldCharType="separate"/>
      </w:r>
      <w:r w:rsidRPr="4F216CB9">
        <w:rPr>
          <w:rStyle w:val="Hyperlink"/>
          <w:rFonts w:ascii="Aptos" w:eastAsia="Arial" w:hAnsi="Aptos" w:cs="Arial"/>
          <w:i/>
          <w:iCs/>
        </w:rPr>
        <w:t>Heritage Creates</w:t>
      </w:r>
      <w:r>
        <w:fldChar w:fldCharType="end"/>
      </w:r>
      <w:r w:rsidRPr="4F216CB9">
        <w:rPr>
          <w:rFonts w:ascii="Aptos" w:eastAsia="Arial" w:hAnsi="Aptos" w:cs="Arial"/>
        </w:rPr>
        <w:t xml:space="preserve">, highlights that the history and heritage of the UK is the strongest ‘pull factor’ for most tourists visiting the country. This finding has profound implications for tourism strategy: where investment in heritage is not simply cultural expenditure, it is investment in the UK’s core tourism infrastructure. </w:t>
      </w:r>
      <w:r w:rsidRPr="4F216CB9">
        <w:rPr>
          <w:rFonts w:ascii="Aptos" w:eastAsia="Arial" w:hAnsi="Aptos" w:cs="Arial"/>
          <w:b/>
          <w:bCs/>
        </w:rPr>
        <w:t xml:space="preserve">The Heritage Alliance therefore </w:t>
      </w:r>
      <w:r w:rsidRPr="682EFD1B">
        <w:rPr>
          <w:rFonts w:ascii="Aptos" w:eastAsia="Arial" w:hAnsi="Aptos" w:cs="Arial"/>
          <w:b/>
          <w:bCs/>
        </w:rPr>
        <w:t>recommends</w:t>
      </w:r>
      <w:r w:rsidRPr="682EFD1B">
        <w:rPr>
          <w:rFonts w:ascii="Aptos" w:eastAsia="Arial" w:hAnsi="Aptos" w:cs="Arial"/>
          <w:b/>
          <w:bCs/>
        </w:rPr>
        <w:t xml:space="preserve"> that</w:t>
      </w:r>
      <w:r w:rsidRPr="2B8E2443">
        <w:rPr>
          <w:rFonts w:ascii="Aptos" w:eastAsia="Arial" w:hAnsi="Aptos" w:cs="Arial"/>
          <w:b/>
          <w:bCs/>
        </w:rPr>
        <w:t xml:space="preserve"> the</w:t>
      </w:r>
      <w:r w:rsidRPr="682EFD1B">
        <w:rPr>
          <w:rFonts w:ascii="Aptos" w:eastAsia="Arial" w:hAnsi="Aptos" w:cs="Arial"/>
          <w:b/>
          <w:bCs/>
        </w:rPr>
        <w:t xml:space="preserve"> </w:t>
      </w:r>
      <w:r w:rsidRPr="4F216CB9">
        <w:rPr>
          <w:rFonts w:ascii="Aptos" w:eastAsia="Arial" w:hAnsi="Aptos" w:cs="Arial"/>
          <w:b/>
          <w:bCs/>
        </w:rPr>
        <w:t>Government recognise</w:t>
      </w:r>
      <w:r>
        <w:rPr>
          <w:rFonts w:ascii="Aptos" w:eastAsia="Arial" w:hAnsi="Aptos" w:cs="Arial"/>
          <w:b/>
          <w:bCs/>
        </w:rPr>
        <w:t>s</w:t>
      </w:r>
      <w:r w:rsidRPr="4F216CB9">
        <w:rPr>
          <w:rFonts w:ascii="Aptos" w:eastAsia="Arial" w:hAnsi="Aptos" w:cs="Arial"/>
          <w:b/>
          <w:bCs/>
        </w:rPr>
        <w:t xml:space="preserve">, explicitly and in all relevant strategies, that </w:t>
      </w:r>
      <w:r w:rsidRPr="4F216CB9">
        <w:rPr>
          <w:rFonts w:ascii="Aptos" w:eastAsia="Arial" w:hAnsi="Aptos" w:cs="Arial"/>
          <w:b/>
          <w:bCs/>
        </w:rPr>
        <w:t>the long-term health of the heritage sector is a precondition for the long-term health of the UK’s visitor economy.</w:t>
      </w:r>
    </w:p>
    <w:p w:rsidR="00611166" w:rsidRPr="00E26F91" w:rsidP="4F216CB9">
      <w:pPr>
        <w:spacing w:before="80" w:after="120"/>
        <w:rPr>
          <w:rFonts w:ascii="Aptos" w:eastAsia="Arial" w:hAnsi="Aptos" w:cs="Arial"/>
        </w:rPr>
      </w:pPr>
      <w:r w:rsidRPr="00A24AB0">
        <w:rPr>
          <w:rFonts w:ascii="Aptos" w:eastAsia="Arial" w:hAnsi="Aptos" w:cs="Arial"/>
        </w:rPr>
        <w:t>The Heritage Alliance also draws the Committee’s attention to the potential of planning reform</w:t>
      </w:r>
      <w:r w:rsidRPr="00A24AB0">
        <w:rPr>
          <w:rFonts w:ascii="Aptos" w:eastAsia="Arial" w:hAnsi="Aptos" w:cs="Arial"/>
        </w:rPr>
        <w:t xml:space="preserve">, </w:t>
      </w:r>
      <w:r w:rsidRPr="00A24AB0">
        <w:rPr>
          <w:rFonts w:ascii="Aptos" w:eastAsia="Arial" w:hAnsi="Aptos" w:cs="Arial"/>
        </w:rPr>
        <w:t>including listed building consent orders and greater flexibility for sustainable development within heritage settings</w:t>
      </w:r>
      <w:r w:rsidRPr="00A24AB0">
        <w:rPr>
          <w:rFonts w:ascii="Aptos" w:eastAsia="Arial" w:hAnsi="Aptos" w:cs="Arial"/>
        </w:rPr>
        <w:t xml:space="preserve">, </w:t>
      </w:r>
      <w:r w:rsidRPr="00A24AB0">
        <w:rPr>
          <w:rFonts w:ascii="Aptos" w:eastAsia="Arial" w:hAnsi="Aptos" w:cs="Arial"/>
        </w:rPr>
        <w:t xml:space="preserve">to unlock investment in visitor infrastructure and improve access to and around historic sites, at minimal cost to government. This is an area in which reform could deliver significant tourism benefit without substantial public expenditure. </w:t>
      </w:r>
      <w:r w:rsidRPr="00A24AB0">
        <w:rPr>
          <w:rFonts w:ascii="Aptos" w:eastAsia="Arial" w:hAnsi="Aptos" w:cs="Arial"/>
          <w:b/>
          <w:bCs/>
        </w:rPr>
        <w:t xml:space="preserve">The Heritage Alliance asks the Committee to ensure </w:t>
      </w:r>
      <w:r w:rsidRPr="00A24AB0">
        <w:rPr>
          <w:rFonts w:ascii="Aptos" w:eastAsia="Arial" w:hAnsi="Aptos" w:cs="Arial"/>
          <w:b/>
          <w:bCs/>
        </w:rPr>
        <w:t>read-across</w:t>
      </w:r>
      <w:r w:rsidRPr="00A24AB0">
        <w:rPr>
          <w:rFonts w:ascii="Aptos" w:eastAsia="Arial" w:hAnsi="Aptos" w:cs="Arial"/>
          <w:b/>
          <w:bCs/>
        </w:rPr>
        <w:t xml:space="preserve"> between its tourism inquiry outputs and the </w:t>
      </w:r>
      <w:r w:rsidRPr="00A24AB0">
        <w:rPr>
          <w:rFonts w:ascii="Aptos" w:eastAsia="Arial" w:hAnsi="Aptos" w:cs="Arial"/>
          <w:b/>
          <w:bCs/>
        </w:rPr>
        <w:t xml:space="preserve">recently concluded </w:t>
      </w:r>
      <w:r w:rsidRPr="00A24AB0">
        <w:rPr>
          <w:rFonts w:ascii="Aptos" w:eastAsia="Arial" w:hAnsi="Aptos" w:cs="Arial"/>
          <w:b/>
          <w:bCs/>
        </w:rPr>
        <w:t>‘Protecting B</w:t>
      </w:r>
      <w:r w:rsidRPr="00A24AB0">
        <w:rPr>
          <w:rFonts w:ascii="Aptos" w:eastAsia="Arial" w:hAnsi="Aptos" w:cs="Arial"/>
          <w:b/>
          <w:bCs/>
        </w:rPr>
        <w:t xml:space="preserve">uilt </w:t>
      </w:r>
      <w:r w:rsidRPr="00A24AB0">
        <w:rPr>
          <w:rFonts w:ascii="Aptos" w:eastAsia="Arial" w:hAnsi="Aptos" w:cs="Arial"/>
          <w:b/>
          <w:bCs/>
        </w:rPr>
        <w:t>H</w:t>
      </w:r>
      <w:r w:rsidRPr="00A24AB0">
        <w:rPr>
          <w:rFonts w:ascii="Aptos" w:eastAsia="Arial" w:hAnsi="Aptos" w:cs="Arial"/>
          <w:b/>
          <w:bCs/>
        </w:rPr>
        <w:t>erita</w:t>
      </w:r>
      <w:r w:rsidRPr="00A24AB0">
        <w:rPr>
          <w:rFonts w:ascii="Aptos" w:eastAsia="Arial" w:hAnsi="Aptos" w:cs="Arial"/>
          <w:b/>
          <w:bCs/>
        </w:rPr>
        <w:t>ge</w:t>
      </w:r>
      <w:r w:rsidRPr="00A24AB0">
        <w:rPr>
          <w:rFonts w:ascii="Aptos" w:eastAsia="Arial" w:hAnsi="Aptos" w:cs="Arial"/>
          <w:b/>
          <w:bCs/>
        </w:rPr>
        <w:t>’</w:t>
      </w:r>
      <w:r w:rsidRPr="00A24AB0">
        <w:rPr>
          <w:rFonts w:ascii="Aptos" w:eastAsia="Arial" w:hAnsi="Aptos" w:cs="Arial"/>
          <w:b/>
          <w:bCs/>
        </w:rPr>
        <w:t xml:space="preserve"> inquiry, so that recommendations in each are consistent and mutually reinforcing.</w:t>
      </w:r>
    </w:p>
    <w:p w:rsidR="00611166" w:rsidRPr="00E26F91" w:rsidP="4F216CB9">
      <w:pPr>
        <w:pStyle w:val="Heading2"/>
        <w:rPr>
          <w:rFonts w:ascii="Aptos" w:hAnsi="Aptos"/>
          <w:color w:val="auto"/>
        </w:rPr>
      </w:pPr>
      <w:bookmarkStart w:id="10" w:name="_Toc230020917"/>
      <w:r w:rsidRPr="00A24AB0">
        <w:rPr>
          <w:rFonts w:ascii="Aptos" w:hAnsi="Aptos"/>
          <w:sz w:val="28"/>
        </w:rPr>
        <w:t>Question 8: What are the key issues facing the tourism workforce?</w:t>
      </w:r>
      <w:bookmarkEnd w:id="10"/>
    </w:p>
    <w:p w:rsidR="00611166" w:rsidRPr="00E26F91" w:rsidP="4F216CB9">
      <w:pPr>
        <w:rPr>
          <w:rFonts w:ascii="Aptos" w:hAnsi="Aptos"/>
          <w:b/>
          <w:bCs/>
        </w:rPr>
      </w:pPr>
      <w:r w:rsidRPr="4F216CB9">
        <w:rPr>
          <w:rFonts w:ascii="Aptos" w:hAnsi="Aptos"/>
          <w:b/>
          <w:bCs/>
        </w:rPr>
        <w:t>Structural Workforce Challenges</w:t>
      </w:r>
    </w:p>
    <w:p w:rsidR="00611166" w:rsidRPr="00547CC7" w:rsidP="4F216CB9">
      <w:pPr>
        <w:spacing w:before="80" w:after="120"/>
        <w:rPr>
          <w:rFonts w:ascii="Aptos" w:hAnsi="Aptos"/>
        </w:rPr>
      </w:pPr>
      <w:r w:rsidRPr="00547CC7">
        <w:rPr>
          <w:rFonts w:ascii="Aptos" w:eastAsia="Arial" w:hAnsi="Aptos" w:cs="Arial"/>
        </w:rPr>
        <w:t>The heritage sector faces acute workforce pressures that directly affect the tourism experience it can deliver. Recruitment and retention of staff and volunteers is now one of the greatest challenges facing the sector, with 70% of Heritage Alliance survey respondents describing staffing as a significant concern</w:t>
      </w:r>
      <w:r>
        <w:rPr>
          <w:rStyle w:val="FootnoteReference"/>
          <w:rFonts w:ascii="Aptos" w:eastAsia="Arial" w:hAnsi="Aptos" w:cs="Arial"/>
        </w:rPr>
        <w:footnoteReference w:id="51"/>
      </w:r>
      <w:r w:rsidRPr="00547CC7">
        <w:rPr>
          <w:rFonts w:ascii="Aptos" w:eastAsia="Arial" w:hAnsi="Aptos" w:cs="Arial"/>
        </w:rPr>
        <w:t>. The heritage sector’s historically low wages make it particularly vulnerable to workforce attrition at a time of rising living costs: entry-level workers who might previously have accepted modest salaries in exchange for working in a field they love are no longer able or willing to do so.</w:t>
      </w:r>
    </w:p>
    <w:p w:rsidR="00611166" w:rsidRPr="00E26F91" w:rsidP="4F216CB9">
      <w:pPr>
        <w:spacing w:before="80" w:after="120"/>
        <w:rPr>
          <w:rFonts w:ascii="Aptos" w:eastAsia="Arial" w:hAnsi="Aptos" w:cs="Arial"/>
        </w:rPr>
      </w:pPr>
      <w:r w:rsidRPr="00547CC7">
        <w:rPr>
          <w:rFonts w:ascii="Aptos" w:eastAsia="Arial" w:hAnsi="Aptos" w:cs="Arial"/>
        </w:rPr>
        <w:t>The sector</w:t>
      </w:r>
      <w:r w:rsidRPr="00A24AB0">
        <w:rPr>
          <w:rFonts w:ascii="Aptos" w:eastAsia="Arial" w:hAnsi="Aptos" w:cs="Arial"/>
        </w:rPr>
        <w:t xml:space="preserve"> is also facing the loss of irreplaceable specialist skill</w:t>
      </w:r>
      <w:r w:rsidRPr="00A24AB0">
        <w:rPr>
          <w:rFonts w:ascii="Aptos" w:eastAsia="Arial" w:hAnsi="Aptos" w:cs="Arial"/>
        </w:rPr>
        <w:t xml:space="preserve">s. </w:t>
      </w:r>
      <w:r w:rsidRPr="00A24AB0">
        <w:rPr>
          <w:rFonts w:ascii="Aptos" w:eastAsia="Arial" w:hAnsi="Aptos" w:cs="Arial"/>
        </w:rPr>
        <w:t>The Heritage Crafts Association's Red List of Endangered Crafts (2025 edition) featured 93 endangered crafts and 72 critically endangered crafts, up from 84 and 62 respectively in 2023, across a total assessment of 285 crafts. These craft skills are not just cultural artefacts: they are essential to maintaining the buildings and landscapes that attract visitors to the UK. A significant milestone since the last edition was the UK Government's ratif</w:t>
      </w:r>
      <w:r w:rsidRPr="00A24AB0">
        <w:rPr>
          <w:rFonts w:ascii="Aptos" w:eastAsia="Arial" w:hAnsi="Aptos" w:cs="Arial"/>
        </w:rPr>
        <w:t>ication of the 2003 UNESCO Convention on the Safeguarding of Intangible Cultural Heritage</w:t>
      </w:r>
      <w:r w:rsidRPr="00A24AB0">
        <w:rPr>
          <w:rFonts w:ascii="Aptos" w:eastAsia="Arial" w:hAnsi="Aptos" w:cs="Arial"/>
        </w:rPr>
        <w:t xml:space="preserve"> and, </w:t>
      </w:r>
      <w:r w:rsidRPr="00A24AB0">
        <w:rPr>
          <w:rFonts w:ascii="Aptos" w:eastAsia="Arial" w:hAnsi="Aptos" w:cs="Arial"/>
        </w:rPr>
        <w:t>more recently, the</w:t>
      </w:r>
      <w:r w:rsidRPr="00A24AB0">
        <w:rPr>
          <w:rFonts w:ascii="Aptos" w:eastAsia="Arial" w:hAnsi="Aptos" w:cs="Arial"/>
        </w:rPr>
        <w:t xml:space="preserve"> call for submissions to the inventories of living heritage</w:t>
      </w:r>
      <w:r w:rsidRPr="00A24AB0">
        <w:rPr>
          <w:rFonts w:ascii="Aptos" w:eastAsia="Arial" w:hAnsi="Aptos" w:cs="Arial"/>
        </w:rPr>
        <w:t xml:space="preserve"> in the UK</w:t>
      </w:r>
      <w:r w:rsidRPr="00A24AB0">
        <w:rPr>
          <w:rFonts w:ascii="Aptos" w:eastAsia="Arial" w:hAnsi="Aptos" w:cs="Arial"/>
        </w:rPr>
        <w:t xml:space="preserve">. </w:t>
      </w:r>
    </w:p>
    <w:p w:rsidR="00611166" w:rsidRPr="00E26F91" w:rsidP="4F216CB9">
      <w:pPr>
        <w:rPr>
          <w:rFonts w:ascii="Aptos" w:hAnsi="Aptos"/>
          <w:b/>
          <w:bCs/>
        </w:rPr>
      </w:pPr>
      <w:r w:rsidRPr="4F216CB9">
        <w:rPr>
          <w:rFonts w:ascii="Aptos" w:hAnsi="Aptos"/>
          <w:b/>
          <w:bCs/>
        </w:rPr>
        <w:t>Immigration Policy and Skills Shortages</w:t>
      </w:r>
    </w:p>
    <w:p w:rsidR="00611166" w:rsidRPr="00E26F91" w:rsidP="4F216CB9">
      <w:pPr>
        <w:spacing w:before="80" w:after="120"/>
        <w:rPr>
          <w:rFonts w:ascii="Aptos" w:hAnsi="Aptos"/>
        </w:rPr>
      </w:pPr>
      <w:r w:rsidRPr="00A24AB0">
        <w:rPr>
          <w:rFonts w:ascii="Aptos" w:eastAsia="Arial" w:hAnsi="Aptos" w:cs="Arial"/>
        </w:rPr>
        <w:t xml:space="preserve">Both the tourism sector and the heritage sector require highly skilled labour but face bottlenecks as a result of post-Brexit immigration policies and the limitations of the Migration Advisory Committee’s </w:t>
      </w:r>
      <w:r w:rsidRPr="00A24AB0">
        <w:rPr>
          <w:rFonts w:ascii="Aptos" w:eastAsia="Arial" w:hAnsi="Aptos" w:cs="Arial"/>
        </w:rPr>
        <w:t>Immigration Salary</w:t>
      </w:r>
      <w:r w:rsidRPr="00A24AB0">
        <w:rPr>
          <w:rFonts w:ascii="Aptos" w:eastAsia="Arial" w:hAnsi="Aptos" w:cs="Arial"/>
        </w:rPr>
        <w:t xml:space="preserve"> List. In the sector, the hardest jobs to fill are those involving highly specialist skills or those which require a significant training and certification period. </w:t>
      </w:r>
    </w:p>
    <w:p w:rsidR="00611166" w:rsidRPr="00547CC7" w:rsidP="563F33EE">
      <w:pPr>
        <w:spacing w:before="40" w:after="40"/>
      </w:pPr>
      <w:r w:rsidRPr="00A24AB0">
        <w:rPr>
          <w:rFonts w:ascii="Aptos" w:eastAsia="Arial" w:hAnsi="Aptos" w:cs="Arial"/>
        </w:rPr>
        <w:t xml:space="preserve">Brexit has also had a direct and negative impact on cultural exchange, international student group visits and staff exchange programmes. The Youth Hostel Association, a Heritage Alliance member, has identified the detrimental impact of the absence of a youth mobility scheme on European-wide partnerships. </w:t>
      </w:r>
      <w:r w:rsidRPr="0EAFB10C">
        <w:rPr>
          <w:rFonts w:ascii="Aptos" w:eastAsia="Arial" w:hAnsi="Aptos" w:cs="Arial"/>
        </w:rPr>
        <w:t xml:space="preserve">Visa exemptions for accredited experts and </w:t>
      </w:r>
      <w:r w:rsidRPr="6D41397F">
        <w:rPr>
          <w:rFonts w:ascii="Aptos" w:eastAsia="Arial" w:hAnsi="Aptos" w:cs="Arial"/>
        </w:rPr>
        <w:t xml:space="preserve">academics in </w:t>
      </w:r>
      <w:r w:rsidRPr="16F8D837">
        <w:rPr>
          <w:rFonts w:ascii="Aptos" w:eastAsia="Arial" w:hAnsi="Aptos" w:cs="Arial"/>
        </w:rPr>
        <w:t>heritage</w:t>
      </w:r>
      <w:r w:rsidRPr="6D41397F">
        <w:rPr>
          <w:rFonts w:ascii="Aptos" w:eastAsia="Arial" w:hAnsi="Aptos" w:cs="Arial"/>
        </w:rPr>
        <w:t xml:space="preserve"> fields </w:t>
      </w:r>
      <w:r w:rsidRPr="799071BF">
        <w:rPr>
          <w:rFonts w:ascii="Aptos" w:eastAsia="Arial" w:hAnsi="Aptos" w:cs="Arial"/>
        </w:rPr>
        <w:t xml:space="preserve">would be </w:t>
      </w:r>
      <w:r w:rsidRPr="39CDF021">
        <w:rPr>
          <w:rFonts w:ascii="Aptos" w:eastAsia="Arial" w:hAnsi="Aptos" w:cs="Arial"/>
        </w:rPr>
        <w:t xml:space="preserve">beneficial, as would a review of </w:t>
      </w:r>
      <w:r w:rsidRPr="565454C8">
        <w:rPr>
          <w:rFonts w:ascii="Aptos" w:eastAsia="Arial" w:hAnsi="Aptos" w:cs="Arial"/>
        </w:rPr>
        <w:t xml:space="preserve">immigration </w:t>
      </w:r>
      <w:r w:rsidRPr="2F1A6C99">
        <w:rPr>
          <w:rFonts w:ascii="Aptos" w:eastAsia="Arial" w:hAnsi="Aptos" w:cs="Arial"/>
        </w:rPr>
        <w:t>salary</w:t>
      </w:r>
      <w:r w:rsidRPr="565454C8">
        <w:rPr>
          <w:rFonts w:ascii="Aptos" w:eastAsia="Arial" w:hAnsi="Aptos" w:cs="Arial"/>
        </w:rPr>
        <w:t xml:space="preserve"> lists to </w:t>
      </w:r>
      <w:r w:rsidRPr="621760D9">
        <w:rPr>
          <w:rFonts w:ascii="Aptos" w:eastAsia="Arial" w:hAnsi="Aptos" w:cs="Arial"/>
        </w:rPr>
        <w:t xml:space="preserve">better </w:t>
      </w:r>
      <w:r w:rsidRPr="62CB66F7">
        <w:rPr>
          <w:rFonts w:ascii="Aptos" w:eastAsia="Arial" w:hAnsi="Aptos" w:cs="Arial"/>
        </w:rPr>
        <w:t>reflect</w:t>
      </w:r>
      <w:r w:rsidRPr="621760D9">
        <w:rPr>
          <w:rFonts w:ascii="Aptos" w:eastAsia="Arial" w:hAnsi="Aptos" w:cs="Arial"/>
        </w:rPr>
        <w:t xml:space="preserve"> specialist </w:t>
      </w:r>
      <w:r w:rsidRPr="0284409A">
        <w:rPr>
          <w:rFonts w:ascii="Aptos" w:eastAsia="Arial" w:hAnsi="Aptos" w:cs="Arial"/>
        </w:rPr>
        <w:t xml:space="preserve">heritage sector needs, </w:t>
      </w:r>
      <w:r w:rsidRPr="76EBC413">
        <w:rPr>
          <w:rFonts w:ascii="Aptos" w:eastAsia="Arial" w:hAnsi="Aptos" w:cs="Arial"/>
        </w:rPr>
        <w:t xml:space="preserve">particularly in conservation, </w:t>
      </w:r>
      <w:r w:rsidRPr="1AD7CDF6">
        <w:rPr>
          <w:rFonts w:ascii="Aptos" w:eastAsia="Arial" w:hAnsi="Aptos" w:cs="Arial"/>
        </w:rPr>
        <w:t xml:space="preserve">archaeology, </w:t>
      </w:r>
      <w:r w:rsidRPr="62CB66F7">
        <w:rPr>
          <w:rFonts w:ascii="Aptos" w:eastAsia="Arial" w:hAnsi="Aptos" w:cs="Arial"/>
        </w:rPr>
        <w:t>traditional</w:t>
      </w:r>
      <w:r w:rsidRPr="62CB66F7">
        <w:rPr>
          <w:rFonts w:ascii="Aptos" w:eastAsia="Arial" w:hAnsi="Aptos" w:cs="Arial"/>
        </w:rPr>
        <w:t xml:space="preserve"> </w:t>
      </w:r>
      <w:r w:rsidRPr="62CB66F7">
        <w:rPr>
          <w:rFonts w:ascii="Aptos" w:eastAsia="Arial" w:hAnsi="Aptos" w:cs="Arial"/>
        </w:rPr>
        <w:t>crafts</w:t>
      </w:r>
      <w:r w:rsidRPr="04814319">
        <w:rPr>
          <w:rFonts w:ascii="Aptos" w:eastAsia="Arial" w:hAnsi="Aptos" w:cs="Arial"/>
        </w:rPr>
        <w:t xml:space="preserve">, and heritage </w:t>
      </w:r>
      <w:r w:rsidRPr="7B583EB9">
        <w:rPr>
          <w:rFonts w:ascii="Aptos" w:eastAsia="Arial" w:hAnsi="Aptos" w:cs="Arial"/>
        </w:rPr>
        <w:t xml:space="preserve">building skills. </w:t>
      </w:r>
    </w:p>
    <w:p w:rsidR="00611166" w:rsidP="009D3E73">
      <w:pPr>
        <w:spacing w:before="40" w:after="40"/>
        <w:rPr>
          <w:rFonts w:ascii="Aptos" w:eastAsia="Arial" w:hAnsi="Aptos" w:cs="Arial"/>
        </w:rPr>
      </w:pPr>
      <w:r w:rsidRPr="00366226">
        <w:rPr>
          <w:rFonts w:ascii="Aptos" w:eastAsia="Arial" w:hAnsi="Aptos" w:cs="Arial"/>
        </w:rPr>
        <w:t>G</w:t>
      </w:r>
      <w:r w:rsidRPr="0D156FFD">
        <w:rPr>
          <w:rFonts w:ascii="Aptos" w:eastAsia="Arial" w:hAnsi="Aptos" w:cs="Arial"/>
        </w:rPr>
        <w:t>ive</w:t>
      </w:r>
      <w:r w:rsidRPr="00366226">
        <w:rPr>
          <w:rFonts w:ascii="Aptos" w:eastAsia="Arial" w:hAnsi="Aptos" w:cs="Arial"/>
        </w:rPr>
        <w:t>n th</w:t>
      </w:r>
      <w:r>
        <w:rPr>
          <w:rFonts w:ascii="Aptos" w:eastAsia="Arial" w:hAnsi="Aptos" w:cs="Arial"/>
        </w:rPr>
        <w:t xml:space="preserve">is, </w:t>
      </w:r>
      <w:r w:rsidRPr="00366226">
        <w:rPr>
          <w:rFonts w:ascii="Aptos" w:eastAsia="Arial" w:hAnsi="Aptos" w:cs="Arial"/>
        </w:rPr>
        <w:t xml:space="preserve">The </w:t>
      </w:r>
      <w:r w:rsidRPr="141F0F4B">
        <w:rPr>
          <w:rFonts w:ascii="Aptos" w:eastAsia="Arial" w:hAnsi="Aptos" w:cs="Arial"/>
        </w:rPr>
        <w:t>Heritage</w:t>
      </w:r>
      <w:r w:rsidRPr="00366226">
        <w:rPr>
          <w:rFonts w:ascii="Aptos" w:eastAsia="Arial" w:hAnsi="Aptos" w:cs="Arial"/>
        </w:rPr>
        <w:t xml:space="preserve"> Alliance would like to see </w:t>
      </w:r>
      <w:r w:rsidRPr="00547CC7">
        <w:rPr>
          <w:rFonts w:ascii="Aptos" w:eastAsia="Arial" w:hAnsi="Aptos" w:cs="Arial"/>
          <w:b/>
          <w:bCs/>
        </w:rPr>
        <w:t>reform in the</w:t>
      </w:r>
      <w:r w:rsidRPr="00547CC7">
        <w:rPr>
          <w:rFonts w:ascii="Aptos" w:eastAsia="Arial" w:hAnsi="Aptos" w:cs="Arial"/>
          <w:b/>
          <w:bCs/>
        </w:rPr>
        <w:t xml:space="preserve"> apprenticeship</w:t>
      </w:r>
      <w:r w:rsidRPr="00A24AB0">
        <w:rPr>
          <w:rFonts w:ascii="Aptos" w:eastAsia="Arial" w:hAnsi="Aptos" w:cs="Arial"/>
          <w:b/>
          <w:bCs/>
        </w:rPr>
        <w:t xml:space="preserve"> system </w:t>
      </w:r>
      <w:r w:rsidRPr="00547CC7">
        <w:rPr>
          <w:rFonts w:ascii="Aptos" w:eastAsia="Arial" w:hAnsi="Aptos" w:cs="Arial"/>
        </w:rPr>
        <w:t xml:space="preserve">to better serve small businesses, freelancers and heritage craft practitioners, including </w:t>
      </w:r>
      <w:r w:rsidRPr="00A24AB0">
        <w:rPr>
          <w:rFonts w:ascii="Aptos" w:eastAsia="Arial" w:hAnsi="Aptos" w:cs="Arial"/>
          <w:b/>
          <w:bCs/>
        </w:rPr>
        <w:t xml:space="preserve">greater support for shared apprenticeships and reform of the </w:t>
      </w:r>
      <w:r w:rsidRPr="00A24AB0">
        <w:rPr>
          <w:rFonts w:ascii="Aptos" w:eastAsia="Arial" w:hAnsi="Aptos" w:cs="Arial"/>
          <w:b/>
          <w:bCs/>
        </w:rPr>
        <w:t>Growth and Skills</w:t>
      </w:r>
      <w:r w:rsidRPr="00A24AB0">
        <w:rPr>
          <w:rFonts w:ascii="Aptos" w:eastAsia="Arial" w:hAnsi="Aptos" w:cs="Arial"/>
          <w:b/>
          <w:bCs/>
        </w:rPr>
        <w:t xml:space="preserve"> Levy </w:t>
      </w:r>
      <w:r w:rsidRPr="00547CC7">
        <w:rPr>
          <w:rFonts w:ascii="Aptos" w:eastAsia="Arial" w:hAnsi="Aptos" w:cs="Arial"/>
        </w:rPr>
        <w:t>so that unspent funds can address skills gaps in conservation and heritage crafts.</w:t>
      </w:r>
      <w:bookmarkStart w:id="11" w:name="_Toc230020918"/>
    </w:p>
    <w:p w:rsidR="009D3E73" w:rsidP="009D3E73">
      <w:pPr>
        <w:spacing w:before="40" w:after="40"/>
        <w:rPr>
          <w:rFonts w:ascii="Aptos" w:hAnsi="Aptos" w:cstheme="majorHAnsi"/>
          <w:b/>
          <w:bCs/>
          <w:color w:val="002856" w:themeColor="accent1"/>
          <w:sz w:val="28"/>
          <w:szCs w:val="24"/>
          <w:u w:val="single"/>
        </w:rPr>
      </w:pPr>
    </w:p>
    <w:p w:rsidR="00611166" w:rsidRPr="00A856D2" w:rsidP="4F216CB9">
      <w:pPr>
        <w:pStyle w:val="Heading1"/>
        <w:rPr>
          <w:rFonts w:ascii="Aptos" w:hAnsi="Aptos"/>
          <w:b/>
          <w:bCs/>
        </w:rPr>
      </w:pPr>
      <w:r w:rsidRPr="00A24AB0">
        <w:rPr>
          <w:rFonts w:ascii="Aptos" w:hAnsi="Aptos"/>
          <w:b/>
          <w:bCs/>
        </w:rPr>
        <w:t>Contact Details</w:t>
      </w:r>
      <w:bookmarkEnd w:id="11"/>
    </w:p>
    <w:p w:rsidR="00611166" w:rsidRPr="00A856D2" w:rsidP="4F216CB9">
      <w:pPr>
        <w:pStyle w:val="Subheading1"/>
        <w:rPr>
          <w:rFonts w:ascii="Aptos" w:hAnsi="Aptos"/>
        </w:rPr>
      </w:pPr>
      <w:r w:rsidRPr="4F216CB9">
        <w:rPr>
          <w:rFonts w:ascii="Aptos" w:hAnsi="Aptos"/>
        </w:rPr>
        <w:t>For further information or queries, please contact The Heritage Alliance.</w:t>
      </w:r>
    </w:p>
    <w:p w:rsidR="00611166" w:rsidRPr="00A856D2" w:rsidP="4F216CB9">
      <w:pPr>
        <w:keepNext/>
        <w:rPr>
          <w:rFonts w:ascii="Aptos" w:hAnsi="Aptos"/>
        </w:rPr>
      </w:pPr>
      <w:r w:rsidRPr="4F216CB9">
        <w:rPr>
          <w:rFonts w:ascii="Aptos" w:hAnsi="Aptos"/>
        </w:rPr>
        <w:t>Katy Haigh</w:t>
      </w:r>
      <w:r>
        <w:br/>
      </w:r>
      <w:r w:rsidRPr="4F216CB9">
        <w:rPr>
          <w:rFonts w:ascii="Aptos" w:hAnsi="Aptos"/>
        </w:rPr>
        <w:t xml:space="preserve">Policy Adviser </w:t>
      </w:r>
      <w:r>
        <w:br/>
      </w:r>
      <w:r w:rsidRPr="4F216CB9">
        <w:rPr>
          <w:rFonts w:ascii="Aptos" w:hAnsi="Aptos"/>
        </w:rPr>
        <w:t>The Heritage Alliance</w:t>
      </w:r>
    </w:p>
    <w:p w:rsidR="00611166" w:rsidRPr="00D95382" w:rsidP="009D3E73">
      <w:pPr>
        <w:keepNext/>
      </w:pPr>
      <w:r>
        <w:br/>
      </w:r>
    </w:p>
    <w:sectPr w:rsidSect="00900226">
      <w:headerReference w:type="first" r:id="rId10"/>
      <w:type w:val="continuous"/>
      <w:pgSz w:w="11906" w:h="16838"/>
      <w:pgMar w:top="1260" w:right="1286" w:bottom="1358" w:left="1260" w:header="709"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11166" w:rsidP="00E2217C">
      <w:r>
        <w:separator/>
      </w:r>
    </w:p>
  </w:footnote>
  <w:footnote w:type="continuationSeparator" w:id="1">
    <w:p w:rsidR="00611166" w:rsidP="00E2217C">
      <w:r>
        <w:continuationSeparator/>
      </w:r>
    </w:p>
  </w:footnote>
  <w:footnote w:id="2">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Historic England (2023</w:t>
      </w:r>
      <w:r>
        <w:fldChar w:fldCharType="begin"/>
      </w:r>
      <w:r>
        <w:instrText xml:space="preserve"> HYPERLINK "https://historicengland.org.uk/content/heritage%20counts/pub/2023/heritage-sector-in-england-and-its%20impact-on-the-economy-2023/" </w:instrText>
      </w:r>
      <w:r>
        <w:fldChar w:fldCharType="separate"/>
      </w:r>
      <w:r w:rsidRPr="00547CC7">
        <w:rPr>
          <w:rStyle w:val="Hyperlink"/>
          <w:rFonts w:ascii="Aptos" w:hAnsi="Aptos"/>
          <w:sz w:val="18"/>
          <w:szCs w:val="18"/>
        </w:rPr>
        <w:t>) The Heritage Sector in England and Its Impact on the Economy</w:t>
      </w:r>
      <w:r>
        <w:fldChar w:fldCharType="end"/>
      </w:r>
      <w:r w:rsidRPr="00547CC7">
        <w:rPr>
          <w:rFonts w:ascii="Aptos" w:hAnsi="Aptos"/>
          <w:sz w:val="18"/>
          <w:szCs w:val="18"/>
        </w:rPr>
        <w:t xml:space="preserve"> and Historic England (2020) </w:t>
      </w:r>
      <w:r>
        <w:fldChar w:fldCharType="begin"/>
      </w:r>
      <w:r>
        <w:instrText xml:space="preserve"> HYPERLINK "https://historicengland.org.uk/content/heritage%20counts/pub/2020/heritage-sector-in-england-and-its%20impact-on-the-economy-2020/" </w:instrText>
      </w:r>
      <w:r>
        <w:fldChar w:fldCharType="separate"/>
      </w:r>
      <w:r w:rsidRPr="00547CC7">
        <w:rPr>
          <w:rStyle w:val="Hyperlink"/>
          <w:rFonts w:ascii="Aptos" w:hAnsi="Aptos"/>
          <w:sz w:val="18"/>
          <w:szCs w:val="18"/>
        </w:rPr>
        <w:t>The Heritage Sector in England and Its Impact on the Economy</w:t>
      </w:r>
      <w:r>
        <w:fldChar w:fldCharType="end"/>
      </w:r>
      <w:r w:rsidRPr="00547CC7">
        <w:rPr>
          <w:rFonts w:ascii="Aptos" w:hAnsi="Aptos"/>
          <w:sz w:val="18"/>
          <w:szCs w:val="18"/>
        </w:rPr>
        <w:t xml:space="preserve"> </w:t>
      </w:r>
    </w:p>
  </w:footnote>
  <w:footnote w:id="3">
    <w:p w:rsidR="00611166" w:rsidRPr="00547CC7" w:rsidP="00274546">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VisitBritain (2025) </w:t>
      </w:r>
      <w:r>
        <w:fldChar w:fldCharType="begin"/>
      </w:r>
      <w:r>
        <w:instrText xml:space="preserve"> HYPERLINK "https://www.visitbritain.org/research/visitor-attraction-trends-england-2024" </w:instrText>
      </w:r>
      <w:r>
        <w:fldChar w:fldCharType="separate"/>
      </w:r>
      <w:r w:rsidRPr="00547CC7">
        <w:rPr>
          <w:rStyle w:val="Hyperlink"/>
          <w:rFonts w:ascii="Aptos" w:hAnsi="Aptos"/>
          <w:sz w:val="18"/>
          <w:szCs w:val="18"/>
        </w:rPr>
        <w:t>Visitor Attraction Trends in England 2024</w:t>
      </w:r>
      <w:r>
        <w:fldChar w:fldCharType="end"/>
      </w:r>
      <w:r w:rsidRPr="00547CC7">
        <w:rPr>
          <w:rFonts w:ascii="Aptos" w:hAnsi="Aptos"/>
          <w:sz w:val="18"/>
          <w:szCs w:val="18"/>
        </w:rPr>
        <w:t xml:space="preserve"> </w:t>
      </w:r>
    </w:p>
  </w:footnote>
  <w:footnote w:id="4">
    <w:p w:rsidR="00611166" w:rsidRPr="00547CC7" w:rsidP="00274546">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UK World Heritage (2019) </w:t>
      </w:r>
      <w:r>
        <w:fldChar w:fldCharType="begin"/>
      </w:r>
      <w:r>
        <w:instrText xml:space="preserve"> HYPERLINK "https://unesco.org.uk/resources/whuk-uk-world-heritage-asset-for-the-future-a-review-of-the-state-of-uk-world-heritage-sites-summary-report" </w:instrText>
      </w:r>
      <w:r>
        <w:fldChar w:fldCharType="separate"/>
      </w:r>
      <w:r w:rsidRPr="00547CC7">
        <w:rPr>
          <w:rStyle w:val="Hyperlink"/>
          <w:rFonts w:ascii="Aptos" w:hAnsi="Aptos"/>
          <w:sz w:val="18"/>
          <w:szCs w:val="18"/>
        </w:rPr>
        <w:t>Asset for the Future, World Heritage UK</w:t>
      </w:r>
      <w:r>
        <w:fldChar w:fldCharType="end"/>
      </w:r>
    </w:p>
  </w:footnote>
  <w:footnote w:id="5">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w:t>
      </w:r>
      <w:r w:rsidRPr="00547CC7">
        <w:rPr>
          <w:rFonts w:ascii="Aptos" w:hAnsi="Aptos"/>
          <w:sz w:val="18"/>
          <w:szCs w:val="18"/>
        </w:rPr>
        <w:t xml:space="preserve">Tourism Alliance (2025) </w:t>
      </w:r>
      <w:r>
        <w:fldChar w:fldCharType="begin"/>
      </w:r>
      <w:r>
        <w:instrText xml:space="preserve"> HYPERLINK "https://tourismalliance.com/uk-tourism-facts-and-figures-2025-report" </w:instrText>
      </w:r>
      <w:r>
        <w:fldChar w:fldCharType="separate"/>
      </w:r>
      <w:r w:rsidRPr="00547CC7">
        <w:rPr>
          <w:rStyle w:val="Hyperlink"/>
          <w:rFonts w:ascii="Aptos" w:hAnsi="Aptos"/>
          <w:sz w:val="18"/>
          <w:szCs w:val="18"/>
        </w:rPr>
        <w:t>UK Tourism Facts &amp; Figures</w:t>
      </w:r>
      <w:r>
        <w:fldChar w:fldCharType="end"/>
      </w:r>
    </w:p>
  </w:footnote>
  <w:footnote w:id="6">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Tourism Alliance (2023) </w:t>
      </w:r>
      <w:r>
        <w:fldChar w:fldCharType="begin"/>
      </w:r>
      <w:r>
        <w:instrText xml:space="preserve"> HYPERLINK "https://tourismalliance.com/wp-content/uploads/2023/09/Tourism-Alliance-Tourism-Taxation-Report-FINAL-FOR-PUBLICATION.pdf" </w:instrText>
      </w:r>
      <w:r>
        <w:fldChar w:fldCharType="separate"/>
      </w:r>
      <w:r w:rsidRPr="00547CC7">
        <w:rPr>
          <w:rStyle w:val="Hyperlink"/>
          <w:rFonts w:ascii="Aptos" w:hAnsi="Aptos"/>
          <w:sz w:val="18"/>
          <w:szCs w:val="18"/>
        </w:rPr>
        <w:t>Taxing Tourists: The UK vs Competitor Destinations</w:t>
      </w:r>
      <w:r>
        <w:fldChar w:fldCharType="end"/>
      </w:r>
    </w:p>
  </w:footnote>
  <w:footnote w:id="7">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w:t>
      </w:r>
      <w:r w:rsidRPr="00547CC7">
        <w:rPr>
          <w:rFonts w:ascii="Aptos" w:hAnsi="Aptos"/>
          <w:sz w:val="18"/>
          <w:szCs w:val="18"/>
        </w:rPr>
        <w:t xml:space="preserve">Historic England (2024) </w:t>
      </w:r>
      <w:r>
        <w:fldChar w:fldCharType="begin"/>
      </w:r>
      <w:r>
        <w:instrText xml:space="preserve"> HYPERLINK "https://historicengland.org.uk/research/heritage-counts/heritage-and-economy/visitor-economy/" </w:instrText>
      </w:r>
      <w:r>
        <w:fldChar w:fldCharType="separate"/>
      </w:r>
      <w:r w:rsidRPr="00547CC7">
        <w:rPr>
          <w:rStyle w:val="Hyperlink"/>
          <w:rFonts w:ascii="Aptos" w:hAnsi="Aptos"/>
          <w:sz w:val="18"/>
          <w:szCs w:val="18"/>
        </w:rPr>
        <w:t>The Contribution of the Heritage Sector to the Visitor Economy</w:t>
      </w:r>
      <w:r>
        <w:fldChar w:fldCharType="end"/>
      </w:r>
    </w:p>
  </w:footnote>
  <w:footnote w:id="8">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VisitBritain (2025) </w:t>
      </w:r>
      <w:r>
        <w:fldChar w:fldCharType="begin"/>
      </w:r>
      <w:r>
        <w:instrText xml:space="preserve"> HYPERLINK "https://www.visitbritain.org/research/visitor-attraction-trends-england-2024" </w:instrText>
      </w:r>
      <w:r>
        <w:fldChar w:fldCharType="separate"/>
      </w:r>
      <w:r w:rsidRPr="00547CC7">
        <w:rPr>
          <w:rStyle w:val="Hyperlink"/>
          <w:rFonts w:ascii="Aptos" w:hAnsi="Aptos"/>
          <w:sz w:val="18"/>
          <w:szCs w:val="18"/>
        </w:rPr>
        <w:t>Visitor Attraction Trends in England 2024</w:t>
      </w:r>
      <w:r>
        <w:fldChar w:fldCharType="end"/>
      </w:r>
      <w:r w:rsidRPr="00547CC7">
        <w:rPr>
          <w:rFonts w:ascii="Aptos" w:hAnsi="Aptos"/>
          <w:sz w:val="18"/>
          <w:szCs w:val="18"/>
        </w:rPr>
        <w:t xml:space="preserve"> </w:t>
      </w:r>
    </w:p>
  </w:footnote>
  <w:footnote w:id="9">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UK World Heritage (2019) </w:t>
      </w:r>
      <w:r>
        <w:fldChar w:fldCharType="begin"/>
      </w:r>
      <w:r>
        <w:instrText xml:space="preserve"> HYPERLINK "https://unesco.org.uk/resources/whuk-uk-world-heritage-asset-for-the-future-a-review-of-the-state-of-uk-world-heritage-sites-summary-report" </w:instrText>
      </w:r>
      <w:r>
        <w:fldChar w:fldCharType="separate"/>
      </w:r>
      <w:r w:rsidRPr="00547CC7">
        <w:rPr>
          <w:rStyle w:val="Hyperlink"/>
          <w:rFonts w:ascii="Aptos" w:hAnsi="Aptos"/>
          <w:sz w:val="18"/>
          <w:szCs w:val="18"/>
        </w:rPr>
        <w:t>Asset for the Future, World Heritage UK</w:t>
      </w:r>
      <w:r>
        <w:fldChar w:fldCharType="end"/>
      </w:r>
    </w:p>
  </w:footnote>
  <w:footnote w:id="10">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w:t>
      </w:r>
      <w:r w:rsidRPr="00547CC7">
        <w:rPr>
          <w:rFonts w:ascii="Aptos" w:hAnsi="Aptos"/>
          <w:sz w:val="18"/>
          <w:szCs w:val="18"/>
        </w:rPr>
        <w:t> University of the Arts London (2024</w:t>
      </w:r>
      <w:r>
        <w:fldChar w:fldCharType="begin"/>
      </w:r>
      <w:r>
        <w:instrText xml:space="preserve"> HYPERLINK "https://www.arts.ac.uk/__data/assets/pdf_file/0024/436047/UAL_EA_Fullreport.pdf" </w:instrText>
      </w:r>
      <w:r>
        <w:fldChar w:fldCharType="separate"/>
      </w:r>
      <w:r w:rsidRPr="00547CC7">
        <w:rPr>
          <w:rStyle w:val="Hyperlink"/>
          <w:rFonts w:ascii="Aptos" w:hAnsi="Aptos"/>
          <w:sz w:val="18"/>
          <w:szCs w:val="18"/>
        </w:rPr>
        <w:t>) Keeping the UK’s creative industries globally competitive</w:t>
      </w:r>
      <w:r>
        <w:fldChar w:fldCharType="end"/>
      </w:r>
    </w:p>
  </w:footnote>
  <w:footnote w:id="11">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Old Royal Naval College, </w:t>
      </w:r>
      <w:r>
        <w:fldChar w:fldCharType="begin"/>
      </w:r>
      <w:r>
        <w:instrText xml:space="preserve"> HYPERLINK "https://ornc.org/films-tv-productions/" </w:instrText>
      </w:r>
      <w:r>
        <w:fldChar w:fldCharType="separate"/>
      </w:r>
      <w:r w:rsidRPr="00547CC7">
        <w:rPr>
          <w:rStyle w:val="Hyperlink"/>
          <w:rFonts w:ascii="Aptos" w:hAnsi="Aptos"/>
          <w:sz w:val="18"/>
          <w:szCs w:val="18"/>
        </w:rPr>
        <w:t>Film &amp; TV Productions</w:t>
      </w:r>
      <w:r>
        <w:fldChar w:fldCharType="end"/>
      </w:r>
      <w:r w:rsidRPr="00547CC7">
        <w:rPr>
          <w:rFonts w:ascii="Aptos" w:hAnsi="Aptos"/>
          <w:sz w:val="18"/>
          <w:szCs w:val="18"/>
        </w:rPr>
        <w:t xml:space="preserve"> </w:t>
      </w:r>
    </w:p>
  </w:footnote>
  <w:footnote w:id="12">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w:t>
      </w:r>
      <w:r w:rsidRPr="00547CC7">
        <w:rPr>
          <w:rFonts w:ascii="Aptos" w:hAnsi="Aptos"/>
          <w:sz w:val="18"/>
          <w:szCs w:val="18"/>
        </w:rPr>
        <w:t xml:space="preserve">British Film Institute (2021) </w:t>
      </w:r>
      <w:r>
        <w:fldChar w:fldCharType="begin"/>
      </w:r>
      <w:r>
        <w:instrText xml:space="preserve"> HYPERLINK "https://www.bfi.org.uk/news/screen-business-report" </w:instrText>
      </w:r>
      <w:r>
        <w:fldChar w:fldCharType="separate"/>
      </w:r>
      <w:r w:rsidRPr="00547CC7">
        <w:rPr>
          <w:rStyle w:val="Hyperlink"/>
          <w:rFonts w:ascii="Aptos" w:hAnsi="Aptos"/>
          <w:sz w:val="18"/>
          <w:szCs w:val="18"/>
        </w:rPr>
        <w:t>Screen Business</w:t>
      </w:r>
      <w:r>
        <w:fldChar w:fldCharType="end"/>
      </w:r>
      <w:r w:rsidRPr="00547CC7">
        <w:rPr>
          <w:rFonts w:ascii="Aptos" w:hAnsi="Aptos"/>
          <w:sz w:val="18"/>
          <w:szCs w:val="18"/>
        </w:rPr>
        <w:t xml:space="preserve"> </w:t>
      </w:r>
    </w:p>
  </w:footnote>
  <w:footnote w:id="13">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Style w:val="FootnoteReference"/>
          <w:rFonts w:ascii="Aptos" w:hAnsi="Aptos"/>
          <w:sz w:val="18"/>
          <w:szCs w:val="18"/>
        </w:rPr>
        <w:t xml:space="preserve"> VisitBritain (2024) </w:t>
      </w:r>
      <w:r>
        <w:fldChar w:fldCharType="begin"/>
      </w:r>
      <w:r>
        <w:instrText xml:space="preserve"> HYPERLINK "https://www.visitbritain.org/research-insights/screen-tourism" </w:instrText>
      </w:r>
      <w:r>
        <w:fldChar w:fldCharType="separate"/>
      </w:r>
      <w:r w:rsidRPr="00547CC7">
        <w:rPr>
          <w:rStyle w:val="Hyperlink"/>
          <w:rFonts w:ascii="Aptos" w:hAnsi="Aptos"/>
          <w:sz w:val="18"/>
          <w:szCs w:val="18"/>
        </w:rPr>
        <w:t>Influence of Film &amp; TV on travel to UK</w:t>
      </w:r>
      <w:r>
        <w:fldChar w:fldCharType="end"/>
      </w:r>
    </w:p>
  </w:footnote>
  <w:footnote w:id="14">
    <w:p w:rsidR="00611166" w:rsidRPr="00547CC7" w:rsidP="005123C4">
      <w:pPr>
        <w:pStyle w:val="FootnoteText"/>
        <w:jc w:val="both"/>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w:t>
      </w:r>
      <w:r w:rsidRPr="00547CC7">
        <w:rPr>
          <w:rFonts w:ascii="Aptos" w:hAnsi="Aptos"/>
          <w:sz w:val="18"/>
          <w:szCs w:val="18"/>
        </w:rPr>
        <w:t xml:space="preserve">Historic England (2023) </w:t>
      </w:r>
      <w:r>
        <w:fldChar w:fldCharType="begin"/>
      </w:r>
      <w:r>
        <w:instrText xml:space="preserve"> HYPERLINK "https://historicengland.org.uk/research/heritage-counts/heritage-and-economy/visitor-economy/" </w:instrText>
      </w:r>
      <w:r>
        <w:fldChar w:fldCharType="separate"/>
      </w:r>
      <w:r w:rsidRPr="00547CC7">
        <w:rPr>
          <w:rStyle w:val="Hyperlink"/>
          <w:rFonts w:ascii="Aptos" w:hAnsi="Aptos"/>
          <w:sz w:val="18"/>
          <w:szCs w:val="18"/>
        </w:rPr>
        <w:t>Heritage and the Visitor Economy</w:t>
      </w:r>
      <w:r>
        <w:fldChar w:fldCharType="end"/>
      </w:r>
      <w:r w:rsidRPr="00547CC7">
        <w:rPr>
          <w:rFonts w:ascii="Aptos" w:hAnsi="Aptos"/>
          <w:sz w:val="18"/>
          <w:szCs w:val="18"/>
        </w:rPr>
        <w:t xml:space="preserve"> and Historic England (2023) </w:t>
      </w:r>
      <w:r>
        <w:fldChar w:fldCharType="begin"/>
      </w:r>
      <w:r>
        <w:instrText xml:space="preserve"> HYPERLINK "https://historicengland.org.uk/content/heritage-counts/pub/2023/heritage-sector-in-england-and-its-impact-on-the-economy-2023/" </w:instrText>
      </w:r>
      <w:r>
        <w:fldChar w:fldCharType="separate"/>
      </w:r>
      <w:r w:rsidRPr="00547CC7">
        <w:rPr>
          <w:rStyle w:val="Hyperlink"/>
          <w:rFonts w:ascii="Aptos" w:hAnsi="Aptos"/>
          <w:sz w:val="18"/>
          <w:szCs w:val="18"/>
        </w:rPr>
        <w:t>The heritage sector and its impact on the economy</w:t>
      </w:r>
      <w:r>
        <w:fldChar w:fldCharType="end"/>
      </w:r>
      <w:r w:rsidRPr="00547CC7">
        <w:rPr>
          <w:rFonts w:ascii="Aptos" w:hAnsi="Aptos"/>
          <w:sz w:val="18"/>
          <w:szCs w:val="18"/>
        </w:rPr>
        <w:t xml:space="preserve"> </w:t>
      </w:r>
    </w:p>
  </w:footnote>
  <w:footnote w:id="15">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Historic Houses (2023) </w:t>
      </w:r>
      <w:r>
        <w:fldChar w:fldCharType="begin"/>
      </w:r>
      <w:r>
        <w:instrText xml:space="preserve"> HYPERLINK "https://cdn.historichouses.org/app/uploads/2023/10/changing-times-valuing-history-embargoed-17-oct.pdf" </w:instrText>
      </w:r>
      <w:r>
        <w:fldChar w:fldCharType="separate"/>
      </w:r>
      <w:r w:rsidRPr="00547CC7">
        <w:rPr>
          <w:rStyle w:val="Hyperlink"/>
          <w:rFonts w:ascii="Aptos" w:hAnsi="Aptos"/>
          <w:sz w:val="18"/>
          <w:szCs w:val="18"/>
        </w:rPr>
        <w:t>Changing Times, Valuing History</w:t>
      </w:r>
      <w:r>
        <w:fldChar w:fldCharType="end"/>
      </w:r>
      <w:r w:rsidRPr="00547CC7">
        <w:rPr>
          <w:rFonts w:ascii="Aptos" w:hAnsi="Aptos"/>
          <w:sz w:val="18"/>
          <w:szCs w:val="18"/>
        </w:rPr>
        <w:t xml:space="preserve"> </w:t>
      </w:r>
    </w:p>
  </w:footnote>
  <w:footnote w:id="16">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HM Government (2026) </w:t>
      </w:r>
      <w:r>
        <w:fldChar w:fldCharType="begin"/>
      </w:r>
      <w:r>
        <w:instrText xml:space="preserve"> HYPERLINK "https://www.gov.uk/government/publications/englands-cultural-infrastructure-repair-maintenance-and-renewal" </w:instrText>
      </w:r>
      <w:r>
        <w:fldChar w:fldCharType="separate"/>
      </w:r>
      <w:r w:rsidRPr="00547CC7">
        <w:rPr>
          <w:rStyle w:val="Hyperlink"/>
          <w:rFonts w:ascii="Aptos" w:hAnsi="Aptos"/>
          <w:sz w:val="18"/>
          <w:szCs w:val="18"/>
        </w:rPr>
        <w:t>England's Cultural Infrastructure: Repair, Maintenance and Renewal</w:t>
      </w:r>
      <w:r>
        <w:fldChar w:fldCharType="end"/>
      </w:r>
    </w:p>
  </w:footnote>
  <w:footnote w:id="17">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Historic Houses (2025) </w:t>
      </w:r>
      <w:r>
        <w:fldChar w:fldCharType="begin"/>
      </w:r>
      <w:r>
        <w:instrText xml:space="preserve"> HYPERLINK "https://www.historichouses.org/understanding-the-impact-of-the-covid-19-culture-recovery-fund/" </w:instrText>
      </w:r>
      <w:r>
        <w:fldChar w:fldCharType="separate"/>
      </w:r>
      <w:r w:rsidRPr="00547CC7">
        <w:rPr>
          <w:rStyle w:val="Hyperlink"/>
          <w:rFonts w:ascii="Aptos" w:hAnsi="Aptos"/>
          <w:sz w:val="18"/>
          <w:szCs w:val="18"/>
        </w:rPr>
        <w:t>Understanding the Impact of the COVID-19 Culture Recovery Fund</w:t>
      </w:r>
      <w:r>
        <w:fldChar w:fldCharType="end"/>
      </w:r>
    </w:p>
  </w:footnote>
  <w:footnote w:id="18">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Historic England (2025) </w:t>
      </w:r>
      <w:r>
        <w:fldChar w:fldCharType="begin"/>
      </w:r>
      <w:r>
        <w:instrText xml:space="preserve"> HYPERLINK "https://historicengland.org.uk/research/heritage-counts/indicator-data/funding-resources/" </w:instrText>
      </w:r>
      <w:r>
        <w:fldChar w:fldCharType="separate"/>
      </w:r>
      <w:r w:rsidRPr="00547CC7">
        <w:rPr>
          <w:rStyle w:val="Hyperlink"/>
          <w:rFonts w:ascii="Aptos" w:hAnsi="Aptos"/>
          <w:sz w:val="18"/>
          <w:szCs w:val="18"/>
        </w:rPr>
        <w:t>Funding Indicator Data</w:t>
      </w:r>
      <w:r>
        <w:fldChar w:fldCharType="end"/>
      </w:r>
      <w:r w:rsidRPr="00547CC7">
        <w:rPr>
          <w:rFonts w:ascii="Aptos" w:hAnsi="Aptos"/>
          <w:sz w:val="18"/>
          <w:szCs w:val="18"/>
        </w:rPr>
        <w:t>, figs. FUN 3.3, 3.4a and 3.4b</w:t>
      </w:r>
    </w:p>
  </w:footnote>
  <w:footnote w:id="19">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w:t>
      </w:r>
      <w:r w:rsidRPr="00547CC7">
        <w:rPr>
          <w:rFonts w:ascii="Aptos" w:hAnsi="Aptos"/>
          <w:sz w:val="18"/>
          <w:szCs w:val="18"/>
        </w:rPr>
        <w:t xml:space="preserve">VisitBritain (2026) </w:t>
      </w:r>
      <w:r>
        <w:fldChar w:fldCharType="begin"/>
      </w:r>
      <w:r>
        <w:instrText xml:space="preserve"> HYPERLINK "https://www.visitbritain.org/research-insights/economic-value-tourism" </w:instrText>
      </w:r>
      <w:r>
        <w:fldChar w:fldCharType="separate"/>
      </w:r>
      <w:r w:rsidRPr="00547CC7">
        <w:rPr>
          <w:rStyle w:val="Hyperlink"/>
          <w:rFonts w:ascii="Aptos" w:hAnsi="Aptos"/>
          <w:sz w:val="18"/>
          <w:szCs w:val="18"/>
        </w:rPr>
        <w:t>Economic Value of Tourism</w:t>
      </w:r>
      <w:r>
        <w:fldChar w:fldCharType="end"/>
      </w:r>
      <w:r w:rsidRPr="00547CC7">
        <w:rPr>
          <w:rFonts w:ascii="Aptos" w:hAnsi="Aptos"/>
          <w:sz w:val="18"/>
          <w:szCs w:val="18"/>
        </w:rPr>
        <w:t xml:space="preserve"> </w:t>
      </w:r>
    </w:p>
  </w:footnote>
  <w:footnote w:id="20">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HM Government (27 November 2024) </w:t>
      </w:r>
      <w:r>
        <w:fldChar w:fldCharType="begin"/>
      </w:r>
      <w:r>
        <w:instrText xml:space="preserve"> HYPERLINK "https://www.gov.uk/government/news/new-ambition-for-50-million-annual-visits-to-uk-announced-by-tourism-minister" </w:instrText>
      </w:r>
      <w:r>
        <w:fldChar w:fldCharType="separate"/>
      </w:r>
      <w:r w:rsidRPr="00547CC7">
        <w:rPr>
          <w:rStyle w:val="Hyperlink"/>
          <w:rFonts w:ascii="Aptos" w:hAnsi="Aptos"/>
          <w:sz w:val="18"/>
          <w:szCs w:val="18"/>
        </w:rPr>
        <w:t xml:space="preserve">New Ambition for 50 </w:t>
      </w:r>
      <w:r w:rsidRPr="00547CC7">
        <w:rPr>
          <w:rStyle w:val="Hyperlink"/>
          <w:rFonts w:ascii="Aptos" w:hAnsi="Aptos"/>
          <w:sz w:val="18"/>
          <w:szCs w:val="18"/>
        </w:rPr>
        <w:t>Million</w:t>
      </w:r>
      <w:r w:rsidRPr="00547CC7">
        <w:rPr>
          <w:rStyle w:val="Hyperlink"/>
          <w:rFonts w:ascii="Aptos" w:hAnsi="Aptos"/>
          <w:sz w:val="18"/>
          <w:szCs w:val="18"/>
        </w:rPr>
        <w:t xml:space="preserve"> Annual Visits to UK Announced by Tourism Minister</w:t>
      </w:r>
      <w:r>
        <w:fldChar w:fldCharType="end"/>
      </w:r>
    </w:p>
  </w:footnote>
  <w:footnote w:id="21">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w:t>
      </w:r>
      <w:r w:rsidRPr="00547CC7">
        <w:rPr>
          <w:rFonts w:ascii="Aptos" w:hAnsi="Aptos"/>
          <w:sz w:val="18"/>
          <w:szCs w:val="18"/>
        </w:rPr>
        <w:t xml:space="preserve">Tourism Alliance (2025) </w:t>
      </w:r>
      <w:r>
        <w:fldChar w:fldCharType="begin"/>
      </w:r>
      <w:r>
        <w:instrText xml:space="preserve"> HYPERLINK "https://tourismalliance.com/uk-tourism-facts-and-figures-2025-report" </w:instrText>
      </w:r>
      <w:r>
        <w:fldChar w:fldCharType="separate"/>
      </w:r>
      <w:r w:rsidRPr="00547CC7">
        <w:rPr>
          <w:rStyle w:val="Hyperlink"/>
          <w:rFonts w:ascii="Aptos" w:hAnsi="Aptos"/>
          <w:sz w:val="18"/>
          <w:szCs w:val="18"/>
        </w:rPr>
        <w:t>UK Tourism Facts &amp; Figures</w:t>
      </w:r>
      <w:r>
        <w:fldChar w:fldCharType="end"/>
      </w:r>
    </w:p>
  </w:footnote>
  <w:footnote w:id="22">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w:t>
      </w:r>
      <w:r w:rsidRPr="00547CC7">
        <w:rPr>
          <w:rFonts w:ascii="Aptos" w:hAnsi="Aptos"/>
          <w:sz w:val="18"/>
          <w:szCs w:val="18"/>
        </w:rPr>
        <w:t xml:space="preserve">Tourism Alliance (2023) </w:t>
      </w:r>
      <w:r>
        <w:fldChar w:fldCharType="begin"/>
      </w:r>
      <w:r>
        <w:instrText xml:space="preserve"> HYPERLINK "https://tourismalliance.com/wp-content/uploads/2023/09/Tourism-Alliance-Tourism-Taxation-Report-FINAL-FOR-PUBLICATION.pdf" </w:instrText>
      </w:r>
      <w:r>
        <w:fldChar w:fldCharType="separate"/>
      </w:r>
      <w:r w:rsidRPr="00547CC7">
        <w:rPr>
          <w:rStyle w:val="Hyperlink"/>
          <w:rFonts w:ascii="Aptos" w:hAnsi="Aptos"/>
          <w:sz w:val="18"/>
          <w:szCs w:val="18"/>
        </w:rPr>
        <w:t>Taxing Tourists: The UK vs Competitor Destinations</w:t>
      </w:r>
      <w:r>
        <w:fldChar w:fldCharType="end"/>
      </w:r>
    </w:p>
  </w:footnote>
  <w:footnote w:id="23">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Welsh Government (2024) </w:t>
      </w:r>
      <w:r>
        <w:fldChar w:fldCharType="begin"/>
      </w:r>
      <w:r>
        <w:instrText xml:space="preserve"> HYPERLINK "https://www.gov.wales/sites/default/files/publications/2025-06/the-potential-economic-and-greenhouse-gas-impacts-of-a-visitor-levy-in-wales-revised-analysis_0.pdf" </w:instrText>
      </w:r>
      <w:r>
        <w:fldChar w:fldCharType="separate"/>
      </w:r>
      <w:r w:rsidRPr="00547CC7">
        <w:rPr>
          <w:rStyle w:val="Hyperlink"/>
          <w:rFonts w:ascii="Aptos" w:hAnsi="Aptos"/>
          <w:sz w:val="18"/>
          <w:szCs w:val="18"/>
        </w:rPr>
        <w:t>The Potential Economic and GHG Impacts of a Visitor Levy in Wales</w:t>
      </w:r>
      <w:r>
        <w:fldChar w:fldCharType="end"/>
      </w:r>
    </w:p>
  </w:footnote>
  <w:footnote w:id="24">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House of Commons (2026) </w:t>
      </w:r>
      <w:r>
        <w:fldChar w:fldCharType="begin"/>
      </w:r>
      <w:r>
        <w:instrText xml:space="preserve"> HYPERLINK "https://researchbriefings.files.parliament.uk/documents/CBP-10333/CBP-10333.pdf" </w:instrText>
      </w:r>
      <w:r>
        <w:fldChar w:fldCharType="separate"/>
      </w:r>
      <w:r w:rsidRPr="00547CC7">
        <w:rPr>
          <w:rStyle w:val="Hyperlink"/>
          <w:rFonts w:ascii="Aptos" w:hAnsi="Aptos"/>
          <w:sz w:val="18"/>
          <w:szCs w:val="18"/>
        </w:rPr>
        <w:t>Hospitality: Statistics and Policy</w:t>
      </w:r>
      <w:r>
        <w:fldChar w:fldCharType="end"/>
      </w:r>
    </w:p>
  </w:footnote>
  <w:footnote w:id="25">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ALVA (202</w:t>
      </w:r>
      <w:r w:rsidRPr="00547CC7">
        <w:rPr>
          <w:rFonts w:ascii="Aptos" w:hAnsi="Aptos"/>
          <w:sz w:val="18"/>
          <w:szCs w:val="18"/>
        </w:rPr>
        <w:t>5</w:t>
      </w:r>
      <w:r w:rsidRPr="00547CC7">
        <w:rPr>
          <w:rFonts w:ascii="Aptos" w:hAnsi="Aptos"/>
          <w:sz w:val="18"/>
          <w:szCs w:val="18"/>
        </w:rPr>
        <w:t xml:space="preserve">) </w:t>
      </w:r>
      <w:r>
        <w:fldChar w:fldCharType="begin"/>
      </w:r>
      <w:r>
        <w:instrText xml:space="preserve"> HYPERLINK "https://www.alva.org.uk/details.cfm?p=423" </w:instrText>
      </w:r>
      <w:r>
        <w:fldChar w:fldCharType="separate"/>
      </w:r>
      <w:r w:rsidRPr="00547CC7">
        <w:rPr>
          <w:rStyle w:val="Hyperlink"/>
          <w:rFonts w:ascii="Aptos" w:hAnsi="Aptos"/>
          <w:sz w:val="18"/>
          <w:szCs w:val="18"/>
        </w:rPr>
        <w:t xml:space="preserve">Visitor </w:t>
      </w:r>
      <w:r w:rsidRPr="00547CC7">
        <w:rPr>
          <w:rStyle w:val="Hyperlink"/>
          <w:rFonts w:ascii="Aptos" w:hAnsi="Aptos"/>
          <w:sz w:val="18"/>
          <w:szCs w:val="18"/>
        </w:rPr>
        <w:t>Figures</w:t>
      </w:r>
      <w:r>
        <w:fldChar w:fldCharType="end"/>
      </w:r>
      <w:r w:rsidRPr="00547CC7">
        <w:rPr>
          <w:rFonts w:ascii="Aptos" w:hAnsi="Aptos"/>
          <w:sz w:val="18"/>
          <w:szCs w:val="18"/>
        </w:rPr>
        <w:t xml:space="preserve"> </w:t>
      </w:r>
    </w:p>
  </w:footnote>
  <w:footnote w:id="26">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The Audience Agency (2023) </w:t>
      </w:r>
      <w:r>
        <w:fldChar w:fldCharType="begin"/>
      </w:r>
      <w:r>
        <w:instrText xml:space="preserve"> HYPERLINK "https://evidence.audienceanswers.org/en/evidence/cultural-participation-monitor/wave-8-mar-2023-cost-living-social-media-support" </w:instrText>
      </w:r>
      <w:r>
        <w:fldChar w:fldCharType="separate"/>
      </w:r>
      <w:r w:rsidRPr="00547CC7">
        <w:rPr>
          <w:rStyle w:val="Hyperlink"/>
          <w:rFonts w:ascii="Aptos" w:hAnsi="Aptos"/>
          <w:sz w:val="18"/>
          <w:szCs w:val="18"/>
        </w:rPr>
        <w:t>Cultural Participation Monitor</w:t>
      </w:r>
      <w:r>
        <w:fldChar w:fldCharType="end"/>
      </w:r>
    </w:p>
  </w:footnote>
  <w:footnote w:id="27">
    <w:p w:rsidR="00611166" w:rsidRPr="00547CC7" w:rsidP="00F05990">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The Audience Agency (2023) </w:t>
      </w:r>
      <w:r>
        <w:fldChar w:fldCharType="begin"/>
      </w:r>
      <w:r>
        <w:instrText xml:space="preserve"> HYPERLINK "https://evidence.audienceanswers.org/en/evidence/cultural-participation-monitor/wave-8-mar-2023-cost-living-social-media-support" </w:instrText>
      </w:r>
      <w:r>
        <w:fldChar w:fldCharType="separate"/>
      </w:r>
      <w:r w:rsidRPr="00547CC7">
        <w:rPr>
          <w:rStyle w:val="Hyperlink"/>
          <w:rFonts w:ascii="Aptos" w:hAnsi="Aptos"/>
          <w:sz w:val="18"/>
          <w:szCs w:val="18"/>
        </w:rPr>
        <w:t>Cultural Participation Monitor</w:t>
      </w:r>
      <w:r>
        <w:fldChar w:fldCharType="end"/>
      </w:r>
    </w:p>
  </w:footnote>
  <w:footnote w:id="28">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VisitBritain (2024) </w:t>
      </w:r>
      <w:r>
        <w:fldChar w:fldCharType="begin"/>
      </w:r>
      <w:r>
        <w:instrText xml:space="preserve"> HYPERLINK "https://www.visitbritain.org/media/3194/" </w:instrText>
      </w:r>
      <w:r>
        <w:fldChar w:fldCharType="separate"/>
      </w:r>
      <w:r w:rsidRPr="00547CC7">
        <w:rPr>
          <w:rStyle w:val="Hyperlink"/>
          <w:rFonts w:ascii="Aptos" w:hAnsi="Aptos"/>
          <w:sz w:val="18"/>
          <w:szCs w:val="18"/>
        </w:rPr>
        <w:t>Domestic Sentiment Tracker Report</w:t>
      </w:r>
      <w:r>
        <w:fldChar w:fldCharType="end"/>
      </w:r>
    </w:p>
  </w:footnote>
  <w:footnote w:id="29">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National Foundation for Educational Research (2023) </w:t>
      </w:r>
      <w:r>
        <w:fldChar w:fldCharType="begin"/>
      </w:r>
      <w:r>
        <w:instrText xml:space="preserve"> HYPERLINK "https://www.nfer.ac.uk/publications/cost-of-living-crisis-impact-on-schools/" </w:instrText>
      </w:r>
      <w:r>
        <w:fldChar w:fldCharType="separate"/>
      </w:r>
      <w:r w:rsidRPr="00547CC7">
        <w:rPr>
          <w:rStyle w:val="Hyperlink"/>
          <w:rFonts w:ascii="Aptos" w:hAnsi="Aptos"/>
          <w:sz w:val="18"/>
          <w:szCs w:val="18"/>
        </w:rPr>
        <w:t>Cost-of Living Crisis: Impact on Schools</w:t>
      </w:r>
      <w:r>
        <w:fldChar w:fldCharType="end"/>
      </w:r>
    </w:p>
  </w:footnote>
  <w:footnote w:id="30">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English Heritage (2023) </w:t>
      </w:r>
      <w:r>
        <w:fldChar w:fldCharType="begin"/>
      </w:r>
      <w:r>
        <w:instrText xml:space="preserve"> HYPERLINK "https://www.english-heritage.org.uk/about/search-news/pr-school-trips-at-risk-of-being-consigned-to-history/" </w:instrText>
      </w:r>
      <w:r>
        <w:fldChar w:fldCharType="separate"/>
      </w:r>
      <w:r w:rsidRPr="00547CC7">
        <w:rPr>
          <w:rStyle w:val="Hyperlink"/>
          <w:rFonts w:ascii="Aptos" w:hAnsi="Aptos"/>
          <w:sz w:val="18"/>
          <w:szCs w:val="18"/>
        </w:rPr>
        <w:t>School Trips at Risk of Being Consigned to History</w:t>
      </w:r>
      <w:r>
        <w:fldChar w:fldCharType="end"/>
      </w:r>
      <w:r w:rsidRPr="00547CC7">
        <w:rPr>
          <w:rFonts w:ascii="Aptos" w:hAnsi="Aptos"/>
          <w:sz w:val="18"/>
          <w:szCs w:val="18"/>
        </w:rPr>
        <w:t xml:space="preserve"> </w:t>
      </w:r>
    </w:p>
  </w:footnote>
  <w:footnote w:id="31">
    <w:p w:rsidR="00611166" w:rsidRPr="00547CC7" w:rsidP="00F840E0">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YoungScot (2022) </w:t>
      </w:r>
      <w:r>
        <w:fldChar w:fldCharType="begin"/>
      </w:r>
      <w:r>
        <w:instrText xml:space="preserve"> HYPERLINK "https://youngscot.net/news-database/1-entry-to-scotlands-historic-sites-returns-for-all-young-scot-national-entitlement-card-holders" </w:instrText>
      </w:r>
      <w:r>
        <w:fldChar w:fldCharType="separate"/>
      </w:r>
      <w:r w:rsidRPr="00547CC7">
        <w:rPr>
          <w:rStyle w:val="Hyperlink"/>
          <w:rFonts w:ascii="Aptos" w:hAnsi="Aptos"/>
          <w:sz w:val="18"/>
          <w:szCs w:val="18"/>
        </w:rPr>
        <w:t>£1 entry to Scotland’s historic sites returns for all Young Scot National Entitlement Card holders</w:t>
      </w:r>
      <w:r>
        <w:fldChar w:fldCharType="end"/>
      </w:r>
      <w:r w:rsidRPr="00547CC7">
        <w:rPr>
          <w:rFonts w:ascii="Aptos" w:hAnsi="Aptos"/>
          <w:sz w:val="18"/>
          <w:szCs w:val="18"/>
        </w:rPr>
        <w:t xml:space="preserve"> </w:t>
      </w:r>
    </w:p>
  </w:footnote>
  <w:footnote w:id="32">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w:t>
      </w:r>
      <w:r w:rsidRPr="00547CC7">
        <w:rPr>
          <w:rFonts w:ascii="Aptos" w:hAnsi="Aptos"/>
          <w:sz w:val="18"/>
          <w:szCs w:val="18"/>
        </w:rPr>
        <w:t xml:space="preserve">HM Government (2026) </w:t>
      </w:r>
      <w:r w:rsidRPr="00547CC7">
        <w:rPr>
          <w:rFonts w:ascii="Aptos" w:hAnsi="Aptos"/>
          <w:i/>
          <w:iCs/>
          <w:sz w:val="18"/>
          <w:szCs w:val="18"/>
        </w:rPr>
        <w:t>England's Cultural Infrastructure: Repair, Maintenance and Renewal</w:t>
      </w:r>
    </w:p>
  </w:footnote>
  <w:footnote w:id="33">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Historic Houses (2025) </w:t>
      </w:r>
      <w:r w:rsidRPr="00547CC7">
        <w:rPr>
          <w:rFonts w:ascii="Aptos" w:hAnsi="Aptos"/>
          <w:i/>
          <w:iCs/>
          <w:sz w:val="18"/>
          <w:szCs w:val="18"/>
        </w:rPr>
        <w:t>Understanding the Impact of the COVID-19 Culture Recovery Fund</w:t>
      </w:r>
    </w:p>
  </w:footnote>
  <w:footnote w:id="34">
    <w:p w:rsidR="00611166" w:rsidRPr="00547CC7" w:rsidP="00366226">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The Heritage Alliance </w:t>
      </w:r>
      <w:r w:rsidRPr="00547CC7">
        <w:rPr>
          <w:rFonts w:ascii="Aptos" w:hAnsi="Aptos"/>
          <w:sz w:val="18"/>
          <w:szCs w:val="18"/>
        </w:rPr>
        <w:t>(</w:t>
      </w:r>
      <w:r w:rsidRPr="00547CC7">
        <w:rPr>
          <w:rFonts w:ascii="Aptos" w:hAnsi="Aptos"/>
          <w:sz w:val="18"/>
          <w:szCs w:val="18"/>
        </w:rPr>
        <w:t xml:space="preserve">2026) Annual Member </w:t>
      </w:r>
      <w:r w:rsidRPr="00547CC7">
        <w:rPr>
          <w:rFonts w:ascii="Aptos" w:hAnsi="Aptos"/>
          <w:sz w:val="18"/>
          <w:szCs w:val="18"/>
        </w:rPr>
        <w:t xml:space="preserve">Survey </w:t>
      </w:r>
    </w:p>
  </w:footnote>
  <w:footnote w:id="35">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w:t>
      </w:r>
      <w:r w:rsidRPr="00547CC7">
        <w:rPr>
          <w:rFonts w:ascii="Aptos" w:hAnsi="Aptos"/>
          <w:sz w:val="18"/>
          <w:szCs w:val="18"/>
        </w:rPr>
        <w:t xml:space="preserve">HM Government (27 November 2024) </w:t>
      </w:r>
      <w:r w:rsidRPr="00547CC7">
        <w:rPr>
          <w:rFonts w:ascii="Aptos" w:hAnsi="Aptos"/>
          <w:i/>
          <w:iCs/>
          <w:sz w:val="18"/>
          <w:szCs w:val="18"/>
        </w:rPr>
        <w:t>New Ambition for 50 Million Annual Visits to UK Announced by Tourism Minister</w:t>
      </w:r>
    </w:p>
  </w:footnote>
  <w:footnote w:id="36">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w:t>
      </w:r>
      <w:r w:rsidRPr="00547CC7">
        <w:rPr>
          <w:rFonts w:ascii="Aptos" w:hAnsi="Aptos"/>
          <w:sz w:val="18"/>
          <w:szCs w:val="18"/>
        </w:rPr>
        <w:t xml:space="preserve">VisitBritain (2026) </w:t>
      </w:r>
      <w:r>
        <w:fldChar w:fldCharType="begin"/>
      </w:r>
      <w:r>
        <w:instrText xml:space="preserve"> HYPERLINK "https://www.visitbritain.org/research-insights/economic-value-tourism" </w:instrText>
      </w:r>
      <w:r>
        <w:fldChar w:fldCharType="separate"/>
      </w:r>
      <w:r w:rsidRPr="00547CC7">
        <w:rPr>
          <w:rStyle w:val="Hyperlink"/>
          <w:rFonts w:ascii="Aptos" w:hAnsi="Aptos"/>
          <w:sz w:val="18"/>
          <w:szCs w:val="18"/>
        </w:rPr>
        <w:t>Economic Value of Tourism</w:t>
      </w:r>
      <w:r>
        <w:fldChar w:fldCharType="end"/>
      </w:r>
    </w:p>
  </w:footnote>
  <w:footnote w:id="37">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w:t>
      </w:r>
      <w:r w:rsidRPr="00547CC7">
        <w:rPr>
          <w:rFonts w:ascii="Aptos" w:hAnsi="Aptos"/>
          <w:sz w:val="18"/>
          <w:szCs w:val="18"/>
        </w:rPr>
        <w:t>Historic England (2025) Funding Indicator Data, figs. FUN 3.3, 3.4a and 3.4b</w:t>
      </w:r>
    </w:p>
  </w:footnote>
  <w:footnote w:id="38">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w:t>
      </w:r>
      <w:r w:rsidRPr="00547CC7">
        <w:rPr>
          <w:rFonts w:ascii="Aptos" w:hAnsi="Aptos"/>
          <w:sz w:val="18"/>
          <w:szCs w:val="18"/>
        </w:rPr>
        <w:t xml:space="preserve">The National Trust, </w:t>
      </w:r>
      <w:r>
        <w:fldChar w:fldCharType="begin"/>
      </w:r>
      <w:r>
        <w:instrText xml:space="preserve"> HYPERLINK "https://www.nationaltrust.org.uk/our-cause/nature-climate/caring-for-coastal-footpaths" </w:instrText>
      </w:r>
      <w:r>
        <w:fldChar w:fldCharType="separate"/>
      </w:r>
      <w:r w:rsidRPr="00547CC7">
        <w:rPr>
          <w:rStyle w:val="Hyperlink"/>
          <w:rFonts w:ascii="Aptos" w:hAnsi="Aptos"/>
          <w:sz w:val="18"/>
          <w:szCs w:val="18"/>
        </w:rPr>
        <w:t>Caring for Coastal Footpaths</w:t>
      </w:r>
      <w:r>
        <w:fldChar w:fldCharType="end"/>
      </w:r>
    </w:p>
  </w:footnote>
  <w:footnote w:id="39">
    <w:p w:rsidR="00611166" w:rsidRPr="00547CC7">
      <w:pPr>
        <w:pStyle w:val="FootnoteText"/>
        <w:rPr>
          <w:rFonts w:ascii="Aptos" w:hAnsi="Aptos"/>
          <w:sz w:val="18"/>
          <w:szCs w:val="18"/>
        </w:rPr>
      </w:pPr>
      <w:r w:rsidRPr="00547CC7">
        <w:rPr>
          <w:rStyle w:val="FootnoteReference"/>
          <w:rFonts w:ascii="Aptos" w:hAnsi="Aptos"/>
          <w:sz w:val="18"/>
          <w:szCs w:val="18"/>
          <w:highlight w:val="yellow"/>
        </w:rPr>
        <w:footnoteRef/>
      </w:r>
      <w:r w:rsidRPr="00547CC7">
        <w:rPr>
          <w:rFonts w:ascii="Aptos" w:hAnsi="Aptos"/>
          <w:sz w:val="18"/>
          <w:szCs w:val="18"/>
          <w:highlight w:val="yellow"/>
        </w:rPr>
        <w:t xml:space="preserve"> </w:t>
      </w:r>
      <w:r>
        <w:fldChar w:fldCharType="begin"/>
      </w:r>
      <w:r>
        <w:instrText xml:space="preserve"> HYPERLINK "https://historicengland.org.uk/images-books/publications/iha-saxon-shore-forts/heag232-saxon-shore-forts/" </w:instrText>
      </w:r>
      <w:r>
        <w:fldChar w:fldCharType="separate"/>
      </w:r>
      <w:r w:rsidRPr="00547CC7">
        <w:rPr>
          <w:rStyle w:val="Hyperlink"/>
          <w:rFonts w:ascii="Aptos" w:hAnsi="Aptos"/>
          <w:sz w:val="18"/>
          <w:szCs w:val="18"/>
        </w:rPr>
        <w:t>Historic England – Saxon Shore Forts</w:t>
      </w:r>
      <w:r>
        <w:fldChar w:fldCharType="end"/>
      </w:r>
      <w:r w:rsidRPr="00547CC7">
        <w:rPr>
          <w:rFonts w:ascii="Aptos" w:hAnsi="Aptos"/>
          <w:sz w:val="18"/>
          <w:szCs w:val="18"/>
        </w:rPr>
        <w:t xml:space="preserve">; </w:t>
      </w:r>
      <w:r>
        <w:fldChar w:fldCharType="begin"/>
      </w:r>
      <w:r>
        <w:instrText xml:space="preserve"> HYPERLINK "https://www.english-heritage.org.uk/members-area/members-magazine/expert-care-changing-tides/" \t "_blank" </w:instrText>
      </w:r>
      <w:r>
        <w:fldChar w:fldCharType="separate"/>
      </w:r>
      <w:r w:rsidRPr="00547CC7">
        <w:rPr>
          <w:rStyle w:val="Hyperlink"/>
          <w:rFonts w:ascii="Aptos" w:hAnsi="Aptos"/>
          <w:sz w:val="18"/>
          <w:szCs w:val="18"/>
        </w:rPr>
        <w:t>Expert Care: Changing tides | English Heritage</w:t>
      </w:r>
      <w:r>
        <w:fldChar w:fldCharType="end"/>
      </w:r>
      <w:r w:rsidRPr="00547CC7">
        <w:rPr>
          <w:rFonts w:ascii="Aptos" w:hAnsi="Aptos"/>
          <w:sz w:val="18"/>
          <w:szCs w:val="18"/>
        </w:rPr>
        <w:t>;  </w:t>
      </w:r>
      <w:r>
        <w:fldChar w:fldCharType="begin"/>
      </w:r>
      <w:r>
        <w:instrText xml:space="preserve"> HYPERLINK "https://www.english-heritage.org.uk/about/search-news/pr-hurst-castle-statement/" \t "_blank" </w:instrText>
      </w:r>
      <w:r>
        <w:fldChar w:fldCharType="separate"/>
      </w:r>
      <w:r w:rsidRPr="00547CC7">
        <w:rPr>
          <w:rStyle w:val="Hyperlink"/>
          <w:rFonts w:ascii="Aptos" w:hAnsi="Aptos"/>
          <w:sz w:val="18"/>
          <w:szCs w:val="18"/>
        </w:rPr>
        <w:t>Hurst Castle – Collapse of Section of East Wing Wall | English Heritage</w:t>
      </w:r>
      <w:r>
        <w:fldChar w:fldCharType="end"/>
      </w:r>
      <w:r w:rsidRPr="00547CC7">
        <w:rPr>
          <w:rFonts w:ascii="Aptos" w:hAnsi="Aptos"/>
          <w:sz w:val="18"/>
          <w:szCs w:val="18"/>
        </w:rPr>
        <w:t xml:space="preserve">; </w:t>
      </w:r>
      <w:r>
        <w:fldChar w:fldCharType="begin"/>
      </w:r>
      <w:r>
        <w:instrText xml:space="preserve"> HYPERLINK "https://www.bbc.co.uk/news/uk-england-suffolk-53263525" \t "_blank" </w:instrText>
      </w:r>
      <w:r>
        <w:fldChar w:fldCharType="separate"/>
      </w:r>
      <w:r w:rsidRPr="00547CC7">
        <w:rPr>
          <w:rStyle w:val="Hyperlink"/>
          <w:rFonts w:ascii="Aptos" w:hAnsi="Aptos"/>
          <w:sz w:val="18"/>
          <w:szCs w:val="18"/>
        </w:rPr>
        <w:t>Orford Ness Lighthouse: Waving goodbye to a coastal landmark - BBC News</w:t>
      </w:r>
      <w:r>
        <w:fldChar w:fldCharType="end"/>
      </w:r>
      <w:r w:rsidRPr="00547CC7">
        <w:rPr>
          <w:rFonts w:ascii="Aptos" w:hAnsi="Aptos"/>
          <w:sz w:val="18"/>
          <w:szCs w:val="18"/>
        </w:rPr>
        <w:t> </w:t>
      </w:r>
    </w:p>
  </w:footnote>
  <w:footnote w:id="40">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w:t>
      </w:r>
      <w:r w:rsidRPr="00547CC7">
        <w:rPr>
          <w:rFonts w:ascii="Aptos" w:hAnsi="Aptos"/>
          <w:sz w:val="18"/>
          <w:szCs w:val="18"/>
        </w:rPr>
        <w:t xml:space="preserve">The National Trust, </w:t>
      </w:r>
      <w:r>
        <w:fldChar w:fldCharType="begin"/>
      </w:r>
      <w:r>
        <w:instrText xml:space="preserve"> HYPERLINK "https://www.nationaltrust.org.uk/visit/dorset/studland-bay/coastal-erosion-at-studland-bay" </w:instrText>
      </w:r>
      <w:r>
        <w:fldChar w:fldCharType="separate"/>
      </w:r>
      <w:r w:rsidRPr="00547CC7">
        <w:rPr>
          <w:rStyle w:val="Hyperlink"/>
          <w:rFonts w:ascii="Aptos" w:hAnsi="Aptos"/>
          <w:sz w:val="18"/>
          <w:szCs w:val="18"/>
        </w:rPr>
        <w:t>Adapting to Coastal Change at Studland Bay</w:t>
      </w:r>
      <w:r>
        <w:fldChar w:fldCharType="end"/>
      </w:r>
    </w:p>
  </w:footnote>
  <w:footnote w:id="41">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w:t>
      </w:r>
      <w:r w:rsidRPr="00547CC7">
        <w:rPr>
          <w:rFonts w:ascii="Aptos" w:hAnsi="Aptos"/>
          <w:sz w:val="18"/>
          <w:szCs w:val="18"/>
        </w:rPr>
        <w:t>National Historic Ships UK (2021)</w:t>
      </w:r>
      <w:r>
        <w:fldChar w:fldCharType="begin"/>
      </w:r>
      <w:r>
        <w:instrText xml:space="preserve"> HYPERLINK "https://www.nationalhistoricships.org.uk/sites/default/files/climate_change_maritime_heritage_-_volume_one_.pdf" </w:instrText>
      </w:r>
      <w:r>
        <w:fldChar w:fldCharType="separate"/>
      </w:r>
      <w:r w:rsidRPr="00547CC7">
        <w:rPr>
          <w:rStyle w:val="Hyperlink"/>
          <w:rFonts w:ascii="Aptos" w:hAnsi="Aptos"/>
          <w:sz w:val="18"/>
          <w:szCs w:val="18"/>
        </w:rPr>
        <w:t xml:space="preserve"> Climate Change &amp; Maritime Heritage: Volume One</w:t>
      </w:r>
      <w:r>
        <w:fldChar w:fldCharType="end"/>
      </w:r>
    </w:p>
  </w:footnote>
  <w:footnote w:id="42">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w:t>
      </w:r>
      <w:r>
        <w:fldChar w:fldCharType="begin"/>
      </w:r>
      <w:r>
        <w:instrText xml:space="preserve"> HYPERLINK "https://www.wmf.org/projects/blackpool-piers" \t "_blank" </w:instrText>
      </w:r>
      <w:r>
        <w:fldChar w:fldCharType="separate"/>
      </w:r>
      <w:r w:rsidRPr="00547CC7">
        <w:rPr>
          <w:rStyle w:val="Hyperlink"/>
          <w:rFonts w:ascii="Aptos" w:hAnsi="Aptos"/>
          <w:sz w:val="18"/>
          <w:szCs w:val="18"/>
        </w:rPr>
        <w:t>World Monuments Forum, Blackpool Piers</w:t>
      </w:r>
      <w:r>
        <w:fldChar w:fldCharType="end"/>
      </w:r>
    </w:p>
  </w:footnote>
  <w:footnote w:id="43">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w:t>
      </w:r>
      <w:r>
        <w:fldChar w:fldCharType="begin"/>
      </w:r>
      <w:r>
        <w:instrText xml:space="preserve"> HYPERLINK "https://www.kentonline.co.uk/whitstable/news/homes-left-to-the-mercy-of-the-sea-where-properties-are-sel-329948/" \t "_blank" </w:instrText>
      </w:r>
      <w:r>
        <w:fldChar w:fldCharType="separate"/>
      </w:r>
      <w:r w:rsidRPr="00547CC7">
        <w:rPr>
          <w:rStyle w:val="Hyperlink"/>
          <w:rFonts w:ascii="Aptos" w:hAnsi="Aptos"/>
          <w:sz w:val="18"/>
          <w:szCs w:val="18"/>
        </w:rPr>
        <w:t>Residents living in Faversham Road, Seasalter, near Whitstable feel ‘trapped’ amid struggle to sell homes after Environment Agency set to leave street to nature’s mercy</w:t>
      </w:r>
      <w:r>
        <w:fldChar w:fldCharType="end"/>
      </w:r>
    </w:p>
  </w:footnote>
  <w:footnote w:id="44">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w:t>
      </w:r>
      <w:r w:rsidRPr="00547CC7">
        <w:rPr>
          <w:rFonts w:ascii="Aptos" w:hAnsi="Aptos"/>
          <w:sz w:val="18"/>
          <w:szCs w:val="18"/>
        </w:rPr>
        <w:t xml:space="preserve">Institute for Fiscal Studies (2024) </w:t>
      </w:r>
      <w:r>
        <w:fldChar w:fldCharType="begin"/>
      </w:r>
      <w:r>
        <w:instrText xml:space="preserve"> HYPERLINK "https://ifs.org.uk/publications/how-have-english-councils-funding-and-spending-changed-2010-2024" </w:instrText>
      </w:r>
      <w:r>
        <w:fldChar w:fldCharType="separate"/>
      </w:r>
      <w:r w:rsidRPr="00547CC7">
        <w:rPr>
          <w:rStyle w:val="Hyperlink"/>
          <w:rFonts w:ascii="Aptos" w:hAnsi="Aptos"/>
          <w:sz w:val="18"/>
          <w:szCs w:val="18"/>
        </w:rPr>
        <w:t>How have English councils funding and spending changed 2010 to 2024</w:t>
      </w:r>
      <w:r>
        <w:fldChar w:fldCharType="end"/>
      </w:r>
    </w:p>
  </w:footnote>
  <w:footnote w:id="45">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w:t>
      </w:r>
      <w:r w:rsidRPr="00547CC7">
        <w:rPr>
          <w:rFonts w:ascii="Aptos" w:hAnsi="Aptos"/>
          <w:sz w:val="18"/>
          <w:szCs w:val="18"/>
        </w:rPr>
        <w:t xml:space="preserve">Historic Houses (2023) </w:t>
      </w:r>
      <w:r>
        <w:fldChar w:fldCharType="begin"/>
      </w:r>
      <w:r>
        <w:instrText xml:space="preserve"> HYPERLINK "https://cdn.historichouses.org/app/uploads/2023/10/changing-times-valuing-history-embargoed-17-oct.pdf" </w:instrText>
      </w:r>
      <w:r>
        <w:fldChar w:fldCharType="separate"/>
      </w:r>
      <w:r w:rsidRPr="00547CC7">
        <w:rPr>
          <w:rStyle w:val="Hyperlink"/>
          <w:rFonts w:ascii="Aptos" w:hAnsi="Aptos"/>
          <w:sz w:val="18"/>
          <w:szCs w:val="18"/>
        </w:rPr>
        <w:t>Changing Times, Valuing History</w:t>
      </w:r>
      <w:r>
        <w:fldChar w:fldCharType="end"/>
      </w:r>
    </w:p>
  </w:footnote>
  <w:footnote w:id="46">
    <w:p w:rsidR="00611166" w:rsidRPr="00547CC7" w:rsidP="00366226">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w:t>
      </w:r>
      <w:r w:rsidRPr="00547CC7">
        <w:rPr>
          <w:rFonts w:ascii="Aptos" w:hAnsi="Aptos"/>
          <w:i/>
          <w:iCs/>
          <w:sz w:val="18"/>
          <w:szCs w:val="18"/>
        </w:rPr>
        <w:t>New ideas need old buildings</w:t>
      </w:r>
      <w:r w:rsidRPr="00547CC7">
        <w:rPr>
          <w:rFonts w:ascii="Aptos" w:hAnsi="Aptos"/>
          <w:sz w:val="18"/>
          <w:szCs w:val="18"/>
        </w:rPr>
        <w:t>, Heritage Lottery Fund (2013)</w:t>
      </w:r>
    </w:p>
  </w:footnote>
  <w:footnote w:id="47">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w:t>
      </w:r>
      <w:r w:rsidRPr="00547CC7">
        <w:rPr>
          <w:rFonts w:ascii="Aptos" w:hAnsi="Aptos"/>
          <w:sz w:val="18"/>
          <w:szCs w:val="18"/>
        </w:rPr>
        <w:t xml:space="preserve">Historic Houses (2023) </w:t>
      </w:r>
      <w:r>
        <w:fldChar w:fldCharType="begin"/>
      </w:r>
      <w:r>
        <w:instrText xml:space="preserve"> HYPERLINK "https://www.historichouses.org/changing-times-valuing-history-historic-houses-for-the-21st-century/" </w:instrText>
      </w:r>
      <w:r>
        <w:fldChar w:fldCharType="separate"/>
      </w:r>
      <w:r w:rsidRPr="00547CC7">
        <w:rPr>
          <w:rStyle w:val="Hyperlink"/>
          <w:rFonts w:ascii="Aptos" w:hAnsi="Aptos"/>
          <w:sz w:val="18"/>
          <w:szCs w:val="18"/>
        </w:rPr>
        <w:t>Changing Times, Valuing History: historic houses for the 21</w:t>
      </w:r>
      <w:r w:rsidRPr="00547CC7">
        <w:rPr>
          <w:rStyle w:val="Hyperlink"/>
          <w:rFonts w:ascii="Aptos" w:hAnsi="Aptos"/>
          <w:sz w:val="18"/>
          <w:szCs w:val="18"/>
          <w:vertAlign w:val="superscript"/>
        </w:rPr>
        <w:t>st</w:t>
      </w:r>
      <w:r w:rsidRPr="00547CC7">
        <w:rPr>
          <w:rStyle w:val="Hyperlink"/>
          <w:rFonts w:ascii="Aptos" w:hAnsi="Aptos"/>
          <w:sz w:val="18"/>
          <w:szCs w:val="18"/>
        </w:rPr>
        <w:t xml:space="preserve"> century</w:t>
      </w:r>
      <w:r>
        <w:fldChar w:fldCharType="end"/>
      </w:r>
      <w:r w:rsidRPr="00547CC7">
        <w:rPr>
          <w:rFonts w:ascii="Aptos" w:hAnsi="Aptos"/>
          <w:sz w:val="18"/>
          <w:szCs w:val="18"/>
        </w:rPr>
        <w:t xml:space="preserve"> </w:t>
      </w:r>
    </w:p>
  </w:footnote>
  <w:footnote w:id="48">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The Heritage Alliance (202</w:t>
      </w:r>
      <w:r w:rsidRPr="00547CC7">
        <w:rPr>
          <w:rFonts w:ascii="Aptos" w:hAnsi="Aptos"/>
          <w:sz w:val="18"/>
          <w:szCs w:val="18"/>
        </w:rPr>
        <w:t xml:space="preserve">5) </w:t>
      </w:r>
      <w:r>
        <w:fldChar w:fldCharType="begin"/>
      </w:r>
      <w:r>
        <w:instrText xml:space="preserve"> HYPERLINK "https://www.theheritagealliance.org.uk/wp-content/uploads/2025/03/THA_Heritage-Creates_2025.pdf" </w:instrText>
      </w:r>
      <w:r>
        <w:fldChar w:fldCharType="separate"/>
      </w:r>
      <w:r w:rsidRPr="00547CC7">
        <w:rPr>
          <w:rStyle w:val="Hyperlink"/>
          <w:rFonts w:ascii="Aptos" w:hAnsi="Aptos"/>
          <w:sz w:val="18"/>
          <w:szCs w:val="18"/>
        </w:rPr>
        <w:t>Heritage Creates</w:t>
      </w:r>
      <w:r>
        <w:fldChar w:fldCharType="end"/>
      </w:r>
      <w:r w:rsidRPr="00547CC7">
        <w:rPr>
          <w:rFonts w:ascii="Aptos" w:hAnsi="Aptos"/>
          <w:sz w:val="18"/>
          <w:szCs w:val="18"/>
        </w:rPr>
        <w:t xml:space="preserve"> </w:t>
      </w:r>
    </w:p>
  </w:footnote>
  <w:footnote w:id="49">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British Film Institute (2021) </w:t>
      </w:r>
      <w:r>
        <w:fldChar w:fldCharType="begin"/>
      </w:r>
      <w:r>
        <w:instrText xml:space="preserve"> HYPERLINK "https://www.bfi.org.uk/news/screen-business-report" </w:instrText>
      </w:r>
      <w:r>
        <w:fldChar w:fldCharType="separate"/>
      </w:r>
      <w:r w:rsidRPr="00547CC7">
        <w:rPr>
          <w:rStyle w:val="Hyperlink"/>
          <w:rFonts w:ascii="Aptos" w:hAnsi="Aptos"/>
          <w:sz w:val="18"/>
          <w:szCs w:val="18"/>
        </w:rPr>
        <w:t>Screen Business</w:t>
      </w:r>
      <w:r>
        <w:fldChar w:fldCharType="end"/>
      </w:r>
    </w:p>
  </w:footnote>
  <w:footnote w:id="50">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w:t>
      </w:r>
    </w:p>
  </w:footnote>
  <w:footnote w:id="51">
    <w:p w:rsidR="00611166" w:rsidRPr="00547CC7">
      <w:pPr>
        <w:pStyle w:val="FootnoteText"/>
        <w:rPr>
          <w:rFonts w:ascii="Aptos" w:hAnsi="Aptos"/>
          <w:sz w:val="18"/>
          <w:szCs w:val="18"/>
        </w:rPr>
      </w:pPr>
      <w:r w:rsidRPr="00547CC7">
        <w:rPr>
          <w:rStyle w:val="FootnoteReference"/>
          <w:rFonts w:ascii="Aptos" w:hAnsi="Aptos"/>
          <w:sz w:val="18"/>
          <w:szCs w:val="18"/>
        </w:rPr>
        <w:footnoteRef/>
      </w:r>
      <w:r w:rsidRPr="00547CC7">
        <w:rPr>
          <w:rFonts w:ascii="Aptos" w:hAnsi="Aptos"/>
          <w:sz w:val="18"/>
          <w:szCs w:val="18"/>
        </w:rPr>
        <w:t xml:space="preserve"> The Heritage Alliance (2025) Annual Member Survey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ayout w:type="fixed"/>
      <w:tblLook w:val="06A0"/>
    </w:tblPr>
    <w:tblGrid>
      <w:gridCol w:w="3005"/>
      <w:gridCol w:w="3005"/>
      <w:gridCol w:w="3005"/>
    </w:tblGrid>
    <w:tr w:rsidTr="515A11C6">
      <w:tblPrEx>
        <w:tblW w:w="0" w:type="auto"/>
        <w:tblLayout w:type="fixed"/>
        <w:tblLook w:val="06A0"/>
      </w:tblPrEx>
      <w:trPr>
        <w:trHeight w:val="300"/>
      </w:trPr>
      <w:tc>
        <w:tcPr>
          <w:tcW w:w="3005" w:type="dxa"/>
        </w:tcPr>
        <w:p w:rsidR="00611166" w:rsidP="515A11C6">
          <w:pPr>
            <w:pStyle w:val="Header"/>
            <w:ind w:left="-115"/>
          </w:pPr>
        </w:p>
      </w:tc>
      <w:tc>
        <w:tcPr>
          <w:tcW w:w="3005" w:type="dxa"/>
        </w:tcPr>
        <w:p w:rsidR="00611166" w:rsidP="515A11C6">
          <w:pPr>
            <w:pStyle w:val="Header"/>
            <w:jc w:val="center"/>
          </w:pPr>
        </w:p>
      </w:tc>
      <w:tc>
        <w:tcPr>
          <w:tcW w:w="3005" w:type="dxa"/>
        </w:tcPr>
        <w:p w:rsidR="00611166" w:rsidP="515A11C6">
          <w:pPr>
            <w:pStyle w:val="Header"/>
            <w:ind w:right="-115"/>
            <w:jc w:val="right"/>
          </w:pPr>
        </w:p>
      </w:tc>
    </w:tr>
  </w:tbl>
  <w:p w:rsidR="00611166" w:rsidP="515A11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622AA1"/>
    <w:multiLevelType w:val="hybridMultilevel"/>
    <w:tmpl w:val="49B8A534"/>
    <w:lvl w:ilvl="0">
      <w:start w:val="1"/>
      <w:numFmt w:val="decimal"/>
      <w:pStyle w:val="Heading2b"/>
      <w:lvlText w:val="Q%1:"/>
      <w:lvlJc w:val="left"/>
      <w:pPr>
        <w:ind w:left="360" w:hanging="360"/>
      </w:p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075B6126"/>
    <w:multiLevelType w:val="hybridMultilevel"/>
    <w:tmpl w:val="4EBA92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C3865F6"/>
    <w:multiLevelType w:val="hybridMultilevel"/>
    <w:tmpl w:val="A5E4990C"/>
    <w:lvl w:ilvl="0">
      <w:start w:val="1"/>
      <w:numFmt w:val="bullet"/>
      <w:lvlText w:val="•"/>
      <w:lvlJc w:val="left"/>
      <w:pPr>
        <w:ind w:left="540" w:hanging="2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
    <w:nsid w:val="115774B2"/>
    <w:multiLevelType w:val="multilevel"/>
    <w:tmpl w:val="49C44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65033FA"/>
    <w:multiLevelType w:val="hybridMultilevel"/>
    <w:tmpl w:val="83D6379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8674303"/>
    <w:multiLevelType w:val="hybridMultilevel"/>
    <w:tmpl w:val="18F26D6C"/>
    <w:lvl w:ilvl="0">
      <w:start w:val="1"/>
      <w:numFmt w:val="bullet"/>
      <w:lvlText w:val=""/>
      <w:lvlJc w:val="left"/>
      <w:pPr>
        <w:ind w:left="862" w:hanging="360"/>
      </w:pPr>
      <w:rPr>
        <w:rFonts w:ascii="Symbol" w:hAnsi="Symbol" w:hint="default"/>
      </w:rPr>
    </w:lvl>
    <w:lvl w:ilvl="1" w:tentative="1">
      <w:start w:val="1"/>
      <w:numFmt w:val="bullet"/>
      <w:lvlText w:val="o"/>
      <w:lvlJc w:val="left"/>
      <w:pPr>
        <w:ind w:left="1582" w:hanging="360"/>
      </w:pPr>
      <w:rPr>
        <w:rFonts w:ascii="Courier New" w:hAnsi="Courier New" w:cs="Courier New" w:hint="default"/>
      </w:rPr>
    </w:lvl>
    <w:lvl w:ilvl="2" w:tentative="1">
      <w:start w:val="1"/>
      <w:numFmt w:val="bullet"/>
      <w:lvlText w:val=""/>
      <w:lvlJc w:val="left"/>
      <w:pPr>
        <w:ind w:left="2302" w:hanging="360"/>
      </w:pPr>
      <w:rPr>
        <w:rFonts w:ascii="Wingdings" w:hAnsi="Wingdings" w:hint="default"/>
      </w:rPr>
    </w:lvl>
    <w:lvl w:ilvl="3" w:tentative="1">
      <w:start w:val="1"/>
      <w:numFmt w:val="bullet"/>
      <w:lvlText w:val=""/>
      <w:lvlJc w:val="left"/>
      <w:pPr>
        <w:ind w:left="3022" w:hanging="360"/>
      </w:pPr>
      <w:rPr>
        <w:rFonts w:ascii="Symbol" w:hAnsi="Symbol" w:hint="default"/>
      </w:rPr>
    </w:lvl>
    <w:lvl w:ilvl="4" w:tentative="1">
      <w:start w:val="1"/>
      <w:numFmt w:val="bullet"/>
      <w:lvlText w:val="o"/>
      <w:lvlJc w:val="left"/>
      <w:pPr>
        <w:ind w:left="3742" w:hanging="360"/>
      </w:pPr>
      <w:rPr>
        <w:rFonts w:ascii="Courier New" w:hAnsi="Courier New" w:cs="Courier New" w:hint="default"/>
      </w:rPr>
    </w:lvl>
    <w:lvl w:ilvl="5" w:tentative="1">
      <w:start w:val="1"/>
      <w:numFmt w:val="bullet"/>
      <w:lvlText w:val=""/>
      <w:lvlJc w:val="left"/>
      <w:pPr>
        <w:ind w:left="4462" w:hanging="360"/>
      </w:pPr>
      <w:rPr>
        <w:rFonts w:ascii="Wingdings" w:hAnsi="Wingdings" w:hint="default"/>
      </w:rPr>
    </w:lvl>
    <w:lvl w:ilvl="6" w:tentative="1">
      <w:start w:val="1"/>
      <w:numFmt w:val="bullet"/>
      <w:lvlText w:val=""/>
      <w:lvlJc w:val="left"/>
      <w:pPr>
        <w:ind w:left="5182" w:hanging="360"/>
      </w:pPr>
      <w:rPr>
        <w:rFonts w:ascii="Symbol" w:hAnsi="Symbol" w:hint="default"/>
      </w:rPr>
    </w:lvl>
    <w:lvl w:ilvl="7" w:tentative="1">
      <w:start w:val="1"/>
      <w:numFmt w:val="bullet"/>
      <w:lvlText w:val="o"/>
      <w:lvlJc w:val="left"/>
      <w:pPr>
        <w:ind w:left="5902" w:hanging="360"/>
      </w:pPr>
      <w:rPr>
        <w:rFonts w:ascii="Courier New" w:hAnsi="Courier New" w:cs="Courier New" w:hint="default"/>
      </w:rPr>
    </w:lvl>
    <w:lvl w:ilvl="8" w:tentative="1">
      <w:start w:val="1"/>
      <w:numFmt w:val="bullet"/>
      <w:lvlText w:val=""/>
      <w:lvlJc w:val="left"/>
      <w:pPr>
        <w:ind w:left="6622" w:hanging="360"/>
      </w:pPr>
      <w:rPr>
        <w:rFonts w:ascii="Wingdings" w:hAnsi="Wingdings" w:hint="default"/>
      </w:rPr>
    </w:lvl>
  </w:abstractNum>
  <w:abstractNum w:abstractNumId="6">
    <w:nsid w:val="39A23558"/>
    <w:multiLevelType w:val="hybridMultilevel"/>
    <w:tmpl w:val="48EC186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8FA6B5D"/>
    <w:multiLevelType w:val="hybridMultilevel"/>
    <w:tmpl w:val="405EA3CC"/>
    <w:lvl w:ilvl="0">
      <w:start w:val="1"/>
      <w:numFmt w:val="bullet"/>
      <w:lvlText w:val="•"/>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
    <w:nsid w:val="4C5B79D3"/>
    <w:multiLevelType w:val="hybridMultilevel"/>
    <w:tmpl w:val="D5EEC1B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4D0A3AE9"/>
    <w:multiLevelType w:val="hybridMultilevel"/>
    <w:tmpl w:val="8D08CD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5A8034CF"/>
    <w:multiLevelType w:val="hybridMultilevel"/>
    <w:tmpl w:val="3A52D5F0"/>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62343E72"/>
    <w:multiLevelType w:val="multilevel"/>
    <w:tmpl w:val="A38CC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7"/>
    <w:lvlOverride w:ilvl="0">
      <w:startOverride w:val="1"/>
    </w:lvlOverride>
  </w:num>
  <w:num w:numId="4">
    <w:abstractNumId w:val="3"/>
  </w:num>
  <w:num w:numId="5">
    <w:abstractNumId w:val="11"/>
  </w:num>
  <w:num w:numId="6">
    <w:abstractNumId w:val="10"/>
  </w:num>
  <w:num w:numId="7">
    <w:abstractNumId w:val="1"/>
  </w:num>
  <w:num w:numId="8">
    <w:abstractNumId w:val="9"/>
  </w:num>
  <w:num w:numId="9">
    <w:abstractNumId w:val="2"/>
    <w:lvlOverride w:ilvl="0">
      <w:startOverride w:val="1"/>
    </w:lvlOverride>
  </w:num>
  <w:num w:numId="10">
    <w:abstractNumId w:val="4"/>
  </w:num>
  <w:num w:numId="11">
    <w:abstractNumId w:val="8"/>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15"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semiHidden="1" w:uiPriority="33" w:unhideWhenUsed="1"/>
    <w:lsdException w:name="Bibliography" w:semiHidden="1" w:uiPriority="37" w:unhideWhenUsed="1"/>
    <w:lsdException w:name="TOC Heading" w:semiHidden="1" w:uiPriority="39" w:unhideWhenUsed="1" w:qFormat="1"/>
  </w:latentStyles>
  <w:style w:type="paragraph" w:default="1" w:styleId="Normal">
    <w:name w:val="Normal"/>
    <w:qFormat/>
    <w:rsid w:val="00482373"/>
  </w:style>
  <w:style w:type="paragraph" w:styleId="Heading1">
    <w:name w:val="heading 1"/>
    <w:basedOn w:val="Normal"/>
    <w:next w:val="Normal"/>
    <w:link w:val="Heading1Char"/>
    <w:uiPriority w:val="1"/>
    <w:qFormat/>
    <w:rsid w:val="00553C7E"/>
    <w:pPr>
      <w:keepNext/>
      <w:spacing w:before="120" w:after="120"/>
      <w:outlineLvl w:val="0"/>
    </w:pPr>
    <w:rPr>
      <w:rFonts w:asciiTheme="majorHAnsi" w:hAnsiTheme="majorHAnsi" w:cstheme="majorHAnsi"/>
      <w:color w:val="002856" w:themeColor="accent1"/>
      <w:sz w:val="28"/>
      <w:szCs w:val="24"/>
      <w:u w:val="single"/>
    </w:rPr>
  </w:style>
  <w:style w:type="paragraph" w:styleId="Heading2">
    <w:name w:val="heading 2"/>
    <w:basedOn w:val="Normal"/>
    <w:next w:val="Normal"/>
    <w:link w:val="Heading2Char"/>
    <w:uiPriority w:val="1"/>
    <w:unhideWhenUsed/>
    <w:qFormat/>
    <w:rsid w:val="00676930"/>
    <w:pPr>
      <w:keepNext/>
      <w:keepLines/>
      <w:spacing w:before="200" w:after="120"/>
      <w:outlineLvl w:val="1"/>
    </w:pPr>
    <w:rPr>
      <w:rFonts w:asciiTheme="majorHAnsi" w:hAnsiTheme="majorHAnsi" w:cstheme="majorHAnsi"/>
      <w:color w:val="001D40" w:themeColor="accent1" w:themeShade="BF"/>
      <w:szCs w:val="28"/>
      <w:u w:val="single"/>
    </w:rPr>
  </w:style>
  <w:style w:type="paragraph" w:styleId="Heading3">
    <w:name w:val="heading 3"/>
    <w:basedOn w:val="Normal"/>
    <w:next w:val="Normal"/>
    <w:link w:val="Heading3Char"/>
    <w:uiPriority w:val="1"/>
    <w:semiHidden/>
    <w:unhideWhenUsed/>
    <w:qFormat/>
    <w:rsid w:val="00F238C0"/>
    <w:pPr>
      <w:keepNext/>
      <w:keepLines/>
      <w:spacing w:before="200" w:after="120"/>
      <w:outlineLvl w:val="2"/>
    </w:pPr>
    <w:rPr>
      <w:rFonts w:asciiTheme="majorHAnsi" w:eastAsiaTheme="majorEastAsia" w:hAnsiTheme="majorHAnsi" w:cstheme="majorBidi"/>
      <w:i/>
      <w:color w:val="001D40" w:themeColor="accent1" w:themeShade="BF"/>
      <w:u w:val="single"/>
    </w:rPr>
  </w:style>
  <w:style w:type="paragraph" w:styleId="Heading4">
    <w:name w:val="heading 4"/>
    <w:basedOn w:val="Normal"/>
    <w:next w:val="Normal"/>
    <w:link w:val="Heading4Char"/>
    <w:uiPriority w:val="1"/>
    <w:semiHidden/>
    <w:unhideWhenUsed/>
    <w:qFormat/>
    <w:rsid w:val="00135A4A"/>
    <w:pPr>
      <w:keepNext/>
      <w:keepLines/>
      <w:spacing w:before="120" w:after="60"/>
      <w:outlineLvl w:val="3"/>
    </w:pPr>
    <w:rPr>
      <w:rFonts w:asciiTheme="majorHAnsi" w:eastAsiaTheme="majorEastAsia" w:hAnsiTheme="majorHAnsi" w:cstheme="majorBidi"/>
      <w:iCs/>
      <w:color w:val="001D40" w:themeColor="accent1" w:themeShade="BF"/>
      <w:u w:val="single"/>
    </w:rPr>
  </w:style>
  <w:style w:type="paragraph" w:styleId="Heading5">
    <w:name w:val="heading 5"/>
    <w:basedOn w:val="Normal"/>
    <w:next w:val="Normal"/>
    <w:link w:val="Heading5Char"/>
    <w:uiPriority w:val="1"/>
    <w:semiHidden/>
    <w:unhideWhenUsed/>
    <w:qFormat/>
    <w:rsid w:val="00135A4A"/>
    <w:pPr>
      <w:keepNext/>
      <w:keepLines/>
      <w:spacing w:before="40"/>
      <w:outlineLvl w:val="4"/>
    </w:pPr>
    <w:rPr>
      <w:rFonts w:asciiTheme="majorHAnsi" w:eastAsiaTheme="majorEastAsia" w:hAnsiTheme="majorHAnsi" w:cstheme="majorBidi"/>
      <w:i/>
      <w:color w:val="001D40" w:themeColor="accent1" w:themeShade="BF"/>
    </w:rPr>
  </w:style>
  <w:style w:type="paragraph" w:styleId="Heading6">
    <w:name w:val="heading 6"/>
    <w:basedOn w:val="Normal"/>
    <w:next w:val="Normal"/>
    <w:link w:val="Heading6Char"/>
    <w:uiPriority w:val="1"/>
    <w:semiHidden/>
    <w:unhideWhenUsed/>
    <w:qFormat/>
    <w:rsid w:val="00135A4A"/>
    <w:pPr>
      <w:keepNext/>
      <w:keepLines/>
      <w:spacing w:before="40"/>
      <w:outlineLvl w:val="5"/>
    </w:pPr>
    <w:rPr>
      <w:rFonts w:asciiTheme="majorHAnsi" w:eastAsiaTheme="majorEastAsia" w:hAnsiTheme="majorHAnsi" w:cstheme="majorBidi"/>
      <w:i/>
      <w:color w:val="00132A"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E95E6E"/>
    <w:pPr>
      <w:spacing w:before="60"/>
      <w:ind w:left="720"/>
    </w:pPr>
  </w:style>
  <w:style w:type="character" w:customStyle="1" w:styleId="Heading1Char">
    <w:name w:val="Heading 1 Char"/>
    <w:basedOn w:val="DefaultParagraphFont"/>
    <w:link w:val="Heading1"/>
    <w:uiPriority w:val="1"/>
    <w:rsid w:val="00553C7E"/>
    <w:rPr>
      <w:rFonts w:asciiTheme="majorHAnsi" w:hAnsiTheme="majorHAnsi" w:cstheme="majorHAnsi"/>
      <w:color w:val="002856" w:themeColor="accent1"/>
      <w:sz w:val="28"/>
      <w:szCs w:val="24"/>
      <w:u w:val="single"/>
    </w:rPr>
  </w:style>
  <w:style w:type="character" w:customStyle="1" w:styleId="Heading2Char">
    <w:name w:val="Heading 2 Char"/>
    <w:basedOn w:val="DefaultParagraphFont"/>
    <w:link w:val="Heading2"/>
    <w:uiPriority w:val="1"/>
    <w:rsid w:val="00676930"/>
    <w:rPr>
      <w:rFonts w:asciiTheme="majorHAnsi" w:hAnsiTheme="majorHAnsi" w:cstheme="majorHAnsi"/>
      <w:color w:val="001D40" w:themeColor="accent1" w:themeShade="BF"/>
      <w:szCs w:val="28"/>
      <w:u w:val="single"/>
    </w:rPr>
  </w:style>
  <w:style w:type="paragraph" w:styleId="Title">
    <w:name w:val="Title"/>
    <w:basedOn w:val="Normal"/>
    <w:next w:val="Normal"/>
    <w:link w:val="TitleChar"/>
    <w:uiPriority w:val="9"/>
    <w:qFormat/>
    <w:rsid w:val="003D3607"/>
    <w:pPr>
      <w:keepNext/>
      <w:spacing w:after="120" w:line="240" w:lineRule="auto"/>
      <w:ind w:right="3175"/>
    </w:pPr>
    <w:rPr>
      <w:rFonts w:asciiTheme="majorHAnsi" w:hAnsiTheme="majorHAnsi" w:cstheme="majorHAnsi"/>
      <w:bCs/>
      <w:noProof/>
      <w:color w:val="FFFFFF" w:themeColor="background1"/>
      <w:sz w:val="36"/>
      <w:szCs w:val="40"/>
    </w:rPr>
  </w:style>
  <w:style w:type="character" w:customStyle="1" w:styleId="TitleChar">
    <w:name w:val="Title Char"/>
    <w:basedOn w:val="DefaultParagraphFont"/>
    <w:link w:val="Title"/>
    <w:uiPriority w:val="9"/>
    <w:rsid w:val="003D3607"/>
    <w:rPr>
      <w:rFonts w:asciiTheme="majorHAnsi" w:hAnsiTheme="majorHAnsi" w:cstheme="majorHAnsi"/>
      <w:bCs/>
      <w:noProof/>
      <w:color w:val="FFFFFF" w:themeColor="background1"/>
      <w:sz w:val="36"/>
      <w:szCs w:val="40"/>
    </w:rPr>
  </w:style>
  <w:style w:type="paragraph" w:styleId="Header">
    <w:name w:val="header"/>
    <w:basedOn w:val="Normal"/>
    <w:link w:val="HeaderChar"/>
    <w:uiPriority w:val="54"/>
    <w:unhideWhenUsed/>
    <w:rsid w:val="00E2217C"/>
    <w:pPr>
      <w:tabs>
        <w:tab w:val="center" w:pos="4513"/>
        <w:tab w:val="right" w:pos="9026"/>
      </w:tabs>
    </w:pPr>
  </w:style>
  <w:style w:type="character" w:customStyle="1" w:styleId="HeaderChar">
    <w:name w:val="Header Char"/>
    <w:basedOn w:val="DefaultParagraphFont"/>
    <w:link w:val="Header"/>
    <w:uiPriority w:val="54"/>
    <w:rsid w:val="005A07FF"/>
  </w:style>
  <w:style w:type="paragraph" w:styleId="Footer">
    <w:name w:val="footer"/>
    <w:basedOn w:val="Normal"/>
    <w:link w:val="FooterChar"/>
    <w:uiPriority w:val="99"/>
    <w:unhideWhenUsed/>
    <w:rsid w:val="008F6775"/>
    <w:pPr>
      <w:tabs>
        <w:tab w:val="center" w:pos="4513"/>
        <w:tab w:val="right" w:pos="9026"/>
      </w:tabs>
    </w:pPr>
    <w:rPr>
      <w:sz w:val="20"/>
      <w:szCs w:val="20"/>
    </w:rPr>
  </w:style>
  <w:style w:type="character" w:customStyle="1" w:styleId="FooterChar">
    <w:name w:val="Footer Char"/>
    <w:basedOn w:val="DefaultParagraphFont"/>
    <w:link w:val="Footer"/>
    <w:uiPriority w:val="99"/>
    <w:rsid w:val="005A07FF"/>
    <w:rPr>
      <w:sz w:val="20"/>
      <w:szCs w:val="20"/>
    </w:rPr>
  </w:style>
  <w:style w:type="character" w:customStyle="1" w:styleId="Heading3Char">
    <w:name w:val="Heading 3 Char"/>
    <w:basedOn w:val="DefaultParagraphFont"/>
    <w:link w:val="Heading3"/>
    <w:uiPriority w:val="1"/>
    <w:semiHidden/>
    <w:rsid w:val="00F238C0"/>
    <w:rPr>
      <w:rFonts w:asciiTheme="majorHAnsi" w:eastAsiaTheme="majorEastAsia" w:hAnsiTheme="majorHAnsi" w:cstheme="majorBidi"/>
      <w:i/>
      <w:color w:val="001D40" w:themeColor="accent1" w:themeShade="BF"/>
      <w:u w:val="single"/>
    </w:rPr>
  </w:style>
  <w:style w:type="character" w:customStyle="1" w:styleId="Heading4Char">
    <w:name w:val="Heading 4 Char"/>
    <w:basedOn w:val="DefaultParagraphFont"/>
    <w:link w:val="Heading4"/>
    <w:uiPriority w:val="1"/>
    <w:semiHidden/>
    <w:rsid w:val="00135A4A"/>
    <w:rPr>
      <w:rFonts w:asciiTheme="majorHAnsi" w:eastAsiaTheme="majorEastAsia" w:hAnsiTheme="majorHAnsi" w:cstheme="majorBidi"/>
      <w:iCs/>
      <w:color w:val="001D40" w:themeColor="accent1" w:themeShade="BF"/>
      <w:u w:val="single"/>
    </w:rPr>
  </w:style>
  <w:style w:type="character" w:customStyle="1" w:styleId="Heading5Char">
    <w:name w:val="Heading 5 Char"/>
    <w:basedOn w:val="DefaultParagraphFont"/>
    <w:link w:val="Heading5"/>
    <w:uiPriority w:val="1"/>
    <w:semiHidden/>
    <w:rsid w:val="00135A4A"/>
    <w:rPr>
      <w:rFonts w:asciiTheme="majorHAnsi" w:eastAsiaTheme="majorEastAsia" w:hAnsiTheme="majorHAnsi" w:cstheme="majorBidi"/>
      <w:i/>
      <w:color w:val="001D40" w:themeColor="accent1" w:themeShade="BF"/>
    </w:rPr>
  </w:style>
  <w:style w:type="paragraph" w:styleId="Subtitle">
    <w:name w:val="Subtitle"/>
    <w:basedOn w:val="Title"/>
    <w:next w:val="Normal"/>
    <w:link w:val="SubtitleChar"/>
    <w:uiPriority w:val="10"/>
    <w:qFormat/>
    <w:rsid w:val="00BD39F6"/>
    <w:pPr>
      <w:spacing w:before="200" w:after="840" w:line="276" w:lineRule="auto"/>
    </w:pPr>
    <w:rPr>
      <w:sz w:val="22"/>
      <w:szCs w:val="28"/>
    </w:rPr>
  </w:style>
  <w:style w:type="character" w:customStyle="1" w:styleId="SubtitleChar">
    <w:name w:val="Subtitle Char"/>
    <w:basedOn w:val="DefaultParagraphFont"/>
    <w:link w:val="Subtitle"/>
    <w:uiPriority w:val="10"/>
    <w:rsid w:val="00BD39F6"/>
    <w:rPr>
      <w:rFonts w:asciiTheme="majorHAnsi" w:hAnsiTheme="majorHAnsi" w:cstheme="majorHAnsi"/>
      <w:bCs/>
      <w:noProof/>
      <w:color w:val="FFFFFF" w:themeColor="background1"/>
      <w:szCs w:val="28"/>
    </w:rPr>
  </w:style>
  <w:style w:type="character" w:styleId="IntenseEmphasis">
    <w:name w:val="Intense Emphasis"/>
    <w:uiPriority w:val="14"/>
    <w:qFormat/>
    <w:rsid w:val="00FB6C4E"/>
    <w:rPr>
      <w:rFonts w:asciiTheme="majorHAnsi" w:hAnsiTheme="majorHAnsi"/>
      <w:b w:val="0"/>
      <w:iCs/>
      <w:color w:val="002856" w:themeColor="accent1"/>
    </w:rPr>
  </w:style>
  <w:style w:type="paragraph" w:styleId="IntenseQuote">
    <w:name w:val="Intense Quote"/>
    <w:basedOn w:val="Normal"/>
    <w:next w:val="Normal"/>
    <w:link w:val="IntenseQuoteChar"/>
    <w:uiPriority w:val="30"/>
    <w:qFormat/>
    <w:rsid w:val="008845DA"/>
    <w:pPr>
      <w:pBdr>
        <w:top w:val="single" w:sz="8" w:space="10" w:color="002856" w:themeColor="accent1"/>
        <w:left w:val="single" w:sz="48" w:space="10" w:color="E7E6E6" w:themeColor="background2"/>
        <w:bottom w:val="single" w:sz="8" w:space="10" w:color="002856" w:themeColor="accent1"/>
        <w:right w:val="single" w:sz="8" w:space="8" w:color="E7E6E6" w:themeColor="background2"/>
      </w:pBdr>
      <w:spacing w:before="120" w:after="120"/>
      <w:ind w:left="624" w:right="624"/>
    </w:pPr>
    <w:rPr>
      <w:iCs/>
      <w:color w:val="002856" w:themeColor="accent1"/>
    </w:rPr>
  </w:style>
  <w:style w:type="character" w:customStyle="1" w:styleId="IntenseQuoteChar">
    <w:name w:val="Intense Quote Char"/>
    <w:basedOn w:val="DefaultParagraphFont"/>
    <w:link w:val="IntenseQuote"/>
    <w:uiPriority w:val="30"/>
    <w:rsid w:val="008845DA"/>
    <w:rPr>
      <w:iCs/>
      <w:color w:val="002856" w:themeColor="accent1"/>
    </w:rPr>
  </w:style>
  <w:style w:type="character" w:styleId="IntenseReference">
    <w:name w:val="Intense Reference"/>
    <w:basedOn w:val="DefaultParagraphFont"/>
    <w:uiPriority w:val="32"/>
    <w:unhideWhenUsed/>
    <w:rsid w:val="008845DA"/>
    <w:rPr>
      <w:b/>
      <w:bCs/>
      <w:smallCaps/>
      <w:color w:val="003A7F" w:themeColor="accent1" w:themeTint="E6"/>
      <w:spacing w:val="5"/>
    </w:rPr>
  </w:style>
  <w:style w:type="paragraph" w:styleId="TOC1">
    <w:name w:val="toc 1"/>
    <w:basedOn w:val="Normal"/>
    <w:next w:val="Normal"/>
    <w:autoRedefine/>
    <w:uiPriority w:val="39"/>
    <w:unhideWhenUsed/>
    <w:rsid w:val="00213219"/>
    <w:pPr>
      <w:spacing w:before="240" w:after="100"/>
    </w:pPr>
    <w:rPr>
      <w:b/>
    </w:rPr>
  </w:style>
  <w:style w:type="paragraph" w:styleId="TOC3">
    <w:name w:val="toc 3"/>
    <w:basedOn w:val="Normal"/>
    <w:next w:val="Normal"/>
    <w:autoRedefine/>
    <w:uiPriority w:val="39"/>
    <w:semiHidden/>
    <w:unhideWhenUsed/>
    <w:rsid w:val="00217EAF"/>
    <w:pPr>
      <w:spacing w:after="100"/>
      <w:ind w:left="480"/>
    </w:pPr>
    <w:rPr>
      <w:i/>
    </w:rPr>
  </w:style>
  <w:style w:type="paragraph" w:styleId="TOCHeading">
    <w:name w:val="TOC Heading"/>
    <w:next w:val="Normal"/>
    <w:uiPriority w:val="39"/>
    <w:unhideWhenUsed/>
    <w:qFormat/>
    <w:rsid w:val="00FB6C4E"/>
    <w:pPr>
      <w:spacing w:after="120"/>
      <w:jc w:val="center"/>
    </w:pPr>
    <w:rPr>
      <w:rFonts w:asciiTheme="majorHAnsi" w:eastAsiaTheme="majorEastAsia" w:hAnsiTheme="majorHAnsi" w:cstheme="majorBidi"/>
      <w:bCs/>
      <w:color w:val="002856" w:themeColor="accent1"/>
      <w:sz w:val="28"/>
      <w:szCs w:val="32"/>
    </w:rPr>
  </w:style>
  <w:style w:type="paragraph" w:styleId="List">
    <w:name w:val="List"/>
    <w:basedOn w:val="Normal"/>
    <w:uiPriority w:val="99"/>
    <w:semiHidden/>
    <w:unhideWhenUsed/>
    <w:rsid w:val="007435EF"/>
    <w:pPr>
      <w:ind w:left="284" w:hanging="284"/>
    </w:pPr>
  </w:style>
  <w:style w:type="paragraph" w:styleId="TOC2">
    <w:name w:val="toc 2"/>
    <w:basedOn w:val="Normal"/>
    <w:next w:val="Normal"/>
    <w:autoRedefine/>
    <w:uiPriority w:val="39"/>
    <w:unhideWhenUsed/>
    <w:rsid w:val="00217EAF"/>
    <w:pPr>
      <w:spacing w:after="100"/>
      <w:ind w:left="280"/>
    </w:pPr>
  </w:style>
  <w:style w:type="character" w:styleId="Hyperlink">
    <w:name w:val="Hyperlink"/>
    <w:basedOn w:val="DefaultParagraphFont"/>
    <w:uiPriority w:val="99"/>
    <w:rsid w:val="00217B15"/>
    <w:rPr>
      <w:color w:val="007B78" w:themeColor="hyperlink"/>
      <w:u w:val="single"/>
    </w:rPr>
  </w:style>
  <w:style w:type="paragraph" w:styleId="TOC4">
    <w:name w:val="toc 4"/>
    <w:basedOn w:val="Normal"/>
    <w:next w:val="Normal"/>
    <w:autoRedefine/>
    <w:uiPriority w:val="39"/>
    <w:semiHidden/>
    <w:unhideWhenUsed/>
    <w:rsid w:val="00217EAF"/>
    <w:pPr>
      <w:spacing w:after="100"/>
      <w:ind w:left="720"/>
    </w:pPr>
  </w:style>
  <w:style w:type="paragraph" w:styleId="TOC5">
    <w:name w:val="toc 5"/>
    <w:basedOn w:val="Normal"/>
    <w:next w:val="Normal"/>
    <w:autoRedefine/>
    <w:uiPriority w:val="39"/>
    <w:semiHidden/>
    <w:unhideWhenUsed/>
    <w:rsid w:val="00217EAF"/>
    <w:pPr>
      <w:spacing w:after="100"/>
      <w:ind w:left="960"/>
    </w:pPr>
  </w:style>
  <w:style w:type="paragraph" w:styleId="TOC6">
    <w:name w:val="toc 6"/>
    <w:basedOn w:val="Normal"/>
    <w:next w:val="Normal"/>
    <w:autoRedefine/>
    <w:uiPriority w:val="39"/>
    <w:semiHidden/>
    <w:unhideWhenUsed/>
    <w:rsid w:val="00217EAF"/>
    <w:pPr>
      <w:spacing w:after="100"/>
      <w:ind w:left="1200"/>
    </w:pPr>
  </w:style>
  <w:style w:type="paragraph" w:styleId="TOC7">
    <w:name w:val="toc 7"/>
    <w:basedOn w:val="Normal"/>
    <w:next w:val="Normal"/>
    <w:autoRedefine/>
    <w:uiPriority w:val="39"/>
    <w:semiHidden/>
    <w:unhideWhenUsed/>
    <w:rsid w:val="00217EAF"/>
    <w:pPr>
      <w:spacing w:after="100"/>
      <w:ind w:left="1440"/>
    </w:pPr>
  </w:style>
  <w:style w:type="paragraph" w:styleId="TOC8">
    <w:name w:val="toc 8"/>
    <w:basedOn w:val="Normal"/>
    <w:next w:val="Normal"/>
    <w:autoRedefine/>
    <w:uiPriority w:val="39"/>
    <w:semiHidden/>
    <w:unhideWhenUsed/>
    <w:rsid w:val="00217EAF"/>
    <w:pPr>
      <w:spacing w:after="100"/>
      <w:ind w:left="1680"/>
    </w:pPr>
  </w:style>
  <w:style w:type="paragraph" w:styleId="TOC9">
    <w:name w:val="toc 9"/>
    <w:basedOn w:val="Normal"/>
    <w:next w:val="Normal"/>
    <w:autoRedefine/>
    <w:uiPriority w:val="39"/>
    <w:semiHidden/>
    <w:unhideWhenUsed/>
    <w:rsid w:val="00217EAF"/>
    <w:pPr>
      <w:spacing w:after="100"/>
      <w:ind w:left="1920"/>
    </w:pPr>
  </w:style>
  <w:style w:type="character" w:styleId="Emphasis">
    <w:name w:val="Emphasis"/>
    <w:basedOn w:val="DefaultParagraphFont"/>
    <w:uiPriority w:val="20"/>
    <w:qFormat/>
    <w:rsid w:val="00FB6C4E"/>
    <w:rPr>
      <w:rFonts w:asciiTheme="majorHAnsi" w:hAnsiTheme="majorHAnsi"/>
      <w:b w:val="0"/>
      <w:bCs/>
      <w:iCs/>
      <w:u w:val="single"/>
    </w:rPr>
  </w:style>
  <w:style w:type="character" w:styleId="SubtleEmphasis">
    <w:name w:val="Subtle Emphasis"/>
    <w:basedOn w:val="DefaultParagraphFont"/>
    <w:uiPriority w:val="12"/>
    <w:qFormat/>
    <w:rsid w:val="00237497"/>
    <w:rPr>
      <w:u w:val="single"/>
    </w:rPr>
  </w:style>
  <w:style w:type="character" w:styleId="SubtleReference">
    <w:name w:val="Subtle Reference"/>
    <w:basedOn w:val="DefaultParagraphFont"/>
    <w:uiPriority w:val="31"/>
    <w:unhideWhenUsed/>
    <w:rsid w:val="008845DA"/>
    <w:rPr>
      <w:smallCaps/>
      <w:color w:val="5A5A5A" w:themeColor="text1" w:themeTint="A5"/>
    </w:rPr>
  </w:style>
  <w:style w:type="table" w:styleId="TableGrid">
    <w:name w:val="Table Grid"/>
    <w:basedOn w:val="TableNormal"/>
    <w:uiPriority w:val="39"/>
    <w:rsid w:val="00AE00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ccentTable">
    <w:name w:val="AccentTable"/>
    <w:basedOn w:val="TableNormal"/>
    <w:uiPriority w:val="99"/>
    <w:rsid w:val="0000562F"/>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1" w:type="dxa"/>
        <w:bottom w:w="79" w:type="dxa"/>
      </w:tblCellMar>
    </w:tblPr>
    <w:tblStylePr w:type="firstRow">
      <w:pPr>
        <w:keepNext/>
        <w:keepLines w:val="0"/>
        <w:wordWrap/>
      </w:pPr>
      <w:rPr>
        <w:b/>
        <w:color w:val="FFFFFF" w:themeColor="background1"/>
      </w:rPr>
      <w:tblPr/>
      <w:tcPr>
        <w:shd w:val="clear" w:color="auto" w:fill="002856" w:themeFill="accent1"/>
      </w:tcPr>
    </w:tblStylePr>
    <w:tblStylePr w:type="lastRow">
      <w:pPr>
        <w:keepNext w:val="0"/>
        <w:keepLines w:val="0"/>
        <w:wordWrap/>
      </w:pPr>
      <w:rPr>
        <w:color w:val="auto"/>
      </w:rPr>
      <w:tblPr/>
      <w:tcPr>
        <w:shd w:val="clear" w:color="auto" w:fill="FFFFCC"/>
      </w:tcPr>
    </w:tblStylePr>
    <w:tblStylePr w:type="firstCol">
      <w:pPr>
        <w:keepNext w:val="0"/>
        <w:keepLines w:val="0"/>
        <w:wordWrap/>
      </w:pPr>
      <w:rPr>
        <w:b/>
        <w:color w:val="F2F2F2" w:themeColor="background1" w:themeShade="F2"/>
      </w:rPr>
      <w:tblPr/>
      <w:tcPr>
        <w:shd w:val="clear" w:color="auto" w:fill="002856" w:themeFill="accent1"/>
      </w:tcPr>
    </w:tblStylePr>
    <w:tblStylePr w:type="lastCol">
      <w:pPr>
        <w:keepNext w:val="0"/>
        <w:keepLines w:val="0"/>
        <w:wordWrap/>
      </w:pPr>
      <w:rPr>
        <w:b/>
        <w:color w:val="FFFFFF" w:themeColor="background1"/>
      </w:rPr>
      <w:tblPr/>
      <w:tcPr>
        <w:shd w:val="clear" w:color="auto" w:fill="002856" w:themeFill="accent1"/>
      </w:tcPr>
    </w:tblStylePr>
    <w:tblStylePr w:type="band1Vert">
      <w:pPr>
        <w:keepNext w:val="0"/>
        <w:keepLines w:val="0"/>
        <w:wordWrap/>
      </w:pPr>
      <w:tblPr/>
      <w:tcPr>
        <w:shd w:val="clear" w:color="auto" w:fill="F2F2F2" w:themeFill="background1" w:themeFillShade="F2"/>
      </w:tcPr>
    </w:tblStylePr>
    <w:tblStylePr w:type="band2Vert">
      <w:pPr>
        <w:keepNext w:val="0"/>
        <w:keepLines w:val="0"/>
        <w:wordWrap/>
      </w:pPr>
    </w:tblStylePr>
    <w:tblStylePr w:type="band1Horz">
      <w:pPr>
        <w:keepNext w:val="0"/>
        <w:keepLines w:val="0"/>
        <w:wordWrap/>
      </w:pPr>
      <w:tblPr/>
      <w:tcPr>
        <w:shd w:val="clear" w:color="auto" w:fill="F2F2F2" w:themeFill="background1" w:themeFillShade="F2"/>
      </w:tcPr>
    </w:tblStylePr>
    <w:tblStylePr w:type="band2Horz">
      <w:pPr>
        <w:keepNext w:val="0"/>
        <w:keepLines w:val="0"/>
        <w:wordWrap/>
      </w:pPr>
    </w:tblStylePr>
    <w:tblStylePr w:type="neCell">
      <w:pPr>
        <w:keepNext w:val="0"/>
        <w:keepLines w:val="0"/>
        <w:wordWrap/>
      </w:pPr>
      <w:tblPr/>
      <w:tcPr>
        <w:shd w:val="clear" w:color="auto" w:fill="002856" w:themeFill="accent1"/>
      </w:tcPr>
    </w:tblStylePr>
    <w:tblStylePr w:type="nwCell">
      <w:pPr>
        <w:keepNext w:val="0"/>
        <w:keepLines w:val="0"/>
        <w:wordWrap/>
      </w:pPr>
      <w:tblPr/>
      <w:tcPr>
        <w:shd w:val="clear" w:color="auto" w:fill="002856" w:themeFill="accent1"/>
      </w:tcPr>
    </w:tblStylePr>
    <w:tblStylePr w:type="seCell">
      <w:pPr>
        <w:keepNext w:val="0"/>
        <w:keepLines w:val="0"/>
        <w:wordWrap/>
      </w:pPr>
      <w:tblPr/>
      <w:tcPr>
        <w:shd w:val="clear" w:color="auto" w:fill="FFFF99"/>
      </w:tcPr>
    </w:tblStylePr>
    <w:tblStylePr w:type="swCell">
      <w:pPr>
        <w:keepNext w:val="0"/>
        <w:keepLines w:val="0"/>
        <w:wordWrap/>
      </w:pPr>
      <w:tblPr/>
      <w:tcPr>
        <w:shd w:val="clear" w:color="auto" w:fill="FFFF99"/>
      </w:tcPr>
    </w:tblStylePr>
  </w:style>
  <w:style w:type="table" w:customStyle="1" w:styleId="BlankTable">
    <w:name w:val="BlankTable"/>
    <w:basedOn w:val="TableNormal"/>
    <w:uiPriority w:val="99"/>
    <w:rsid w:val="0000562F"/>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1" w:type="dxa"/>
        <w:bottom w:w="79" w:type="dxa"/>
      </w:tblCellMar>
    </w:tblPr>
    <w:tblStylePr w:type="firstRow">
      <w:pPr>
        <w:keepNext/>
        <w:keepLines w:val="0"/>
        <w:wordWrap/>
      </w:pPr>
      <w:rPr>
        <w:b/>
        <w:color w:val="auto"/>
      </w:rPr>
      <w:tblPr/>
      <w:tcPr>
        <w:tcBorders>
          <w:top w:val="single" w:sz="4" w:space="0" w:color="auto"/>
          <w:left w:val="single" w:sz="4" w:space="0" w:color="auto"/>
          <w:bottom w:val="single" w:sz="4" w:space="0" w:color="auto"/>
          <w:right w:val="single" w:sz="4" w:space="0" w:color="auto"/>
          <w:insideH w:val="nil"/>
          <w:insideV w:val="single" w:sz="4" w:space="0" w:color="auto"/>
          <w:tl2br w:val="nil"/>
          <w:tr2bl w:val="nil"/>
        </w:tcBorders>
        <w:shd w:val="clear" w:color="auto" w:fill="000000" w:themeFill="text1"/>
      </w:tcPr>
    </w:tblStylePr>
    <w:tblStylePr w:type="lastRow">
      <w:pPr>
        <w:keepNext w:val="0"/>
        <w:keepLines w:val="0"/>
        <w:wordWrap/>
      </w:pPr>
      <w:tblPr/>
      <w:tcPr>
        <w:shd w:val="clear" w:color="auto" w:fill="FFF2CC" w:themeFill="accent4" w:themeFillTint="33"/>
      </w:tcPr>
    </w:tblStylePr>
    <w:tblStylePr w:type="firstCol">
      <w:pPr>
        <w:keepNext w:val="0"/>
        <w:keepLines w:val="0"/>
        <w:wordWrap/>
      </w:pPr>
      <w:rPr>
        <w:b/>
      </w:rPr>
      <w:tblPr/>
      <w:tcPr>
        <w:tcBorders>
          <w:top w:val="single" w:sz="4" w:space="0" w:color="auto"/>
          <w:left w:val="single" w:sz="4" w:space="0" w:color="auto"/>
          <w:bottom w:val="single" w:sz="4" w:space="0" w:color="auto"/>
          <w:right w:val="single" w:sz="4" w:space="0" w:color="auto"/>
          <w:insideH w:val="nil"/>
          <w:insideV w:val="nil"/>
          <w:tl2br w:val="nil"/>
          <w:tr2bl w:val="nil"/>
        </w:tcBorders>
        <w:shd w:val="clear" w:color="auto" w:fill="000000" w:themeFill="text1"/>
      </w:tcPr>
    </w:tblStylePr>
    <w:tblStylePr w:type="lastCol">
      <w:pPr>
        <w:keepNext w:val="0"/>
        <w:keepLines w:val="0"/>
        <w:wordWrap/>
      </w:pPr>
      <w:rPr>
        <w:b/>
      </w:rPr>
      <w:tblPr/>
      <w:tcPr>
        <w:shd w:val="clear" w:color="auto" w:fill="262626" w:themeFill="text1" w:themeFillTint="D9"/>
      </w:tcPr>
    </w:tblStylePr>
    <w:tblStylePr w:type="band1Vert">
      <w:pPr>
        <w:keepNext w:val="0"/>
        <w:keepLines w:val="0"/>
        <w:wordWrap/>
      </w:pPr>
      <w:tblPr/>
      <w:tcPr>
        <w:shd w:val="clear" w:color="auto" w:fill="F2F2F2" w:themeFill="background1" w:themeFillShade="F2"/>
      </w:tcPr>
    </w:tblStylePr>
    <w:tblStylePr w:type="band2Vert">
      <w:pPr>
        <w:keepNext w:val="0"/>
        <w:keepLines w:val="0"/>
        <w:wordWrap/>
      </w:pPr>
    </w:tblStylePr>
    <w:tblStylePr w:type="band1Horz">
      <w:pPr>
        <w:keepNext w:val="0"/>
        <w:keepLines w:val="0"/>
        <w:wordWrap/>
      </w:pPr>
      <w:tblPr/>
      <w:tcPr>
        <w:shd w:val="clear" w:color="auto" w:fill="F2F2F2" w:themeFill="background1" w:themeFillShade="F2"/>
      </w:tcPr>
    </w:tblStylePr>
    <w:tblStylePr w:type="band2Horz">
      <w:pPr>
        <w:keepNext w:val="0"/>
        <w:keepLines w:val="0"/>
        <w:wordWrap/>
      </w:pPr>
    </w:tblStylePr>
    <w:tblStylePr w:type="neCell">
      <w:pPr>
        <w:keepNext w:val="0"/>
        <w:keepLines w:val="0"/>
        <w:wordWrap/>
      </w:pPr>
      <w:tblPr/>
      <w:tcPr>
        <w:tcBorders>
          <w:top w:val="single" w:sz="4" w:space="0" w:color="auto"/>
          <w:left w:val="single" w:sz="4" w:space="0" w:color="auto"/>
          <w:bottom w:val="single" w:sz="4" w:space="0" w:color="auto"/>
          <w:right w:val="single" w:sz="4" w:space="0" w:color="auto"/>
          <w:insideH w:val="nil"/>
          <w:insideV w:val="nil"/>
          <w:tl2br w:val="nil"/>
          <w:tr2bl w:val="nil"/>
        </w:tcBorders>
        <w:shd w:val="clear" w:color="auto" w:fill="000000" w:themeFill="text1"/>
      </w:tcPr>
    </w:tblStylePr>
    <w:tblStylePr w:type="nwCell">
      <w:pPr>
        <w:keepNext w:val="0"/>
        <w:keepLines w:val="0"/>
        <w:wordWrap/>
      </w:pPr>
      <w:tblPr/>
      <w:tcPr>
        <w:tcBorders>
          <w:top w:val="single" w:sz="4" w:space="0" w:color="auto"/>
          <w:left w:val="single" w:sz="4" w:space="0" w:color="auto"/>
          <w:bottom w:val="single" w:sz="4" w:space="0" w:color="auto"/>
          <w:right w:val="single" w:sz="4" w:space="0" w:color="auto"/>
          <w:insideH w:val="nil"/>
          <w:insideV w:val="nil"/>
          <w:tl2br w:val="nil"/>
          <w:tr2bl w:val="nil"/>
        </w:tcBorders>
        <w:shd w:val="clear" w:color="auto" w:fill="000000" w:themeFill="text1"/>
      </w:tcPr>
    </w:tblStylePr>
    <w:tblStylePr w:type="seCell">
      <w:pPr>
        <w:keepNext w:val="0"/>
        <w:keepLines w:val="0"/>
        <w:wordWrap/>
      </w:pPr>
      <w:tblPr/>
      <w:tcPr>
        <w:shd w:val="clear" w:color="auto" w:fill="FFD966" w:themeFill="accent4" w:themeFillTint="99"/>
      </w:tcPr>
    </w:tblStylePr>
    <w:tblStylePr w:type="swCell">
      <w:pPr>
        <w:keepNext w:val="0"/>
        <w:keepLines w:val="0"/>
        <w:wordWrap/>
      </w:pPr>
      <w:tblPr/>
      <w:tcPr>
        <w:shd w:val="clear" w:color="auto" w:fill="FFD966" w:themeFill="accent4" w:themeFillTint="99"/>
      </w:tcPr>
    </w:tblStylePr>
  </w:style>
  <w:style w:type="paragraph" w:styleId="Quote">
    <w:name w:val="Quote"/>
    <w:basedOn w:val="Normal"/>
    <w:next w:val="Normal"/>
    <w:link w:val="QuoteChar"/>
    <w:uiPriority w:val="29"/>
    <w:qFormat/>
    <w:rsid w:val="000B4735"/>
    <w:pPr>
      <w:spacing w:before="200" w:after="160"/>
      <w:ind w:left="624" w:right="720"/>
    </w:pPr>
    <w:rPr>
      <w:i/>
      <w:iCs/>
      <w:color w:val="262626" w:themeColor="text1" w:themeTint="D9"/>
    </w:rPr>
  </w:style>
  <w:style w:type="character" w:customStyle="1" w:styleId="QuoteChar">
    <w:name w:val="Quote Char"/>
    <w:basedOn w:val="DefaultParagraphFont"/>
    <w:link w:val="Quote"/>
    <w:uiPriority w:val="29"/>
    <w:rsid w:val="000B4735"/>
    <w:rPr>
      <w:i/>
      <w:iCs/>
      <w:color w:val="262626" w:themeColor="text1" w:themeTint="D9"/>
    </w:rPr>
  </w:style>
  <w:style w:type="table" w:customStyle="1" w:styleId="AccentTable2">
    <w:name w:val="AccentTable 2"/>
    <w:basedOn w:val="TableNormal"/>
    <w:uiPriority w:val="99"/>
    <w:rsid w:val="0000562F"/>
    <w:tblPr>
      <w:tblStyleRowBandSize w:val="1"/>
      <w:tblStyleColBandSize w:val="1"/>
      <w:tblBorders>
        <w:top w:val="single" w:sz="4" w:space="0" w:color="002856" w:themeColor="accent1"/>
        <w:left w:val="single" w:sz="4" w:space="0" w:color="002856" w:themeColor="accent1"/>
        <w:bottom w:val="single" w:sz="4" w:space="0" w:color="002856" w:themeColor="accent1"/>
        <w:right w:val="single" w:sz="4" w:space="0" w:color="002856" w:themeColor="accent1"/>
        <w:insideH w:val="single" w:sz="4" w:space="0" w:color="002856" w:themeColor="accent1"/>
        <w:insideV w:val="single" w:sz="4" w:space="0" w:color="002856" w:themeColor="accent1"/>
      </w:tblBorders>
      <w:tblCellMar>
        <w:top w:w="91" w:type="dxa"/>
        <w:bottom w:w="79" w:type="dxa"/>
      </w:tblCellMar>
    </w:tblPr>
    <w:tcPr>
      <w:shd w:val="clear" w:color="auto" w:fill="auto"/>
    </w:tcPr>
    <w:tblStylePr w:type="firstRow">
      <w:pPr>
        <w:keepNext/>
        <w:wordWrap/>
      </w:pPr>
      <w:rPr>
        <w:b/>
      </w:rPr>
      <w:tblPr/>
      <w:tcPr>
        <w:tcBorders>
          <w:top w:val="single" w:sz="4" w:space="0" w:color="002856" w:themeColor="accent1"/>
          <w:left w:val="single" w:sz="4" w:space="0" w:color="002856" w:themeColor="accent1"/>
          <w:bottom w:val="single" w:sz="4" w:space="0" w:color="002856" w:themeColor="accent1"/>
          <w:right w:val="single" w:sz="4" w:space="0" w:color="002856" w:themeColor="accent1"/>
          <w:insideH w:val="single" w:sz="4" w:space="0" w:color="002856" w:themeColor="accent1"/>
          <w:insideV w:val="single" w:sz="4" w:space="0" w:color="002856" w:themeColor="accent1"/>
          <w:tl2br w:val="nil"/>
          <w:tr2bl w:val="nil"/>
        </w:tcBorders>
        <w:shd w:val="clear" w:color="auto" w:fill="E7F7FD" w:themeFill="accent3" w:themeFillTint="33"/>
      </w:tcPr>
    </w:tblStylePr>
    <w:tblStylePr w:type="lastRow">
      <w:tblPr/>
      <w:tcPr>
        <w:tcBorders>
          <w:top w:val="single" w:sz="4" w:space="0" w:color="002856" w:themeColor="accent1"/>
          <w:left w:val="single" w:sz="4" w:space="0" w:color="002856" w:themeColor="accent1"/>
          <w:bottom w:val="single" w:sz="4" w:space="0" w:color="002856" w:themeColor="accent1"/>
          <w:right w:val="single" w:sz="4" w:space="0" w:color="002856" w:themeColor="accent1"/>
          <w:insideH w:val="single" w:sz="4" w:space="0" w:color="002856" w:themeColor="accent1"/>
          <w:insideV w:val="single" w:sz="4" w:space="0" w:color="002856" w:themeColor="accent1"/>
          <w:tl2br w:val="nil"/>
          <w:tr2bl w:val="nil"/>
        </w:tcBorders>
        <w:shd w:val="clear" w:color="auto" w:fill="FFFFCC"/>
      </w:tcPr>
    </w:tblStylePr>
    <w:tblStylePr w:type="firstCol">
      <w:rPr>
        <w:b/>
      </w:rPr>
      <w:tblPr/>
      <w:tcPr>
        <w:tcBorders>
          <w:top w:val="single" w:sz="4" w:space="0" w:color="002856" w:themeColor="accent1"/>
          <w:left w:val="single" w:sz="4" w:space="0" w:color="002856" w:themeColor="accent1"/>
          <w:bottom w:val="single" w:sz="4" w:space="0" w:color="002856" w:themeColor="accent1"/>
          <w:right w:val="single" w:sz="4" w:space="0" w:color="002856" w:themeColor="accent1"/>
          <w:insideH w:val="single" w:sz="4" w:space="0" w:color="002856" w:themeColor="accent1"/>
          <w:insideV w:val="single" w:sz="4" w:space="0" w:color="002856" w:themeColor="accent1"/>
          <w:tl2br w:val="nil"/>
          <w:tr2bl w:val="nil"/>
        </w:tcBorders>
        <w:shd w:val="clear" w:color="auto" w:fill="E7F7FD" w:themeFill="accent3" w:themeFillTint="33"/>
      </w:tcPr>
    </w:tblStylePr>
    <w:tblStylePr w:type="lastCol">
      <w:rPr>
        <w:b/>
      </w:rPr>
      <w:tblPr/>
      <w:tcPr>
        <w:shd w:val="clear" w:color="auto" w:fill="E7F7FD" w:themeFill="accent3" w:themeFillTint="33"/>
      </w:tcPr>
    </w:tblStylePr>
    <w:tblStylePr w:type="band2Vert">
      <w:tblPr/>
      <w:tcPr>
        <w:tcBorders>
          <w:top w:val="single" w:sz="4" w:space="0" w:color="002856" w:themeColor="accent1"/>
          <w:left w:val="single" w:sz="4" w:space="0" w:color="002856" w:themeColor="accent1"/>
          <w:bottom w:val="single" w:sz="4" w:space="0" w:color="002856" w:themeColor="accent1"/>
          <w:right w:val="single" w:sz="4" w:space="0" w:color="002856" w:themeColor="accent1"/>
          <w:insideH w:val="single" w:sz="4" w:space="0" w:color="002856" w:themeColor="accent1"/>
          <w:insideV w:val="single" w:sz="4" w:space="0" w:color="002856" w:themeColor="accent1"/>
          <w:tl2br w:val="nil"/>
          <w:tr2bl w:val="nil"/>
        </w:tcBorders>
        <w:shd w:val="clear" w:color="auto" w:fill="F2F2F2" w:themeFill="background1" w:themeFillShade="F2"/>
      </w:tcPr>
    </w:tblStylePr>
    <w:tblStylePr w:type="band2Horz">
      <w:tblPr/>
      <w:tcPr>
        <w:tcBorders>
          <w:top w:val="single" w:sz="4" w:space="0" w:color="002856" w:themeColor="accent1"/>
          <w:left w:val="single" w:sz="4" w:space="0" w:color="002856" w:themeColor="accent1"/>
          <w:bottom w:val="single" w:sz="4" w:space="0" w:color="002856" w:themeColor="accent1"/>
          <w:right w:val="single" w:sz="4" w:space="0" w:color="002856" w:themeColor="accent1"/>
          <w:insideH w:val="single" w:sz="4" w:space="0" w:color="002856" w:themeColor="accent1"/>
          <w:insideV w:val="single" w:sz="4" w:space="0" w:color="002856" w:themeColor="accent1"/>
          <w:tl2br w:val="nil"/>
          <w:tr2bl w:val="nil"/>
        </w:tcBorders>
        <w:shd w:val="clear" w:color="auto" w:fill="F2F2F2" w:themeFill="background1" w:themeFillShade="F2"/>
      </w:tcPr>
    </w:tblStylePr>
  </w:style>
  <w:style w:type="table" w:customStyle="1" w:styleId="TableNarrow">
    <w:name w:val="Table Narrow"/>
    <w:basedOn w:val="TableGrid1"/>
    <w:uiPriority w:val="99"/>
    <w:rsid w:val="00334207"/>
    <w:pPr>
      <w:spacing w:line="240" w:lineRule="auto"/>
    </w:pPr>
    <w:tblPr>
      <w:tblCellMar>
        <w:left w:w="0" w:type="dxa"/>
        <w:right w:w="0" w:type="dxa"/>
      </w:tblCellMar>
    </w:tblPr>
    <w:tblStylePr w:type="lastRow">
      <w:rPr>
        <w:i/>
        <w:iCs/>
      </w:rPr>
    </w:tblStylePr>
    <w:tblStylePr w:type="lastCol">
      <w:rPr>
        <w:i/>
        <w:iCs/>
      </w:rPr>
    </w:tblStylePr>
  </w:style>
  <w:style w:type="table" w:styleId="TableGrid1">
    <w:name w:val="Table Grid 1"/>
    <w:basedOn w:val="TableNormal"/>
    <w:uiPriority w:val="99"/>
    <w:semiHidden/>
    <w:unhideWhenUsed/>
    <w:rsid w:val="0033420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StylePr>
    <w:tblStylePr w:type="lastCol">
      <w:rPr>
        <w:i/>
        <w:iCs/>
      </w:rPr>
    </w:tblStylePr>
  </w:style>
  <w:style w:type="paragraph" w:customStyle="1" w:styleId="Emphasis2Text">
    <w:name w:val="Emphasis 2 Text"/>
    <w:basedOn w:val="Normal"/>
    <w:uiPriority w:val="19"/>
    <w:qFormat/>
    <w:rsid w:val="00BD3911"/>
    <w:pPr>
      <w:pBdr>
        <w:top w:val="single" w:sz="24" w:space="6" w:color="E7F7FD" w:themeColor="accent3" w:themeTint="33"/>
        <w:left w:val="single" w:sz="48" w:space="4" w:color="E7F7FD" w:themeColor="accent3" w:themeTint="33"/>
        <w:bottom w:val="single" w:sz="24" w:space="6" w:color="E7F7FD" w:themeColor="accent3" w:themeTint="33"/>
        <w:right w:val="single" w:sz="48" w:space="4" w:color="E7F7FD" w:themeColor="accent3" w:themeTint="33"/>
      </w:pBdr>
      <w:shd w:val="clear" w:color="auto" w:fill="E7F7FD" w:themeFill="accent3" w:themeFillTint="33"/>
      <w:spacing w:before="200" w:after="120"/>
      <w:ind w:left="198"/>
    </w:pPr>
    <w:rPr>
      <w:color w:val="00132B" w:themeColor="accent1" w:themeShade="80"/>
    </w:rPr>
  </w:style>
  <w:style w:type="paragraph" w:customStyle="1" w:styleId="Emphasis1Text">
    <w:name w:val="Emphasis 1 Text"/>
    <w:basedOn w:val="Normal"/>
    <w:uiPriority w:val="19"/>
    <w:qFormat/>
    <w:rsid w:val="00BD3911"/>
    <w:pPr>
      <w:pBdr>
        <w:top w:val="single" w:sz="24" w:space="6" w:color="DAEFF0" w:themeColor="accent2" w:themeTint="33"/>
        <w:left w:val="single" w:sz="48" w:space="4" w:color="DAEFF0" w:themeColor="accent2" w:themeTint="33"/>
        <w:bottom w:val="single" w:sz="24" w:space="6" w:color="DAEFF0" w:themeColor="accent2" w:themeTint="33"/>
        <w:right w:val="single" w:sz="48" w:space="4" w:color="DAEFF0" w:themeColor="accent2" w:themeTint="33"/>
      </w:pBdr>
      <w:shd w:val="clear" w:color="auto" w:fill="DAEFF0" w:themeFill="accent2" w:themeFillTint="33"/>
      <w:spacing w:before="200" w:after="120"/>
      <w:ind w:left="198"/>
    </w:pPr>
    <w:rPr>
      <w:color w:val="171717" w:themeColor="background2" w:themeShade="1A"/>
    </w:rPr>
  </w:style>
  <w:style w:type="table" w:customStyle="1" w:styleId="TableBasic">
    <w:name w:val="Table Basic"/>
    <w:basedOn w:val="TableNormal"/>
    <w:uiPriority w:val="99"/>
    <w:rsid w:val="00A41D52"/>
    <w:pPr>
      <w:spacing w:line="240" w:lineRule="auto"/>
    </w:pPr>
    <w:rPr>
      <w:szCs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b/>
      </w:rPr>
    </w:tblStylePr>
    <w:tblStylePr w:type="firstCol">
      <w:rPr>
        <w:b/>
      </w:rPr>
    </w:tblStylePr>
    <w:tblStylePr w:type="band1Vert">
      <w:tblPr/>
      <w:tcPr>
        <w:shd w:val="clear" w:color="auto" w:fill="F2F2F2"/>
      </w:tcPr>
    </w:tblStylePr>
    <w:tblStylePr w:type="band1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2F2F2"/>
      </w:tcPr>
    </w:tblStylePr>
  </w:style>
  <w:style w:type="character" w:customStyle="1" w:styleId="UnresolvedMention1">
    <w:name w:val="Unresolved Mention1"/>
    <w:basedOn w:val="DefaultParagraphFont"/>
    <w:uiPriority w:val="99"/>
    <w:semiHidden/>
    <w:unhideWhenUsed/>
    <w:rsid w:val="004B08AB"/>
    <w:rPr>
      <w:color w:val="605E5C"/>
      <w:shd w:val="clear" w:color="auto" w:fill="E1DFDD"/>
    </w:rPr>
  </w:style>
  <w:style w:type="character" w:customStyle="1" w:styleId="Heading6Char">
    <w:name w:val="Heading 6 Char"/>
    <w:basedOn w:val="DefaultParagraphFont"/>
    <w:link w:val="Heading6"/>
    <w:uiPriority w:val="1"/>
    <w:semiHidden/>
    <w:rsid w:val="00135A4A"/>
    <w:rPr>
      <w:rFonts w:asciiTheme="majorHAnsi" w:eastAsiaTheme="majorEastAsia" w:hAnsiTheme="majorHAnsi" w:cstheme="majorBidi"/>
      <w:i/>
      <w:color w:val="00132A" w:themeColor="accent1" w:themeShade="7F"/>
    </w:rPr>
  </w:style>
  <w:style w:type="paragraph" w:styleId="FootnoteText">
    <w:name w:val="footnote text"/>
    <w:basedOn w:val="Normal"/>
    <w:link w:val="FootnoteTextChar"/>
    <w:uiPriority w:val="99"/>
    <w:semiHidden/>
    <w:unhideWhenUsed/>
    <w:rsid w:val="00C26BA2"/>
    <w:pPr>
      <w:spacing w:after="20" w:line="240" w:lineRule="auto"/>
    </w:pPr>
    <w:rPr>
      <w:sz w:val="20"/>
      <w:szCs w:val="20"/>
    </w:rPr>
  </w:style>
  <w:style w:type="character" w:customStyle="1" w:styleId="FootnoteTextChar">
    <w:name w:val="Footnote Text Char"/>
    <w:basedOn w:val="DefaultParagraphFont"/>
    <w:link w:val="FootnoteText"/>
    <w:uiPriority w:val="99"/>
    <w:semiHidden/>
    <w:rsid w:val="00C26BA2"/>
    <w:rPr>
      <w:sz w:val="20"/>
      <w:szCs w:val="20"/>
    </w:rPr>
  </w:style>
  <w:style w:type="paragraph" w:customStyle="1" w:styleId="Subheading1">
    <w:name w:val="Subheading 1"/>
    <w:basedOn w:val="Normal"/>
    <w:uiPriority w:val="11"/>
    <w:qFormat/>
    <w:rsid w:val="00216EEE"/>
    <w:pPr>
      <w:keepNext/>
      <w:spacing w:after="120"/>
    </w:pPr>
    <w:rPr>
      <w:rFonts w:asciiTheme="majorHAnsi" w:hAnsiTheme="majorHAnsi"/>
      <w:bCs/>
      <w:color w:val="002856" w:themeColor="accent1"/>
    </w:rPr>
  </w:style>
  <w:style w:type="table" w:customStyle="1" w:styleId="Box">
    <w:name w:val="Box"/>
    <w:basedOn w:val="TableNormal"/>
    <w:uiPriority w:val="99"/>
    <w:rsid w:val="00B87723"/>
    <w:tblPr>
      <w:jc w:val="center"/>
      <w:tblBorders>
        <w:top w:val="single" w:sz="48" w:space="0" w:color="002856" w:themeColor="accent1"/>
        <w:left w:val="single" w:sz="48" w:space="0" w:color="002856" w:themeColor="accent1"/>
        <w:bottom w:val="single" w:sz="48" w:space="0" w:color="002856" w:themeColor="accent1"/>
        <w:right w:val="single" w:sz="48" w:space="0" w:color="002856" w:themeColor="accent1"/>
      </w:tblBorders>
      <w:tblCellMar>
        <w:top w:w="170" w:type="dxa"/>
        <w:left w:w="284" w:type="dxa"/>
        <w:bottom w:w="170" w:type="dxa"/>
        <w:right w:w="284" w:type="dxa"/>
      </w:tblCellMar>
    </w:tblPr>
    <w:tblPrEx>
      <w:jc w:val="center"/>
    </w:tblPrEx>
    <w:trPr>
      <w:jc w:val="center"/>
    </w:trPr>
    <w:tcPr>
      <w:shd w:val="clear" w:color="auto" w:fill="F4F6FC"/>
    </w:tcPr>
  </w:style>
  <w:style w:type="paragraph" w:customStyle="1" w:styleId="Title2">
    <w:name w:val="Title2"/>
    <w:basedOn w:val="Title"/>
    <w:next w:val="Normal"/>
    <w:uiPriority w:val="9"/>
    <w:qFormat/>
    <w:rsid w:val="003D3607"/>
    <w:rPr>
      <w:rFonts w:asciiTheme="minorHAnsi" w:hAnsiTheme="minorHAnsi"/>
      <w:sz w:val="28"/>
    </w:rPr>
  </w:style>
  <w:style w:type="paragraph" w:customStyle="1" w:styleId="Referencing">
    <w:name w:val="Referencing"/>
    <w:basedOn w:val="Normal"/>
    <w:link w:val="ReferencingChar"/>
    <w:uiPriority w:val="12"/>
    <w:qFormat/>
    <w:rsid w:val="00907837"/>
    <w:pPr>
      <w:spacing w:before="60"/>
      <w:ind w:right="284"/>
      <w:jc w:val="right"/>
    </w:pPr>
    <w:rPr>
      <w:i/>
      <w:iCs/>
      <w:color w:val="262626" w:themeColor="text1" w:themeTint="D9"/>
    </w:rPr>
  </w:style>
  <w:style w:type="character" w:customStyle="1" w:styleId="ReferencingChar">
    <w:name w:val="Referencing Char"/>
    <w:basedOn w:val="DefaultParagraphFont"/>
    <w:link w:val="Referencing"/>
    <w:uiPriority w:val="12"/>
    <w:rsid w:val="00907837"/>
    <w:rPr>
      <w:i/>
      <w:iCs/>
      <w:color w:val="262626" w:themeColor="text1" w:themeTint="D9"/>
    </w:rPr>
  </w:style>
  <w:style w:type="paragraph" w:styleId="EndnoteText">
    <w:name w:val="endnote text"/>
    <w:basedOn w:val="Normal"/>
    <w:link w:val="EndnoteTextChar"/>
    <w:uiPriority w:val="99"/>
    <w:semiHidden/>
    <w:unhideWhenUsed/>
    <w:rsid w:val="0093218E"/>
    <w:pPr>
      <w:spacing w:line="240" w:lineRule="auto"/>
    </w:pPr>
    <w:rPr>
      <w:sz w:val="20"/>
      <w:szCs w:val="20"/>
    </w:rPr>
  </w:style>
  <w:style w:type="character" w:customStyle="1" w:styleId="EndnoteTextChar">
    <w:name w:val="Endnote Text Char"/>
    <w:basedOn w:val="DefaultParagraphFont"/>
    <w:link w:val="EndnoteText"/>
    <w:uiPriority w:val="99"/>
    <w:semiHidden/>
    <w:rsid w:val="0093218E"/>
    <w:rPr>
      <w:sz w:val="20"/>
      <w:szCs w:val="20"/>
    </w:rPr>
  </w:style>
  <w:style w:type="character" w:styleId="EndnoteReference">
    <w:name w:val="endnote reference"/>
    <w:basedOn w:val="DefaultParagraphFont"/>
    <w:uiPriority w:val="99"/>
    <w:semiHidden/>
    <w:unhideWhenUsed/>
    <w:rsid w:val="0093218E"/>
    <w:rPr>
      <w:vertAlign w:val="superscript"/>
    </w:rPr>
  </w:style>
  <w:style w:type="paragraph" w:customStyle="1" w:styleId="Subheading2">
    <w:name w:val="Subheading 2"/>
    <w:basedOn w:val="Normal"/>
    <w:link w:val="Subheading2Char"/>
    <w:uiPriority w:val="11"/>
    <w:qFormat/>
    <w:rsid w:val="0093218E"/>
    <w:pPr>
      <w:keepLines/>
      <w:spacing w:after="120"/>
    </w:pPr>
    <w:rPr>
      <w:rFonts w:ascii="Segoe UI Light" w:hAnsi="Segoe UI Light" w:cstheme="majorHAnsi"/>
      <w:b/>
      <w:iCs/>
      <w:color w:val="001D40" w:themeColor="accent1" w:themeShade="BF"/>
      <w:szCs w:val="24"/>
    </w:rPr>
  </w:style>
  <w:style w:type="character" w:customStyle="1" w:styleId="Subheading2Char">
    <w:name w:val="Subheading 2 Char"/>
    <w:basedOn w:val="DefaultParagraphFont"/>
    <w:link w:val="Subheading2"/>
    <w:uiPriority w:val="11"/>
    <w:rsid w:val="0093218E"/>
    <w:rPr>
      <w:rFonts w:ascii="Segoe UI Light" w:hAnsi="Segoe UI Light" w:cstheme="majorHAnsi"/>
      <w:b/>
      <w:iCs/>
      <w:color w:val="001D40" w:themeColor="accent1" w:themeShade="BF"/>
      <w:szCs w:val="24"/>
    </w:rPr>
  </w:style>
  <w:style w:type="paragraph" w:customStyle="1" w:styleId="Heading2b">
    <w:name w:val="Heading 2b"/>
    <w:basedOn w:val="Normal"/>
    <w:next w:val="Normal"/>
    <w:link w:val="Heading2bChar"/>
    <w:uiPriority w:val="1"/>
    <w:qFormat/>
    <w:rsid w:val="00D95382"/>
    <w:pPr>
      <w:keepNext/>
      <w:keepLines/>
      <w:numPr>
        <w:numId w:val="1"/>
      </w:numPr>
      <w:pBdr>
        <w:top w:val="single" w:sz="36" w:space="1" w:color="F2F2F2" w:themeColor="background1" w:themeShade="F2"/>
        <w:left w:val="single" w:sz="36" w:space="4" w:color="F2F2F2" w:themeColor="background1" w:themeShade="F2"/>
        <w:bottom w:val="single" w:sz="36" w:space="1" w:color="F2F2F2" w:themeColor="background1" w:themeShade="F2"/>
        <w:right w:val="single" w:sz="36" w:space="4" w:color="F2F2F2" w:themeColor="background1" w:themeShade="F2"/>
      </w:pBdr>
      <w:shd w:val="clear" w:color="auto" w:fill="F2F2F2" w:themeFill="background1" w:themeFillShade="F2"/>
      <w:spacing w:after="200"/>
      <w:outlineLvl w:val="1"/>
    </w:pPr>
    <w:rPr>
      <w:rFonts w:asciiTheme="majorHAnsi" w:hAnsiTheme="majorHAnsi" w:cstheme="majorHAnsi"/>
      <w:color w:val="002856" w:themeColor="accent1"/>
    </w:rPr>
  </w:style>
  <w:style w:type="character" w:customStyle="1" w:styleId="Heading2bChar">
    <w:name w:val="Heading 2b Char"/>
    <w:basedOn w:val="DefaultParagraphFont"/>
    <w:link w:val="Heading2b"/>
    <w:uiPriority w:val="1"/>
    <w:rsid w:val="00D95382"/>
    <w:rPr>
      <w:rFonts w:asciiTheme="majorHAnsi" w:hAnsiTheme="majorHAnsi" w:cstheme="majorHAnsi"/>
      <w:color w:val="002856" w:themeColor="accent1"/>
      <w:shd w:val="clear" w:color="auto" w:fill="F2F2F2" w:themeFill="background1" w:themeFillShade="F2"/>
    </w:rPr>
  </w:style>
  <w:style w:type="table" w:customStyle="1" w:styleId="Inquiry">
    <w:name w:val="Inquiry"/>
    <w:basedOn w:val="TableNormal"/>
    <w:uiPriority w:val="99"/>
    <w:rsid w:val="00C11F63"/>
    <w:pPr>
      <w:spacing w:line="252" w:lineRule="auto"/>
    </w:pPr>
    <w:rPr>
      <w:color w:val="000000" w:themeColor="text1"/>
    </w:rPr>
    <w:tblP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108" w:type="dxa"/>
        <w:left w:w="142" w:type="dxa"/>
        <w:bottom w:w="108" w:type="dxa"/>
        <w:right w:w="142" w:type="dxa"/>
      </w:tblCellMar>
    </w:tblPr>
    <w:tcPr>
      <w:shd w:val="clear" w:color="auto" w:fill="F2DBDB"/>
    </w:tcPr>
  </w:style>
  <w:style w:type="table" w:customStyle="1" w:styleId="CompanyBox">
    <w:name w:val="CompanyBox"/>
    <w:basedOn w:val="TableNormal"/>
    <w:uiPriority w:val="99"/>
    <w:rsid w:val="001F0E49"/>
    <w:pPr>
      <w:spacing w:line="252" w:lineRule="auto"/>
    </w:pPr>
    <w:rPr>
      <w:i/>
    </w:rPr>
    <w:tblP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108" w:type="dxa"/>
        <w:left w:w="142" w:type="dxa"/>
        <w:bottom w:w="108" w:type="dxa"/>
        <w:right w:w="142" w:type="dxa"/>
      </w:tblCellMar>
    </w:tblPr>
    <w:tcPr>
      <w:shd w:val="clear" w:color="auto" w:fill="002856" w:themeFill="accent1"/>
    </w:tcPr>
  </w:style>
  <w:style w:type="character" w:styleId="FootnoteReference">
    <w:name w:val="footnote reference"/>
    <w:basedOn w:val="DefaultParagraphFont"/>
    <w:uiPriority w:val="99"/>
    <w:semiHidden/>
    <w:unhideWhenUsed/>
    <w:rPr>
      <w:vertAlign w:val="superscript"/>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C5A74"/>
    <w:rPr>
      <w:b/>
      <w:bCs/>
    </w:rPr>
  </w:style>
  <w:style w:type="character" w:customStyle="1" w:styleId="CommentSubjectChar">
    <w:name w:val="Comment Subject Char"/>
    <w:basedOn w:val="CommentTextChar"/>
    <w:link w:val="CommentSubject"/>
    <w:uiPriority w:val="99"/>
    <w:semiHidden/>
    <w:rsid w:val="000C5A74"/>
    <w:rPr>
      <w:b/>
      <w:bCs/>
      <w:sz w:val="20"/>
      <w:szCs w:val="20"/>
    </w:rPr>
  </w:style>
  <w:style w:type="paragraph" w:styleId="Revision">
    <w:name w:val="Revision"/>
    <w:hidden/>
    <w:uiPriority w:val="99"/>
    <w:semiHidden/>
    <w:rsid w:val="00F92933"/>
    <w:pPr>
      <w:spacing w:line="240" w:lineRule="auto"/>
    </w:pPr>
  </w:style>
  <w:style w:type="character" w:styleId="FollowedHyperlink">
    <w:name w:val="FollowedHyperlink"/>
    <w:basedOn w:val="DefaultParagraphFont"/>
    <w:uiPriority w:val="99"/>
    <w:rsid w:val="008A390D"/>
    <w:rPr>
      <w:color w:val="007B78"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Heritage Alliance">
      <a:dk1>
        <a:sysClr val="windowText" lastClr="000000"/>
      </a:dk1>
      <a:lt1>
        <a:sysClr val="window" lastClr="FFFFFF"/>
      </a:lt1>
      <a:dk2>
        <a:srgbClr val="44546A"/>
      </a:dk2>
      <a:lt2>
        <a:srgbClr val="E7E6E6"/>
      </a:lt2>
      <a:accent1>
        <a:srgbClr val="002856"/>
      </a:accent1>
      <a:accent2>
        <a:srgbClr val="4AB3B6"/>
      </a:accent2>
      <a:accent3>
        <a:srgbClr val="8CD9F8"/>
      </a:accent3>
      <a:accent4>
        <a:srgbClr val="FFC000"/>
      </a:accent4>
      <a:accent5>
        <a:srgbClr val="C0504D"/>
      </a:accent5>
      <a:accent6>
        <a:srgbClr val="70AD47"/>
      </a:accent6>
      <a:hlink>
        <a:srgbClr val="007B78"/>
      </a:hlink>
      <a:folHlink>
        <a:srgbClr val="007B78"/>
      </a:folHlink>
    </a:clrScheme>
    <a:fontScheme name="Segoe UI Semibold">
      <a:majorFont>
        <a:latin typeface="Segoe UI Semibold"/>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99C72AF5B3BDBD439E126FACA9481A10" ma:contentTypeVersion="19" ma:contentTypeDescription="Create a new document." ma:contentTypeScope="" ma:versionID="0192ae2b21a48f0b25534bf634c4540a">
  <xsd:schema xmlns:xsd="http://www.w3.org/2001/XMLSchema" xmlns:xs="http://www.w3.org/2001/XMLSchema" xmlns:p="http://schemas.microsoft.com/office/2006/metadata/properties" xmlns:ns2="fdbf8905-4d3f-49a7-82cb-a83d1142fd67" xmlns:ns3="6598cf80-dfb6-4caf-a36a-94903f3f36ab" targetNamespace="http://schemas.microsoft.com/office/2006/metadata/properties" ma:root="true" ma:fieldsID="38542bd79471b3ee2dbdbbe7675cc76e" ns2:_="" ns3:_="">
    <xsd:import namespace="fdbf8905-4d3f-49a7-82cb-a83d1142fd67"/>
    <xsd:import namespace="6598cf80-dfb6-4caf-a36a-94903f3f36a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2:SharedWithUsers" minOccurs="0"/>
                <xsd:element ref="ns2:SharedWithDetail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bf8905-4d3f-49a7-82cb-a83d1142fd6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8f6eb56b-9f9e-4a38-acc8-7b8804b9b3ca}" ma:internalName="TaxCatchAll" ma:showField="CatchAllData" ma:web="fdbf8905-4d3f-49a7-82cb-a83d1142fd6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598cf80-dfb6-4caf-a36a-94903f3f36a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d0a34a20-8056-493d-9951-1df8c4f4fc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dlc_DocId xmlns="fdbf8905-4d3f-49a7-82cb-a83d1142fd67">WW7DMA75WETP-1755801372-276540</_dlc_DocId>
    <_dlc_DocIdUrl xmlns="fdbf8905-4d3f-49a7-82cb-a83d1142fd67">
      <Url>https://heritageallianceuk.sharepoint.com/sites/HA_Globalshare/_layouts/15/DocIdRedir.aspx?ID=WW7DMA75WETP-1755801372-276540</Url>
      <Description>WW7DMA75WETP-1755801372-276540</Description>
    </_dlc_DocIdUrl>
    <TaxCatchAll xmlns="fdbf8905-4d3f-49a7-82cb-a83d1142fd67" xsi:nil="true"/>
    <lcf76f155ced4ddcb4097134ff3c332f xmlns="6598cf80-dfb6-4caf-a36a-94903f3f36ab">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29CF9A-D934-48E0-B879-9CC46AA41D52}">
  <ds:schemaRefs>
    <ds:schemaRef ds:uri="http://schemas.microsoft.com/sharepoint/events"/>
  </ds:schemaRefs>
</ds:datastoreItem>
</file>

<file path=customXml/itemProps2.xml><?xml version="1.0" encoding="utf-8"?>
<ds:datastoreItem xmlns:ds="http://schemas.openxmlformats.org/officeDocument/2006/customXml" ds:itemID="{3E99E0B8-A3AD-4BA9-9256-41BD923374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bf8905-4d3f-49a7-82cb-a83d1142fd67"/>
    <ds:schemaRef ds:uri="6598cf80-dfb6-4caf-a36a-94903f3f36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10DC08-4ED4-4D76-9D06-E6CBEE586802}">
  <ds:schemaRefs>
    <ds:schemaRef ds:uri="http://schemas.openxmlformats.org/officeDocument/2006/bibliography"/>
  </ds:schemaRefs>
</ds:datastoreItem>
</file>

<file path=customXml/itemProps4.xml><?xml version="1.0" encoding="utf-8"?>
<ds:datastoreItem xmlns:ds="http://schemas.openxmlformats.org/officeDocument/2006/customXml" ds:itemID="{57337842-57E4-47BF-8203-FAE8799A7ADC}">
  <ds:schemaRefs>
    <ds:schemaRef ds:uri="http://schemas.microsoft.com/office/2006/metadata/properties"/>
    <ds:schemaRef ds:uri="http://schemas.microsoft.com/office/infopath/2007/PartnerControls"/>
    <ds:schemaRef ds:uri="fdbf8905-4d3f-49a7-82cb-a83d1142fd67"/>
    <ds:schemaRef ds:uri="6598cf80-dfb6-4caf-a36a-94903f3f36ab"/>
  </ds:schemaRefs>
</ds:datastoreItem>
</file>

<file path=customXml/itemProps5.xml><?xml version="1.0" encoding="utf-8"?>
<ds:datastoreItem xmlns:ds="http://schemas.openxmlformats.org/officeDocument/2006/customXml" ds:itemID="{E14BF357-3008-4EF8-94DA-C46F087F5C05}">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TOU0091</dc:title>
  <cp:revision>0</cp:revision>
</cp:coreProperties>
</file>