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04682" w:rsidRPr="00560C4C" w:rsidP="00C04682">
      <w:pPr>
        <w:spacing w:line="360" w:lineRule="auto"/>
        <w:jc w:val="center"/>
        <w:rPr>
          <w:rFonts w:ascii="Calibri" w:hAnsi="Calibri" w:cs="Calibri"/>
          <w:sz w:val="28"/>
          <w:szCs w:val="28"/>
        </w:rPr>
      </w:pPr>
      <w:r w:rsidRPr="00560C4C">
        <w:rPr>
          <w:rFonts w:ascii="Calibri" w:hAnsi="Calibri" w:cs="Calibri"/>
          <w:sz w:val="28"/>
          <w:szCs w:val="28"/>
        </w:rPr>
        <w:t>Written evidence submitted by</w:t>
      </w:r>
      <w:r w:rsidRPr="00922D69">
        <w:rPr>
          <w:rFonts w:ascii="Calibri" w:hAnsi="Calibri" w:cs="Calibri"/>
          <w:sz w:val="28"/>
          <w:szCs w:val="28"/>
        </w:rPr>
        <w:t xml:space="preserve"> </w:t>
      </w:r>
      <w:r w:rsidRPr="00C04682">
        <w:rPr>
          <w:rFonts w:ascii="Calibri" w:hAnsi="Calibri" w:cs="Calibri"/>
          <w:sz w:val="28"/>
          <w:szCs w:val="28"/>
        </w:rPr>
        <w:t>Heart of London Business Alliance</w:t>
      </w:r>
    </w:p>
    <w:p w:rsidR="004F66B8" w:rsidP="5865F59B">
      <w:pPr>
        <w:spacing w:after="0" w:line="276" w:lineRule="auto"/>
        <w:rPr>
          <w:rFonts w:ascii="Gill Sans MT" w:eastAsia="Gill Sans MT" w:hAnsi="Gill Sans MT" w:cs="Gill Sans MT"/>
        </w:rPr>
      </w:pPr>
    </w:p>
    <w:p w:rsidR="004F66B8" w:rsidP="5865F59B">
      <w:pPr>
        <w:spacing w:after="0" w:line="276" w:lineRule="auto"/>
        <w:rPr>
          <w:rFonts w:ascii="Gill Sans MT" w:eastAsia="Gill Sans MT" w:hAnsi="Gill Sans MT" w:cs="Gill Sans MT"/>
          <w:b/>
          <w:bCs/>
          <w:color w:val="000000" w:themeColor="text1"/>
        </w:rPr>
      </w:pPr>
      <w:r w:rsidRPr="5865F59B">
        <w:rPr>
          <w:rFonts w:ascii="Gill Sans MT" w:eastAsia="Gill Sans MT" w:hAnsi="Gill Sans MT" w:cs="Gill Sans MT"/>
          <w:b/>
          <w:bCs/>
          <w:color w:val="000000" w:themeColor="text1"/>
        </w:rPr>
        <w:t xml:space="preserve">Executive </w:t>
      </w:r>
      <w:r w:rsidRPr="5865F59B">
        <w:rPr>
          <w:rFonts w:ascii="Gill Sans MT" w:eastAsia="Gill Sans MT" w:hAnsi="Gill Sans MT" w:cs="Gill Sans MT"/>
          <w:b/>
          <w:bCs/>
          <w:color w:val="000000" w:themeColor="text1"/>
        </w:rPr>
        <w:t>s</w:t>
      </w:r>
      <w:r w:rsidRPr="5865F59B">
        <w:rPr>
          <w:rFonts w:ascii="Gill Sans MT" w:eastAsia="Gill Sans MT" w:hAnsi="Gill Sans MT" w:cs="Gill Sans MT"/>
          <w:b/>
          <w:bCs/>
          <w:color w:val="000000" w:themeColor="text1"/>
        </w:rPr>
        <w:t>ummary</w:t>
      </w: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Heart of London Business Alliance (HOLBA) is a Business Improvement District (BID) representing more than 500 businesses and property owners across </w:t>
      </w:r>
      <w:r w:rsidRPr="5865F59B">
        <w:rPr>
          <w:rFonts w:ascii="Gill Sans MT" w:eastAsia="Gill Sans MT" w:hAnsi="Gill Sans MT" w:cs="Gill Sans MT"/>
          <w:color w:val="000000" w:themeColor="text1"/>
        </w:rPr>
        <w:t xml:space="preserve">the Heart of London area in </w:t>
      </w:r>
      <w:r w:rsidRPr="5865F59B">
        <w:rPr>
          <w:rFonts w:ascii="Gill Sans MT" w:eastAsia="Gill Sans MT" w:hAnsi="Gill Sans MT" w:cs="Gill Sans MT"/>
          <w:color w:val="000000" w:themeColor="text1"/>
        </w:rPr>
        <w:t>London’s West End</w:t>
      </w:r>
      <w:r w:rsidRPr="5865F59B">
        <w:rPr>
          <w:rFonts w:ascii="Gill Sans MT" w:eastAsia="Gill Sans MT" w:hAnsi="Gill Sans MT" w:cs="Gill Sans MT"/>
          <w:color w:val="000000" w:themeColor="text1"/>
        </w:rPr>
        <w:t>.  This includes</w:t>
      </w:r>
      <w:r w:rsidRPr="5865F59B">
        <w:rPr>
          <w:rFonts w:ascii="Gill Sans MT" w:eastAsia="Gill Sans MT" w:hAnsi="Gill Sans MT" w:cs="Gill Sans MT"/>
          <w:color w:val="000000" w:themeColor="text1"/>
        </w:rPr>
        <w:t xml:space="preserve"> </w:t>
      </w:r>
      <w:r w:rsidRPr="5865F59B">
        <w:rPr>
          <w:rFonts w:ascii="Gill Sans MT" w:eastAsia="Gill Sans MT" w:hAnsi="Gill Sans MT" w:cs="Gill Sans MT"/>
          <w:color w:val="000000" w:themeColor="text1"/>
        </w:rPr>
        <w:t xml:space="preserve">Piccadilly, </w:t>
      </w:r>
      <w:r w:rsidRPr="5865F59B">
        <w:rPr>
          <w:rFonts w:ascii="Gill Sans MT" w:eastAsia="Gill Sans MT" w:hAnsi="Gill Sans MT" w:cs="Gill Sans MT"/>
          <w:color w:val="000000" w:themeColor="text1"/>
        </w:rPr>
        <w:t>Piccadilly Circus, Leicester Square, Haymarket and St Martin’s Lane. HOLBA’s membership spans hospitality, retail, culture, entertainment and tourism, including hotels, theatres, restaurants, cinemas, casinos, galleries and visitor attractions.</w:t>
      </w:r>
    </w:p>
    <w:p w:rsidR="004F66B8" w:rsidP="5865F59B">
      <w:pPr>
        <w:spacing w:after="0" w:line="276" w:lineRule="auto"/>
        <w:rPr>
          <w:rFonts w:ascii="Gill Sans MT" w:eastAsia="Gill Sans MT" w:hAnsi="Gill Sans MT" w:cs="Gill Sans MT"/>
          <w:color w:val="000000" w:themeColor="text1"/>
        </w:rPr>
      </w:pP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T</w:t>
      </w:r>
      <w:r w:rsidRPr="5865F59B">
        <w:rPr>
          <w:rFonts w:ascii="Gill Sans MT" w:eastAsia="Gill Sans MT" w:hAnsi="Gill Sans MT" w:cs="Gill Sans MT"/>
          <w:color w:val="000000" w:themeColor="text1"/>
        </w:rPr>
        <w:t>he West End</w:t>
      </w:r>
      <w:r w:rsidRPr="5865F59B">
        <w:rPr>
          <w:rFonts w:ascii="Gill Sans MT" w:eastAsia="Gill Sans MT" w:hAnsi="Gill Sans MT" w:cs="Gill Sans MT"/>
          <w:color w:val="000000" w:themeColor="text1"/>
        </w:rPr>
        <w:t xml:space="preserve"> (as a whole)</w:t>
      </w:r>
      <w:r w:rsidRPr="5865F59B">
        <w:rPr>
          <w:rFonts w:ascii="Gill Sans MT" w:eastAsia="Gill Sans MT" w:hAnsi="Gill Sans MT" w:cs="Gill Sans MT"/>
          <w:color w:val="000000" w:themeColor="text1"/>
        </w:rPr>
        <w:t xml:space="preserve"> is one of the UK’s most significant economic and cultural assets. It generates around 280 million visits annually, contributes more than £55 billion to the Treasury, supports over 500,000 jobs and plays an important role in promoting the UK’s global reputation for culture, hospitality, retail and entertainment.</w:t>
      </w:r>
      <w:r>
        <w:rPr>
          <w:rStyle w:val="FootnoteReference"/>
          <w:rFonts w:ascii="Gill Sans MT" w:eastAsia="Gill Sans MT" w:hAnsi="Gill Sans MT" w:cs="Gill Sans MT"/>
          <w:color w:val="000000" w:themeColor="text1"/>
        </w:rPr>
        <w:footnoteReference w:id="2"/>
      </w:r>
      <w:r w:rsidRPr="5865F59B">
        <w:rPr>
          <w:rFonts w:ascii="Gill Sans MT" w:eastAsia="Gill Sans MT" w:hAnsi="Gill Sans MT" w:cs="Gill Sans MT"/>
          <w:color w:val="000000" w:themeColor="text1"/>
        </w:rPr>
        <w:t xml:space="preserve"> </w:t>
      </w:r>
      <w:r w:rsidRPr="5865F59B">
        <w:rPr>
          <w:rFonts w:ascii="Gill Sans MT" w:eastAsia="Gill Sans MT" w:hAnsi="Gill Sans MT" w:cs="Gill Sans MT"/>
          <w:color w:val="000000" w:themeColor="text1"/>
        </w:rPr>
        <w:t>The evening and night-time economy alone contributes approximately £14 billion annually</w:t>
      </w:r>
      <w:r w:rsidRPr="5865F59B">
        <w:rPr>
          <w:rFonts w:ascii="Gill Sans MT" w:eastAsia="Gill Sans MT" w:hAnsi="Gill Sans MT" w:cs="Gill Sans MT"/>
          <w:color w:val="000000" w:themeColor="text1"/>
        </w:rPr>
        <w:t xml:space="preserve"> in GVA</w:t>
      </w:r>
      <w:r w:rsidRPr="5865F59B">
        <w:rPr>
          <w:rFonts w:ascii="Gill Sans MT" w:eastAsia="Gill Sans MT" w:hAnsi="Gill Sans MT" w:cs="Gill Sans MT"/>
          <w:color w:val="000000" w:themeColor="text1"/>
        </w:rPr>
        <w:t xml:space="preserve"> and supports around 160,000 jobs.</w:t>
      </w:r>
      <w:r>
        <w:rPr>
          <w:rStyle w:val="FootnoteReference"/>
          <w:rFonts w:ascii="Gill Sans MT" w:eastAsia="Gill Sans MT" w:hAnsi="Gill Sans MT" w:cs="Gill Sans MT"/>
          <w:color w:val="000000" w:themeColor="text1"/>
        </w:rPr>
        <w:footnoteReference w:id="3"/>
      </w:r>
      <w:r w:rsidRPr="5865F59B">
        <w:rPr>
          <w:rFonts w:ascii="Gill Sans MT" w:eastAsia="Gill Sans MT" w:hAnsi="Gill Sans MT" w:cs="Gill Sans MT"/>
          <w:color w:val="000000" w:themeColor="text1"/>
        </w:rPr>
        <w:t xml:space="preserve"> International visitors account for </w:t>
      </w:r>
      <w:r w:rsidRPr="5865F59B">
        <w:rPr>
          <w:rFonts w:ascii="Gill Sans MT" w:eastAsia="Gill Sans MT" w:hAnsi="Gill Sans MT" w:cs="Gill Sans MT"/>
          <w:color w:val="000000" w:themeColor="text1"/>
        </w:rPr>
        <w:t>25%</w:t>
      </w:r>
      <w:r w:rsidRPr="5865F59B">
        <w:rPr>
          <w:rFonts w:ascii="Gill Sans MT" w:eastAsia="Gill Sans MT" w:hAnsi="Gill Sans MT" w:cs="Gill Sans MT"/>
          <w:color w:val="000000" w:themeColor="text1"/>
        </w:rPr>
        <w:t xml:space="preserve"> of all visits</w:t>
      </w:r>
      <w:r w:rsidRPr="5865F59B">
        <w:rPr>
          <w:rFonts w:ascii="Gill Sans MT" w:eastAsia="Gill Sans MT" w:hAnsi="Gill Sans MT" w:cs="Gill Sans MT"/>
          <w:color w:val="000000" w:themeColor="text1"/>
        </w:rPr>
        <w:t xml:space="preserve"> to the West End</w:t>
      </w:r>
      <w:r>
        <w:rPr>
          <w:rFonts w:ascii="Gill Sans MT" w:eastAsia="Gill Sans MT" w:hAnsi="Gill Sans MT" w:cs="Gill Sans MT"/>
          <w:color w:val="000000" w:themeColor="text1"/>
        </w:rPr>
        <w:t xml:space="preserve">. </w:t>
      </w:r>
      <w:r>
        <w:rPr>
          <w:rStyle w:val="FootnoteReference"/>
        </w:rPr>
        <w:footnoteReference w:id="4"/>
      </w:r>
      <w:r>
        <w:br/>
      </w: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The </w:t>
      </w:r>
      <w:r w:rsidRPr="5865F59B">
        <w:rPr>
          <w:rFonts w:ascii="Gill Sans MT" w:eastAsia="Gill Sans MT" w:hAnsi="Gill Sans MT" w:cs="Gill Sans MT"/>
          <w:color w:val="000000" w:themeColor="text1"/>
        </w:rPr>
        <w:t xml:space="preserve">West End’s </w:t>
      </w:r>
      <w:r w:rsidRPr="5865F59B">
        <w:rPr>
          <w:rFonts w:ascii="Gill Sans MT" w:eastAsia="Gill Sans MT" w:hAnsi="Gill Sans MT" w:cs="Gill Sans MT"/>
          <w:color w:val="000000" w:themeColor="text1"/>
        </w:rPr>
        <w:t xml:space="preserve">visitor economy is central to wider national economic performance. </w:t>
      </w:r>
      <w:r w:rsidRPr="5865F59B">
        <w:rPr>
          <w:rFonts w:ascii="Gill Sans MT" w:eastAsia="Gill Sans MT" w:hAnsi="Gill Sans MT" w:cs="Gill Sans MT"/>
          <w:color w:val="000000" w:themeColor="text1"/>
        </w:rPr>
        <w:t>Its</w:t>
      </w:r>
      <w:r w:rsidRPr="5865F59B">
        <w:rPr>
          <w:rFonts w:ascii="Gill Sans MT" w:eastAsia="Gill Sans MT" w:hAnsi="Gill Sans MT" w:cs="Gill Sans MT"/>
          <w:color w:val="000000" w:themeColor="text1"/>
        </w:rPr>
        <w:t xml:space="preserve"> concentration of theatres, galleries, hotels, restaurants, retail and cultural institutions supports employment, inward investment, tourism exports and international competitiveness across London and the wider UK.</w:t>
      </w:r>
      <w:r>
        <w:br/>
      </w: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HOLBA welcomes the increasing recognition of tourism, culture and the experience economy within </w:t>
      </w:r>
      <w:r w:rsidRPr="5865F59B">
        <w:rPr>
          <w:rFonts w:ascii="Gill Sans MT" w:eastAsia="Gill Sans MT" w:hAnsi="Gill Sans MT" w:cs="Gill Sans MT"/>
          <w:color w:val="000000" w:themeColor="text1"/>
        </w:rPr>
        <w:t xml:space="preserve">regional and </w:t>
      </w:r>
      <w:r w:rsidRPr="5865F59B">
        <w:rPr>
          <w:rFonts w:ascii="Gill Sans MT" w:eastAsia="Gill Sans MT" w:hAnsi="Gill Sans MT" w:cs="Gill Sans MT"/>
          <w:color w:val="000000" w:themeColor="text1"/>
        </w:rPr>
        <w:t>national policy frameworks, including the</w:t>
      </w:r>
      <w:r>
        <w:rPr>
          <w:rFonts w:ascii="Gill Sans MT" w:eastAsia="Gill Sans MT" w:hAnsi="Gill Sans MT" w:cs="Gill Sans MT"/>
          <w:color w:val="000000" w:themeColor="text1"/>
        </w:rPr>
        <w:t xml:space="preserve"> London Growth Plan, the UK Modern Industrial Strategy and the Creative Industries Sector Plan. </w:t>
      </w:r>
      <w:r w:rsidRPr="5865F59B">
        <w:rPr>
          <w:rFonts w:ascii="Gill Sans MT" w:eastAsia="Gill Sans MT" w:hAnsi="Gill Sans MT" w:cs="Gill Sans MT"/>
          <w:color w:val="000000" w:themeColor="text1"/>
        </w:rPr>
        <w:t>These strategies correctly identify the visitor economy as an important driver of economic growth, productivity and international competitiveness.</w:t>
      </w:r>
      <w:r w:rsidRPr="5865F59B">
        <w:rPr>
          <w:rFonts w:ascii="Gill Sans MT" w:eastAsia="Gill Sans MT" w:hAnsi="Gill Sans MT" w:cs="Gill Sans MT"/>
          <w:color w:val="000000" w:themeColor="text1"/>
        </w:rPr>
        <w:t xml:space="preserve"> </w:t>
      </w:r>
      <w:r w:rsidRPr="5865F59B">
        <w:rPr>
          <w:rFonts w:ascii="Gill Sans MT" w:eastAsia="Gill Sans MT" w:hAnsi="Gill Sans MT" w:cs="Gill Sans MT"/>
          <w:color w:val="000000" w:themeColor="text1"/>
        </w:rPr>
        <w:t xml:space="preserve">However, there remains a gap between strategic ambition and long-term delivery, investment and implementation. While London continues to attract high levels of international and domestic visitors, evidence suggests </w:t>
      </w:r>
      <w:r w:rsidRPr="5865F59B">
        <w:rPr>
          <w:rFonts w:ascii="Gill Sans MT" w:eastAsia="Gill Sans MT" w:hAnsi="Gill Sans MT" w:cs="Gill Sans MT"/>
          <w:color w:val="000000" w:themeColor="text1"/>
        </w:rPr>
        <w:t>that growth is increasingly constrained by rising operating costs</w:t>
      </w:r>
      <w:r w:rsidRPr="5865F59B">
        <w:rPr>
          <w:rFonts w:ascii="Gill Sans MT" w:eastAsia="Gill Sans MT" w:hAnsi="Gill Sans MT" w:cs="Gill Sans MT"/>
          <w:color w:val="000000" w:themeColor="text1"/>
        </w:rPr>
        <w:t xml:space="preserve"> for businesses</w:t>
      </w:r>
      <w:r w:rsidRPr="5865F59B">
        <w:rPr>
          <w:rFonts w:ascii="Gill Sans MT" w:eastAsia="Gill Sans MT" w:hAnsi="Gill Sans MT" w:cs="Gill Sans MT"/>
          <w:color w:val="000000" w:themeColor="text1"/>
        </w:rPr>
        <w:t>, reduced international destination marketing, fragmented governance arrangements and increasing competition from other global cities.</w:t>
      </w:r>
    </w:p>
    <w:p w:rsidR="004F66B8" w:rsidP="5865F59B">
      <w:pPr>
        <w:spacing w:after="0" w:line="276" w:lineRule="auto"/>
        <w:rPr>
          <w:rFonts w:ascii="Gill Sans MT" w:eastAsia="Gill Sans MT" w:hAnsi="Gill Sans MT" w:cs="Gill Sans MT"/>
          <w:color w:val="000000" w:themeColor="text1"/>
        </w:rPr>
      </w:pP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In their latest report on the state of the UK’s luxury market, the trade body Walpole reports: </w:t>
      </w:r>
      <w:r w:rsidRPr="5865F59B">
        <w:rPr>
          <w:rFonts w:ascii="Gill Sans MT" w:eastAsia="Gill Sans MT" w:hAnsi="Gill Sans MT" w:cs="Gill Sans MT"/>
          <w:color w:val="000000" w:themeColor="text1"/>
        </w:rPr>
        <w:t>"Recent evidence indicates that the UK’s recovery in high-end visitor spending is lagging behind France, Italy and Spain. In 2024, luxury visitor spending in those markets was on average 154% of 2019 levels, compared with just 79% in the UK, leaving the UK 75 percentage points behind.</w:t>
      </w:r>
      <w:r w:rsidRPr="5865F59B">
        <w:rPr>
          <w:rFonts w:ascii="Gill Sans MT" w:eastAsia="Gill Sans MT" w:hAnsi="Gill Sans MT" w:cs="Gill Sans MT"/>
          <w:color w:val="242424"/>
        </w:rPr>
        <w:t>”</w:t>
      </w:r>
      <w:r w:rsidRPr="5865F59B">
        <w:rPr>
          <w:rFonts w:ascii="Gill Sans MT" w:eastAsia="Gill Sans MT" w:hAnsi="Gill Sans MT" w:cs="Gill Sans MT"/>
          <w:color w:val="242424"/>
        </w:rPr>
        <w:t xml:space="preserve"> </w:t>
      </w:r>
      <w:r>
        <w:br/>
      </w:r>
      <w:r w:rsidRPr="5865F59B">
        <w:rPr>
          <w:rFonts w:ascii="Gill Sans MT" w:eastAsia="Gill Sans MT" w:hAnsi="Gill Sans MT" w:cs="Gill Sans MT"/>
        </w:rPr>
        <w:t>At the same time, businesses across the hospitality, leisure and cultural sectors are facing mounting financial pressures, including rising operating costs, increasing business rates liabilities, and the continued absence of</w:t>
      </w:r>
      <w:r w:rsidRPr="5865F59B">
        <w:rPr>
          <w:rFonts w:ascii="Gill Sans MT" w:eastAsia="Gill Sans MT" w:hAnsi="Gill Sans MT" w:cs="Gill Sans MT"/>
        </w:rPr>
        <w:t xml:space="preserve"> VAT-free shopping for international visitors.</w:t>
      </w:r>
      <w:r>
        <w:br/>
      </w: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Th</w:t>
      </w:r>
      <w:r w:rsidRPr="5865F59B">
        <w:rPr>
          <w:rFonts w:ascii="Gill Sans MT" w:eastAsia="Gill Sans MT" w:hAnsi="Gill Sans MT" w:cs="Gill Sans MT"/>
          <w:color w:val="000000" w:themeColor="text1"/>
        </w:rPr>
        <w:t>is</w:t>
      </w:r>
      <w:r w:rsidRPr="5865F59B">
        <w:rPr>
          <w:rFonts w:ascii="Gill Sans MT" w:eastAsia="Gill Sans MT" w:hAnsi="Gill Sans MT" w:cs="Gill Sans MT"/>
          <w:color w:val="000000" w:themeColor="text1"/>
        </w:rPr>
        <w:t xml:space="preserve"> submission also highlights the importance of coordinated governance and infrastructure investment in supporting long-term growth. Visitors experience the West End as a single international destination, yet decision-making across planning, transport, licensing and public realm </w:t>
      </w:r>
      <w:r w:rsidRPr="5865F59B">
        <w:rPr>
          <w:rFonts w:ascii="Gill Sans MT" w:eastAsia="Gill Sans MT" w:hAnsi="Gill Sans MT" w:cs="Gill Sans MT"/>
          <w:color w:val="000000" w:themeColor="text1"/>
        </w:rPr>
        <w:t xml:space="preserve">management remains fragmented. </w:t>
      </w:r>
      <w:r w:rsidRPr="5865F59B">
        <w:rPr>
          <w:rFonts w:ascii="Gill Sans MT" w:eastAsia="Gill Sans MT" w:hAnsi="Gill Sans MT" w:cs="Gill Sans MT"/>
          <w:color w:val="000000" w:themeColor="text1"/>
        </w:rPr>
        <w:t xml:space="preserve">Greater coordination across the West End, </w:t>
      </w:r>
      <w:r w:rsidRPr="5865F59B">
        <w:rPr>
          <w:rFonts w:ascii="Gill Sans MT" w:eastAsia="Gill Sans MT" w:hAnsi="Gill Sans MT" w:cs="Gill Sans MT"/>
          <w:color w:val="000000" w:themeColor="text1"/>
        </w:rPr>
        <w:t>starting with</w:t>
      </w:r>
      <w:r w:rsidRPr="5865F59B">
        <w:rPr>
          <w:rFonts w:ascii="Gill Sans MT" w:eastAsia="Gill Sans MT" w:hAnsi="Gill Sans MT" w:cs="Gill Sans MT"/>
          <w:color w:val="000000" w:themeColor="text1"/>
        </w:rPr>
        <w:t xml:space="preserve"> </w:t>
      </w:r>
      <w:r w:rsidRPr="5865F59B">
        <w:rPr>
          <w:rFonts w:ascii="Gill Sans MT" w:eastAsia="Gill Sans MT" w:hAnsi="Gill Sans MT" w:cs="Gill Sans MT"/>
          <w:color w:val="000000" w:themeColor="text1"/>
        </w:rPr>
        <w:t xml:space="preserve">an expansion </w:t>
      </w:r>
      <w:r w:rsidRPr="5865F59B">
        <w:rPr>
          <w:rFonts w:ascii="Gill Sans MT" w:eastAsia="Gill Sans MT" w:hAnsi="Gill Sans MT" w:cs="Gill Sans MT"/>
          <w:color w:val="000000" w:themeColor="text1"/>
        </w:rPr>
        <w:t>of the West End</w:t>
      </w:r>
      <w:r w:rsidRPr="5865F59B">
        <w:rPr>
          <w:rFonts w:ascii="Gill Sans MT" w:eastAsia="Gill Sans MT" w:hAnsi="Gill Sans MT" w:cs="Gill Sans MT"/>
          <w:color w:val="000000" w:themeColor="text1"/>
        </w:rPr>
        <w:t xml:space="preserve"> </w:t>
      </w:r>
      <w:r w:rsidRPr="5865F59B">
        <w:rPr>
          <w:rFonts w:ascii="Gill Sans MT" w:eastAsia="Gill Sans MT" w:hAnsi="Gill Sans MT" w:cs="Gill Sans MT"/>
          <w:color w:val="000000" w:themeColor="text1"/>
        </w:rPr>
        <w:t>International Centre</w:t>
      </w:r>
      <w:r w:rsidRPr="5865F59B">
        <w:rPr>
          <w:rFonts w:ascii="Gill Sans MT" w:eastAsia="Gill Sans MT" w:hAnsi="Gill Sans MT" w:cs="Gill Sans MT"/>
          <w:color w:val="000000" w:themeColor="text1"/>
        </w:rPr>
        <w:t xml:space="preserve"> designation</w:t>
      </w:r>
      <w:r w:rsidRPr="5865F59B">
        <w:rPr>
          <w:rFonts w:ascii="Gill Sans MT" w:eastAsia="Gill Sans MT" w:hAnsi="Gill Sans MT" w:cs="Gill Sans MT"/>
          <w:color w:val="000000" w:themeColor="text1"/>
        </w:rPr>
        <w:t xml:space="preserve"> </w:t>
      </w:r>
      <w:r w:rsidRPr="5865F59B">
        <w:rPr>
          <w:rFonts w:ascii="Gill Sans MT" w:eastAsia="Gill Sans MT" w:hAnsi="Gill Sans MT" w:cs="Gill Sans MT"/>
          <w:color w:val="000000" w:themeColor="text1"/>
        </w:rPr>
        <w:t xml:space="preserve">in </w:t>
      </w:r>
      <w:r w:rsidRPr="5865F59B">
        <w:rPr>
          <w:rFonts w:ascii="Gill Sans MT" w:eastAsia="Gill Sans MT" w:hAnsi="Gill Sans MT" w:cs="Gill Sans MT"/>
          <w:color w:val="000000" w:themeColor="text1"/>
        </w:rPr>
        <w:t>the</w:t>
      </w:r>
      <w:r w:rsidRPr="5865F59B">
        <w:rPr>
          <w:rFonts w:ascii="Gill Sans MT" w:eastAsia="Gill Sans MT" w:hAnsi="Gill Sans MT" w:cs="Gill Sans MT"/>
          <w:color w:val="000000" w:themeColor="text1"/>
        </w:rPr>
        <w:t xml:space="preserve"> new</w:t>
      </w:r>
      <w:r w:rsidRPr="5865F59B">
        <w:rPr>
          <w:rFonts w:ascii="Gill Sans MT" w:eastAsia="Gill Sans MT" w:hAnsi="Gill Sans MT" w:cs="Gill Sans MT"/>
          <w:color w:val="000000" w:themeColor="text1"/>
        </w:rPr>
        <w:t xml:space="preserve"> </w:t>
      </w:r>
      <w:r w:rsidRPr="5865F59B">
        <w:rPr>
          <w:rFonts w:ascii="Gill Sans MT" w:eastAsia="Gill Sans MT" w:hAnsi="Gill Sans MT" w:cs="Gill Sans MT"/>
          <w:color w:val="000000" w:themeColor="text1"/>
        </w:rPr>
        <w:t>London Plan and</w:t>
      </w:r>
      <w:r w:rsidRPr="5865F59B">
        <w:rPr>
          <w:rFonts w:ascii="Gill Sans MT" w:eastAsia="Gill Sans MT" w:hAnsi="Gill Sans MT" w:cs="Gill Sans MT"/>
          <w:color w:val="000000" w:themeColor="text1"/>
        </w:rPr>
        <w:t xml:space="preserve"> local plans for Westminster and Camden</w:t>
      </w:r>
      <w:r w:rsidRPr="5865F59B">
        <w:rPr>
          <w:rFonts w:ascii="Gill Sans MT" w:eastAsia="Gill Sans MT" w:hAnsi="Gill Sans MT" w:cs="Gill Sans MT"/>
          <w:color w:val="000000" w:themeColor="text1"/>
        </w:rPr>
        <w:t>, would help support a more integrated and strategic approach to investment, destination management, and long-term growth.</w:t>
      </w:r>
      <w:r>
        <w:br/>
      </w: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HOLBA’s </w:t>
      </w:r>
      <w:r w:rsidRPr="5865F59B">
        <w:rPr>
          <w:rFonts w:ascii="Gill Sans MT" w:eastAsia="Gill Sans MT" w:hAnsi="Gill Sans MT" w:cs="Gill Sans MT"/>
          <w:color w:val="000000" w:themeColor="text1"/>
        </w:rPr>
        <w:t>analysis</w:t>
      </w:r>
      <w:r w:rsidRPr="5865F59B">
        <w:rPr>
          <w:rFonts w:ascii="Gill Sans MT" w:eastAsia="Gill Sans MT" w:hAnsi="Gill Sans MT" w:cs="Gill Sans MT"/>
          <w:color w:val="000000" w:themeColor="text1"/>
        </w:rPr>
        <w:t xml:space="preserve"> demonstrates that investment in transport accessibility, public realm improvements, cultural infrastructure and destination marketing can generate significant economic returns through increased footfall, dwell time, visitor spend and inward investment</w:t>
      </w:r>
      <w:r w:rsidRPr="5865F59B">
        <w:rPr>
          <w:rFonts w:ascii="Gill Sans MT" w:eastAsia="Gill Sans MT" w:hAnsi="Gill Sans MT" w:cs="Gill Sans MT"/>
          <w:color w:val="000000" w:themeColor="text1"/>
        </w:rPr>
        <w:t>.</w:t>
      </w:r>
      <w:r>
        <w:rPr>
          <w:rStyle w:val="FootnoteReference"/>
          <w:rFonts w:ascii="Gill Sans MT" w:eastAsia="Gill Sans MT" w:hAnsi="Gill Sans MT" w:cs="Gill Sans MT"/>
          <w:color w:val="000000" w:themeColor="text1"/>
        </w:rPr>
        <w:footnoteReference w:id="5"/>
      </w:r>
      <w:r w:rsidRPr="5865F59B">
        <w:rPr>
          <w:rFonts w:ascii="Gill Sans MT" w:eastAsia="Gill Sans MT" w:hAnsi="Gill Sans MT" w:cs="Gill Sans MT"/>
          <w:color w:val="000000" w:themeColor="text1"/>
        </w:rPr>
        <w:t xml:space="preserve">  </w:t>
      </w:r>
      <w:r w:rsidRPr="5865F59B">
        <w:rPr>
          <w:rFonts w:ascii="Gill Sans MT" w:eastAsia="Gill Sans MT" w:hAnsi="Gill Sans MT" w:cs="Gill Sans MT"/>
          <w:color w:val="000000" w:themeColor="text1"/>
        </w:rPr>
        <w:t>In this context, the visitor economy should be recognised as an important component of national economic infrastructure</w:t>
      </w:r>
      <w:r w:rsidRPr="5865F59B">
        <w:rPr>
          <w:rFonts w:ascii="Gill Sans MT" w:eastAsia="Gill Sans MT" w:hAnsi="Gill Sans MT" w:cs="Gill Sans MT"/>
          <w:color w:val="000000" w:themeColor="text1"/>
        </w:rPr>
        <w:t xml:space="preserve">, and a key part of any tourism strategy. </w:t>
      </w:r>
    </w:p>
    <w:p w:rsidR="004F66B8" w:rsidP="5865F59B">
      <w:pPr>
        <w:spacing w:after="0" w:line="276" w:lineRule="auto"/>
        <w:rPr>
          <w:rFonts w:ascii="Gill Sans MT" w:eastAsia="Gill Sans MT" w:hAnsi="Gill Sans MT" w:cs="Gill Sans MT"/>
          <w:b/>
          <w:bCs/>
          <w:color w:val="000000" w:themeColor="text1"/>
        </w:rPr>
      </w:pPr>
      <w:r>
        <w:br/>
      </w:r>
      <w:r w:rsidRPr="5865F59B">
        <w:rPr>
          <w:rFonts w:ascii="Gill Sans MT" w:eastAsia="Gill Sans MT" w:hAnsi="Gill Sans MT" w:cs="Gill Sans MT"/>
          <w:color w:val="000000" w:themeColor="text1"/>
        </w:rPr>
        <w:t xml:space="preserve">HOLBA have identified </w:t>
      </w:r>
      <w:r w:rsidRPr="5865F59B">
        <w:rPr>
          <w:rFonts w:ascii="Gill Sans MT" w:eastAsia="Gill Sans MT" w:hAnsi="Gill Sans MT" w:cs="Gill Sans MT"/>
          <w:color w:val="000000" w:themeColor="text1"/>
        </w:rPr>
        <w:t>four</w:t>
      </w:r>
      <w:r w:rsidRPr="5865F59B">
        <w:rPr>
          <w:rFonts w:ascii="Gill Sans MT" w:eastAsia="Gill Sans MT" w:hAnsi="Gill Sans MT" w:cs="Gill Sans MT"/>
          <w:color w:val="000000" w:themeColor="text1"/>
        </w:rPr>
        <w:t xml:space="preserve"> priority areas that would support growth and competitiveness:</w:t>
      </w:r>
      <w:r>
        <w:br/>
      </w:r>
    </w:p>
    <w:p w:rsidR="004F66B8" w:rsidP="5865F59B">
      <w:pPr>
        <w:pStyle w:val="ListParagraph"/>
        <w:numPr>
          <w:ilvl w:val="0"/>
          <w:numId w:val="10"/>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Reform of the business rates system through a Hybrid Business Rate model that better reflects the modern economy and supports </w:t>
      </w:r>
      <w:r w:rsidRPr="5865F59B">
        <w:rPr>
          <w:rFonts w:ascii="Gill Sans MT" w:eastAsia="Gill Sans MT" w:hAnsi="Gill Sans MT" w:cs="Gill Sans MT"/>
          <w:color w:val="000000" w:themeColor="text1"/>
        </w:rPr>
        <w:t>bricks and mortar</w:t>
      </w:r>
      <w:r w:rsidRPr="5865F59B">
        <w:rPr>
          <w:rFonts w:ascii="Gill Sans MT" w:eastAsia="Gill Sans MT" w:hAnsi="Gill Sans MT" w:cs="Gill Sans MT"/>
          <w:color w:val="000000" w:themeColor="text1"/>
        </w:rPr>
        <w:t xml:space="preserve"> businesses.</w:t>
      </w:r>
      <w:r>
        <w:br/>
      </w:r>
    </w:p>
    <w:p w:rsidR="004F66B8" w:rsidP="5865F59B">
      <w:pPr>
        <w:pStyle w:val="ListParagraph"/>
        <w:numPr>
          <w:ilvl w:val="0"/>
          <w:numId w:val="10"/>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Support for HOLBA’s call for greater coordination across the West End.  An expansion of the West End International Centre designation in the new London Plan and local plans for Westminster and Camden, would help support a more integrated and strategic approach to investment, destination management, and long-term growth</w:t>
      </w:r>
      <w:r w:rsidRPr="5865F59B">
        <w:rPr>
          <w:rFonts w:ascii="Gill Sans MT" w:eastAsia="Gill Sans MT" w:hAnsi="Gill Sans MT" w:cs="Gill Sans MT"/>
          <w:color w:val="000000" w:themeColor="text1"/>
          <w:sz w:val="27"/>
          <w:szCs w:val="27"/>
        </w:rPr>
        <w:t>.</w:t>
      </w:r>
    </w:p>
    <w:p w:rsidR="004F66B8" w:rsidP="5865F59B">
      <w:pPr>
        <w:pStyle w:val="ListParagraph"/>
        <w:spacing w:after="0" w:line="276" w:lineRule="auto"/>
        <w:rPr>
          <w:rFonts w:ascii="Gill Sans MT" w:eastAsia="Gill Sans MT" w:hAnsi="Gill Sans MT" w:cs="Gill Sans MT"/>
          <w:color w:val="000000" w:themeColor="text1"/>
        </w:rPr>
      </w:pPr>
    </w:p>
    <w:p w:rsidR="004F66B8" w:rsidP="5865F59B">
      <w:pPr>
        <w:pStyle w:val="ListParagraph"/>
        <w:numPr>
          <w:ilvl w:val="0"/>
          <w:numId w:val="10"/>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A review of VAT-free shopping for international visitors to improve the UK’s competitiveness relative to other European destinations.</w:t>
      </w:r>
      <w:r w:rsidRPr="5865F59B">
        <w:rPr>
          <w:rFonts w:ascii="Gill Sans MT" w:eastAsia="Gill Sans MT" w:hAnsi="Gill Sans MT" w:cs="Gill Sans MT"/>
          <w:color w:val="000000" w:themeColor="text1"/>
        </w:rPr>
        <w:t xml:space="preserve"> Latest estimates indicate that £5 billion in additional international visitor spending could support over 140,000 jobs and generate around £800 million in net VAT revenue for the Exchequer.</w:t>
      </w:r>
      <w:r>
        <w:rPr>
          <w:rStyle w:val="FootnoteReference"/>
          <w:rFonts w:ascii="Gill Sans MT" w:eastAsia="Gill Sans MT" w:hAnsi="Gill Sans MT" w:cs="Gill Sans MT"/>
        </w:rPr>
        <w:footnoteReference w:id="6"/>
      </w:r>
      <w:r>
        <w:br/>
      </w:r>
    </w:p>
    <w:p w:rsidR="004F66B8" w:rsidRPr="00502C2C" w:rsidP="0BB2B5C3">
      <w:pPr>
        <w:pStyle w:val="ListParagraph"/>
        <w:numPr>
          <w:ilvl w:val="0"/>
          <w:numId w:val="10"/>
        </w:numPr>
        <w:spacing w:after="0" w:line="276" w:lineRule="auto"/>
        <w:rPr>
          <w:rFonts w:ascii="Gill Sans MT" w:eastAsia="Gill Sans MT" w:hAnsi="Gill Sans MT" w:cs="Gill Sans MT"/>
          <w:color w:val="000000" w:themeColor="text1"/>
        </w:rPr>
      </w:pPr>
      <w:r w:rsidRPr="00502C2C">
        <w:rPr>
          <w:rFonts w:ascii="Gill Sans MT" w:eastAsia="Gill Sans MT" w:hAnsi="Gill Sans MT" w:cs="Gill Sans MT"/>
        </w:rPr>
        <w:t xml:space="preserve">Visit London should be adequately funded to deliver effective international marketing campaigns and maintain London’s global competitiveness as a visitor destination </w:t>
      </w:r>
      <w:r w:rsidRPr="00502C2C">
        <w:rPr>
          <w:rFonts w:ascii="Gill Sans MT" w:eastAsia="Gill Sans MT" w:hAnsi="Gill Sans MT" w:cs="Gill Sans MT"/>
          <w:color w:val="000000" w:themeColor="text1"/>
        </w:rPr>
        <w:t>coordinated with national tourism bodies.</w:t>
      </w:r>
    </w:p>
    <w:p w:rsidR="004F66B8" w:rsidP="5865F59B">
      <w:pPr>
        <w:spacing w:after="0" w:line="276" w:lineRule="auto"/>
        <w:rPr>
          <w:rFonts w:ascii="Gill Sans MT" w:eastAsia="Gill Sans MT" w:hAnsi="Gill Sans MT" w:cs="Gill Sans MT"/>
          <w:color w:val="000000" w:themeColor="text1"/>
        </w:rPr>
      </w:pPr>
    </w:p>
    <w:p w:rsidR="004F66B8" w:rsidP="5865F59B">
      <w:pPr>
        <w:spacing w:after="0" w:line="276" w:lineRule="auto"/>
        <w:ind w:left="360"/>
        <w:rPr>
          <w:rFonts w:ascii="Gill Sans MT" w:eastAsia="Gill Sans MT" w:hAnsi="Gill Sans MT" w:cs="Gill Sans MT"/>
        </w:rPr>
      </w:pPr>
      <w:r w:rsidRPr="5865F59B">
        <w:rPr>
          <w:rFonts w:ascii="Gill Sans MT" w:eastAsia="Gill Sans MT" w:hAnsi="Gill Sans MT" w:cs="Gill Sans MT"/>
        </w:rPr>
        <w:t>London will remain one of the world’s leading visitor destinations. However, the city cannot rely on its global reputation alone. Maintaining and strengthening its international competitiveness will require sustained investment, coordinated policy support and long-term strategic alignment between national and local government. Without targeted intervention, London risks falling behind competitor destinations that are investing more aggressively in their visitor economies.</w:t>
      </w:r>
    </w:p>
    <w:p w:rsidR="004F66B8" w:rsidP="0BB2B5C3">
      <w:pPr>
        <w:spacing w:after="0" w:line="276" w:lineRule="auto"/>
        <w:ind w:left="360"/>
        <w:rPr>
          <w:rFonts w:ascii="Gill Sans MT" w:eastAsia="Gill Sans MT" w:hAnsi="Gill Sans MT" w:cs="Gill Sans MT"/>
          <w:color w:val="000000" w:themeColor="text1"/>
        </w:rPr>
      </w:pPr>
    </w:p>
    <w:p w:rsidR="004F66B8" w:rsidP="0BB2B5C3">
      <w:pPr>
        <w:spacing w:after="0" w:line="276" w:lineRule="auto"/>
        <w:ind w:left="360"/>
        <w:rPr>
          <w:rFonts w:ascii="Gill Sans MT" w:eastAsia="Gill Sans MT" w:hAnsi="Gill Sans MT" w:cs="Gill Sans MT"/>
          <w:color w:val="000000" w:themeColor="text1"/>
        </w:rPr>
      </w:pPr>
    </w:p>
    <w:p w:rsidR="004F66B8" w:rsidP="0BB2B5C3">
      <w:pPr>
        <w:spacing w:after="0" w:line="276" w:lineRule="auto"/>
        <w:ind w:left="360"/>
        <w:rPr>
          <w:rFonts w:ascii="Gill Sans MT" w:eastAsia="Gill Sans MT" w:hAnsi="Gill Sans MT" w:cs="Gill Sans MT"/>
          <w:color w:val="000000" w:themeColor="text1"/>
        </w:rPr>
      </w:pPr>
    </w:p>
    <w:p w:rsidR="004F66B8" w:rsidP="0BB2B5C3">
      <w:pPr>
        <w:spacing w:after="0" w:line="276" w:lineRule="auto"/>
        <w:ind w:left="360"/>
        <w:rPr>
          <w:rFonts w:ascii="Gill Sans MT" w:eastAsia="Gill Sans MT" w:hAnsi="Gill Sans MT" w:cs="Gill Sans MT"/>
          <w:color w:val="000000" w:themeColor="text1"/>
        </w:rPr>
      </w:pPr>
    </w:p>
    <w:p w:rsidR="004F66B8" w:rsidP="5865F59B">
      <w:pPr>
        <w:spacing w:after="0" w:line="276" w:lineRule="auto"/>
        <w:rPr>
          <w:rFonts w:ascii="Gill Sans MT" w:eastAsia="Gill Sans MT" w:hAnsi="Gill Sans MT" w:cs="Gill Sans MT"/>
          <w:b/>
          <w:bCs/>
          <w:color w:val="000000" w:themeColor="text1"/>
        </w:rPr>
      </w:pP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b/>
          <w:bCs/>
          <w:color w:val="000000" w:themeColor="text1"/>
        </w:rPr>
        <w:t>Questions</w:t>
      </w:r>
      <w:r w:rsidRPr="5865F59B">
        <w:rPr>
          <w:rFonts w:ascii="Gill Sans MT" w:eastAsia="Gill Sans MT" w:hAnsi="Gill Sans MT" w:cs="Gill Sans MT"/>
          <w:b/>
          <w:bCs/>
          <w:color w:val="000000" w:themeColor="text1"/>
        </w:rPr>
        <w:t xml:space="preserve"> addressed in the response:</w:t>
      </w:r>
      <w:r>
        <w:br/>
      </w:r>
      <w:r>
        <w:br/>
      </w:r>
      <w:bookmarkStart w:id="0" w:name="Bookmark1"/>
      <w:r w:rsidRPr="00CA3AE3">
        <w:rPr>
          <w:rFonts w:ascii="Gill Sans MT" w:eastAsia="Gill Sans MT" w:hAnsi="Gill Sans MT" w:cs="Gill Sans MT"/>
          <w:b/>
          <w:bCs/>
          <w:color w:val="000000" w:themeColor="text1"/>
          <w:u w:val="single"/>
        </w:rPr>
        <w:t xml:space="preserve">1) </w:t>
      </w:r>
      <w:r w:rsidRPr="00CA3AE3">
        <w:rPr>
          <w:rFonts w:ascii="Gill Sans MT" w:eastAsia="Gill Sans MT" w:hAnsi="Gill Sans MT" w:cs="Gill Sans MT"/>
          <w:b/>
          <w:bCs/>
          <w:color w:val="000000" w:themeColor="text1"/>
          <w:u w:val="single"/>
        </w:rPr>
        <w:t xml:space="preserve">How effective are government policies in supporting the growth, competitiveness </w:t>
      </w:r>
      <w:r w:rsidRPr="00CA3AE3">
        <w:rPr>
          <w:rFonts w:ascii="Gill Sans MT" w:eastAsia="Gill Sans MT" w:hAnsi="Gill Sans MT" w:cs="Gill Sans MT"/>
          <w:b/>
          <w:bCs/>
          <w:color w:val="000000" w:themeColor="text1"/>
          <w:u w:val="single"/>
        </w:rPr>
        <w:t>and long-term resilience of the tourism sector?</w:t>
      </w:r>
      <w:r w:rsidRPr="5865F59B">
        <w:rPr>
          <w:rFonts w:ascii="Gill Sans MT" w:eastAsia="Gill Sans MT" w:hAnsi="Gill Sans MT" w:cs="Gill Sans MT"/>
          <w:i/>
          <w:iCs/>
          <w:color w:val="000000" w:themeColor="text1"/>
        </w:rPr>
        <w:t xml:space="preserve"> </w:t>
      </w:r>
      <w:bookmarkEnd w:id="0"/>
      <w:r>
        <w:br/>
      </w:r>
    </w:p>
    <w:p w:rsidR="004F66B8" w:rsidRPr="00622B9E" w:rsidP="00622B9E">
      <w:pPr>
        <w:spacing w:after="0" w:line="276" w:lineRule="auto"/>
        <w:rPr>
          <w:rFonts w:ascii="Gill Sans MT" w:eastAsia="Gill Sans MT" w:hAnsi="Gill Sans MT" w:cs="Gill Sans MT"/>
          <w:color w:val="000000" w:themeColor="text1"/>
        </w:rPr>
      </w:pPr>
      <w:r w:rsidRPr="00622B9E">
        <w:rPr>
          <w:rFonts w:ascii="Gill Sans MT" w:eastAsia="Gill Sans MT" w:hAnsi="Gill Sans MT" w:cs="Gill Sans MT"/>
          <w:color w:val="000000" w:themeColor="text1"/>
        </w:rPr>
        <w:t>HOLBA recognises that Government</w:t>
      </w:r>
      <w:r w:rsidRPr="00622B9E">
        <w:rPr>
          <w:rFonts w:ascii="Gill Sans MT" w:eastAsia="Gill Sans MT" w:hAnsi="Gill Sans MT" w:cs="Gill Sans MT"/>
          <w:color w:val="000000" w:themeColor="text1"/>
        </w:rPr>
        <w:t xml:space="preserve"> (at all levels)</w:t>
      </w:r>
      <w:r w:rsidRPr="00622B9E">
        <w:rPr>
          <w:rFonts w:ascii="Gill Sans MT" w:eastAsia="Gill Sans MT" w:hAnsi="Gill Sans MT" w:cs="Gill Sans MT"/>
          <w:color w:val="000000" w:themeColor="text1"/>
        </w:rPr>
        <w:t xml:space="preserve"> has increasingly acknowledged the importance of tourism and the visitor economy within </w:t>
      </w:r>
      <w:r w:rsidRPr="00622B9E">
        <w:rPr>
          <w:rFonts w:ascii="Gill Sans MT" w:eastAsia="Gill Sans MT" w:hAnsi="Gill Sans MT" w:cs="Gill Sans MT"/>
          <w:color w:val="000000" w:themeColor="text1"/>
        </w:rPr>
        <w:t xml:space="preserve">its </w:t>
      </w:r>
      <w:r w:rsidRPr="00622B9E">
        <w:rPr>
          <w:rFonts w:ascii="Gill Sans MT" w:eastAsia="Gill Sans MT" w:hAnsi="Gill Sans MT" w:cs="Gill Sans MT"/>
          <w:color w:val="000000" w:themeColor="text1"/>
        </w:rPr>
        <w:t>growth strategies. The UK Modern Industrial Strategy identifies the importance of the creative and experience economy, while the London Growth Plan recognises the West End as a major driver of economic activity and international competitiveness.</w:t>
      </w:r>
      <w:r>
        <w:br/>
      </w: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These frameworks provide a strong strategic foundation. However, there remains a gap between policy ambition and the long-term investment, coordination and delivery mechanisms required to support sustainable growth.</w:t>
      </w:r>
      <w:r>
        <w:br/>
      </w: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London continues to attract significant visitor numbers and remains internationally competitive. However, evidence suggests that the sector is operating below its full potential. Rising operating costs, reduced destination marketing, infrastructure constraints and increasing international competition are affecting growth, investment confidence and long-term resilience across hospitality, leisure and cultural sectors.</w:t>
      </w:r>
      <w:r>
        <w:br/>
      </w: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Businesses across the West End are also facing increasing cost pressures. Business rates remain a significant challenge for </w:t>
      </w:r>
      <w:r w:rsidRPr="5865F59B">
        <w:rPr>
          <w:rFonts w:ascii="Gill Sans MT" w:eastAsia="Gill Sans MT" w:hAnsi="Gill Sans MT" w:cs="Gill Sans MT"/>
          <w:color w:val="000000" w:themeColor="text1"/>
        </w:rPr>
        <w:t xml:space="preserve">bricks and mortar </w:t>
      </w:r>
      <w:r w:rsidRPr="5865F59B">
        <w:rPr>
          <w:rFonts w:ascii="Gill Sans MT" w:eastAsia="Gill Sans MT" w:hAnsi="Gill Sans MT" w:cs="Gill Sans MT"/>
          <w:color w:val="000000" w:themeColor="text1"/>
        </w:rPr>
        <w:t xml:space="preserve">businesses, particularly in hospitality, retail and </w:t>
      </w:r>
      <w:r w:rsidRPr="5865F59B">
        <w:rPr>
          <w:rFonts w:ascii="Gill Sans MT" w:eastAsia="Gill Sans MT" w:hAnsi="Gill Sans MT" w:cs="Gill Sans MT"/>
          <w:color w:val="000000" w:themeColor="text1"/>
        </w:rPr>
        <w:t>leisure</w:t>
      </w:r>
      <w:r w:rsidRPr="5865F59B">
        <w:rPr>
          <w:rFonts w:ascii="Gill Sans MT" w:eastAsia="Gill Sans MT" w:hAnsi="Gill Sans MT" w:cs="Gill Sans MT"/>
          <w:color w:val="000000" w:themeColor="text1"/>
        </w:rPr>
        <w:t xml:space="preserve">. Hotels, theatres and visitor attractions in the area </w:t>
      </w:r>
      <w:r w:rsidRPr="5865F59B">
        <w:rPr>
          <w:rFonts w:ascii="Gill Sans MT" w:eastAsia="Gill Sans MT" w:hAnsi="Gill Sans MT" w:cs="Gill Sans MT"/>
          <w:color w:val="000000" w:themeColor="text1"/>
        </w:rPr>
        <w:t>have seen</w:t>
      </w:r>
      <w:r w:rsidRPr="5865F59B">
        <w:rPr>
          <w:rFonts w:ascii="Gill Sans MT" w:eastAsia="Gill Sans MT" w:hAnsi="Gill Sans MT" w:cs="Gill Sans MT"/>
          <w:color w:val="000000" w:themeColor="text1"/>
        </w:rPr>
        <w:t xml:space="preserve"> substantial increases in rate liabilities</w:t>
      </w:r>
      <w:r w:rsidRPr="5865F59B">
        <w:rPr>
          <w:rFonts w:ascii="Gill Sans MT" w:eastAsia="Gill Sans MT" w:hAnsi="Gill Sans MT" w:cs="Gill Sans MT"/>
          <w:color w:val="000000" w:themeColor="text1"/>
        </w:rPr>
        <w:t xml:space="preserve"> in the new financial year - </w:t>
      </w:r>
      <w:r w:rsidRPr="5865F59B">
        <w:rPr>
          <w:rFonts w:ascii="Gill Sans MT" w:eastAsia="Gill Sans MT" w:hAnsi="Gill Sans MT" w:cs="Gill Sans MT"/>
          <w:color w:val="000000" w:themeColor="text1"/>
        </w:rPr>
        <w:t>the current system continues to place a proportionately higher burden on bricks-and-mortar businesses relative to online operators.</w:t>
      </w:r>
      <w:r>
        <w:br/>
      </w: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The removal of VAT-free shopping for international visitors has also affected the UK’s competitiveness relative to comparable European destinations, particularly in relation to high-value retail and discretionary visitor spend.</w:t>
      </w:r>
      <w:r>
        <w:br/>
      </w:r>
      <w:r>
        <w:br/>
      </w:r>
      <w:r w:rsidRPr="5865F59B">
        <w:rPr>
          <w:rFonts w:ascii="Gill Sans MT" w:eastAsia="Gill Sans MT" w:hAnsi="Gill Sans MT" w:cs="Gill Sans MT"/>
          <w:color w:val="000000" w:themeColor="text1"/>
        </w:rPr>
        <w:t xml:space="preserve">The cost environment is undermining the sector's resilience. On the ground, HOLBA members, particularly in hospitality and leisure, are facing a combination of cost pressures that </w:t>
      </w:r>
      <w:r w:rsidRPr="5865F59B">
        <w:rPr>
          <w:rFonts w:ascii="Gill Sans MT" w:eastAsia="Gill Sans MT" w:hAnsi="Gill Sans MT" w:cs="Gill Sans MT"/>
          <w:color w:val="000000" w:themeColor="text1"/>
        </w:rPr>
        <w:t>are</w:t>
      </w:r>
      <w:r w:rsidRPr="5865F59B">
        <w:rPr>
          <w:rFonts w:ascii="Gill Sans MT" w:eastAsia="Gill Sans MT" w:hAnsi="Gill Sans MT" w:cs="Gill Sans MT"/>
          <w:color w:val="000000" w:themeColor="text1"/>
        </w:rPr>
        <w:t xml:space="preserve"> increasingly threatening long-term viability:</w:t>
      </w:r>
      <w:r>
        <w:br/>
      </w:r>
    </w:p>
    <w:p w:rsidR="004F66B8" w:rsidP="5865F59B">
      <w:pPr>
        <w:pStyle w:val="ListParagraph"/>
        <w:numPr>
          <w:ilvl w:val="0"/>
          <w:numId w:val="11"/>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Business rates are the single most distortive policy affecting </w:t>
      </w:r>
      <w:r w:rsidRPr="5865F59B">
        <w:rPr>
          <w:rFonts w:ascii="Gill Sans MT" w:eastAsia="Gill Sans MT" w:hAnsi="Gill Sans MT" w:cs="Gill Sans MT"/>
          <w:color w:val="000000" w:themeColor="text1"/>
        </w:rPr>
        <w:t xml:space="preserve">bricks and mortar </w:t>
      </w:r>
      <w:r w:rsidRPr="5865F59B">
        <w:rPr>
          <w:rFonts w:ascii="Gill Sans MT" w:eastAsia="Gill Sans MT" w:hAnsi="Gill Sans MT" w:cs="Gill Sans MT"/>
          <w:color w:val="000000" w:themeColor="text1"/>
        </w:rPr>
        <w:t xml:space="preserve">businesses in the West End. Hotels in our area are facing rate bill increases of </w:t>
      </w:r>
      <w:r w:rsidRPr="5865F59B">
        <w:rPr>
          <w:rFonts w:ascii="Gill Sans MT" w:eastAsia="Gill Sans MT" w:hAnsi="Gill Sans MT" w:cs="Gill Sans MT"/>
          <w:color w:val="000000" w:themeColor="text1"/>
        </w:rPr>
        <w:t>over</w:t>
      </w:r>
      <w:r w:rsidRPr="5865F59B">
        <w:rPr>
          <w:rFonts w:ascii="Gill Sans MT" w:eastAsia="Gill Sans MT" w:hAnsi="Gill Sans MT" w:cs="Gill Sans MT"/>
          <w:color w:val="000000" w:themeColor="text1"/>
        </w:rPr>
        <w:t xml:space="preserve"> 100%. Visitor attractions are seeing rises of over a third. Theatres are projecting rateable value increases of up to 88% over the next three years.</w:t>
      </w:r>
      <w:r w:rsidRPr="5865F59B">
        <w:rPr>
          <w:rFonts w:ascii="Gill Sans MT" w:eastAsia="Gill Sans MT" w:hAnsi="Gill Sans MT" w:cs="Gill Sans MT"/>
          <w:color w:val="000000" w:themeColor="text1"/>
        </w:rPr>
        <w:t xml:space="preserve"> </w:t>
      </w:r>
      <w:r w:rsidRPr="5865F59B">
        <w:rPr>
          <w:rFonts w:ascii="Gill Sans MT" w:eastAsia="Gill Sans MT" w:hAnsi="Gill Sans MT" w:cs="Gill Sans MT"/>
          <w:color w:val="000000" w:themeColor="text1"/>
        </w:rPr>
        <w:t xml:space="preserve">Analysis </w:t>
      </w:r>
      <w:r w:rsidRPr="5865F59B">
        <w:rPr>
          <w:rFonts w:ascii="Gill Sans MT" w:eastAsia="Gill Sans MT" w:hAnsi="Gill Sans MT" w:cs="Gill Sans MT"/>
          <w:color w:val="000000" w:themeColor="text1"/>
        </w:rPr>
        <w:t>by Altus Group</w:t>
      </w:r>
      <w:r w:rsidRPr="5865F59B">
        <w:rPr>
          <w:rFonts w:ascii="Gill Sans MT" w:eastAsia="Gill Sans MT" w:hAnsi="Gill Sans MT" w:cs="Gill Sans MT"/>
          <w:color w:val="000000" w:themeColor="text1"/>
        </w:rPr>
        <w:t xml:space="preserve"> </w:t>
      </w:r>
      <w:r w:rsidRPr="5865F59B">
        <w:rPr>
          <w:rFonts w:ascii="Gill Sans MT" w:eastAsia="Gill Sans MT" w:hAnsi="Gill Sans MT" w:cs="Gill Sans MT"/>
          <w:color w:val="000000" w:themeColor="text1"/>
        </w:rPr>
        <w:t>shows that for every £1 a digital business pays in business rates, a bricks-and-mortar equivalent pays £8. This structural imbalance is untenable in an era of e-commerce dominance.</w:t>
      </w:r>
      <w:r>
        <w:rPr>
          <w:rStyle w:val="FootnoteReference"/>
          <w:rFonts w:ascii="Gill Sans MT" w:eastAsia="Gill Sans MT" w:hAnsi="Gill Sans MT" w:cs="Gill Sans MT"/>
          <w:color w:val="000000" w:themeColor="text1"/>
        </w:rPr>
        <w:footnoteReference w:id="7"/>
      </w:r>
    </w:p>
    <w:p w:rsidR="004F66B8" w:rsidP="5865F59B">
      <w:pPr>
        <w:pStyle w:val="ListParagraph"/>
        <w:spacing w:after="0" w:line="276" w:lineRule="auto"/>
        <w:rPr>
          <w:rFonts w:ascii="Gill Sans MT" w:eastAsia="Gill Sans MT" w:hAnsi="Gill Sans MT" w:cs="Gill Sans MT"/>
          <w:color w:val="000000" w:themeColor="text1"/>
        </w:rPr>
      </w:pPr>
    </w:p>
    <w:p w:rsidR="004F66B8" w:rsidP="5865F59B">
      <w:pPr>
        <w:pStyle w:val="ListParagraph"/>
        <w:numPr>
          <w:ilvl w:val="0"/>
          <w:numId w:val="11"/>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The removal of VAT-free shopping has made the UK an outlier among our</w:t>
      </w:r>
      <w:r w:rsidRPr="5865F59B">
        <w:rPr>
          <w:rFonts w:ascii="Gill Sans MT" w:eastAsia="Gill Sans MT" w:hAnsi="Gill Sans MT" w:cs="Gill Sans MT"/>
          <w:color w:val="000000" w:themeColor="text1"/>
        </w:rPr>
        <w:t xml:space="preserve"> main</w:t>
      </w:r>
      <w:r w:rsidRPr="5865F59B">
        <w:rPr>
          <w:rFonts w:ascii="Gill Sans MT" w:eastAsia="Gill Sans MT" w:hAnsi="Gill Sans MT" w:cs="Gill Sans MT"/>
          <w:color w:val="000000" w:themeColor="text1"/>
        </w:rPr>
        <w:t xml:space="preserve"> competitors. France, Italy and Spain all offer this to international visitors. The UK does not. This is a</w:t>
      </w:r>
      <w:r w:rsidRPr="5865F59B">
        <w:rPr>
          <w:rFonts w:ascii="Gill Sans MT" w:eastAsia="Gill Sans MT" w:hAnsi="Gill Sans MT" w:cs="Gill Sans MT"/>
          <w:color w:val="000000" w:themeColor="text1"/>
        </w:rPr>
        <w:t xml:space="preserve"> </w:t>
      </w:r>
      <w:r w:rsidRPr="5865F59B">
        <w:rPr>
          <w:rFonts w:ascii="Gill Sans MT" w:eastAsia="Gill Sans MT" w:hAnsi="Gill Sans MT" w:cs="Gill Sans MT"/>
          <w:color w:val="000000" w:themeColor="text1"/>
        </w:rPr>
        <w:t>competitive disadvantage.</w:t>
      </w:r>
      <w:r w:rsidRPr="5865F59B">
        <w:rPr>
          <w:rFonts w:ascii="Gill Sans MT" w:eastAsia="Gill Sans MT" w:hAnsi="Gill Sans MT" w:cs="Gill Sans MT"/>
          <w:color w:val="000000" w:themeColor="text1"/>
        </w:rPr>
        <w:t xml:space="preserve"> Evidently, British visitors continue to benefit from VAT-free shopping when travelling within the EU, helping to support a £5 billion outbound, shopping-led market. Given that the EU population is almost seven times larger than that of the UK, reinstating a VAT-free shopping scheme for international visitors presents a significant opportunity to unlock growth, increase vi</w:t>
      </w:r>
      <w:r w:rsidRPr="5865F59B">
        <w:rPr>
          <w:rFonts w:ascii="Gill Sans MT" w:eastAsia="Gill Sans MT" w:hAnsi="Gill Sans MT" w:cs="Gill Sans MT"/>
          <w:color w:val="000000" w:themeColor="text1"/>
        </w:rPr>
        <w:t xml:space="preserve">sitor spend and support job creation </w:t>
      </w:r>
      <w:r w:rsidRPr="5865F59B">
        <w:rPr>
          <w:rFonts w:ascii="Gill Sans MT" w:eastAsia="Gill Sans MT" w:hAnsi="Gill Sans MT" w:cs="Gill Sans MT"/>
          <w:color w:val="000000" w:themeColor="text1"/>
        </w:rPr>
        <w:t>across the country. Latest estimates suggest that an additional £5 billion in international visitor spending could support more than 140,000 jobs while generating approximately £800 million in net VAT revenue for the Exchequer.</w:t>
      </w:r>
      <w:r>
        <w:rPr>
          <w:rStyle w:val="FootnoteReference"/>
          <w:rFonts w:ascii="Gill Sans MT" w:eastAsia="Gill Sans MT" w:hAnsi="Gill Sans MT" w:cs="Gill Sans MT"/>
          <w:color w:val="000000" w:themeColor="text1"/>
        </w:rPr>
        <w:footnoteReference w:id="8"/>
      </w:r>
      <w:r w:rsidRPr="5865F59B">
        <w:rPr>
          <w:rFonts w:ascii="Gill Sans MT" w:eastAsia="Gill Sans MT" w:hAnsi="Gill Sans MT" w:cs="Gill Sans MT"/>
          <w:color w:val="000000" w:themeColor="text1"/>
        </w:rPr>
        <w:t xml:space="preserve"> Businesses across the West End are already experiencing significant lost sales, as many international visitors continue to expect a tax refund that is no longer available in the UK. </w:t>
      </w:r>
      <w:r w:rsidRPr="5865F59B">
        <w:rPr>
          <w:rFonts w:ascii="Gill Sans MT" w:eastAsia="Gill Sans MT" w:hAnsi="Gill Sans MT" w:cs="Gill Sans MT"/>
          <w:color w:val="000000" w:themeColor="text1"/>
        </w:rPr>
        <w:t>In light of</w:t>
      </w:r>
      <w:r w:rsidRPr="5865F59B">
        <w:rPr>
          <w:rFonts w:ascii="Gill Sans MT" w:eastAsia="Gill Sans MT" w:hAnsi="Gill Sans MT" w:cs="Gill Sans MT"/>
          <w:color w:val="000000" w:themeColor="text1"/>
        </w:rPr>
        <w:t xml:space="preserve"> this evidence, the Government should commit, through the forthcoming National Visitor Economy Growth Strategy, to a full review of VAT-free shopping and assess its wider economic and fiscal impacts on both the visitor economy and the Exchequer.</w:t>
      </w:r>
      <w:r>
        <w:rPr>
          <w:rStyle w:val="FootnoteReference"/>
          <w:rFonts w:ascii="Gill Sans MT" w:eastAsia="Gill Sans MT" w:hAnsi="Gill Sans MT" w:cs="Gill Sans MT"/>
        </w:rPr>
        <w:footnoteReference w:id="9"/>
      </w:r>
      <w:r>
        <w:br/>
      </w:r>
    </w:p>
    <w:p w:rsidR="004F66B8" w:rsidP="5865F59B">
      <w:pPr>
        <w:pStyle w:val="ListParagraph"/>
        <w:numPr>
          <w:ilvl w:val="0"/>
          <w:numId w:val="11"/>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Rising employment costs following the recent Budget increase the operating burden on labour-intensive hospitality and leisure businesses, many of which operate on thin margins.</w:t>
      </w:r>
      <w:r>
        <w:br/>
      </w: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Taken together, these pressures are affecting the competitiveness of the wider experience economy that underpins the West End’s attractiveness as an international destination.</w:t>
      </w:r>
      <w:r>
        <w:br/>
      </w:r>
      <w:r>
        <w:br/>
      </w:r>
      <w:r w:rsidRPr="009D50FE">
        <w:rPr>
          <w:rFonts w:ascii="Gill Sans MT" w:eastAsia="Gill Sans MT" w:hAnsi="Gill Sans MT" w:cs="Gill Sans MT"/>
          <w:color w:val="000000" w:themeColor="text1"/>
        </w:rPr>
        <w:t xml:space="preserve">To support long-term resilience and growth, HOLBA would </w:t>
      </w:r>
      <w:r w:rsidRPr="009D50FE">
        <w:rPr>
          <w:rFonts w:ascii="Gill Sans MT" w:eastAsia="Gill Sans MT" w:hAnsi="Gill Sans MT" w:cs="Gill Sans MT"/>
          <w:color w:val="000000" w:themeColor="text1"/>
        </w:rPr>
        <w:t xml:space="preserve">urge the government to </w:t>
      </w:r>
      <w:r w:rsidRPr="009D50FE">
        <w:rPr>
          <w:rFonts w:ascii="Gill Sans MT" w:eastAsia="Gill Sans MT" w:hAnsi="Gill Sans MT" w:cs="Gill Sans MT"/>
          <w:color w:val="000000" w:themeColor="text1"/>
        </w:rPr>
        <w:t>consider the following measures:</w:t>
      </w:r>
      <w:r>
        <w:br/>
      </w:r>
    </w:p>
    <w:p w:rsidR="004F66B8" w:rsidP="5865F59B">
      <w:pPr>
        <w:pStyle w:val="ListParagraph"/>
        <w:numPr>
          <w:ilvl w:val="0"/>
          <w:numId w:val="8"/>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Structural reform of business rates through a Hybrid Business Rate model </w:t>
      </w:r>
      <w:r w:rsidRPr="5865F59B">
        <w:rPr>
          <w:rFonts w:ascii="Gill Sans MT" w:eastAsia="Gill Sans MT" w:hAnsi="Gill Sans MT" w:cs="Gill Sans MT"/>
          <w:color w:val="000000" w:themeColor="text1"/>
        </w:rPr>
        <w:t>that would combine</w:t>
      </w:r>
      <w:r w:rsidRPr="5865F59B">
        <w:rPr>
          <w:rFonts w:ascii="Gill Sans MT" w:eastAsia="Gill Sans MT" w:hAnsi="Gill Sans MT" w:cs="Gill Sans MT"/>
          <w:color w:val="000000" w:themeColor="text1"/>
        </w:rPr>
        <w:t xml:space="preserve"> a reduced property-based tax with a modest sales levy</w:t>
      </w:r>
      <w:r w:rsidRPr="5865F59B">
        <w:rPr>
          <w:rFonts w:ascii="Gill Sans MT" w:eastAsia="Gill Sans MT" w:hAnsi="Gill Sans MT" w:cs="Gill Sans MT"/>
          <w:color w:val="000000" w:themeColor="text1"/>
        </w:rPr>
        <w:t xml:space="preserve"> on all online sales (with key exemptions for those products and services that drive visitors to the high street, town and city centres)</w:t>
      </w:r>
      <w:r>
        <w:br/>
      </w:r>
    </w:p>
    <w:p w:rsidR="004F66B8" w:rsidP="5865F59B">
      <w:pPr>
        <w:pStyle w:val="ListParagraph"/>
        <w:numPr>
          <w:ilvl w:val="0"/>
          <w:numId w:val="8"/>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A review of VAT-free shopping as part of the forthcoming National Visitor Economy Growth Strategy.</w:t>
      </w:r>
      <w:r w:rsidRPr="5865F59B">
        <w:rPr>
          <w:rFonts w:ascii="Gill Sans MT" w:eastAsia="Gill Sans MT" w:hAnsi="Gill Sans MT" w:cs="Gill Sans MT"/>
          <w:color w:val="000000" w:themeColor="text1"/>
        </w:rPr>
        <w:t xml:space="preserve"> Latest estimates indicate that £5 billion in additional international visitor spending could support over 140,000 jobs and generate around £800 million in net VAT revenue for the Exchequer.</w:t>
      </w:r>
      <w:r>
        <w:rPr>
          <w:rStyle w:val="FootnoteReference"/>
          <w:rFonts w:ascii="Gill Sans MT" w:eastAsia="Gill Sans MT" w:hAnsi="Gill Sans MT" w:cs="Gill Sans MT"/>
        </w:rPr>
        <w:footnoteReference w:id="10"/>
      </w:r>
      <w:r>
        <w:br/>
      </w:r>
    </w:p>
    <w:p w:rsidR="004F66B8" w:rsidP="5865F59B">
      <w:pPr>
        <w:pStyle w:val="ListParagraph"/>
        <w:numPr>
          <w:ilvl w:val="0"/>
          <w:numId w:val="8"/>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Continued investment in destination marketing, public realm and supporting infrastructure.</w:t>
      </w:r>
    </w:p>
    <w:p w:rsidR="004F66B8" w:rsidP="5865F59B">
      <w:pPr>
        <w:spacing w:after="0" w:line="276" w:lineRule="auto"/>
        <w:rPr>
          <w:rFonts w:ascii="Gill Sans MT" w:eastAsia="Gill Sans MT" w:hAnsi="Gill Sans MT" w:cs="Gill Sans MT"/>
          <w:color w:val="000000" w:themeColor="text1"/>
        </w:rPr>
      </w:pPr>
    </w:p>
    <w:p w:rsidR="004F66B8" w:rsidP="00A60529">
      <w:pPr>
        <w:spacing w:before="240" w:after="240" w:line="276" w:lineRule="auto"/>
        <w:rPr>
          <w:rFonts w:ascii="Gill Sans MT" w:eastAsia="Gill Sans MT" w:hAnsi="Gill Sans MT" w:cs="Gill Sans MT"/>
          <w:color w:val="000000" w:themeColor="text1"/>
        </w:rPr>
      </w:pPr>
      <w:bookmarkStart w:id="1" w:name="Bookmark8"/>
      <w:r w:rsidRPr="00CA3AE3">
        <w:rPr>
          <w:rFonts w:ascii="Gill Sans MT" w:eastAsia="Gill Sans MT" w:hAnsi="Gill Sans MT" w:cs="Gill Sans MT"/>
          <w:b/>
          <w:bCs/>
          <w:color w:val="000000" w:themeColor="text1"/>
          <w:u w:val="single"/>
        </w:rPr>
        <w:t xml:space="preserve">1i) </w:t>
      </w:r>
      <w:r w:rsidRPr="00CA3AE3">
        <w:rPr>
          <w:rFonts w:ascii="Gill Sans MT" w:eastAsia="Gill Sans MT" w:hAnsi="Gill Sans MT" w:cs="Gill Sans MT"/>
          <w:b/>
          <w:bCs/>
          <w:color w:val="000000" w:themeColor="text1"/>
          <w:u w:val="single"/>
        </w:rPr>
        <w:t>What are the main barriers to international competitiveness? How effectively does the UK promote itself overseas as a destination and what more could be done to strengthen its international profile?</w:t>
      </w:r>
      <w:r w:rsidRPr="00CA3AE3">
        <w:rPr>
          <w:rFonts w:ascii="Gill Sans MT" w:eastAsia="Gill Sans MT" w:hAnsi="Gill Sans MT" w:cs="Gill Sans MT"/>
          <w:b/>
          <w:bCs/>
          <w:i/>
          <w:iCs/>
          <w:color w:val="000000" w:themeColor="text1"/>
          <w:u w:val="single"/>
        </w:rPr>
        <w:t xml:space="preserve"> </w:t>
      </w:r>
      <w:r>
        <w:br/>
      </w:r>
      <w:r>
        <w:br/>
      </w:r>
      <w:r w:rsidRPr="5865F59B">
        <w:rPr>
          <w:rFonts w:ascii="Gill Sans MT" w:eastAsia="Gill Sans MT" w:hAnsi="Gill Sans MT" w:cs="Gill Sans MT"/>
          <w:color w:val="000000" w:themeColor="text1"/>
        </w:rPr>
        <w:t>International destination marketing plays a vital role in supporting visitor growth, international competitiveness and wider economic activity. London is the UK’s primary international visitor gateway and a significant driver of tourism, retail, hospitality and cultural spending across the wider national econo</w:t>
      </w:r>
      <w:r w:rsidRPr="5865F59B">
        <w:rPr>
          <w:rFonts w:ascii="Gill Sans MT" w:eastAsia="Gill Sans MT" w:hAnsi="Gill Sans MT" w:cs="Gill Sans MT"/>
          <w:color w:val="000000" w:themeColor="text1"/>
        </w:rPr>
        <w:t>my. However, international marketing and promotion of London has reduced significantly in recent years.</w:t>
      </w:r>
      <w:r>
        <w:br/>
      </w:r>
      <w:r>
        <w:br/>
      </w:r>
      <w:r w:rsidRPr="5865F59B">
        <w:rPr>
          <w:rFonts w:ascii="Gill Sans MT" w:eastAsia="Gill Sans MT" w:hAnsi="Gill Sans MT" w:cs="Gill Sans MT"/>
          <w:color w:val="000000" w:themeColor="text1"/>
        </w:rPr>
        <w:t xml:space="preserve">The last coordinated international consumer marketing campaign for London, the Let's Do London </w:t>
      </w:r>
      <w:r w:rsidRPr="5865F59B">
        <w:rPr>
          <w:rFonts w:ascii="Gill Sans MT" w:eastAsia="Gill Sans MT" w:hAnsi="Gill Sans MT" w:cs="Gill Sans MT"/>
          <w:color w:val="000000" w:themeColor="text1"/>
        </w:rPr>
        <w:t>initiative, concluded in September 2023. At the national level, VisitBritain's budget was cut by over 40% for 2025-26, further weakening the UK's promotional infrastructure.</w:t>
      </w:r>
      <w:r>
        <w:rPr>
          <w:rStyle w:val="FootnoteReference"/>
          <w:rFonts w:ascii="Gill Sans MT" w:eastAsia="Gill Sans MT" w:hAnsi="Gill Sans MT" w:cs="Gill Sans MT"/>
          <w:color w:val="000000" w:themeColor="text1"/>
        </w:rPr>
        <w:footnoteReference w:id="11"/>
      </w:r>
    </w:p>
    <w:p w:rsidR="004F66B8" w:rsidP="00A60529">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At the same time, competitor cities and destinations continue to invest significantly in international promotion. Research commissioned by BusinessLDN highlights the scale of comparative investment, with promotional budgets in destinations such as Hong Kong, Singapore and New York substantially exceeding current levels associated with London. </w:t>
      </w:r>
      <w:r>
        <w:rPr>
          <w:rStyle w:val="FootnoteReference"/>
          <w:rFonts w:ascii="Gill Sans Nova Book" w:hAnsi="Gill Sans Nova Book"/>
          <w:color w:val="000000" w:themeColor="text1"/>
        </w:rPr>
        <w:footnoteReference w:id="12"/>
      </w:r>
    </w:p>
    <w:tbl>
      <w:tblPr>
        <w:tblStyle w:val="TableGrid"/>
        <w:tblW w:w="0" w:type="auto"/>
        <w:tblLook w:val="06A0"/>
      </w:tblPr>
      <w:tblGrid>
        <w:gridCol w:w="1860"/>
        <w:gridCol w:w="5223"/>
      </w:tblGrid>
      <w:tr w:rsidTr="00337874">
        <w:tblPrEx>
          <w:tblW w:w="0" w:type="auto"/>
          <w:tblLook w:val="06A0"/>
        </w:tblPrEx>
        <w:trPr>
          <w:trHeight w:val="300"/>
        </w:trPr>
        <w:tc>
          <w:tcPr>
            <w:tcW w:w="1860" w:type="dxa"/>
          </w:tcPr>
          <w:p w:rsidR="004F66B8" w:rsidP="007F0AAA">
            <w:pPr>
              <w:spacing w:line="276" w:lineRule="auto"/>
              <w:jc w:val="both"/>
              <w:rPr>
                <w:rFonts w:ascii="Gill Sans MT" w:eastAsia="Gill Sans MT" w:hAnsi="Gill Sans MT" w:cs="Gill Sans MT"/>
                <w:b/>
                <w:bCs/>
                <w:color w:val="000000" w:themeColor="text1"/>
              </w:rPr>
            </w:pPr>
            <w:r w:rsidRPr="5865F59B">
              <w:rPr>
                <w:rFonts w:ascii="Gill Sans MT" w:eastAsia="Gill Sans MT" w:hAnsi="Gill Sans MT" w:cs="Gill Sans MT"/>
                <w:b/>
                <w:bCs/>
                <w:color w:val="000000" w:themeColor="text1"/>
              </w:rPr>
              <w:t>Destination</w:t>
            </w:r>
          </w:p>
        </w:tc>
        <w:tc>
          <w:tcPr>
            <w:tcW w:w="5223" w:type="dxa"/>
          </w:tcPr>
          <w:p w:rsidR="004F66B8" w:rsidP="007F0AAA">
            <w:pPr>
              <w:spacing w:line="276" w:lineRule="auto"/>
              <w:jc w:val="both"/>
              <w:rPr>
                <w:rFonts w:ascii="Gill Sans MT" w:eastAsia="Gill Sans MT" w:hAnsi="Gill Sans MT" w:cs="Gill Sans MT"/>
                <w:b/>
                <w:bCs/>
                <w:color w:val="000000" w:themeColor="text1"/>
              </w:rPr>
            </w:pPr>
            <w:r w:rsidRPr="5865F59B">
              <w:rPr>
                <w:rFonts w:ascii="Gill Sans MT" w:eastAsia="Gill Sans MT" w:hAnsi="Gill Sans MT" w:cs="Gill Sans MT"/>
                <w:b/>
                <w:bCs/>
                <w:color w:val="000000" w:themeColor="text1"/>
              </w:rPr>
              <w:t>Promotional spend vs London in 2019/20</w:t>
            </w:r>
          </w:p>
        </w:tc>
      </w:tr>
      <w:tr w:rsidTr="00337874">
        <w:tblPrEx>
          <w:tblW w:w="0" w:type="auto"/>
          <w:tblLook w:val="06A0"/>
        </w:tblPrEx>
        <w:trPr>
          <w:trHeight w:val="300"/>
        </w:trPr>
        <w:tc>
          <w:tcPr>
            <w:tcW w:w="1860" w:type="dxa"/>
          </w:tcPr>
          <w:p w:rsidR="004F66B8" w:rsidP="007F0AAA">
            <w:pPr>
              <w:spacing w:line="276" w:lineRule="auto"/>
              <w:jc w:val="both"/>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Hong Kong</w:t>
            </w:r>
          </w:p>
        </w:tc>
        <w:tc>
          <w:tcPr>
            <w:tcW w:w="5223" w:type="dxa"/>
          </w:tcPr>
          <w:p w:rsidR="004F66B8" w:rsidP="007F0AAA">
            <w:pPr>
              <w:spacing w:line="276" w:lineRule="auto"/>
              <w:jc w:val="both"/>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347% higher than London</w:t>
            </w:r>
          </w:p>
        </w:tc>
      </w:tr>
      <w:tr w:rsidTr="00337874">
        <w:tblPrEx>
          <w:tblW w:w="0" w:type="auto"/>
          <w:tblLook w:val="06A0"/>
        </w:tblPrEx>
        <w:trPr>
          <w:trHeight w:val="300"/>
        </w:trPr>
        <w:tc>
          <w:tcPr>
            <w:tcW w:w="1860" w:type="dxa"/>
          </w:tcPr>
          <w:p w:rsidR="004F66B8" w:rsidP="007F0AAA">
            <w:pPr>
              <w:spacing w:line="276" w:lineRule="auto"/>
              <w:jc w:val="both"/>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Singapore</w:t>
            </w:r>
          </w:p>
        </w:tc>
        <w:tc>
          <w:tcPr>
            <w:tcW w:w="5223" w:type="dxa"/>
          </w:tcPr>
          <w:p w:rsidR="004F66B8" w:rsidP="007F0AAA">
            <w:pPr>
              <w:spacing w:line="276" w:lineRule="auto"/>
              <w:jc w:val="both"/>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536% the size of London's budget</w:t>
            </w:r>
          </w:p>
        </w:tc>
      </w:tr>
      <w:tr w:rsidTr="00337874">
        <w:tblPrEx>
          <w:tblW w:w="0" w:type="auto"/>
          <w:tblLook w:val="06A0"/>
        </w:tblPrEx>
        <w:trPr>
          <w:trHeight w:val="300"/>
        </w:trPr>
        <w:tc>
          <w:tcPr>
            <w:tcW w:w="1860" w:type="dxa"/>
          </w:tcPr>
          <w:p w:rsidR="004F66B8" w:rsidP="007F0AAA">
            <w:pPr>
              <w:spacing w:line="276" w:lineRule="auto"/>
              <w:jc w:val="both"/>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New York</w:t>
            </w:r>
          </w:p>
        </w:tc>
        <w:tc>
          <w:tcPr>
            <w:tcW w:w="5223" w:type="dxa"/>
          </w:tcPr>
          <w:p w:rsidR="004F66B8" w:rsidP="007F0AAA">
            <w:pPr>
              <w:spacing w:line="276" w:lineRule="auto"/>
              <w:jc w:val="both"/>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32% higher than London</w:t>
            </w:r>
          </w:p>
        </w:tc>
      </w:tr>
    </w:tbl>
    <w:p w:rsidR="004F66B8" w:rsidP="00A60529">
      <w:pPr>
        <w:spacing w:after="0" w:line="276" w:lineRule="auto"/>
        <w:rPr>
          <w:rFonts w:ascii="Gill Sans MT" w:eastAsia="Gill Sans MT" w:hAnsi="Gill Sans MT" w:cs="Gill Sans MT"/>
          <w:color w:val="000000" w:themeColor="text1"/>
        </w:rPr>
      </w:pPr>
      <w:r>
        <w:br/>
      </w:r>
      <w:r w:rsidRPr="5865F59B">
        <w:rPr>
          <w:rFonts w:ascii="Gill Sans MT" w:eastAsia="Gill Sans MT" w:hAnsi="Gill Sans MT" w:cs="Gill Sans MT"/>
          <w:color w:val="000000" w:themeColor="text1"/>
        </w:rPr>
        <w:t xml:space="preserve">Other major global destinations, including Paris, Sydney and Dubai, continue to undertake coordinated international marketing activity to strengthen visitor numbers, attract high-value tourism and support broader economic competitiveness. This reflects growing international competition for visitor </w:t>
      </w:r>
      <w:r w:rsidRPr="5865F59B">
        <w:rPr>
          <w:rFonts w:ascii="Gill Sans MT" w:eastAsia="Gill Sans MT" w:hAnsi="Gill Sans MT" w:cs="Gill Sans MT"/>
          <w:color w:val="000000" w:themeColor="text1"/>
        </w:rPr>
        <w:t>spend,</w:t>
      </w:r>
      <w:r w:rsidRPr="5865F59B">
        <w:rPr>
          <w:rFonts w:ascii="Gill Sans MT" w:eastAsia="Gill Sans MT" w:hAnsi="Gill Sans MT" w:cs="Gill Sans MT"/>
          <w:color w:val="000000" w:themeColor="text1"/>
        </w:rPr>
        <w:t xml:space="preserve"> major events, inward investment and global profile.</w:t>
      </w:r>
    </w:p>
    <w:p w:rsidR="004F66B8" w:rsidP="00A60529">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For London, international destination marketing has implications beyond tourism alone. Visitor spending supports hotels, restaurants, theatres, retail, cultural institutions and the wider experience economy, alongside associated employment and tax revenues. VisitBritain's own performance data demonstrates the economic return from destination marketing: its activities contributed an additional £562 million to the UK economy in 2024/25, with its Starring GREAT Britain campaign generating £20 in visitor spend </w:t>
      </w:r>
      <w:r w:rsidRPr="5865F59B">
        <w:rPr>
          <w:rFonts w:ascii="Gill Sans MT" w:eastAsia="Gill Sans MT" w:hAnsi="Gill Sans MT" w:cs="Gill Sans MT"/>
          <w:color w:val="000000" w:themeColor="text1"/>
        </w:rPr>
        <w:t>for every £1 invested.</w:t>
      </w:r>
      <w:r>
        <w:rPr>
          <w:rStyle w:val="FootnoteReference"/>
          <w:rFonts w:ascii="Gill Sans MT" w:eastAsia="Gill Sans MT" w:hAnsi="Gill Sans MT" w:cs="Gill Sans MT"/>
          <w:color w:val="000000" w:themeColor="text1"/>
        </w:rPr>
        <w:footnoteReference w:id="13"/>
      </w:r>
    </w:p>
    <w:p w:rsidR="004F66B8" w:rsidP="00A60529">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London remains one of the world’s leading visitor destinations and benefits from strong international recognition. However, global reputation alone is unlikely to be sufficient to maintain long-term competitiveness in an increasingly competitive international market. Other global cities continue to invest strategically in destination branding, marketing and visitor experience, and this is contributing to growing competitive pressure across tourism and leisure sectors. </w:t>
      </w:r>
    </w:p>
    <w:p w:rsidR="004F66B8" w:rsidP="00A60529">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Proactive destination marketing and international promotion are also becoming increasingly important in countering negative global and online narratives relating to London, including perceptions around crime, safety and the wider visitor experience, which can disproportionately influence international visitor confidence and travel decisions if left unchallenged.</w:t>
      </w:r>
    </w:p>
    <w:p w:rsidR="004F66B8" w:rsidRPr="00721759" w:rsidP="00A60529">
      <w:pPr>
        <w:spacing w:before="240" w:after="240" w:line="276" w:lineRule="auto"/>
        <w:rPr>
          <w:rFonts w:ascii="Gill Sans MT" w:eastAsia="Gill Sans MT" w:hAnsi="Gill Sans MT" w:cs="Gill Sans MT"/>
          <w:color w:val="000000" w:themeColor="text1"/>
        </w:rPr>
      </w:pPr>
      <w:r w:rsidRPr="00721759">
        <w:rPr>
          <w:rFonts w:ascii="Gill Sans MT" w:eastAsia="Gill Sans MT" w:hAnsi="Gill Sans MT" w:cs="Gill Sans MT"/>
          <w:color w:val="000000" w:themeColor="text1"/>
        </w:rPr>
        <w:t>HOLBA would encourage consideration of the following measures to strengthen the UK’s international competitiveness:</w:t>
      </w:r>
    </w:p>
    <w:p w:rsidR="004F66B8" w:rsidP="00A60529">
      <w:pPr>
        <w:pStyle w:val="ListParagraph"/>
        <w:numPr>
          <w:ilvl w:val="0"/>
          <w:numId w:val="7"/>
        </w:numPr>
        <w:spacing w:after="0" w:line="276" w:lineRule="auto"/>
        <w:rPr>
          <w:rFonts w:ascii="Gill Sans MT" w:eastAsia="Gill Sans MT" w:hAnsi="Gill Sans MT" w:cs="Gill Sans MT"/>
        </w:rPr>
      </w:pPr>
      <w:r w:rsidRPr="5865F59B">
        <w:rPr>
          <w:rFonts w:ascii="Gill Sans MT" w:eastAsia="Gill Sans MT" w:hAnsi="Gill Sans MT" w:cs="Gill Sans MT"/>
        </w:rPr>
        <w:t>Visit London should be adequately funded to deliver effective international marketing campaigns and maintain London’s global competitiveness as a visitor destination.</w:t>
      </w:r>
    </w:p>
    <w:p w:rsidR="004F66B8" w:rsidP="00A60529">
      <w:pPr>
        <w:pStyle w:val="ListParagraph"/>
        <w:numPr>
          <w:ilvl w:val="0"/>
          <w:numId w:val="7"/>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Recognising destination marketing as an important component of economic infrastructure, supporting growth across tourism, hospitality, culture and retail sectors.</w:t>
      </w:r>
    </w:p>
    <w:p w:rsidR="004F66B8" w:rsidP="00A60529">
      <w:pPr>
        <w:pStyle w:val="ListParagraph"/>
        <w:numPr>
          <w:ilvl w:val="0"/>
          <w:numId w:val="7"/>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Strengthening coordination between VisitBritain, VisitEngland and a renewed Visit London to ensure London’s international profile supports visitor growth across the wider UK.</w:t>
      </w:r>
    </w:p>
    <w:p w:rsidR="004F66B8" w:rsidP="00A60529">
      <w:pPr>
        <w:pStyle w:val="ListParagraph"/>
        <w:numPr>
          <w:ilvl w:val="0"/>
          <w:numId w:val="7"/>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Recognising the role of Business Improvement Districts and local partnerships in generating cultural programming, events and visitor experiences that contribute to the UK’s wider tourism offer.</w:t>
      </w:r>
    </w:p>
    <w:p w:rsidR="004F66B8" w:rsidRPr="00337874" w:rsidP="00337874">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This more coordinated approach would support London’s continued competitiveness while also strengthening its role as a gateway for wider regional tourism growth across the UK</w:t>
      </w:r>
    </w:p>
    <w:p w:rsidR="004F66B8" w:rsidP="5865F59B">
      <w:pPr>
        <w:spacing w:after="0" w:line="276" w:lineRule="auto"/>
        <w:rPr>
          <w:rFonts w:ascii="Gill Sans MT" w:eastAsia="Gill Sans MT" w:hAnsi="Gill Sans MT" w:cs="Gill Sans MT"/>
          <w:i/>
          <w:iCs/>
          <w:color w:val="000000" w:themeColor="text1"/>
        </w:rPr>
      </w:pPr>
      <w:bookmarkEnd w:id="1"/>
    </w:p>
    <w:p w:rsidR="004F66B8" w:rsidP="5865F59B">
      <w:pPr>
        <w:spacing w:after="0" w:line="276" w:lineRule="auto"/>
        <w:rPr>
          <w:rFonts w:ascii="Gill Sans MT" w:eastAsia="Gill Sans MT" w:hAnsi="Gill Sans MT" w:cs="Gill Sans MT"/>
          <w:color w:val="000000" w:themeColor="text1"/>
        </w:rPr>
      </w:pPr>
      <w:bookmarkStart w:id="2" w:name="Bookmark3"/>
      <w:r w:rsidRPr="009829ED">
        <w:rPr>
          <w:rFonts w:ascii="Gill Sans MT" w:eastAsia="Gill Sans MT" w:hAnsi="Gill Sans MT" w:cs="Gill Sans MT"/>
          <w:b/>
          <w:bCs/>
          <w:color w:val="000000" w:themeColor="text1"/>
          <w:u w:val="single"/>
        </w:rPr>
        <w:t xml:space="preserve">1ii) </w:t>
      </w:r>
      <w:r w:rsidRPr="009829ED">
        <w:rPr>
          <w:rFonts w:ascii="Gill Sans MT" w:eastAsia="Gill Sans MT" w:hAnsi="Gill Sans MT" w:cs="Gill Sans MT"/>
          <w:b/>
          <w:bCs/>
          <w:color w:val="000000" w:themeColor="text1"/>
          <w:u w:val="single"/>
        </w:rPr>
        <w:t>How does the UK’s recent tourism performance (including visitor numbers, length of stay and visitor spend) compare with other major European tourism destinations?</w:t>
      </w:r>
      <w:r w:rsidRPr="5865F59B">
        <w:rPr>
          <w:rFonts w:ascii="Gill Sans MT" w:eastAsia="Gill Sans MT" w:hAnsi="Gill Sans MT" w:cs="Gill Sans MT"/>
          <w:i/>
          <w:iCs/>
          <w:color w:val="000000" w:themeColor="text1"/>
        </w:rPr>
        <w:t xml:space="preserve"> </w:t>
      </w:r>
      <w:r>
        <w:br/>
      </w:r>
      <w:bookmarkEnd w:id="2"/>
      <w:r>
        <w:br/>
      </w:r>
      <w:bookmarkStart w:id="3" w:name="Bookmark4"/>
      <w:r w:rsidRPr="5865F59B">
        <w:rPr>
          <w:rFonts w:ascii="Gill Sans MT" w:eastAsia="Gill Sans MT" w:hAnsi="Gill Sans MT" w:cs="Gill Sans MT"/>
          <w:color w:val="000000" w:themeColor="text1"/>
        </w:rPr>
        <w:t xml:space="preserve">While some businesses in the West End, particularly global brands, continue to perform strongly, many others, especially across hospitality and leisure, are facing significant pressures and growing concerns about long term viability. London has demonstrated strong resilience following the pandemic and remains one of the world’s leading visitor destinations. However, comparative data suggests that recovery and growth across </w:t>
      </w:r>
      <w:r w:rsidRPr="5865F59B">
        <w:rPr>
          <w:rFonts w:ascii="Gill Sans MT" w:eastAsia="Gill Sans MT" w:hAnsi="Gill Sans MT" w:cs="Gill Sans MT"/>
          <w:color w:val="000000" w:themeColor="text1"/>
        </w:rPr>
        <w:t>a number of</w:t>
      </w:r>
      <w:r w:rsidRPr="5865F59B">
        <w:rPr>
          <w:rFonts w:ascii="Gill Sans MT" w:eastAsia="Gill Sans MT" w:hAnsi="Gill Sans MT" w:cs="Gill Sans MT"/>
          <w:color w:val="000000" w:themeColor="text1"/>
        </w:rPr>
        <w:t xml:space="preserve"> tourism indicators has been slower than in several competing European cit</w:t>
      </w:r>
      <w:r w:rsidRPr="5865F59B">
        <w:rPr>
          <w:rFonts w:ascii="Gill Sans MT" w:eastAsia="Gill Sans MT" w:hAnsi="Gill Sans MT" w:cs="Gill Sans MT"/>
          <w:color w:val="000000" w:themeColor="text1"/>
        </w:rPr>
        <w:t>ies.</w:t>
      </w:r>
    </w:p>
    <w:p w:rsidR="004F66B8" w:rsidP="5865F59B">
      <w:pPr>
        <w:spacing w:after="0" w:line="276" w:lineRule="auto"/>
        <w:rPr>
          <w:rFonts w:ascii="Gill Sans MT" w:eastAsia="Gill Sans MT" w:hAnsi="Gill Sans MT" w:cs="Gill Sans MT"/>
          <w:color w:val="000000" w:themeColor="text1"/>
        </w:rPr>
      </w:pPr>
    </w:p>
    <w:p w:rsidR="004F66B8" w:rsidRPr="0017027E"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Hotel performance data comparing Q1 2026 with the pre-pandemic baseline in Q1 2020 across Average Daily Rate (ADR), Revenue per Available Room (RevPAR) and occupancy indicates that London’s recovery has been comparatively moderate relative to cities such as Paris, Rome and Milan. London’s ADR growth of 24.9% since the pre-pandemic period compares with 52.8% in Paris and 64.0% in Rome, while RevPAR growth of 28.4% compares with 55.4% in Paris. Occupancy growth has also remained relatively limited, increasing</w:t>
      </w:r>
      <w:r w:rsidRPr="5865F59B">
        <w:rPr>
          <w:rFonts w:ascii="Gill Sans MT" w:eastAsia="Gill Sans MT" w:hAnsi="Gill Sans MT" w:cs="Gill Sans MT"/>
          <w:color w:val="000000" w:themeColor="text1"/>
        </w:rPr>
        <w:t xml:space="preserve"> by just 0.3 percentage points in London compared with increases of 12.4 percentage points in Paris and 16.2 percentage points in Milan.</w:t>
      </w:r>
      <w:r>
        <w:rPr>
          <w:rStyle w:val="FootnoteReference"/>
          <w:rFonts w:ascii="Gill Sans Nova Book" w:eastAsia="Gill Sans Nova Book" w:hAnsi="Gill Sans Nova Book" w:cs="Gill Sans Nova Book"/>
          <w:color w:val="000000" w:themeColor="text1"/>
        </w:rPr>
        <w:footnoteReference w:id="14"/>
      </w:r>
      <w:r w:rsidRPr="5865F59B">
        <w:rPr>
          <w:rFonts w:ascii="Gill Sans MT" w:eastAsia="Gill Sans MT" w:hAnsi="Gill Sans MT" w:cs="Gill Sans MT"/>
          <w:color w:val="000000" w:themeColor="text1"/>
        </w:rPr>
        <w:t xml:space="preserve"> </w:t>
      </w:r>
      <w:r w:rsidRPr="5865F59B">
        <w:rPr>
          <w:rFonts w:ascii="Gill Sans MT" w:eastAsia="Gill Sans MT" w:hAnsi="Gill Sans MT" w:cs="Gill Sans MT"/>
          <w:color w:val="000000" w:themeColor="text1"/>
        </w:rPr>
        <w:t>This suggests that recent revenue growth in London has been driven more by pricing than by significant increases in visitor volume or occupancy.</w:t>
      </w:r>
      <w:r w:rsidRPr="5865F59B">
        <w:rPr>
          <w:rFonts w:ascii="Gill Sans MT" w:eastAsia="Gill Sans MT" w:hAnsi="Gill Sans MT" w:cs="Gill Sans MT"/>
          <w:color w:val="000000" w:themeColor="text1"/>
        </w:rPr>
        <w:t xml:space="preserve"> This data suggests that post-pandemic European tourism recovery has disproportionately benefited Southern European and leisure-oriented markets, particularly Italy and France. London remains resilient and </w:t>
      </w:r>
      <w:r w:rsidRPr="5865F59B">
        <w:rPr>
          <w:rFonts w:ascii="Gill Sans MT" w:eastAsia="Gill Sans MT" w:hAnsi="Gill Sans MT" w:cs="Gill Sans MT"/>
          <w:color w:val="000000" w:themeColor="text1"/>
        </w:rPr>
        <w:t>high-performing</w:t>
      </w:r>
      <w:r w:rsidRPr="5865F59B">
        <w:rPr>
          <w:rFonts w:ascii="Gill Sans MT" w:eastAsia="Gill Sans MT" w:hAnsi="Gill Sans MT" w:cs="Gill Sans MT"/>
          <w:color w:val="000000" w:themeColor="text1"/>
        </w:rPr>
        <w:t>, but growth rates are comparatively weaker, especially on occupancy, implying intensifying competition from continental destinations.</w:t>
      </w:r>
    </w:p>
    <w:p w:rsidR="004F66B8" w:rsidP="5865F59B">
      <w:pPr>
        <w:spacing w:before="240" w:after="240" w:line="276" w:lineRule="auto"/>
        <w:rPr>
          <w:rFonts w:ascii="Gill Sans MT" w:eastAsia="Gill Sans MT" w:hAnsi="Gill Sans MT" w:cs="Gill Sans MT"/>
        </w:rPr>
      </w:pPr>
      <w:r w:rsidRPr="0BB2B5C3">
        <w:rPr>
          <w:rFonts w:ascii="Gill Sans MT" w:eastAsia="Gill Sans MT" w:hAnsi="Gill Sans MT" w:cs="Gill Sans MT"/>
          <w:color w:val="000000" w:themeColor="text1"/>
        </w:rPr>
        <w:t xml:space="preserve">HOLBA’s research further </w:t>
      </w:r>
      <w:r w:rsidRPr="0BB2B5C3">
        <w:rPr>
          <w:rFonts w:ascii="Gill Sans MT" w:eastAsia="Gill Sans MT" w:hAnsi="Gill Sans MT" w:cs="Gill Sans MT"/>
          <w:color w:val="000000" w:themeColor="text1"/>
        </w:rPr>
        <w:t xml:space="preserve">demonstrates </w:t>
      </w:r>
      <w:r w:rsidRPr="0BB2B5C3">
        <w:rPr>
          <w:rFonts w:ascii="Gill Sans MT" w:eastAsia="Gill Sans MT" w:hAnsi="Gill Sans MT" w:cs="Gill Sans MT"/>
          <w:color w:val="000000" w:themeColor="text1"/>
        </w:rPr>
        <w:t xml:space="preserve">that the West End is underperforming relative to its </w:t>
      </w:r>
      <w:r w:rsidRPr="0BB2B5C3">
        <w:rPr>
          <w:rFonts w:ascii="Gill Sans MT" w:eastAsia="Gill Sans MT" w:hAnsi="Gill Sans MT" w:cs="Gill Sans MT"/>
          <w:color w:val="000000" w:themeColor="text1"/>
        </w:rPr>
        <w:t xml:space="preserve">position </w:t>
      </w:r>
      <w:r w:rsidRPr="0BB2B5C3">
        <w:rPr>
          <w:rFonts w:ascii="Gill Sans MT" w:eastAsia="Gill Sans MT" w:hAnsi="Gill Sans MT" w:cs="Gill Sans MT"/>
          <w:color w:val="000000" w:themeColor="text1"/>
        </w:rPr>
        <w:t>as one of the world’s leading destinations. The evening and night</w:t>
      </w:r>
      <w:r w:rsidRPr="0BB2B5C3">
        <w:rPr>
          <w:rFonts w:ascii="Gill Sans MT" w:eastAsia="Gill Sans MT" w:hAnsi="Gill Sans MT" w:cs="Gill Sans MT"/>
          <w:color w:val="000000" w:themeColor="text1"/>
        </w:rPr>
        <w:t>-t</w:t>
      </w:r>
      <w:r w:rsidRPr="0BB2B5C3">
        <w:rPr>
          <w:rFonts w:ascii="Gill Sans MT" w:eastAsia="Gill Sans MT" w:hAnsi="Gill Sans MT" w:cs="Gill Sans MT"/>
          <w:color w:val="000000" w:themeColor="text1"/>
        </w:rPr>
        <w:t xml:space="preserve">ime economy alone </w:t>
      </w:r>
      <w:r w:rsidRPr="0BB2B5C3">
        <w:rPr>
          <w:rFonts w:ascii="Gill Sans MT" w:eastAsia="Gill Sans MT" w:hAnsi="Gill Sans MT" w:cs="Gill Sans MT"/>
        </w:rPr>
        <w:t>has the potential to generate at least £1 billion more annually</w:t>
      </w:r>
      <w:r>
        <w:rPr>
          <w:rStyle w:val="FootnoteReference"/>
          <w:rFonts w:ascii="Gill Sans MT" w:eastAsia="Gill Sans MT" w:hAnsi="Gill Sans MT" w:cs="Gill Sans MT"/>
        </w:rPr>
        <w:footnoteReference w:id="15"/>
      </w:r>
      <w:r w:rsidRPr="0BB2B5C3">
        <w:rPr>
          <w:rFonts w:ascii="Gill Sans MT" w:eastAsia="Gill Sans MT" w:hAnsi="Gill Sans MT" w:cs="Gill Sans MT"/>
          <w:color w:val="000000" w:themeColor="text1"/>
        </w:rPr>
        <w:t xml:space="preserve"> </w:t>
      </w:r>
      <w:r w:rsidRPr="0BB2B5C3">
        <w:rPr>
          <w:rFonts w:ascii="Gill Sans MT" w:eastAsia="Gill Sans MT" w:hAnsi="Gill Sans MT" w:cs="Gill Sans MT"/>
          <w:color w:val="000000" w:themeColor="text1"/>
        </w:rPr>
        <w:t xml:space="preserve">- </w:t>
      </w:r>
      <w:r w:rsidRPr="0BB2B5C3">
        <w:rPr>
          <w:rFonts w:ascii="Gill Sans MT" w:eastAsia="Gill Sans MT" w:hAnsi="Gill Sans MT" w:cs="Gill Sans MT"/>
          <w:color w:val="000000" w:themeColor="text1"/>
        </w:rPr>
        <w:t xml:space="preserve"> </w:t>
      </w:r>
      <w:r w:rsidRPr="0BB2B5C3">
        <w:rPr>
          <w:rFonts w:ascii="Gill Sans MT" w:eastAsia="Gill Sans MT" w:hAnsi="Gill Sans MT" w:cs="Gill Sans MT"/>
        </w:rPr>
        <w:t>yet</w:t>
      </w:r>
      <w:r w:rsidRPr="0BB2B5C3">
        <w:rPr>
          <w:rFonts w:ascii="Gill Sans MT" w:eastAsia="Gill Sans MT" w:hAnsi="Gill Sans MT" w:cs="Gill Sans MT"/>
        </w:rPr>
        <w:t xml:space="preserve"> while footfall continues to recover, visitor spending is failing to keep pace</w:t>
      </w:r>
      <w:r w:rsidRPr="0BB2B5C3">
        <w:rPr>
          <w:rFonts w:ascii="Gill Sans MT" w:eastAsia="Gill Sans MT" w:hAnsi="Gill Sans MT" w:cs="Gill Sans MT"/>
          <w:color w:val="000000" w:themeColor="text1"/>
        </w:rPr>
        <w:t>. During the most recent festive period, visits to the West End increased by nearly 20% year on year, while visitor spend declined by approximately 8%.</w:t>
      </w:r>
      <w:r>
        <w:rPr>
          <w:rStyle w:val="FootnoteReference"/>
          <w:rFonts w:ascii="Gill Sans MT" w:eastAsia="Gill Sans MT" w:hAnsi="Gill Sans MT" w:cs="Gill Sans MT"/>
          <w:color w:val="000000" w:themeColor="text1"/>
        </w:rPr>
        <w:footnoteReference w:id="16"/>
      </w:r>
      <w:r w:rsidRPr="0BB2B5C3">
        <w:rPr>
          <w:rFonts w:ascii="Gill Sans MT" w:eastAsia="Gill Sans MT" w:hAnsi="Gill Sans MT" w:cs="Gill Sans MT"/>
          <w:color w:val="000000" w:themeColor="text1"/>
        </w:rPr>
        <w:t xml:space="preserve"> </w:t>
      </w:r>
      <w:r w:rsidRPr="0BB2B5C3">
        <w:rPr>
          <w:rFonts w:ascii="Gill Sans MT" w:eastAsia="Gill Sans MT" w:hAnsi="Gill Sans MT" w:cs="Gill Sans MT"/>
        </w:rPr>
        <w:t>This reflects a broader trend in which rising visitor numbers are not yet translating into equivalent growth in expenditure.</w:t>
      </w: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London nevertheless remains </w:t>
      </w:r>
      <w:r w:rsidRPr="5865F59B">
        <w:rPr>
          <w:rFonts w:ascii="Gill Sans MT" w:eastAsia="Gill Sans MT" w:hAnsi="Gill Sans MT" w:cs="Gill Sans MT"/>
          <w:color w:val="000000" w:themeColor="text1"/>
        </w:rPr>
        <w:t xml:space="preserve">relatively </w:t>
      </w:r>
      <w:r w:rsidRPr="5865F59B">
        <w:rPr>
          <w:rFonts w:ascii="Gill Sans MT" w:eastAsia="Gill Sans MT" w:hAnsi="Gill Sans MT" w:cs="Gill Sans MT"/>
          <w:color w:val="000000" w:themeColor="text1"/>
        </w:rPr>
        <w:t xml:space="preserve">competitive in terms of affordability, with the average cost of a </w:t>
      </w:r>
      <w:r w:rsidRPr="5865F59B">
        <w:rPr>
          <w:rFonts w:ascii="Gill Sans MT" w:eastAsia="Gill Sans MT" w:hAnsi="Gill Sans MT" w:cs="Gill Sans MT"/>
          <w:color w:val="000000" w:themeColor="text1"/>
        </w:rPr>
        <w:t>two night</w:t>
      </w:r>
      <w:r w:rsidRPr="5865F59B">
        <w:rPr>
          <w:rFonts w:ascii="Gill Sans MT" w:eastAsia="Gill Sans MT" w:hAnsi="Gill Sans MT" w:cs="Gill Sans MT"/>
          <w:color w:val="000000" w:themeColor="text1"/>
        </w:rPr>
        <w:t xml:space="preserve"> city break lower than </w:t>
      </w:r>
      <w:r w:rsidRPr="5865F59B">
        <w:rPr>
          <w:rFonts w:ascii="Gill Sans MT" w:eastAsia="Gill Sans MT" w:hAnsi="Gill Sans MT" w:cs="Gill Sans MT"/>
          <w:color w:val="000000" w:themeColor="text1"/>
        </w:rPr>
        <w:t>in several comparable</w:t>
      </w:r>
      <w:r w:rsidRPr="5865F59B">
        <w:rPr>
          <w:rFonts w:ascii="Gill Sans MT" w:eastAsia="Gill Sans MT" w:hAnsi="Gill Sans MT" w:cs="Gill Sans MT"/>
          <w:color w:val="000000" w:themeColor="text1"/>
        </w:rPr>
        <w:t xml:space="preserve"> destinations, including Paris. </w:t>
      </w:r>
      <w:r w:rsidRPr="5865F59B">
        <w:rPr>
          <w:rFonts w:ascii="Gill Sans MT" w:eastAsia="Gill Sans MT" w:hAnsi="Gill Sans MT" w:cs="Gill Sans MT"/>
        </w:rPr>
        <w:t>However, affordability alone is unlikely to counter wider competitive pressures relating to visitor experience, international marketing, retail offer and discretionary visitor spending.</w:t>
      </w:r>
    </w:p>
    <w:p w:rsidR="004F66B8" w:rsidRPr="0017027E" w:rsidP="5865F59B">
      <w:pPr>
        <w:spacing w:after="0" w:line="276" w:lineRule="auto"/>
        <w:rPr>
          <w:rFonts w:ascii="Gill Sans MT" w:eastAsia="Gill Sans MT" w:hAnsi="Gill Sans MT" w:cs="Gill Sans MT"/>
          <w:color w:val="000000" w:themeColor="text1"/>
        </w:rPr>
      </w:pP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A range of factors are likely contributing to these trends, including increased international competition, changing visitor spending patterns and the continued absence of VAT-free shopping for international visitors. These issues are particularly relevant to high value retail, hospitality and evening economy sectors, where international and discretionary spend play a significant role. This is therefore not simply a West End issue; it is a national competitiveness and growth issue. Cities across Europe and g</w:t>
      </w:r>
      <w:r w:rsidRPr="5865F59B">
        <w:rPr>
          <w:rFonts w:ascii="Gill Sans MT" w:eastAsia="Gill Sans MT" w:hAnsi="Gill Sans MT" w:cs="Gill Sans MT"/>
          <w:color w:val="000000" w:themeColor="text1"/>
        </w:rPr>
        <w:t>lobally are investing heavily to attract visitors, events and consumer spending, and London cannot rely on its reputation alone.</w:t>
      </w:r>
    </w:p>
    <w:p w:rsidR="004F66B8" w:rsidRPr="0017027E" w:rsidP="5865F59B">
      <w:pPr>
        <w:spacing w:after="0" w:line="276" w:lineRule="auto"/>
        <w:rPr>
          <w:rFonts w:ascii="Gill Sans MT" w:eastAsia="Gill Sans MT" w:hAnsi="Gill Sans MT" w:cs="Gill Sans MT"/>
          <w:color w:val="000000" w:themeColor="text1"/>
        </w:rPr>
      </w:pP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If the West End is to remain globally competitive, the core conditions for businesses to thrive must be strengthened, including transport, public safety, accessibility, planning, licensing and a fair tax environment. The evening and night</w:t>
      </w:r>
      <w:r w:rsidRPr="5865F59B">
        <w:rPr>
          <w:rFonts w:ascii="Gill Sans MT" w:eastAsia="Gill Sans MT" w:hAnsi="Gill Sans MT" w:cs="Gill Sans MT"/>
          <w:color w:val="000000" w:themeColor="text1"/>
        </w:rPr>
        <w:t>-</w:t>
      </w:r>
      <w:r w:rsidRPr="5865F59B">
        <w:rPr>
          <w:rFonts w:ascii="Gill Sans MT" w:eastAsia="Gill Sans MT" w:hAnsi="Gill Sans MT" w:cs="Gill Sans MT"/>
          <w:color w:val="000000" w:themeColor="text1"/>
        </w:rPr>
        <w:t xml:space="preserve">time economy </w:t>
      </w:r>
      <w:r w:rsidRPr="5865F59B">
        <w:rPr>
          <w:rFonts w:ascii="Gill Sans MT" w:eastAsia="Gill Sans MT" w:hAnsi="Gill Sans MT" w:cs="Gill Sans MT"/>
          <w:color w:val="000000" w:themeColor="text1"/>
        </w:rPr>
        <w:t>in particular remains</w:t>
      </w:r>
      <w:r w:rsidRPr="5865F59B">
        <w:rPr>
          <w:rFonts w:ascii="Gill Sans MT" w:eastAsia="Gill Sans MT" w:hAnsi="Gill Sans MT" w:cs="Gill Sans MT"/>
          <w:color w:val="000000" w:themeColor="text1"/>
        </w:rPr>
        <w:t xml:space="preserve"> a major opportunity for future growth. Strengthening international competitiveness in this area will require continued investment in destination marketing, public realm, transport accessibility, cultural programming and the wider visitor experience. There is also a significant wider growth opportunity through the expanding global experience economy, encompassing culture, entertainment, hospitality and immersive experiences, which is forecast to more than double in value b</w:t>
      </w:r>
      <w:r w:rsidRPr="5865F59B">
        <w:rPr>
          <w:rFonts w:ascii="Gill Sans MT" w:eastAsia="Gill Sans MT" w:hAnsi="Gill Sans MT" w:cs="Gill Sans MT"/>
          <w:color w:val="000000" w:themeColor="text1"/>
        </w:rPr>
        <w:t>y 2028, particularly amongst younger demographics.</w:t>
      </w:r>
      <w:r>
        <w:rPr>
          <w:rStyle w:val="FootnoteReference"/>
          <w:rFonts w:ascii="Gill Sans Nova Book" w:eastAsia="Gill Sans Nova Book" w:hAnsi="Gill Sans Nova Book" w:cs="Gill Sans Nova Book"/>
          <w:color w:val="000000" w:themeColor="text1"/>
        </w:rPr>
        <w:footnoteReference w:id="17"/>
      </w:r>
      <w:r w:rsidRPr="5865F59B">
        <w:rPr>
          <w:rFonts w:ascii="Gill Sans MT" w:eastAsia="Gill Sans MT" w:hAnsi="Gill Sans MT" w:cs="Gill Sans MT"/>
          <w:color w:val="000000" w:themeColor="text1"/>
        </w:rPr>
        <w:t xml:space="preserve"> </w:t>
      </w:r>
      <w:r w:rsidRPr="5865F59B">
        <w:rPr>
          <w:rFonts w:ascii="Gill Sans MT" w:eastAsia="Gill Sans MT" w:hAnsi="Gill Sans MT" w:cs="Gill Sans MT"/>
          <w:color w:val="000000" w:themeColor="text1"/>
        </w:rPr>
        <w:t>The West End is uniquely positioned to lead in this space, but only if the right policy and investment conditions are put in place. Overall, while London remains highly competitive internationally and continues to attract significant visitor volumes, maintaining and strengthening this position will require continued investment and policy support to ensure that growth in visitor numbers is matched by growth in visitor spend, dwell time and wider economic value.</w:t>
      </w:r>
    </w:p>
    <w:p w:rsidR="004F66B8" w:rsidP="5865F59B">
      <w:pPr>
        <w:spacing w:after="0" w:line="276" w:lineRule="auto"/>
        <w:rPr>
          <w:rFonts w:ascii="Gill Sans MT" w:eastAsia="Gill Sans MT" w:hAnsi="Gill Sans MT" w:cs="Gill Sans MT"/>
          <w:color w:val="000000" w:themeColor="text1"/>
        </w:rPr>
      </w:pPr>
    </w:p>
    <w:p w:rsidR="004F66B8" w:rsidRPr="005625E4" w:rsidP="002C6529">
      <w:pPr>
        <w:spacing w:after="0" w:line="240" w:lineRule="auto"/>
        <w:rPr>
          <w:rFonts w:ascii="Gill Sans MT" w:eastAsia="Gill Sans MT" w:hAnsi="Gill Sans MT" w:cs="Gill Sans MT"/>
          <w:b/>
          <w:bCs/>
          <w:color w:val="000000" w:themeColor="text1"/>
          <w:u w:val="single"/>
        </w:rPr>
      </w:pPr>
      <w:r w:rsidRPr="005625E4">
        <w:rPr>
          <w:rFonts w:ascii="Gill Sans MT" w:eastAsia="Gill Sans MT" w:hAnsi="Gill Sans MT" w:cs="Gill Sans MT"/>
          <w:b/>
          <w:bCs/>
          <w:color w:val="000000" w:themeColor="text1"/>
          <w:u w:val="single"/>
        </w:rPr>
        <w:t xml:space="preserve">1v) </w:t>
      </w:r>
      <w:r w:rsidRPr="005625E4">
        <w:rPr>
          <w:rFonts w:ascii="Gill Sans MT" w:eastAsia="Gill Sans MT" w:hAnsi="Gill Sans MT" w:cs="Gill Sans MT"/>
          <w:b/>
          <w:bCs/>
          <w:color w:val="000000" w:themeColor="text1"/>
          <w:u w:val="single"/>
        </w:rPr>
        <w:t>What are the arguments for and against the proposal to give mayoral strategic authorities the power to introduce an overnight visitor levy? If a levy is introduced, how should it best be spent to attract tourism and investment?</w:t>
      </w:r>
    </w:p>
    <w:p w:rsidR="004F66B8" w:rsidP="002C6529">
      <w:pPr>
        <w:spacing w:after="0" w:line="276" w:lineRule="auto"/>
        <w:rPr>
          <w:rFonts w:ascii="Gill Sans MT" w:eastAsia="Gill Sans MT" w:hAnsi="Gill Sans MT" w:cs="Gill Sans MT"/>
          <w:color w:val="000000" w:themeColor="text1"/>
        </w:rPr>
      </w:pPr>
    </w:p>
    <w:p w:rsidR="004F66B8" w:rsidP="002C6529">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HOLBA does not support the introduction of an overnight visitor levy in London under current economic conditions and considers the proposal a significant risk to the competitiveness, viability and </w:t>
      </w:r>
      <w:r w:rsidRPr="5865F59B">
        <w:rPr>
          <w:rFonts w:ascii="Gill Sans MT" w:eastAsia="Gill Sans MT" w:hAnsi="Gill Sans MT" w:cs="Gill Sans MT"/>
          <w:color w:val="000000" w:themeColor="text1"/>
        </w:rPr>
        <w:t>long term</w:t>
      </w:r>
      <w:r w:rsidRPr="5865F59B">
        <w:rPr>
          <w:rFonts w:ascii="Gill Sans MT" w:eastAsia="Gill Sans MT" w:hAnsi="Gill Sans MT" w:cs="Gill Sans MT"/>
          <w:color w:val="000000" w:themeColor="text1"/>
        </w:rPr>
        <w:t xml:space="preserve"> growth of the visitor economy. </w:t>
      </w:r>
    </w:p>
    <w:p w:rsidR="004F66B8" w:rsidP="002C6529">
      <w:pPr>
        <w:spacing w:after="0" w:line="276" w:lineRule="auto"/>
        <w:rPr>
          <w:rFonts w:ascii="Gill Sans MT" w:eastAsia="Gill Sans MT" w:hAnsi="Gill Sans MT" w:cs="Gill Sans MT"/>
          <w:color w:val="000000" w:themeColor="text1"/>
        </w:rPr>
      </w:pPr>
    </w:p>
    <w:p w:rsidR="004F66B8" w:rsidP="002C6529">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Businesses across the West End, particularly within the hotel and hospitality sectors, are already operating within one of the highest taxed tourism environments in Europe. Unlike competitor destinations such as France, Germany, Spain and Italy, the UK applies the full 20% VAT rate across accommodation, restaurants and attractions, placing tourism businesses at a clear international disadvantage. This is compounded by some of the world’s highest aviation taxes, rising business rates, increased National Insu</w:t>
      </w:r>
      <w:r w:rsidRPr="5865F59B">
        <w:rPr>
          <w:rFonts w:ascii="Gill Sans MT" w:eastAsia="Gill Sans MT" w:hAnsi="Gill Sans MT" w:cs="Gill Sans MT"/>
          <w:color w:val="000000" w:themeColor="text1"/>
        </w:rPr>
        <w:t>rance contributions, wage inflation and growing operating costs. Evidence from businesses indicates that while footfall and revenues may have broadly returned to pre-pandemic levels, profitability has not recovered and margins remain under severe pressure.</w:t>
      </w:r>
    </w:p>
    <w:p w:rsidR="004F66B8" w:rsidRPr="002952F2" w:rsidP="002C6529">
      <w:pPr>
        <w:spacing w:after="0" w:line="276" w:lineRule="auto"/>
        <w:rPr>
          <w:rFonts w:ascii="Gill Sans MT" w:eastAsia="Gill Sans MT" w:hAnsi="Gill Sans MT" w:cs="Gill Sans MT"/>
          <w:color w:val="000000" w:themeColor="text1"/>
        </w:rPr>
      </w:pPr>
    </w:p>
    <w:p w:rsidR="004F66B8" w:rsidP="002C6529">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HOLBA’s position is that introducing an overnight levy at this time would further undermine London’s international competitiveness, risk reducing visitor demand and potentially distort the market by encouraging visitors to stay outside levy zones. This is particularly concerning given the growing international competition from European cities that are investing heavily in tourism, culture and visitor experience while simultaneously operating lower tourism tax regimes. The proposal would also place a substan</w:t>
      </w:r>
      <w:r w:rsidRPr="5865F59B">
        <w:rPr>
          <w:rFonts w:ascii="Gill Sans MT" w:eastAsia="Gill Sans MT" w:hAnsi="Gill Sans MT" w:cs="Gill Sans MT"/>
          <w:color w:val="000000" w:themeColor="text1"/>
        </w:rPr>
        <w:t>tial administrative and financial burden on accommodation providers. Hotels have raised serious concerns regarding compliance obligations, operational complexity, booking platform inconsistencies and the cost of collection, with industry evidence suggesting that the administrative burden associated with a £5 levy could amount to as much as 70% of the levy value itself.</w:t>
      </w:r>
      <w:r>
        <w:rPr>
          <w:rStyle w:val="FootnoteReference"/>
          <w:rFonts w:ascii="Gill Sans MT" w:eastAsia="Gill Sans MT" w:hAnsi="Gill Sans MT" w:cs="Gill Sans MT"/>
          <w:color w:val="000000" w:themeColor="text1"/>
        </w:rPr>
        <w:footnoteReference w:id="18"/>
      </w:r>
    </w:p>
    <w:p w:rsidR="004F66B8" w:rsidRPr="002952F2" w:rsidP="002C6529">
      <w:pPr>
        <w:spacing w:after="0" w:line="276" w:lineRule="auto"/>
        <w:rPr>
          <w:rFonts w:ascii="Gill Sans MT" w:eastAsia="Gill Sans MT" w:hAnsi="Gill Sans MT" w:cs="Gill Sans MT"/>
          <w:color w:val="000000" w:themeColor="text1"/>
        </w:rPr>
      </w:pPr>
    </w:p>
    <w:p w:rsidR="004F66B8" w:rsidP="002C6529">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HOLBA is also concerned about the potential unintended consequences for the hospitality workforce. Many hotels now operate discretionary accommodation service charges distributed directly to staff through TRONC arrangements, and there is significant concern that visitors may prioritise payment of a mandatory levy over discretionary service charges, directly reducing earnings for frontline workers at a time when the sector is already facing acute recruitment and retention challenges.</w:t>
      </w:r>
    </w:p>
    <w:p w:rsidR="004F66B8" w:rsidRPr="002952F2" w:rsidP="002C6529">
      <w:pPr>
        <w:spacing w:after="0" w:line="276" w:lineRule="auto"/>
        <w:rPr>
          <w:rFonts w:ascii="Gill Sans MT" w:eastAsia="Gill Sans MT" w:hAnsi="Gill Sans MT" w:cs="Gill Sans MT"/>
          <w:color w:val="000000" w:themeColor="text1"/>
        </w:rPr>
      </w:pPr>
    </w:p>
    <w:p w:rsidR="004F66B8" w:rsidRPr="002952F2" w:rsidP="002C6529">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If Government nevertheless chooses to proceed with a visitor levy, HOLBA believes there must be strict safeguards in place. Any levy must be transparently governed, nationally consistent, capped and administratively simple, with all commercially let accommodation treated equally to avoid market distortion. Crucially, all revenues must be fully hypothecated and reinvested directly into projects that support the visitor economy, including transport accessibility, public realm improvements, destination managem</w:t>
      </w:r>
      <w:r w:rsidRPr="5865F59B">
        <w:rPr>
          <w:rFonts w:ascii="Gill Sans MT" w:eastAsia="Gill Sans MT" w:hAnsi="Gill Sans MT" w:cs="Gill Sans MT"/>
          <w:color w:val="000000" w:themeColor="text1"/>
        </w:rPr>
        <w:t>ent, cultural programming, safety, cleansing and wider investment in the visitor experience. Business Improvement Districts should also play a formal role within governance structures to ensure levy revenues are targeted effectively and aligned with local economic priorities.</w:t>
      </w:r>
    </w:p>
    <w:p w:rsidR="004F66B8" w:rsidP="5865F59B">
      <w:pPr>
        <w:spacing w:after="0" w:line="276" w:lineRule="auto"/>
        <w:rPr>
          <w:rFonts w:ascii="Gill Sans MT" w:eastAsia="Gill Sans MT" w:hAnsi="Gill Sans MT" w:cs="Gill Sans MT"/>
          <w:color w:val="000000" w:themeColor="text1"/>
        </w:rPr>
      </w:pPr>
      <w:r>
        <w:br/>
      </w:r>
      <w:bookmarkEnd w:id="3"/>
      <w:r w:rsidRPr="005625E4">
        <w:rPr>
          <w:rFonts w:ascii="Gill Sans MT" w:eastAsia="Gill Sans MT" w:hAnsi="Gill Sans MT" w:cs="Gill Sans MT"/>
          <w:b/>
          <w:bCs/>
          <w:color w:val="000000" w:themeColor="text1"/>
          <w:u w:val="single"/>
        </w:rPr>
        <w:t xml:space="preserve">2) </w:t>
      </w:r>
      <w:r w:rsidRPr="005625E4">
        <w:rPr>
          <w:rFonts w:ascii="Gill Sans MT" w:eastAsia="Gill Sans MT" w:hAnsi="Gill Sans MT" w:cs="Gill Sans MT"/>
          <w:b/>
          <w:bCs/>
          <w:color w:val="000000" w:themeColor="text1"/>
          <w:u w:val="single"/>
        </w:rPr>
        <w:t>How effectively do government structures and working arrangements support the tourism sector?</w:t>
      </w:r>
      <w:r w:rsidRPr="5865F59B">
        <w:rPr>
          <w:rFonts w:ascii="Gill Sans MT" w:eastAsia="Gill Sans MT" w:hAnsi="Gill Sans MT" w:cs="Gill Sans MT"/>
          <w:i/>
          <w:iCs/>
          <w:color w:val="000000" w:themeColor="text1"/>
        </w:rPr>
        <w:t xml:space="preserve"> </w:t>
      </w:r>
      <w:r>
        <w:br/>
      </w:r>
      <w:r>
        <w:br/>
      </w:r>
      <w:r w:rsidRPr="5865F59B">
        <w:rPr>
          <w:rFonts w:ascii="Gill Sans MT" w:eastAsia="Gill Sans MT" w:hAnsi="Gill Sans MT" w:cs="Gill Sans MT"/>
          <w:color w:val="000000" w:themeColor="text1"/>
        </w:rPr>
        <w:t>The West End functions as a single international destination, with visitors experiencing it as a connected cultural, hospitality and commercial environment rather than through the boundaries of individual boroughs, planning frameworks or licensing regimes. However, responsibility for the area is currently distributed across multiple governance, policy and operational structures, which can create complexity, in</w:t>
      </w:r>
      <w:r w:rsidRPr="5865F59B">
        <w:rPr>
          <w:rFonts w:ascii="Gill Sans MT" w:eastAsia="Gill Sans MT" w:hAnsi="Gill Sans MT" w:cs="Gill Sans MT"/>
          <w:color w:val="000000" w:themeColor="text1"/>
        </w:rPr>
        <w:t>consistency and uncertainty for businesses and investors.</w:t>
      </w:r>
    </w:p>
    <w:p w:rsidR="004F66B8" w:rsidP="5865F59B">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This is particularly relevant in areas such as planning, licensing, transport, policing and public realm management, where greater coordination could support a more integrated approach to growth, investment and destination management.</w:t>
      </w:r>
    </w:p>
    <w:p w:rsidR="004F66B8" w:rsidP="5865F59B">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HOLBA is </w:t>
      </w:r>
      <w:r w:rsidRPr="5865F59B">
        <w:rPr>
          <w:rFonts w:ascii="Gill Sans MT" w:eastAsia="Gill Sans MT" w:hAnsi="Gill Sans MT" w:cs="Gill Sans MT"/>
          <w:color w:val="000000" w:themeColor="text1"/>
        </w:rPr>
        <w:t xml:space="preserve">currently </w:t>
      </w:r>
      <w:r w:rsidRPr="5865F59B">
        <w:rPr>
          <w:rFonts w:ascii="Gill Sans MT" w:eastAsia="Gill Sans MT" w:hAnsi="Gill Sans MT" w:cs="Gill Sans MT"/>
          <w:color w:val="000000" w:themeColor="text1"/>
        </w:rPr>
        <w:t xml:space="preserve">engaging with </w:t>
      </w:r>
      <w:r w:rsidRPr="5865F59B">
        <w:rPr>
          <w:rFonts w:ascii="Gill Sans MT" w:eastAsia="Gill Sans MT" w:hAnsi="Gill Sans MT" w:cs="Gill Sans MT"/>
          <w:color w:val="000000" w:themeColor="text1"/>
        </w:rPr>
        <w:t xml:space="preserve">the Greater London Authority, </w:t>
      </w:r>
      <w:r w:rsidRPr="5865F59B">
        <w:rPr>
          <w:rFonts w:ascii="Gill Sans MT" w:eastAsia="Gill Sans MT" w:hAnsi="Gill Sans MT" w:cs="Gill Sans MT"/>
          <w:color w:val="000000" w:themeColor="text1"/>
        </w:rPr>
        <w:t>the local authorities of Westminster and Camden</w:t>
      </w:r>
      <w:r w:rsidRPr="5865F59B">
        <w:rPr>
          <w:rFonts w:ascii="Gill Sans MT" w:eastAsia="Gill Sans MT" w:hAnsi="Gill Sans MT" w:cs="Gill Sans MT"/>
          <w:color w:val="000000" w:themeColor="text1"/>
        </w:rPr>
        <w:t xml:space="preserve"> and other Business Improvement Districts to support recognition of the wider West End as a single International Centre within planning policy. A strengthened West End </w:t>
      </w:r>
      <w:r w:rsidRPr="5865F59B">
        <w:rPr>
          <w:rFonts w:ascii="Gill Sans MT" w:eastAsia="Gill Sans MT" w:hAnsi="Gill Sans MT" w:cs="Gill Sans MT"/>
          <w:color w:val="000000" w:themeColor="text1"/>
        </w:rPr>
        <w:t>International Centre framework would provide a more coherent basis for coordinating investment, infrastructure, licensing, public realm and visitor economy policy across the district.</w:t>
      </w:r>
    </w:p>
    <w:p w:rsidR="004F66B8" w:rsidP="5865F59B">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Comparable international cities have adopted similar approaches to managing high-performing experience economy districts. Cities such as New York and Sydney have introduced more coordinated governance and policy frameworks to support tourism, culture, hospitality and entertainment clusters at a strategic level.</w:t>
      </w:r>
      <w:r>
        <w:rPr>
          <w:rStyle w:val="FootnoteReference"/>
          <w:rFonts w:ascii="Gill Sans Nova Book" w:eastAsia="Gill Sans Nova Book" w:hAnsi="Gill Sans Nova Book" w:cs="Gill Sans Nova Book"/>
          <w:color w:val="000000" w:themeColor="text1"/>
        </w:rPr>
        <w:footnoteReference w:id="19"/>
      </w:r>
      <w:r w:rsidRPr="5865F59B">
        <w:rPr>
          <w:rFonts w:ascii="Gill Sans MT" w:eastAsia="Gill Sans MT" w:hAnsi="Gill Sans MT" w:cs="Gill Sans MT"/>
          <w:color w:val="000000" w:themeColor="text1"/>
        </w:rPr>
        <w:t xml:space="preserve"> </w:t>
      </w:r>
      <w:r w:rsidRPr="5865F59B">
        <w:rPr>
          <w:rFonts w:ascii="Gill Sans MT" w:eastAsia="Gill Sans MT" w:hAnsi="Gill Sans MT" w:cs="Gill Sans MT"/>
          <w:color w:val="000000" w:themeColor="text1"/>
        </w:rPr>
        <w:t>These models demonstrate the value of integrated place-based management in supporting long-term competitiveness and investment.</w:t>
      </w:r>
    </w:p>
    <w:p w:rsidR="004F66B8" w:rsidP="5865F59B">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At a national level, VisitBritain and VisitEngland continue to play an important role in supporting the UK visitor economy. However, both organisations operate within comparatively constrained funding environments relative to </w:t>
      </w:r>
      <w:r w:rsidRPr="5865F59B">
        <w:rPr>
          <w:rFonts w:ascii="Gill Sans MT" w:eastAsia="Gill Sans MT" w:hAnsi="Gill Sans MT" w:cs="Gill Sans MT"/>
          <w:color w:val="000000" w:themeColor="text1"/>
        </w:rPr>
        <w:t>a number of</w:t>
      </w:r>
      <w:r w:rsidRPr="5865F59B">
        <w:rPr>
          <w:rFonts w:ascii="Gill Sans MT" w:eastAsia="Gill Sans MT" w:hAnsi="Gill Sans MT" w:cs="Gill Sans MT"/>
          <w:color w:val="000000" w:themeColor="text1"/>
        </w:rPr>
        <w:t xml:space="preserve"> international competitors. This can limit the scale and consistency of international promotion, partnership activity and long-term strategic planning.</w:t>
      </w:r>
      <w:r>
        <w:rPr>
          <w:rStyle w:val="FootnoteReference"/>
          <w:rFonts w:ascii="Gill Sans Nova Book" w:eastAsia="Gill Sans Nova Book" w:hAnsi="Gill Sans Nova Book" w:cs="Gill Sans Nova Book"/>
          <w:color w:val="000000" w:themeColor="text1"/>
        </w:rPr>
        <w:footnoteReference w:id="20"/>
      </w:r>
    </w:p>
    <w:p w:rsidR="004F66B8" w:rsidP="5865F59B">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There is also an opportunity to strengthen coordination between national tourism promotion and London-level destination marketing. London acts as the UK’s principal international gateway and, for many visitors, provides the starting point for wider travel across the country. Strengthening alignment between national and London-level promotion could therefore generate wider economic benefits across regional visitor economies.</w:t>
      </w:r>
    </w:p>
    <w:p w:rsidR="004F66B8" w:rsidP="5865F59B">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For example, international visitors travelling onwards from London to destinations such as Edinburgh, Yorkshire or the Cotswolds contribute additional value through increased visitor spend, longer stays and wider regional tourism activity. More coordinated destination marketing and visitor strategies could help maximise these benefits.</w:t>
      </w:r>
    </w:p>
    <w:p w:rsidR="004F66B8" w:rsidRPr="00BF38A3" w:rsidP="5865F59B">
      <w:pPr>
        <w:spacing w:before="240" w:after="240" w:line="276" w:lineRule="auto"/>
        <w:rPr>
          <w:rFonts w:ascii="Gill Sans MT" w:eastAsia="Gill Sans MT" w:hAnsi="Gill Sans MT" w:cs="Gill Sans MT"/>
          <w:color w:val="000000" w:themeColor="text1"/>
        </w:rPr>
      </w:pPr>
      <w:r w:rsidRPr="00BF38A3">
        <w:rPr>
          <w:rFonts w:ascii="Gill Sans MT" w:eastAsia="Gill Sans MT" w:hAnsi="Gill Sans MT" w:cs="Gill Sans MT"/>
          <w:color w:val="000000" w:themeColor="text1"/>
        </w:rPr>
        <w:t>HOLBA would encourage consideration of the following measures:</w:t>
      </w:r>
    </w:p>
    <w:p w:rsidR="004F66B8" w:rsidP="5865F59B">
      <w:pPr>
        <w:pStyle w:val="ListParagraph"/>
        <w:numPr>
          <w:ilvl w:val="0"/>
          <w:numId w:val="6"/>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Formal recognition </w:t>
      </w:r>
      <w:r w:rsidRPr="5865F59B">
        <w:rPr>
          <w:rFonts w:ascii="Gill Sans MT" w:eastAsia="Gill Sans MT" w:hAnsi="Gill Sans MT" w:cs="Gill Sans MT"/>
          <w:color w:val="000000" w:themeColor="text1"/>
        </w:rPr>
        <w:t xml:space="preserve">and expanded definition </w:t>
      </w:r>
      <w:r w:rsidRPr="5865F59B">
        <w:rPr>
          <w:rFonts w:ascii="Gill Sans MT" w:eastAsia="Gill Sans MT" w:hAnsi="Gill Sans MT" w:cs="Gill Sans MT"/>
          <w:color w:val="000000" w:themeColor="text1"/>
        </w:rPr>
        <w:t xml:space="preserve">of the West End as an International Centre within </w:t>
      </w:r>
      <w:r w:rsidRPr="5865F59B">
        <w:rPr>
          <w:rFonts w:ascii="Gill Sans MT" w:eastAsia="Gill Sans MT" w:hAnsi="Gill Sans MT" w:cs="Gill Sans MT"/>
          <w:color w:val="000000" w:themeColor="text1"/>
        </w:rPr>
        <w:t xml:space="preserve">the </w:t>
      </w:r>
      <w:r w:rsidRPr="5865F59B">
        <w:rPr>
          <w:rFonts w:ascii="Gill Sans MT" w:eastAsia="Gill Sans MT" w:hAnsi="Gill Sans MT" w:cs="Gill Sans MT"/>
          <w:color w:val="000000" w:themeColor="text1"/>
        </w:rPr>
        <w:t xml:space="preserve">London </w:t>
      </w:r>
      <w:r w:rsidRPr="5865F59B">
        <w:rPr>
          <w:rFonts w:ascii="Gill Sans MT" w:eastAsia="Gill Sans MT" w:hAnsi="Gill Sans MT" w:cs="Gill Sans MT"/>
          <w:color w:val="000000" w:themeColor="text1"/>
        </w:rPr>
        <w:t xml:space="preserve">and Local Authority </w:t>
      </w:r>
      <w:r w:rsidRPr="5865F59B">
        <w:rPr>
          <w:rFonts w:ascii="Gill Sans MT" w:eastAsia="Gill Sans MT" w:hAnsi="Gill Sans MT" w:cs="Gill Sans MT"/>
          <w:color w:val="000000" w:themeColor="text1"/>
        </w:rPr>
        <w:t>planning policy to support more coordinated governance and investment.</w:t>
      </w:r>
    </w:p>
    <w:p w:rsidR="004F66B8" w:rsidP="5865F59B">
      <w:pPr>
        <w:pStyle w:val="ListParagraph"/>
        <w:numPr>
          <w:ilvl w:val="0"/>
          <w:numId w:val="6"/>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Restoration of meaningful funding for Visit</w:t>
      </w:r>
      <w:r w:rsidRPr="5865F59B">
        <w:rPr>
          <w:rFonts w:ascii="Gill Sans MT" w:eastAsia="Gill Sans MT" w:hAnsi="Gill Sans MT" w:cs="Gill Sans MT"/>
          <w:color w:val="000000" w:themeColor="text1"/>
        </w:rPr>
        <w:t xml:space="preserve"> </w:t>
      </w:r>
      <w:r w:rsidRPr="5865F59B">
        <w:rPr>
          <w:rFonts w:ascii="Gill Sans MT" w:eastAsia="Gill Sans MT" w:hAnsi="Gill Sans MT" w:cs="Gill Sans MT"/>
          <w:color w:val="000000" w:themeColor="text1"/>
        </w:rPr>
        <w:t>London to support an international promotional mandate.</w:t>
      </w:r>
    </w:p>
    <w:p w:rsidR="004F66B8" w:rsidP="5865F59B">
      <w:pPr>
        <w:pStyle w:val="ListParagraph"/>
        <w:numPr>
          <w:ilvl w:val="0"/>
          <w:numId w:val="6"/>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Stronger coordination between VisitBritain, VisitEngland and Visit</w:t>
      </w:r>
      <w:r w:rsidRPr="5865F59B">
        <w:rPr>
          <w:rFonts w:ascii="Gill Sans MT" w:eastAsia="Gill Sans MT" w:hAnsi="Gill Sans MT" w:cs="Gill Sans MT"/>
          <w:color w:val="000000" w:themeColor="text1"/>
        </w:rPr>
        <w:t xml:space="preserve"> </w:t>
      </w:r>
      <w:r w:rsidRPr="5865F59B">
        <w:rPr>
          <w:rFonts w:ascii="Gill Sans MT" w:eastAsia="Gill Sans MT" w:hAnsi="Gill Sans MT" w:cs="Gill Sans MT"/>
          <w:color w:val="000000" w:themeColor="text1"/>
        </w:rPr>
        <w:t>London to ensure London’s international profile supports wider UK tourism growth.</w:t>
      </w:r>
    </w:p>
    <w:p w:rsidR="004F66B8" w:rsidP="5865F59B">
      <w:pPr>
        <w:pStyle w:val="ListParagraph"/>
        <w:numPr>
          <w:ilvl w:val="0"/>
          <w:numId w:val="6"/>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Continued partnership working between local authorities, national agencies, Business Improvement Districts and industry stakeholders to support long-term visitor economy growth.</w:t>
      </w:r>
    </w:p>
    <w:p w:rsidR="004F66B8" w:rsidP="5865F59B">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A more coordinated governance and promotional framework would support investment confidence, improve strategic alignment and strengthen the long-term competitiveness of both London and the wider UK visitor economy.</w:t>
      </w:r>
    </w:p>
    <w:p w:rsidR="004F66B8" w:rsidP="5865F59B">
      <w:pPr>
        <w:spacing w:before="240" w:after="240" w:line="276" w:lineRule="auto"/>
        <w:rPr>
          <w:rFonts w:ascii="Gill Sans MT" w:eastAsia="Gill Sans MT" w:hAnsi="Gill Sans MT" w:cs="Gill Sans MT"/>
          <w:color w:val="000000" w:themeColor="text1"/>
        </w:rPr>
      </w:pPr>
    </w:p>
    <w:p w:rsidR="004F66B8" w:rsidP="5865F59B">
      <w:pPr>
        <w:spacing w:before="240" w:after="240" w:line="276" w:lineRule="auto"/>
        <w:rPr>
          <w:rFonts w:ascii="Gill Sans MT" w:eastAsia="Gill Sans MT" w:hAnsi="Gill Sans MT" w:cs="Gill Sans MT"/>
          <w:color w:val="000000" w:themeColor="text1"/>
        </w:rPr>
      </w:pPr>
      <w:bookmarkStart w:id="4" w:name="Bookmark5"/>
      <w:r>
        <w:rPr>
          <w:rFonts w:ascii="Gill Sans MT" w:eastAsia="Gill Sans MT" w:hAnsi="Gill Sans MT" w:cs="Gill Sans MT"/>
          <w:b/>
          <w:bCs/>
          <w:color w:val="000000" w:themeColor="text1"/>
          <w:u w:val="single"/>
        </w:rPr>
        <w:t xml:space="preserve">3) </w:t>
      </w:r>
      <w:r w:rsidRPr="005B46DD">
        <w:rPr>
          <w:rFonts w:ascii="Gill Sans MT" w:eastAsia="Gill Sans MT" w:hAnsi="Gill Sans MT" w:cs="Gill Sans MT"/>
          <w:b/>
          <w:bCs/>
          <w:color w:val="000000" w:themeColor="text1"/>
          <w:u w:val="single"/>
        </w:rPr>
        <w:t>What opportunities exist to increase inward investment into tourism infrastructure and what changes may be needed to encourage it?</w:t>
      </w:r>
      <w:r w:rsidRPr="5865F59B">
        <w:rPr>
          <w:rFonts w:ascii="Gill Sans MT" w:eastAsia="Gill Sans MT" w:hAnsi="Gill Sans MT" w:cs="Gill Sans MT"/>
          <w:i/>
          <w:iCs/>
          <w:color w:val="000000" w:themeColor="text1"/>
        </w:rPr>
        <w:t xml:space="preserve"> </w:t>
      </w:r>
      <w:bookmarkEnd w:id="4"/>
      <w:r>
        <w:br/>
      </w:r>
      <w:r>
        <w:br/>
      </w:r>
      <w:r w:rsidRPr="5865F59B">
        <w:rPr>
          <w:rFonts w:ascii="Gill Sans MT" w:eastAsia="Gill Sans MT" w:hAnsi="Gill Sans MT" w:cs="Gill Sans MT"/>
          <w:color w:val="000000" w:themeColor="text1"/>
        </w:rPr>
        <w:t>Long-term inward investment in tourism, hospitality and cultural infrastructure is closely linked to confidence in the operating environment. Investment decisions relating to hotels, entertainment venues, public realm improvements and visitor attractions are typically capital-intensive and long-term in nature, requiring stability, policy clarity and confidence in future growth</w:t>
      </w:r>
      <w:r w:rsidRPr="5865F59B">
        <w:rPr>
          <w:rFonts w:ascii="Gill Sans MT" w:eastAsia="Gill Sans MT" w:hAnsi="Gill Sans MT" w:cs="Gill Sans MT"/>
          <w:color w:val="000000" w:themeColor="text1"/>
        </w:rPr>
        <w:t>.</w:t>
      </w:r>
    </w:p>
    <w:p w:rsidR="004F66B8" w:rsidP="5865F59B">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The West End continues to represent a highly attractive investment destination due to its international profile, concentration of cultural and commercial activity, connectivity and established visitor economy. Its combination of hospitality, retail, entertainment and cultural assets creates a unique experience economy cluster with significant long-term growth potential.</w:t>
      </w:r>
    </w:p>
    <w:p w:rsidR="004F66B8" w:rsidP="5865F59B">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However, </w:t>
      </w:r>
      <w:r w:rsidRPr="5865F59B">
        <w:rPr>
          <w:rFonts w:ascii="Gill Sans MT" w:eastAsia="Gill Sans MT" w:hAnsi="Gill Sans MT" w:cs="Gill Sans MT"/>
          <w:color w:val="000000" w:themeColor="text1"/>
        </w:rPr>
        <w:t>a number of</w:t>
      </w:r>
      <w:r w:rsidRPr="5865F59B">
        <w:rPr>
          <w:rFonts w:ascii="Gill Sans MT" w:eastAsia="Gill Sans MT" w:hAnsi="Gill Sans MT" w:cs="Gill Sans MT"/>
          <w:color w:val="000000" w:themeColor="text1"/>
        </w:rPr>
        <w:t xml:space="preserve"> factors are affecting investment confidence and limiting the scale of inward investment that London and the West End could otherwise attract. These include uncertainty surrounding business rates, the continued absence of VAT-free shopping for international visitors, complexity across planning and licensing frameworks and the lack of a coordinated London-wide investment and destination promotion strategy.</w:t>
      </w:r>
    </w:p>
    <w:p w:rsidR="004F66B8" w:rsidP="5865F59B">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Together, these factors can create uncertainty for investors and reduce competitiveness relative to other international cities that are actively supporting tourism and experience economy investment through coordinated policy and infrastructure programmes.</w:t>
      </w:r>
    </w:p>
    <w:p w:rsidR="004F66B8" w:rsidP="5865F59B">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 xml:space="preserve">HOLBA believes that greater policy certainty and stronger strategic coordination would support increased investment across hospitality, retail, leisure and cultural sectors. </w:t>
      </w:r>
      <w:r w:rsidRPr="5865F59B">
        <w:rPr>
          <w:rFonts w:ascii="Gill Sans MT" w:eastAsia="Gill Sans MT" w:hAnsi="Gill Sans MT" w:cs="Gill Sans MT"/>
          <w:color w:val="000000" w:themeColor="text1"/>
        </w:rPr>
        <w:t>In particular, reform</w:t>
      </w:r>
      <w:r w:rsidRPr="5865F59B">
        <w:rPr>
          <w:rFonts w:ascii="Gill Sans MT" w:eastAsia="Gill Sans MT" w:hAnsi="Gill Sans MT" w:cs="Gill Sans MT"/>
          <w:color w:val="000000" w:themeColor="text1"/>
        </w:rPr>
        <w:t xml:space="preserve"> of the business rates system, consideration of VAT-free shopping and the development of a strengthened West End International Centre framework could help create a more supportive long-term investment environment.</w:t>
      </w:r>
    </w:p>
    <w:p w:rsidR="004F66B8" w:rsidP="5865F59B">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HOLBA and its members already contribute significant private investment into the West End through Business Improvement District levy funding, supporting enhanced cleaning, greening, security, cultural programming and public realm management. These initiatives contribute directly to visitor experience, business confidence and the attractiveness of the area as an investment location.</w:t>
      </w:r>
    </w:p>
    <w:p w:rsidR="004F66B8" w:rsidP="5865F59B">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Public investment also plays an important enabling role. Investment in transport accessibility, public realm and safety infrastructure can support increased footfall, visitor dwell time and commercial activity, helping to unlock wider private sector investment.</w:t>
      </w:r>
    </w:p>
    <w:p w:rsidR="004F66B8" w:rsidP="5865F59B">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HOLBA would particularly encourage consideration of the following infrastructure priorities:</w:t>
      </w:r>
    </w:p>
    <w:p w:rsidR="004F66B8" w:rsidP="5865F59B">
      <w:pPr>
        <w:pStyle w:val="ListParagraph"/>
        <w:numPr>
          <w:ilvl w:val="0"/>
          <w:numId w:val="5"/>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Step-free access at Piccadilly Circus and Leicester Square</w:t>
      </w:r>
      <w:r w:rsidRPr="5865F59B">
        <w:rPr>
          <w:rFonts w:ascii="Gill Sans MT" w:eastAsia="Gill Sans MT" w:hAnsi="Gill Sans MT" w:cs="Gill Sans MT"/>
          <w:color w:val="000000" w:themeColor="text1"/>
        </w:rPr>
        <w:t xml:space="preserve"> tube</w:t>
      </w:r>
      <w:r w:rsidRPr="5865F59B">
        <w:rPr>
          <w:rFonts w:ascii="Gill Sans MT" w:eastAsia="Gill Sans MT" w:hAnsi="Gill Sans MT" w:cs="Gill Sans MT"/>
          <w:color w:val="000000" w:themeColor="text1"/>
        </w:rPr>
        <w:t xml:space="preserve"> stations to improve accessibility and support visitor growth across two of the UK’s most internationally recognised destinations.</w:t>
      </w:r>
    </w:p>
    <w:p w:rsidR="004F66B8" w:rsidP="5865F59B">
      <w:pPr>
        <w:pStyle w:val="ListParagraph"/>
        <w:numPr>
          <w:ilvl w:val="0"/>
          <w:numId w:val="5"/>
        </w:numPr>
        <w:spacing w:after="0" w:line="276" w:lineRule="auto"/>
        <w:rPr>
          <w:rFonts w:ascii="Gill Sans MT" w:eastAsia="Gill Sans MT" w:hAnsi="Gill Sans MT" w:cs="Gill Sans MT"/>
          <w:color w:val="000000" w:themeColor="text1"/>
          <w:vertAlign w:val="superscript"/>
        </w:rPr>
      </w:pPr>
      <w:r w:rsidRPr="5865F59B">
        <w:rPr>
          <w:rFonts w:ascii="Gill Sans MT" w:eastAsia="Gill Sans MT" w:hAnsi="Gill Sans MT" w:cs="Gill Sans MT"/>
          <w:color w:val="000000" w:themeColor="text1"/>
        </w:rPr>
        <w:t xml:space="preserve">Investment in public realm improvements </w:t>
      </w:r>
      <w:r w:rsidRPr="5865F59B">
        <w:rPr>
          <w:rFonts w:ascii="Gill Sans MT" w:eastAsia="Gill Sans MT" w:hAnsi="Gill Sans MT" w:cs="Gill Sans MT"/>
          <w:color w:val="000000" w:themeColor="text1"/>
        </w:rPr>
        <w:t>in the West En</w:t>
      </w:r>
      <w:r w:rsidRPr="5865F59B">
        <w:rPr>
          <w:rFonts w:ascii="Gill Sans MT" w:eastAsia="Gill Sans MT" w:hAnsi="Gill Sans MT" w:cs="Gill Sans MT"/>
          <w:color w:val="000000" w:themeColor="text1"/>
        </w:rPr>
        <w:t>d</w:t>
      </w:r>
      <w:r w:rsidRPr="5865F59B">
        <w:rPr>
          <w:rFonts w:ascii="Gill Sans MT" w:eastAsia="Gill Sans MT" w:hAnsi="Gill Sans MT" w:cs="Gill Sans MT"/>
          <w:color w:val="000000" w:themeColor="text1"/>
        </w:rPr>
        <w:t>.</w:t>
      </w:r>
      <w:r w:rsidRPr="5865F59B">
        <w:rPr>
          <w:rFonts w:ascii="Gill Sans MT" w:eastAsia="Gill Sans MT" w:hAnsi="Gill Sans MT" w:cs="Gill Sans MT"/>
          <w:color w:val="000000" w:themeColor="text1"/>
        </w:rPr>
        <w:t xml:space="preserve"> </w:t>
      </w:r>
      <w:r w:rsidRPr="5865F59B">
        <w:rPr>
          <w:rFonts w:ascii="Gill Sans MT" w:eastAsia="Gill Sans MT" w:hAnsi="Gill Sans MT" w:cs="Gill Sans MT"/>
          <w:color w:val="000000" w:themeColor="text1"/>
        </w:rPr>
        <w:t xml:space="preserve">HOLBA’s Placemaking Programme </w:t>
      </w:r>
      <w:r w:rsidRPr="5865F59B">
        <w:rPr>
          <w:rFonts w:ascii="Gill Sans MT" w:eastAsia="Gill Sans MT" w:hAnsi="Gill Sans MT" w:cs="Gill Sans MT"/>
          <w:color w:val="000000" w:themeColor="text1"/>
        </w:rPr>
        <w:t>identified</w:t>
      </w:r>
      <w:r w:rsidRPr="5865F59B">
        <w:rPr>
          <w:rFonts w:ascii="Gill Sans MT" w:eastAsia="Gill Sans MT" w:hAnsi="Gill Sans MT" w:cs="Gill Sans MT"/>
          <w:color w:val="000000" w:themeColor="text1"/>
        </w:rPr>
        <w:t xml:space="preserve"> 44 projects projected to deliver 14% employment growth and 122% GVA growth by 2040 compared to 5% and 104% respectively without intervention. Priority </w:t>
      </w:r>
      <w:r w:rsidRPr="5865F59B">
        <w:rPr>
          <w:rFonts w:ascii="Gill Sans MT" w:eastAsia="Gill Sans MT" w:hAnsi="Gill Sans MT" w:cs="Gill Sans MT"/>
          <w:color w:val="000000" w:themeColor="text1"/>
        </w:rPr>
        <w:t>schemes include Charing Cross Road, St Martin’s Lane, development of a</w:t>
      </w:r>
      <w:r w:rsidRPr="5865F59B">
        <w:rPr>
          <w:rFonts w:ascii="Gill Sans MT" w:eastAsia="Gill Sans MT" w:hAnsi="Gill Sans MT" w:cs="Gill Sans MT"/>
          <w:color w:val="000000" w:themeColor="text1"/>
        </w:rPr>
        <w:t xml:space="preserve"> new</w:t>
      </w:r>
      <w:r w:rsidRPr="5865F59B">
        <w:rPr>
          <w:rFonts w:ascii="Gill Sans MT" w:eastAsia="Gill Sans MT" w:hAnsi="Gill Sans MT" w:cs="Gill Sans MT"/>
          <w:color w:val="000000" w:themeColor="text1"/>
        </w:rPr>
        <w:t xml:space="preserve"> Arts Quarter, Green Park,</w:t>
      </w:r>
      <w:r w:rsidRPr="5865F59B">
        <w:rPr>
          <w:rFonts w:ascii="Gill Sans MT" w:eastAsia="Gill Sans MT" w:hAnsi="Gill Sans MT" w:cs="Gill Sans MT"/>
          <w:color w:val="000000" w:themeColor="text1"/>
        </w:rPr>
        <w:t xml:space="preserve"> Piccadilly Gateway and Sackville Street.</w:t>
      </w:r>
      <w:r>
        <w:rPr>
          <w:rStyle w:val="FootnoteReference"/>
          <w:rFonts w:ascii="Gill Sans Nova Book" w:eastAsia="Gill Sans Nova Book" w:hAnsi="Gill Sans Nova Book" w:cs="Gill Sans Nova Book"/>
          <w:color w:val="000000" w:themeColor="text1"/>
        </w:rPr>
        <w:footnoteReference w:id="21"/>
      </w:r>
    </w:p>
    <w:p w:rsidR="004F66B8" w:rsidP="5865F59B">
      <w:pPr>
        <w:pStyle w:val="ListParagraph"/>
        <w:numPr>
          <w:ilvl w:val="0"/>
          <w:numId w:val="5"/>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Continued support for policing and partnership approaches that help address crime and anti-social behaviour in high-footfall visitor areas.</w:t>
      </w:r>
    </w:p>
    <w:p w:rsidR="004F66B8" w:rsidP="5865F59B">
      <w:pPr>
        <w:spacing w:before="240" w:after="24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More broadly, continued investment in transport, public realm, safety and cultural infrastructure will be important to maintaining the West End’s competitiveness as a global visitor destination and supporting future inward investment across the wider experience economy.</w:t>
      </w:r>
      <w:r>
        <w:rPr>
          <w:rStyle w:val="FootnoteReference"/>
          <w:rFonts w:ascii="Gill Sans Nova Book" w:eastAsia="Gill Sans Nova Book" w:hAnsi="Gill Sans Nova Book" w:cs="Gill Sans Nova Book"/>
          <w:color w:val="000000" w:themeColor="text1"/>
        </w:rPr>
        <w:footnoteReference w:id="22"/>
      </w:r>
    </w:p>
    <w:p w:rsidR="004F66B8" w:rsidP="5865F59B">
      <w:pPr>
        <w:spacing w:after="0" w:line="276" w:lineRule="auto"/>
        <w:rPr>
          <w:rFonts w:ascii="Gill Sans MT" w:eastAsia="Gill Sans MT" w:hAnsi="Gill Sans MT" w:cs="Gill Sans MT"/>
          <w:i/>
          <w:iCs/>
          <w:color w:val="000000" w:themeColor="text1"/>
        </w:rPr>
      </w:pPr>
      <w:r w:rsidRPr="5865F59B">
        <w:rPr>
          <w:rFonts w:ascii="Gill Sans MT" w:eastAsia="Gill Sans MT" w:hAnsi="Gill Sans MT" w:cs="Gill Sans MT"/>
          <w:i/>
          <w:iCs/>
          <w:color w:val="000000" w:themeColor="text1"/>
        </w:rPr>
        <w:t xml:space="preserve"> </w:t>
      </w:r>
    </w:p>
    <w:p w:rsidR="004F66B8" w:rsidRPr="00DF1D77" w:rsidP="5865F59B">
      <w:pPr>
        <w:spacing w:after="0" w:line="276" w:lineRule="auto"/>
        <w:rPr>
          <w:rFonts w:ascii="Gill Sans MT" w:eastAsia="Gill Sans MT" w:hAnsi="Gill Sans MT" w:cs="Gill Sans MT"/>
          <w:b/>
          <w:bCs/>
          <w:color w:val="000000" w:themeColor="text1"/>
          <w:u w:val="single"/>
        </w:rPr>
      </w:pPr>
      <w:bookmarkStart w:id="5" w:name="Bookmark6"/>
      <w:r w:rsidRPr="00DF1D77">
        <w:rPr>
          <w:rFonts w:ascii="Gill Sans MT" w:eastAsia="Gill Sans MT" w:hAnsi="Gill Sans MT" w:cs="Gill Sans MT"/>
          <w:b/>
          <w:bCs/>
          <w:color w:val="000000" w:themeColor="text1"/>
          <w:u w:val="single"/>
        </w:rPr>
        <w:t>6ii) Are transport links, digital connectivity and cultural infrastructure adequate to support regional tourism growth?</w:t>
      </w:r>
      <w:bookmarkEnd w:id="5"/>
      <w:r w:rsidRPr="00DF1D77">
        <w:rPr>
          <w:rFonts w:ascii="Gill Sans MT" w:eastAsia="Gill Sans MT" w:hAnsi="Gill Sans MT" w:cs="Gill Sans MT"/>
          <w:b/>
          <w:bCs/>
          <w:color w:val="000000" w:themeColor="text1"/>
          <w:u w:val="single"/>
        </w:rPr>
        <w:t xml:space="preserve"> </w:t>
      </w:r>
      <w:r w:rsidRPr="00DF1D77">
        <w:rPr>
          <w:b/>
          <w:bCs/>
          <w:u w:val="single"/>
        </w:rPr>
        <w:br/>
      </w: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Transport and cultural infrastructure are fundamental components of the visitor economy and play a significant role in shaping the quality of the visitor experience. The experience of travelling to, from and within London directly influences visitor satisfaction, dwell time and spend, particularly in high-footfall destinations such as the West End. Accessibility, reliability and the quality of public spaces should therefore be considered integral to supporting tourism growth and international competitivenes</w:t>
      </w:r>
      <w:r w:rsidRPr="5865F59B">
        <w:rPr>
          <w:rFonts w:ascii="Gill Sans MT" w:eastAsia="Gill Sans MT" w:hAnsi="Gill Sans MT" w:cs="Gill Sans MT"/>
          <w:color w:val="000000" w:themeColor="text1"/>
        </w:rPr>
        <w:t>s. In global city centres, the experience economy and public realm increasingly function as core economic infrastructure, with evidence consistently demonstrating that street quality, pedestrian capacity and overall functionality directly influence footfall, dwell time and productivity.</w:t>
      </w:r>
      <w:r>
        <w:rPr>
          <w:rStyle w:val="FootnoteReference"/>
          <w:rFonts w:ascii="Gill Sans Nova Book" w:hAnsi="Gill Sans Nova Book"/>
          <w:color w:val="000000" w:themeColor="text1"/>
        </w:rPr>
        <w:footnoteReference w:id="23"/>
      </w:r>
    </w:p>
    <w:p w:rsidR="004F66B8" w:rsidRPr="002952F2" w:rsidP="5865F59B">
      <w:pPr>
        <w:spacing w:after="0" w:line="276" w:lineRule="auto"/>
        <w:rPr>
          <w:rFonts w:ascii="Gill Sans MT" w:eastAsia="Gill Sans MT" w:hAnsi="Gill Sans MT" w:cs="Gill Sans MT"/>
          <w:color w:val="000000" w:themeColor="text1"/>
        </w:rPr>
      </w:pP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Within the West End, demand has rebounded strongly and remains exceptionally high. Recent Transport for London data shows a significant concentration of trips within Central Activity Zones, while HOLBA research has identified districts operating above average visitor density.</w:t>
      </w:r>
      <w:r>
        <w:rPr>
          <w:rStyle w:val="FootnoteReference"/>
          <w:rFonts w:ascii="Gill Sans MT" w:eastAsia="Gill Sans MT" w:hAnsi="Gill Sans MT" w:cs="Gill Sans MT"/>
          <w:color w:val="000000" w:themeColor="text1"/>
        </w:rPr>
        <w:footnoteReference w:id="24"/>
      </w:r>
      <w:r w:rsidRPr="5865F59B">
        <w:rPr>
          <w:rFonts w:ascii="Gill Sans MT" w:eastAsia="Gill Sans MT" w:hAnsi="Gill Sans MT" w:cs="Gill Sans MT"/>
          <w:color w:val="000000" w:themeColor="text1"/>
        </w:rPr>
        <w:t xml:space="preserve"> However, existing infrastructure and public realm constraints are increasingly limiting economic returns. Transport for London data also indicates that bus speeds remain below pre-pandemic levels, with congestion heavily concentrated in central London.</w:t>
      </w:r>
      <w:r>
        <w:rPr>
          <w:rStyle w:val="FootnoteReference"/>
          <w:rFonts w:ascii="Gill Sans MT" w:eastAsia="Gill Sans MT" w:hAnsi="Gill Sans MT" w:cs="Gill Sans MT"/>
          <w:color w:val="000000" w:themeColor="text1"/>
        </w:rPr>
        <w:footnoteReference w:id="25"/>
      </w:r>
      <w:r w:rsidRPr="5865F59B">
        <w:rPr>
          <w:rFonts w:ascii="Gill Sans MT" w:eastAsia="Gill Sans MT" w:hAnsi="Gill Sans MT" w:cs="Gill Sans MT"/>
          <w:color w:val="000000" w:themeColor="text1"/>
        </w:rPr>
        <w:t xml:space="preserve"> Analysis from both the Greater London Authority and Transport for London identifies congestion as a significant drag on productivity, with visitor and trip growth increasingly outpacing network performance.</w:t>
      </w:r>
      <w:r>
        <w:rPr>
          <w:rStyle w:val="FootnoteReference"/>
          <w:rFonts w:ascii="Gill Sans MT" w:eastAsia="Gill Sans MT" w:hAnsi="Gill Sans MT" w:cs="Gill Sans MT"/>
          <w:color w:val="000000" w:themeColor="text1"/>
        </w:rPr>
        <w:footnoteReference w:id="26"/>
      </w:r>
      <w:r w:rsidRPr="5865F59B">
        <w:rPr>
          <w:rFonts w:ascii="Gill Sans MT" w:eastAsia="Gill Sans MT" w:hAnsi="Gill Sans MT" w:cs="Gill Sans MT"/>
          <w:color w:val="000000" w:themeColor="text1"/>
        </w:rPr>
        <w:t xml:space="preserve"> Businesses across the West End report peak-time saturation, constrained dwell time and limited servicing capacity, all of which affect the quality and efficiency of the visitor experience.</w:t>
      </w:r>
    </w:p>
    <w:p w:rsidR="004F66B8" w:rsidRPr="002952F2" w:rsidP="5865F59B">
      <w:pPr>
        <w:spacing w:after="0" w:line="276" w:lineRule="auto"/>
        <w:rPr>
          <w:rFonts w:ascii="Gill Sans MT" w:eastAsia="Gill Sans MT" w:hAnsi="Gill Sans MT" w:cs="Gill Sans MT"/>
          <w:color w:val="000000" w:themeColor="text1"/>
        </w:rPr>
      </w:pP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At the same time, key accessibility challenges remain unresolved. Piccadilly Circus and Leicester Square stations continue to lack step-free access, limiting accessibility for visitors with mobility needs, families with pushchairs and older visitors, and constraining the full visitor economy potential of two of London’s most internationally recognised destinations. The quality and management of pedestrian routes, including around Charing Cross Road, the Strand and connections between major cultural institut</w:t>
      </w:r>
      <w:r w:rsidRPr="5865F59B">
        <w:rPr>
          <w:rFonts w:ascii="Gill Sans MT" w:eastAsia="Gill Sans MT" w:hAnsi="Gill Sans MT" w:cs="Gill Sans MT"/>
          <w:color w:val="000000" w:themeColor="text1"/>
        </w:rPr>
        <w:t xml:space="preserve">ions, also have a direct impact on the visitor experience. Investment in public realm </w:t>
      </w:r>
      <w:r w:rsidRPr="5865F59B">
        <w:rPr>
          <w:rFonts w:ascii="Gill Sans MT" w:eastAsia="Gill Sans MT" w:hAnsi="Gill Sans MT" w:cs="Gill Sans MT"/>
          <w:color w:val="000000" w:themeColor="text1"/>
        </w:rPr>
        <w:t>improvements, accessibility and wayfinding is therefore essential to maintaining the standards expected of a leading global destination and ensuring that key cultural and commercial areas remain attractive, accessible and easy to navigate.</w:t>
      </w:r>
    </w:p>
    <w:p w:rsidR="004F66B8" w:rsidRPr="002952F2" w:rsidP="5865F59B">
      <w:pPr>
        <w:spacing w:after="0" w:line="276" w:lineRule="auto"/>
        <w:rPr>
          <w:rFonts w:ascii="Gill Sans MT" w:eastAsia="Gill Sans MT" w:hAnsi="Gill Sans MT" w:cs="Gill Sans MT"/>
          <w:color w:val="000000" w:themeColor="text1"/>
        </w:rPr>
      </w:pP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HOLBA’s Placemaking Programme has been developed in response to these challenges and seeks to address the growing mismatch between visitor demand and the capacity of the West End’s public realm and transport infrastructure. The programme includes 44 projects projected to deliver 14% employment growth and 122% GVA growth by 2040, compared with 5% and 104% respectively without intervention. Priority schemes include improvements around Charing Cross Road, St Martin’s Lane, the proposed Arts Quarter, Green Park</w:t>
      </w:r>
      <w:r w:rsidRPr="5865F59B">
        <w:rPr>
          <w:rFonts w:ascii="Gill Sans MT" w:eastAsia="Gill Sans MT" w:hAnsi="Gill Sans MT" w:cs="Gill Sans MT"/>
          <w:color w:val="000000" w:themeColor="text1"/>
        </w:rPr>
        <w:t xml:space="preserve">, Piccadilly Gateway and Sackville Street. </w:t>
      </w:r>
      <w:r>
        <w:rPr>
          <w:rStyle w:val="FootnoteReference"/>
          <w:rFonts w:ascii="Gill Sans Nova Book" w:hAnsi="Gill Sans Nova Book"/>
          <w:color w:val="000000" w:themeColor="text1"/>
        </w:rPr>
        <w:footnoteReference w:id="27"/>
      </w:r>
      <w:r>
        <w:rPr>
          <w:rFonts w:ascii="Gill Sans MT" w:eastAsia="Gill Sans MT" w:hAnsi="Gill Sans MT" w:cs="Gill Sans MT"/>
          <w:color w:val="000000" w:themeColor="text1"/>
        </w:rPr>
        <w:t xml:space="preserve"> </w:t>
      </w:r>
      <w:r w:rsidRPr="5865F59B">
        <w:rPr>
          <w:rFonts w:ascii="Gill Sans MT" w:eastAsia="Gill Sans MT" w:hAnsi="Gill Sans MT" w:cs="Gill Sans MT"/>
          <w:color w:val="000000" w:themeColor="text1"/>
        </w:rPr>
        <w:t>Without targeted and sustained investment in transport accessibility and public realm infrastructure, there is a significant risk that continued high visitor demand will generate diminishing economic returns rather than sustained long term growth.</w:t>
      </w:r>
    </w:p>
    <w:p w:rsidR="004F66B8" w:rsidP="5865F59B">
      <w:pPr>
        <w:spacing w:after="0" w:line="276" w:lineRule="auto"/>
        <w:rPr>
          <w:rFonts w:ascii="Gill Sans MT" w:eastAsia="Gill Sans MT" w:hAnsi="Gill Sans MT" w:cs="Gill Sans MT"/>
          <w:color w:val="000000" w:themeColor="text1"/>
        </w:rPr>
      </w:pP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The West End’s cultural infrastructure, including theatres, galleries, cinemas, restaurants and public spaces, is one of the UK’s strongest international visitor assets and a major contributor to economic activity. Sustaining this offer requires an enabling policy environment, including:</w:t>
      </w:r>
      <w:r>
        <w:br/>
      </w:r>
    </w:p>
    <w:p w:rsidR="004F66B8" w:rsidP="5865F59B">
      <w:pPr>
        <w:pStyle w:val="ListParagraph"/>
        <w:numPr>
          <w:ilvl w:val="0"/>
          <w:numId w:val="4"/>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Business rates relief and support for cultural and hospitality venues facing increasing cost pressures.</w:t>
      </w:r>
    </w:p>
    <w:p w:rsidR="004F66B8" w:rsidP="5865F59B">
      <w:pPr>
        <w:pStyle w:val="ListParagraph"/>
        <w:numPr>
          <w:ilvl w:val="0"/>
          <w:numId w:val="4"/>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Ongoing investment in the public realm to support the quality, accessibility and attractiveness of cultural destinations.</w:t>
      </w:r>
    </w:p>
    <w:p w:rsidR="004F66B8" w:rsidP="5865F59B">
      <w:pPr>
        <w:pStyle w:val="ListParagraph"/>
        <w:numPr>
          <w:ilvl w:val="0"/>
          <w:numId w:val="4"/>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Planning and licensing frameworks that allow the cultural and experience economy to evolve in response to changing visitor expectations, including the growth of immersive and experiential formats.</w:t>
      </w:r>
      <w:r>
        <w:br/>
      </w: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HOLBA’s Art of London and Art After Dark programmes demonstrate the value of coordinated investment in cultural programming and public realm activation. Through free public art installations, late-night events and partnerships with cultural institutions, these programmes help increase footfall, support local businesses and strengthen the West End’s cultural offer for visitors and residents alike.</w:t>
      </w:r>
      <w:r>
        <w:rPr>
          <w:rStyle w:val="FootnoteReference"/>
        </w:rPr>
        <w:footnoteReference w:id="28"/>
      </w:r>
      <w:r>
        <w:br/>
      </w:r>
    </w:p>
    <w:p w:rsidR="004F66B8" w:rsidP="5865F59B">
      <w:pPr>
        <w:spacing w:after="0" w:line="276" w:lineRule="auto"/>
        <w:rPr>
          <w:rFonts w:ascii="Gill Sans MT" w:eastAsia="Gill Sans MT" w:hAnsi="Gill Sans MT" w:cs="Gill Sans MT"/>
          <w:i/>
          <w:iCs/>
          <w:color w:val="000000" w:themeColor="text1"/>
        </w:rPr>
      </w:pPr>
      <w:r w:rsidRPr="5865F59B">
        <w:rPr>
          <w:rFonts w:ascii="Gill Sans MT" w:eastAsia="Gill Sans MT" w:hAnsi="Gill Sans MT" w:cs="Gill Sans MT"/>
          <w:color w:val="000000" w:themeColor="text1"/>
        </w:rPr>
        <w:t>These initiatives also demonstrate the important role Business Improvement Districts can play in supporting cultural infrastructure and contributing to the wider visitor economy. With the right policy support and investment framework, partnerships between local authorities, cultural institutions, transport providers and BIDs can continue to strengthen London’s position as a leading international destination.</w:t>
      </w:r>
      <w:r>
        <w:br/>
      </w:r>
    </w:p>
    <w:p w:rsidR="004F66B8" w:rsidP="5865F59B">
      <w:pPr>
        <w:spacing w:after="0" w:line="276" w:lineRule="auto"/>
        <w:rPr>
          <w:rFonts w:ascii="Gill Sans MT" w:eastAsia="Gill Sans MT" w:hAnsi="Gill Sans MT" w:cs="Gill Sans MT"/>
          <w:color w:val="000000" w:themeColor="text1"/>
        </w:rPr>
      </w:pPr>
      <w:bookmarkStart w:id="6" w:name="Bookmark7"/>
      <w:r>
        <w:rPr>
          <w:rFonts w:ascii="Gill Sans MT" w:eastAsia="Gill Sans MT" w:hAnsi="Gill Sans MT" w:cs="Gill Sans MT"/>
          <w:b/>
          <w:bCs/>
          <w:color w:val="000000" w:themeColor="text1"/>
          <w:u w:val="single"/>
        </w:rPr>
        <w:t xml:space="preserve">7) </w:t>
      </w:r>
      <w:r w:rsidRPr="00D55A01">
        <w:rPr>
          <w:rFonts w:ascii="Gill Sans MT" w:eastAsia="Gill Sans MT" w:hAnsi="Gill Sans MT" w:cs="Gill Sans MT"/>
          <w:b/>
          <w:bCs/>
          <w:color w:val="000000" w:themeColor="text1"/>
          <w:u w:val="single"/>
        </w:rPr>
        <w:t>How can the Government and tourism sector maximise the potential of cultural heritage and creative assets to attract visitors?</w:t>
      </w:r>
      <w:r>
        <w:br/>
      </w:r>
      <w:bookmarkEnd w:id="6"/>
      <w:r>
        <w:br/>
      </w:r>
      <w:r w:rsidRPr="5865F59B">
        <w:rPr>
          <w:rFonts w:ascii="Gill Sans MT" w:eastAsia="Gill Sans MT" w:hAnsi="Gill Sans MT" w:cs="Gill Sans MT"/>
          <w:color w:val="000000" w:themeColor="text1"/>
        </w:rPr>
        <w:t xml:space="preserve">Culture and heritage are central to the UK’s international visitor offer and play a significant role in driving tourism, investment and economic activity. In the West End, theatres, galleries, museums, historic streets and a dense concentration of cultural experiences collectively form one of the UK’s </w:t>
      </w:r>
      <w:r w:rsidRPr="5865F59B">
        <w:rPr>
          <w:rFonts w:ascii="Gill Sans MT" w:eastAsia="Gill Sans MT" w:hAnsi="Gill Sans MT" w:cs="Gill Sans MT"/>
          <w:color w:val="000000" w:themeColor="text1"/>
        </w:rPr>
        <w:t>strongest international attractions and contribute substantially to London’s glob</w:t>
      </w:r>
      <w:r w:rsidRPr="5865F59B">
        <w:rPr>
          <w:rFonts w:ascii="Gill Sans MT" w:eastAsia="Gill Sans MT" w:hAnsi="Gill Sans MT" w:cs="Gill Sans MT"/>
          <w:color w:val="000000" w:themeColor="text1"/>
        </w:rPr>
        <w:t>al identity and competitiveness.</w:t>
      </w:r>
      <w:r>
        <w:br/>
      </w: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The experience economy is also an increasingly important driver of global tourism growth. International demand for cultural, immersive and experience-led destinations continues to increase, particularly amongst younger visitors seeking distinctive and place-based experiences. The West End is well positioned to benefit from this trend due to its concentration of cultural assets, creative industries and established visitor infrastructure.</w:t>
      </w:r>
      <w:r>
        <w:br/>
      </w: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London’s creative and cultural sectors already generate significant economic value. The West End theatre sector supports substantial visitor spend and wider economic activity across hospitality, retail and leisure; while emerging immersive and experiential sectors present additional opportunities for growth and innovation. Realising this potential requires a supportive policy and investment environment, including:</w:t>
      </w:r>
      <w:r>
        <w:br/>
      </w:r>
    </w:p>
    <w:p w:rsidR="004F66B8" w:rsidP="5865F59B">
      <w:pPr>
        <w:pStyle w:val="ListParagraph"/>
        <w:numPr>
          <w:ilvl w:val="0"/>
          <w:numId w:val="3"/>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A tax and business rates system that supports physical cultural and experiential businesses.</w:t>
      </w:r>
    </w:p>
    <w:p w:rsidR="004F66B8" w:rsidP="5865F59B">
      <w:pPr>
        <w:pStyle w:val="ListParagraph"/>
        <w:numPr>
          <w:ilvl w:val="0"/>
          <w:numId w:val="3"/>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Planning and licensing frameworks that enable innovation and the continued evolution of the evening and night-time economy.</w:t>
      </w:r>
    </w:p>
    <w:p w:rsidR="004F66B8" w:rsidP="5865F59B">
      <w:pPr>
        <w:pStyle w:val="ListParagraph"/>
        <w:numPr>
          <w:ilvl w:val="0"/>
          <w:numId w:val="3"/>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Effective international promotion of London’s cultural offer through coordinated destination marketing.</w:t>
      </w:r>
    </w:p>
    <w:p w:rsidR="004F66B8" w:rsidP="5865F59B">
      <w:pPr>
        <w:pStyle w:val="ListParagraph"/>
        <w:numPr>
          <w:ilvl w:val="0"/>
          <w:numId w:val="3"/>
        </w:num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Investment in public realm, transport accessibility and visitor infrastructure to ensure cultural destinations remain welcoming, safe and accessible.</w:t>
      </w:r>
      <w:r>
        <w:br/>
      </w: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HOLBA’s experience demonstrates the importance of partnership working in supporting cultural growth and enhancing the visitor economy. Collaboration between Business Improvement Districts, local authorities, cultural institutions, transport operators and national government helps deliver improvements to public realm, accessibility, cultural programming and visitor experience that no single organisation could achieve independently.</w:t>
      </w:r>
      <w:r>
        <w:br/>
      </w:r>
    </w:p>
    <w:p w:rsidR="004F66B8" w:rsidP="5865F59B">
      <w:pPr>
        <w:spacing w:after="0" w:line="276" w:lineRule="auto"/>
        <w:rPr>
          <w:rFonts w:ascii="Gill Sans MT" w:eastAsia="Gill Sans MT" w:hAnsi="Gill Sans MT" w:cs="Gill Sans MT"/>
          <w:color w:val="000000" w:themeColor="text1"/>
        </w:rPr>
      </w:pPr>
      <w:r w:rsidRPr="5865F59B">
        <w:rPr>
          <w:rFonts w:ascii="Gill Sans MT" w:eastAsia="Gill Sans MT" w:hAnsi="Gill Sans MT" w:cs="Gill Sans MT"/>
          <w:color w:val="000000" w:themeColor="text1"/>
        </w:rPr>
        <w:t>Partnership-led approaches of this kind should be recognised and supported within national policy frameworks. BIDs can play an important role in connecting national policy objectives with local delivery, helping to coordinate investment, cultural activity and place management at a district level.</w:t>
      </w:r>
      <w:r>
        <w:br/>
      </w:r>
    </w:p>
    <w:p w:rsidR="004F66B8" w:rsidRPr="004C3D7C" w:rsidP="5B0680A5">
      <w:pPr>
        <w:spacing w:after="0" w:line="276" w:lineRule="auto"/>
        <w:rPr>
          <w:rFonts w:ascii="Gill Sans Nova Book" w:hAnsi="Gill Sans Nova Book"/>
          <w:b/>
          <w:bCs/>
          <w:color w:val="000000" w:themeColor="text1"/>
        </w:rPr>
      </w:pPr>
      <w:r w:rsidRPr="5865F59B">
        <w:rPr>
          <w:rFonts w:ascii="Gill Sans MT" w:eastAsia="Gill Sans MT" w:hAnsi="Gill Sans MT" w:cs="Gill Sans MT"/>
          <w:color w:val="000000" w:themeColor="text1"/>
        </w:rPr>
        <w:t>The West End’s cultural and heritage assets are therefore not only important to London’s identity, but also to the UK’s wider economic competitiveness, international reputation and ability to attract visitors, investment and talent. Continued support for these sectors should be recognised as an important component of long-term visitor economy growth.</w:t>
      </w:r>
      <w:r>
        <w:br/>
      </w:r>
    </w:p>
    <w:p w:rsidR="004F66B8" w:rsidP="5B0680A5">
      <w:pPr>
        <w:spacing w:after="0" w:line="276" w:lineRule="auto"/>
        <w:rPr>
          <w:rFonts w:ascii="Gill Sans Nova Book" w:hAnsi="Gill Sans Nova Book"/>
          <w:color w:val="000000" w:themeColor="text1"/>
        </w:rPr>
      </w:pPr>
    </w:p>
    <w:p w:rsidR="004F66B8" w:rsidP="5B0680A5">
      <w:pPr>
        <w:spacing w:after="0" w:line="276" w:lineRule="auto"/>
        <w:rPr>
          <w:rFonts w:ascii="Gill Sans Nova Book" w:hAnsi="Gill Sans Nova Book"/>
          <w:color w:val="000000" w:themeColor="text1"/>
        </w:rPr>
      </w:pPr>
    </w:p>
    <w:p w:rsidR="004F66B8" w:rsidP="5B0680A5">
      <w:pPr>
        <w:spacing w:after="0" w:line="276" w:lineRule="auto"/>
        <w:rPr>
          <w:rFonts w:ascii="Gill Sans Nova Book" w:hAnsi="Gill Sans Nova Book"/>
          <w:color w:val="000000" w:themeColor="text1"/>
        </w:rPr>
      </w:pPr>
    </w:p>
    <w:p w:rsidR="004F66B8" w:rsidP="5B0680A5">
      <w:pPr>
        <w:spacing w:after="0" w:line="276" w:lineRule="auto"/>
        <w:rPr>
          <w:rFonts w:ascii="Gill Sans Nova Book" w:hAnsi="Gill Sans Nova Book"/>
          <w:color w:val="000000" w:themeColor="text1"/>
        </w:rPr>
      </w:pPr>
    </w:p>
    <w:p w:rsidR="004F66B8" w:rsidP="5B0680A5">
      <w:pPr>
        <w:spacing w:after="0" w:line="276" w:lineRule="auto"/>
        <w:rPr>
          <w:rFonts w:ascii="Gill Sans Nova Book" w:hAnsi="Gill Sans Nova Book"/>
          <w:color w:val="000000" w:themeColor="text1"/>
        </w:rPr>
      </w:pPr>
    </w:p>
    <w:p w:rsidR="004F66B8" w:rsidP="5B0680A5">
      <w:pPr>
        <w:spacing w:after="0" w:line="276" w:lineRule="auto"/>
        <w:rPr>
          <w:rFonts w:ascii="Gill Sans Nova Book" w:hAnsi="Gill Sans Nova Book"/>
          <w:color w:val="000000" w:themeColor="text1"/>
        </w:rPr>
      </w:pPr>
    </w:p>
    <w:sectPr w:rsidSect="002A442A">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Gill Sans MT">
    <w:panose1 w:val="020B0502020104020203"/>
    <w:charset w:val="00"/>
    <w:family w:val="swiss"/>
    <w:pitch w:val="variable"/>
    <w:sig w:usb0="00000007" w:usb1="00000000" w:usb2="00000000" w:usb3="00000000" w:csb0="00000003" w:csb1="00000000"/>
  </w:font>
  <w:font w:name="Gill Sans Nova Book">
    <w:altName w:val="Yu Gothic"/>
    <w:charset w:val="80"/>
    <w:family w:val="swiss"/>
    <w:pitch w:val="variable"/>
    <w:sig w:usb0="A00002AF" w:usb1="08076803" w:usb2="00000010" w:usb3="00000000" w:csb0="003F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F66B8" w:rsidP="00427F71">
      <w:pPr>
        <w:spacing w:after="0" w:line="240" w:lineRule="auto"/>
      </w:pPr>
      <w:r>
        <w:separator/>
      </w:r>
    </w:p>
  </w:footnote>
  <w:footnote w:type="continuationSeparator" w:id="1">
    <w:p w:rsidR="004F66B8" w:rsidP="00427F71">
      <w:pPr>
        <w:spacing w:after="0" w:line="240" w:lineRule="auto"/>
      </w:pPr>
      <w:r>
        <w:continuationSeparator/>
      </w:r>
    </w:p>
  </w:footnote>
  <w:footnote w:id="2">
    <w:p w:rsidR="004F66B8" w:rsidRPr="00502C2C" w:rsidP="723213EB">
      <w:pPr>
        <w:pStyle w:val="FootnoteText"/>
        <w:rPr>
          <w:rFonts w:ascii="Gill Sans MT" w:hAnsi="Gill Sans MT"/>
        </w:rPr>
      </w:pPr>
      <w:r w:rsidRPr="00502C2C">
        <w:rPr>
          <w:rStyle w:val="FootnoteReference"/>
          <w:rFonts w:ascii="Gill Sans MT" w:hAnsi="Gill Sans MT"/>
        </w:rPr>
        <w:footnoteRef/>
      </w:r>
      <w:r w:rsidRPr="00502C2C">
        <w:rPr>
          <w:rFonts w:ascii="Gill Sans MT" w:hAnsi="Gill Sans MT"/>
        </w:rPr>
        <w:t xml:space="preserve"> </w:t>
      </w:r>
      <w:r w:rsidRPr="00502C2C">
        <w:rPr>
          <w:rFonts w:ascii="Gill Sans MT" w:eastAsia="Gill Sans MT" w:hAnsi="Gill Sans MT" w:cs="Gill Sans MT"/>
          <w:color w:val="000000" w:themeColor="text1"/>
        </w:rPr>
        <w:t>Hatch, 2025: HOLBA 24-hr Economy Evidence Base (best fit LSOAs)</w:t>
      </w:r>
    </w:p>
  </w:footnote>
  <w:footnote w:id="3">
    <w:p w:rsidR="004F66B8" w:rsidRPr="00502C2C" w:rsidP="723213EB">
      <w:pPr>
        <w:pStyle w:val="FootnoteText"/>
        <w:rPr>
          <w:rFonts w:ascii="Gill Sans MT" w:hAnsi="Gill Sans MT"/>
        </w:rPr>
      </w:pPr>
      <w:r w:rsidRPr="00502C2C">
        <w:rPr>
          <w:rStyle w:val="FootnoteReference"/>
          <w:rFonts w:ascii="Gill Sans MT" w:hAnsi="Gill Sans MT"/>
        </w:rPr>
        <w:footnoteRef/>
      </w:r>
      <w:r w:rsidRPr="00502C2C">
        <w:rPr>
          <w:rFonts w:ascii="Gill Sans MT" w:hAnsi="Gill Sans MT"/>
        </w:rPr>
        <w:t xml:space="preserve"> </w:t>
      </w:r>
      <w:r w:rsidRPr="00502C2C">
        <w:rPr>
          <w:rFonts w:ascii="Gill Sans MT" w:eastAsia="Gill Sans MT" w:hAnsi="Gill Sans MT" w:cs="Gill Sans MT"/>
          <w:color w:val="000000" w:themeColor="text1"/>
        </w:rPr>
        <w:t>Evening and Night-time Vision, Strategy and Action Plan, Publica, 2023</w:t>
      </w:r>
    </w:p>
  </w:footnote>
  <w:footnote w:id="4">
    <w:p w:rsidR="004F66B8">
      <w:pPr>
        <w:pStyle w:val="FootnoteText"/>
      </w:pPr>
      <w:r w:rsidRPr="00502C2C">
        <w:rPr>
          <w:rStyle w:val="FootnoteReference"/>
          <w:rFonts w:ascii="Gill Sans MT" w:hAnsi="Gill Sans MT"/>
        </w:rPr>
        <w:footnoteRef/>
      </w:r>
      <w:r w:rsidRPr="00502C2C">
        <w:rPr>
          <w:rFonts w:ascii="Gill Sans MT" w:hAnsi="Gill Sans MT"/>
        </w:rPr>
        <w:t xml:space="preserve"> Submission to the DCMS Select Committee by New West End Company, 2019 ‘Promoting Britain Abroad’</w:t>
      </w:r>
    </w:p>
  </w:footnote>
  <w:footnote w:id="5">
    <w:p w:rsidR="004F66B8" w:rsidRPr="003131A7" w:rsidP="001C51DD">
      <w:pPr>
        <w:pStyle w:val="FootnoteText"/>
        <w:rPr>
          <w:rFonts w:ascii="Gill Sans MT" w:hAnsi="Gill Sans MT"/>
        </w:rPr>
      </w:pPr>
      <w:r w:rsidRPr="003131A7">
        <w:rPr>
          <w:rStyle w:val="FootnoteReference"/>
          <w:rFonts w:ascii="Gill Sans MT" w:hAnsi="Gill Sans MT"/>
        </w:rPr>
        <w:footnoteRef/>
      </w:r>
      <w:r w:rsidRPr="003131A7">
        <w:rPr>
          <w:rFonts w:ascii="Gill Sans MT" w:hAnsi="Gill Sans MT"/>
        </w:rPr>
        <w:t xml:space="preserve"> Unlocking the Experience Economy: Driving Growth in the West End, HOLBA, 2025</w:t>
      </w:r>
    </w:p>
  </w:footnote>
  <w:footnote w:id="6">
    <w:p w:rsidR="004F66B8">
      <w:pPr>
        <w:pStyle w:val="FootnoteText"/>
      </w:pPr>
      <w:r w:rsidRPr="003131A7">
        <w:rPr>
          <w:rStyle w:val="FootnoteReference"/>
          <w:rFonts w:ascii="Gill Sans MT" w:hAnsi="Gill Sans MT"/>
        </w:rPr>
        <w:footnoteRef/>
      </w:r>
      <w:r w:rsidRPr="003131A7">
        <w:rPr>
          <w:rFonts w:ascii="Gill Sans MT" w:hAnsi="Gill Sans MT"/>
        </w:rPr>
        <w:t xml:space="preserve"> </w:t>
      </w:r>
      <w:r w:rsidRPr="003131A7">
        <w:rPr>
          <w:rFonts w:ascii="Gill Sans MT" w:eastAsia="Arial" w:hAnsi="Gill Sans MT" w:cs="Arial"/>
        </w:rPr>
        <w:t>“Assessing the Impact of Tax-Free Shopping in the UK” by</w:t>
      </w:r>
      <w:r>
        <w:rPr>
          <w:rFonts w:ascii="Gill Sans MT" w:eastAsia="Arial" w:hAnsi="Gill Sans MT" w:cs="Arial"/>
        </w:rPr>
        <w:t xml:space="preserve"> Oxford Economics for the Association of International Retail A(AIR), November 2022 </w:t>
      </w:r>
      <w:r w:rsidRPr="003131A7">
        <w:rPr>
          <w:rFonts w:ascii="Gill Sans MT" w:eastAsia="Arial" w:hAnsi="Gill Sans MT" w:cs="Arial"/>
        </w:rPr>
        <w:t xml:space="preserve"> </w:t>
      </w:r>
      <w:r>
        <w:rPr>
          <w:rFonts w:ascii="Gill Sans MT" w:eastAsia="Arial" w:hAnsi="Gill Sans MT" w:cs="Arial"/>
        </w:rPr>
        <w:t xml:space="preserve"> </w:t>
      </w:r>
    </w:p>
  </w:footnote>
  <w:footnote w:id="7">
    <w:p w:rsidR="004F66B8" w:rsidRPr="00502C2C">
      <w:pPr>
        <w:pStyle w:val="FootnoteText"/>
        <w:rPr>
          <w:rFonts w:ascii="Gill Sans MT" w:hAnsi="Gill Sans MT"/>
        </w:rPr>
      </w:pPr>
      <w:r w:rsidRPr="00502C2C">
        <w:rPr>
          <w:rStyle w:val="FootnoteReference"/>
          <w:rFonts w:ascii="Gill Sans MT" w:hAnsi="Gill Sans MT"/>
        </w:rPr>
        <w:footnoteRef/>
      </w:r>
      <w:r w:rsidRPr="00502C2C">
        <w:rPr>
          <w:rFonts w:ascii="Gill Sans MT" w:hAnsi="Gill Sans MT"/>
        </w:rPr>
        <w:t xml:space="preserve"> HOLBA’s Hybrid Business Rate Proposal, </w:t>
      </w:r>
      <w:r>
        <w:rPr>
          <w:rFonts w:ascii="Gill Sans MT" w:hAnsi="Gill Sans MT"/>
        </w:rPr>
        <w:t>last revised in March 2026</w:t>
      </w:r>
    </w:p>
  </w:footnote>
  <w:footnote w:id="8">
    <w:p w:rsidR="004F66B8" w:rsidRPr="00502C2C" w:rsidP="5865F59B">
      <w:pPr>
        <w:pStyle w:val="FootnoteText"/>
        <w:rPr>
          <w:rFonts w:ascii="Gill Sans MT" w:hAnsi="Gill Sans MT"/>
        </w:rPr>
      </w:pPr>
      <w:r w:rsidRPr="00502C2C">
        <w:rPr>
          <w:rStyle w:val="FootnoteReference"/>
          <w:rFonts w:ascii="Gill Sans MT" w:hAnsi="Gill Sans MT"/>
        </w:rPr>
        <w:footnoteRef/>
      </w:r>
      <w:r w:rsidRPr="00502C2C">
        <w:rPr>
          <w:rFonts w:ascii="Gill Sans MT" w:hAnsi="Gill Sans MT"/>
        </w:rPr>
        <w:t xml:space="preserve"> Association of International Retail</w:t>
      </w:r>
      <w:r>
        <w:rPr>
          <w:rFonts w:ascii="Gill Sans MT" w:hAnsi="Gill Sans MT"/>
        </w:rPr>
        <w:t xml:space="preserve"> (AIR)</w:t>
      </w:r>
    </w:p>
  </w:footnote>
  <w:footnote w:id="9">
    <w:p w:rsidR="004F66B8" w:rsidRPr="00502C2C">
      <w:pPr>
        <w:pStyle w:val="FootnoteText"/>
        <w:rPr>
          <w:rFonts w:ascii="Gill Sans MT" w:hAnsi="Gill Sans MT"/>
        </w:rPr>
      </w:pPr>
      <w:r w:rsidRPr="00502C2C">
        <w:rPr>
          <w:rStyle w:val="FootnoteReference"/>
          <w:rFonts w:ascii="Gill Sans MT" w:hAnsi="Gill Sans MT"/>
        </w:rPr>
        <w:footnoteRef/>
      </w:r>
      <w:r w:rsidRPr="00502C2C">
        <w:rPr>
          <w:rFonts w:ascii="Gill Sans MT" w:hAnsi="Gill Sans MT"/>
        </w:rPr>
        <w:t xml:space="preserve"> AIR Submission to Visitor Economy Advisory Council, 2025</w:t>
      </w:r>
    </w:p>
  </w:footnote>
  <w:footnote w:id="10">
    <w:p w:rsidR="004F66B8">
      <w:pPr>
        <w:pStyle w:val="FootnoteText"/>
      </w:pPr>
      <w:r w:rsidRPr="00502C2C">
        <w:rPr>
          <w:rStyle w:val="FootnoteReference"/>
          <w:rFonts w:ascii="Gill Sans MT" w:hAnsi="Gill Sans MT"/>
        </w:rPr>
        <w:footnoteRef/>
      </w:r>
      <w:r w:rsidRPr="00502C2C">
        <w:rPr>
          <w:rFonts w:ascii="Gill Sans MT" w:hAnsi="Gill Sans MT"/>
        </w:rPr>
        <w:t xml:space="preserve"> ibid</w:t>
      </w:r>
    </w:p>
  </w:footnote>
  <w:footnote w:id="11">
    <w:p w:rsidR="004F66B8" w:rsidRPr="008E1C68" w:rsidP="00A60529">
      <w:pPr>
        <w:pStyle w:val="FootnoteText"/>
        <w:rPr>
          <w:rFonts w:ascii="Gill Sans MT" w:hAnsi="Gill Sans MT"/>
        </w:rPr>
      </w:pPr>
      <w:r w:rsidRPr="008E1C68">
        <w:rPr>
          <w:rStyle w:val="FootnoteReference"/>
          <w:rFonts w:ascii="Gill Sans MT" w:hAnsi="Gill Sans MT"/>
        </w:rPr>
        <w:footnoteRef/>
      </w:r>
      <w:r w:rsidRPr="008E1C68">
        <w:rPr>
          <w:rFonts w:ascii="Gill Sans MT" w:hAnsi="Gill Sans MT"/>
        </w:rPr>
        <w:t xml:space="preserve"> Forecasting Eye: UK tourism may still only grow at half the rate of the economy by 2030, even if the Government meets its visitor target, https://cebr.com/blogs/uk-tourism-may-still-only-grow-at-half-the-rate-of-the-economy-by-2030-even-if-the-government-meets-its-visitor-target/</w:t>
      </w:r>
    </w:p>
  </w:footnote>
  <w:footnote w:id="12">
    <w:p w:rsidR="004F66B8" w:rsidRPr="008E1C68" w:rsidP="00A60529">
      <w:pPr>
        <w:pStyle w:val="FootnoteText"/>
        <w:rPr>
          <w:rFonts w:ascii="Gill Sans MT" w:hAnsi="Gill Sans MT"/>
        </w:rPr>
      </w:pPr>
      <w:r w:rsidRPr="008E1C68">
        <w:rPr>
          <w:rStyle w:val="FootnoteReference"/>
          <w:rFonts w:ascii="Gill Sans MT" w:hAnsi="Gill Sans MT"/>
        </w:rPr>
        <w:footnoteRef/>
      </w:r>
      <w:r w:rsidRPr="008E1C68">
        <w:rPr>
          <w:rFonts w:ascii="Gill Sans MT" w:hAnsi="Gill Sans MT"/>
        </w:rPr>
        <w:t xml:space="preserve"> Autumn Budget and Comprehensive Spending Review 2021, Representation from London First, 2021</w:t>
      </w:r>
    </w:p>
  </w:footnote>
  <w:footnote w:id="13">
    <w:p w:rsidR="004F66B8" w:rsidP="00A60529">
      <w:pPr>
        <w:pStyle w:val="FootnoteText"/>
      </w:pPr>
      <w:r w:rsidRPr="008E1C68">
        <w:rPr>
          <w:rStyle w:val="FootnoteReference"/>
          <w:rFonts w:ascii="Gill Sans MT" w:hAnsi="Gill Sans MT"/>
        </w:rPr>
        <w:footnoteRef/>
      </w:r>
      <w:r w:rsidRPr="008E1C68">
        <w:rPr>
          <w:rFonts w:ascii="Gill Sans MT" w:hAnsi="Gill Sans MT"/>
        </w:rPr>
        <w:t xml:space="preserve"> https://www.visitbritain.org/our-annual-performance-and-reporting</w:t>
      </w:r>
    </w:p>
  </w:footnote>
  <w:footnote w:id="14">
    <w:p w:rsidR="004F66B8" w:rsidRPr="008E1C68">
      <w:pPr>
        <w:pStyle w:val="FootnoteText"/>
        <w:rPr>
          <w:rFonts w:ascii="Gill Sans MT" w:hAnsi="Gill Sans MT"/>
        </w:rPr>
      </w:pPr>
      <w:r w:rsidRPr="008E1C68">
        <w:rPr>
          <w:rStyle w:val="FootnoteReference"/>
          <w:rFonts w:ascii="Gill Sans MT" w:hAnsi="Gill Sans MT"/>
        </w:rPr>
        <w:footnoteRef/>
      </w:r>
      <w:r w:rsidRPr="008E1C68">
        <w:rPr>
          <w:rFonts w:ascii="Gill Sans MT" w:hAnsi="Gill Sans MT"/>
        </w:rPr>
        <w:t xml:space="preserve"> Colliers Strategy &amp; Analytics, CoStar</w:t>
      </w:r>
    </w:p>
  </w:footnote>
  <w:footnote w:id="15">
    <w:p w:rsidR="004F66B8" w:rsidRPr="00EE1748">
      <w:pPr>
        <w:pStyle w:val="FootnoteText"/>
        <w:rPr>
          <w:rFonts w:ascii="Gill Sans MT" w:hAnsi="Gill Sans MT"/>
        </w:rPr>
      </w:pPr>
      <w:r w:rsidRPr="00EE1748">
        <w:rPr>
          <w:rStyle w:val="FootnoteReference"/>
          <w:rFonts w:ascii="Gill Sans MT" w:hAnsi="Gill Sans MT"/>
        </w:rPr>
        <w:footnoteRef/>
      </w:r>
      <w:r w:rsidRPr="00EE1748">
        <w:rPr>
          <w:rFonts w:ascii="Gill Sans MT" w:hAnsi="Gill Sans MT"/>
        </w:rPr>
        <w:t xml:space="preserve"> </w:t>
      </w:r>
      <w:r w:rsidRPr="00EE1748">
        <w:rPr>
          <w:rFonts w:ascii="Gill Sans MT" w:hAnsi="Gill Sans MT"/>
        </w:rPr>
        <w:t>Evening and Night-time Economy Strategy, Vision and Action Plan, HOLBA &amp; Publica, 2022</w:t>
      </w:r>
    </w:p>
  </w:footnote>
  <w:footnote w:id="16">
    <w:p w:rsidR="004F66B8" w:rsidRPr="007C5AC6">
      <w:pPr>
        <w:pStyle w:val="FootnoteText"/>
        <w:rPr>
          <w:rFonts w:ascii="Gill Sans MT" w:hAnsi="Gill Sans MT"/>
        </w:rPr>
      </w:pPr>
      <w:r w:rsidRPr="007C5AC6">
        <w:rPr>
          <w:rStyle w:val="FootnoteReference"/>
          <w:rFonts w:ascii="Gill Sans MT" w:hAnsi="Gill Sans MT"/>
        </w:rPr>
        <w:footnoteRef/>
      </w:r>
      <w:r w:rsidRPr="007C5AC6">
        <w:rPr>
          <w:rFonts w:ascii="Gill Sans MT" w:hAnsi="Gill Sans MT"/>
        </w:rPr>
        <w:t xml:space="preserve"> </w:t>
      </w:r>
      <w:r w:rsidRPr="007C5AC6">
        <w:rPr>
          <w:rFonts w:ascii="Gill Sans MT" w:hAnsi="Gill Sans MT"/>
        </w:rPr>
        <w:t>HOLBA Visitor Insights, January 2026</w:t>
      </w:r>
    </w:p>
  </w:footnote>
  <w:footnote w:id="17">
    <w:p w:rsidR="004F66B8" w:rsidRPr="008E1C68" w:rsidP="009C5B1A">
      <w:pPr>
        <w:pStyle w:val="FootnoteText"/>
        <w:rPr>
          <w:rFonts w:ascii="Gill Sans MT" w:hAnsi="Gill Sans MT"/>
        </w:rPr>
      </w:pPr>
      <w:r w:rsidRPr="008E1C68">
        <w:rPr>
          <w:rStyle w:val="FootnoteReference"/>
          <w:rFonts w:ascii="Gill Sans MT" w:hAnsi="Gill Sans MT"/>
        </w:rPr>
        <w:footnoteRef/>
      </w:r>
      <w:r w:rsidRPr="008E1C68">
        <w:rPr>
          <w:rFonts w:ascii="Gill Sans MT" w:hAnsi="Gill Sans MT"/>
        </w:rPr>
        <w:t xml:space="preserve"> Allied Market Research via Chillwall</w:t>
      </w:r>
      <w:r w:rsidRPr="008E1C68">
        <w:rPr>
          <w:rFonts w:ascii="Gill Sans MT" w:hAnsi="Gill Sans MT"/>
        </w:rPr>
        <w:t xml:space="preserve">, 2023. The Growth of the Experience Economy. </w:t>
      </w:r>
      <w:r>
        <w:fldChar w:fldCharType="begin"/>
      </w:r>
      <w:r>
        <w:instrText xml:space="preserve"> HYPERLINK </w:instrText>
      </w:r>
      <w:r>
        <w:fldChar w:fldCharType="separate"/>
      </w:r>
      <w:r w:rsidRPr="008E1C68">
        <w:rPr>
          <w:rStyle w:val="Hyperlink"/>
          <w:rFonts w:ascii="Gill Sans MT" w:hAnsi="Gill Sans MT"/>
        </w:rPr>
        <w:t>https://blog.chillwall.com/2023/06/22/the-growthof-</w:t>
      </w:r>
      <w:r>
        <w:fldChar w:fldCharType="end"/>
      </w:r>
      <w:r w:rsidRPr="008E1C68">
        <w:rPr>
          <w:rFonts w:ascii="Gill Sans MT" w:hAnsi="Gill Sans MT"/>
        </w:rPr>
        <w:t>the-experience-economy/</w:t>
      </w:r>
    </w:p>
  </w:footnote>
  <w:footnote w:id="18">
    <w:p w:rsidR="004F66B8" w:rsidRPr="00502C2C" w:rsidP="002C6529">
      <w:pPr>
        <w:pStyle w:val="FootnoteText"/>
        <w:rPr>
          <w:rFonts w:ascii="Gill Sans MT" w:hAnsi="Gill Sans MT"/>
        </w:rPr>
      </w:pPr>
      <w:r w:rsidRPr="00502C2C">
        <w:rPr>
          <w:rStyle w:val="FootnoteReference"/>
          <w:rFonts w:ascii="Gill Sans MT" w:hAnsi="Gill Sans MT"/>
        </w:rPr>
        <w:footnoteRef/>
      </w:r>
      <w:r w:rsidRPr="00502C2C">
        <w:rPr>
          <w:rFonts w:ascii="Gill Sans MT" w:hAnsi="Gill Sans MT"/>
        </w:rPr>
        <w:t xml:space="preserve"> Calculations included in </w:t>
      </w:r>
      <w:r w:rsidRPr="00502C2C">
        <w:rPr>
          <w:rFonts w:ascii="Gill Sans MT" w:eastAsia="Arial" w:hAnsi="Gill Sans MT" w:cs="Arial"/>
        </w:rPr>
        <w:t>HOLBA’s response to</w:t>
      </w:r>
      <w:r>
        <w:rPr>
          <w:rFonts w:ascii="Gill Sans MT" w:eastAsia="Arial" w:hAnsi="Gill Sans MT" w:cs="Arial"/>
        </w:rPr>
        <w:t xml:space="preserve"> the</w:t>
      </w:r>
      <w:r w:rsidRPr="00502C2C">
        <w:rPr>
          <w:rFonts w:ascii="Gill Sans MT" w:eastAsia="Arial" w:hAnsi="Gill Sans MT" w:cs="Arial"/>
        </w:rPr>
        <w:t xml:space="preserve"> Visitor Levy Consultation, February 2026</w:t>
      </w:r>
    </w:p>
  </w:footnote>
  <w:footnote w:id="19">
    <w:p w:rsidR="004F66B8" w:rsidRPr="008E1C68">
      <w:pPr>
        <w:pStyle w:val="FootnoteText"/>
        <w:rPr>
          <w:rFonts w:ascii="Gill Sans MT" w:hAnsi="Gill Sans MT"/>
        </w:rPr>
      </w:pPr>
      <w:r w:rsidRPr="008E1C68">
        <w:rPr>
          <w:rStyle w:val="FootnoteReference"/>
          <w:rFonts w:ascii="Gill Sans MT" w:hAnsi="Gill Sans MT"/>
        </w:rPr>
        <w:footnoteRef/>
      </w:r>
      <w:r w:rsidRPr="008E1C68">
        <w:rPr>
          <w:rFonts w:ascii="Gill Sans MT" w:hAnsi="Gill Sans MT"/>
        </w:rPr>
        <w:t xml:space="preserve"> The West End International Centre, Why London’s West End Needs a Bolder Approach </w:t>
      </w:r>
      <w:r w:rsidRPr="008E1C68">
        <w:rPr>
          <w:rFonts w:ascii="Gill Sans MT" w:hAnsi="Gill Sans MT"/>
        </w:rPr>
        <w:t>To</w:t>
      </w:r>
      <w:r w:rsidRPr="008E1C68">
        <w:rPr>
          <w:rFonts w:ascii="Gill Sans MT" w:hAnsi="Gill Sans MT"/>
        </w:rPr>
        <w:t xml:space="preserve"> Unlocking Economic Growth, 2025</w:t>
      </w:r>
    </w:p>
  </w:footnote>
  <w:footnote w:id="20">
    <w:p w:rsidR="004F66B8">
      <w:pPr>
        <w:pStyle w:val="FootnoteText"/>
      </w:pPr>
      <w:r w:rsidRPr="008E1C68">
        <w:rPr>
          <w:rStyle w:val="FootnoteReference"/>
          <w:rFonts w:ascii="Gill Sans MT" w:hAnsi="Gill Sans MT"/>
        </w:rPr>
        <w:footnoteRef/>
      </w:r>
      <w:r w:rsidRPr="008E1C68">
        <w:rPr>
          <w:rFonts w:ascii="Gill Sans MT" w:hAnsi="Gill Sans MT"/>
        </w:rPr>
        <w:t xml:space="preserve"> https://www.visitbritain.org/our-annual-performance-and-reporting</w:t>
      </w:r>
    </w:p>
  </w:footnote>
  <w:footnote w:id="21">
    <w:p w:rsidR="004F66B8" w:rsidRPr="008E1C68">
      <w:pPr>
        <w:pStyle w:val="FootnoteText"/>
        <w:rPr>
          <w:rFonts w:ascii="Gill Sans MT" w:hAnsi="Gill Sans MT"/>
        </w:rPr>
      </w:pPr>
      <w:r w:rsidRPr="008E1C68">
        <w:rPr>
          <w:rStyle w:val="FootnoteReference"/>
          <w:rFonts w:ascii="Gill Sans MT" w:hAnsi="Gill Sans MT"/>
        </w:rPr>
        <w:footnoteRef/>
      </w:r>
      <w:r w:rsidRPr="008E1C68">
        <w:rPr>
          <w:rFonts w:ascii="Gill Sans MT" w:hAnsi="Gill Sans MT"/>
        </w:rPr>
        <w:t xml:space="preserve"> Heart of London Placeshaping Strategy,2019, HOLBA &amp; Publica</w:t>
      </w:r>
    </w:p>
  </w:footnote>
  <w:footnote w:id="22">
    <w:p w:rsidR="004F66B8" w:rsidRPr="008E1C68">
      <w:pPr>
        <w:pStyle w:val="FootnoteText"/>
        <w:rPr>
          <w:rFonts w:ascii="Gill Sans MT" w:hAnsi="Gill Sans MT"/>
        </w:rPr>
      </w:pPr>
      <w:r w:rsidRPr="008E1C68">
        <w:rPr>
          <w:rStyle w:val="FootnoteReference"/>
          <w:rFonts w:ascii="Gill Sans MT" w:hAnsi="Gill Sans MT"/>
        </w:rPr>
        <w:footnoteRef/>
      </w:r>
      <w:r w:rsidRPr="008E1C68">
        <w:rPr>
          <w:rFonts w:ascii="Gill Sans MT" w:hAnsi="Gill Sans MT"/>
        </w:rPr>
        <w:t xml:space="preserve"> The Economic Case for Public Realm Investment in the Heart of London Area, Arup</w:t>
      </w:r>
    </w:p>
  </w:footnote>
  <w:footnote w:id="23">
    <w:p w:rsidR="004F66B8">
      <w:pPr>
        <w:pStyle w:val="FootnoteText"/>
      </w:pPr>
      <w:r w:rsidRPr="008E1C68">
        <w:rPr>
          <w:rStyle w:val="FootnoteReference"/>
          <w:rFonts w:ascii="Gill Sans MT" w:hAnsi="Gill Sans MT"/>
        </w:rPr>
        <w:footnoteRef/>
      </w:r>
      <w:r w:rsidRPr="008E1C68">
        <w:rPr>
          <w:rFonts w:ascii="Gill Sans MT" w:hAnsi="Gill Sans MT"/>
        </w:rPr>
        <w:t xml:space="preserve"> Walpole’s ‘State of London Luxury</w:t>
      </w:r>
      <w:r>
        <w:rPr>
          <w:rFonts w:ascii="Gill Sans MT" w:hAnsi="Gill Sans MT"/>
        </w:rPr>
        <w:t>’</w:t>
      </w:r>
      <w:r w:rsidRPr="008E1C68">
        <w:rPr>
          <w:rFonts w:ascii="Gill Sans MT" w:hAnsi="Gill Sans MT"/>
        </w:rPr>
        <w:t>, 2025</w:t>
      </w:r>
    </w:p>
  </w:footnote>
  <w:footnote w:id="24">
    <w:p w:rsidR="004F66B8" w:rsidRPr="00A50378">
      <w:pPr>
        <w:pStyle w:val="FootnoteText"/>
        <w:rPr>
          <w:rFonts w:ascii="Gill Sans MT" w:hAnsi="Gill Sans MT"/>
        </w:rPr>
      </w:pPr>
      <w:r w:rsidRPr="00A50378">
        <w:rPr>
          <w:rStyle w:val="FootnoteReference"/>
          <w:rFonts w:ascii="Gill Sans MT" w:hAnsi="Gill Sans MT"/>
        </w:rPr>
        <w:footnoteRef/>
      </w:r>
      <w:r w:rsidRPr="00A50378">
        <w:rPr>
          <w:rFonts w:ascii="Gill Sans MT" w:hAnsi="Gill Sans MT"/>
        </w:rPr>
        <w:t xml:space="preserve"> Area Performance Report March 2026, Heart of London Business Alliance</w:t>
      </w:r>
    </w:p>
  </w:footnote>
  <w:footnote w:id="25">
    <w:p w:rsidR="004F66B8" w:rsidRPr="004920F9">
      <w:pPr>
        <w:pStyle w:val="FootnoteText"/>
        <w:rPr>
          <w:rFonts w:ascii="Gill Sans MT" w:hAnsi="Gill Sans MT"/>
        </w:rPr>
      </w:pPr>
      <w:r w:rsidRPr="004920F9">
        <w:rPr>
          <w:rStyle w:val="FootnoteReference"/>
          <w:rFonts w:ascii="Gill Sans MT" w:hAnsi="Gill Sans MT"/>
        </w:rPr>
        <w:footnoteRef/>
      </w:r>
      <w:r w:rsidRPr="004920F9">
        <w:rPr>
          <w:rFonts w:ascii="Gill Sans MT" w:hAnsi="Gill Sans MT"/>
        </w:rPr>
        <w:t xml:space="preserve"> </w:t>
      </w:r>
      <w:r w:rsidRPr="004920F9">
        <w:rPr>
          <w:rFonts w:ascii="Gill Sans MT" w:hAnsi="Gill Sans MT"/>
        </w:rPr>
        <w:t>Travel in London reports (2023–2025) and Mayor’s Transport Strategy – Evidence Base </w:t>
      </w:r>
    </w:p>
  </w:footnote>
  <w:footnote w:id="26">
    <w:p w:rsidR="004F66B8" w:rsidRPr="009A19CF">
      <w:pPr>
        <w:pStyle w:val="FootnoteText"/>
        <w:rPr>
          <w:rFonts w:ascii="Gill Sans MT" w:hAnsi="Gill Sans MT"/>
        </w:rPr>
      </w:pPr>
      <w:r w:rsidRPr="009A19CF">
        <w:rPr>
          <w:rStyle w:val="FootnoteReference"/>
          <w:rFonts w:ascii="Gill Sans MT" w:hAnsi="Gill Sans MT"/>
        </w:rPr>
        <w:footnoteRef/>
      </w:r>
      <w:r w:rsidRPr="009A19CF">
        <w:rPr>
          <w:rFonts w:ascii="Gill Sans MT" w:hAnsi="Gill Sans MT"/>
        </w:rPr>
        <w:t xml:space="preserve"> Mayor’s Transport Strategy (2018)</w:t>
      </w:r>
    </w:p>
  </w:footnote>
  <w:footnote w:id="27">
    <w:p w:rsidR="004F66B8" w:rsidRPr="008E1C68">
      <w:pPr>
        <w:pStyle w:val="FootnoteText"/>
        <w:rPr>
          <w:rFonts w:ascii="Gill Sans MT" w:hAnsi="Gill Sans MT"/>
        </w:rPr>
      </w:pPr>
      <w:r w:rsidRPr="008E1C68">
        <w:rPr>
          <w:rStyle w:val="FootnoteReference"/>
          <w:rFonts w:ascii="Gill Sans MT" w:hAnsi="Gill Sans MT"/>
        </w:rPr>
        <w:footnoteRef/>
      </w:r>
      <w:r w:rsidRPr="008E1C68">
        <w:rPr>
          <w:rFonts w:ascii="Gill Sans MT" w:hAnsi="Gill Sans MT"/>
        </w:rPr>
        <w:t xml:space="preserve"> Heart of London Placeshaping Strategy,2019, HOLBA &amp; Publica</w:t>
      </w:r>
    </w:p>
  </w:footnote>
  <w:footnote w:id="28">
    <w:p w:rsidR="004F66B8">
      <w:pPr>
        <w:pStyle w:val="FootnoteText"/>
      </w:pPr>
      <w:r w:rsidRPr="008E1C68">
        <w:rPr>
          <w:rStyle w:val="FootnoteReference"/>
          <w:rFonts w:ascii="Gill Sans MT" w:hAnsi="Gill Sans MT"/>
        </w:rPr>
        <w:footnoteRef/>
      </w:r>
      <w:r w:rsidRPr="008E1C68">
        <w:rPr>
          <w:rFonts w:ascii="Gill Sans MT" w:hAnsi="Gill Sans MT"/>
        </w:rPr>
        <w:t xml:space="preserve"> https://holba.london/projects-campaigns/art-of-london-presents-art-after-dark</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D2B588"/>
    <w:multiLevelType w:val="hybridMultilevel"/>
    <w:tmpl w:val="612AEC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1100E19F"/>
    <w:multiLevelType w:val="hybridMultilevel"/>
    <w:tmpl w:val="6F3012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CE35152"/>
    <w:multiLevelType w:val="hybridMultilevel"/>
    <w:tmpl w:val="8730A3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nsid w:val="20AC14F9"/>
    <w:multiLevelType w:val="hybridMultilevel"/>
    <w:tmpl w:val="951CEC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nsid w:val="2A729251"/>
    <w:multiLevelType w:val="hybridMultilevel"/>
    <w:tmpl w:val="BCAA72B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nsid w:val="2DA74A90"/>
    <w:multiLevelType w:val="hybridMultilevel"/>
    <w:tmpl w:val="1D5A87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nsid w:val="39267891"/>
    <w:multiLevelType w:val="hybridMultilevel"/>
    <w:tmpl w:val="F0F8E5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10324B5"/>
    <w:multiLevelType w:val="hybridMultilevel"/>
    <w:tmpl w:val="09F07E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512AF891"/>
    <w:multiLevelType w:val="hybridMultilevel"/>
    <w:tmpl w:val="EF088B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403A5C0"/>
    <w:multiLevelType w:val="hybridMultilevel"/>
    <w:tmpl w:val="8A9C2C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5904482F"/>
    <w:multiLevelType w:val="hybridMultilevel"/>
    <w:tmpl w:val="B5CAA03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nsid w:val="5BEE70B7"/>
    <w:multiLevelType w:val="hybridMultilevel"/>
    <w:tmpl w:val="3AD4696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4363455"/>
    <w:multiLevelType w:val="hybridMultilevel"/>
    <w:tmpl w:val="42EE19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1"/>
  </w:num>
  <w:num w:numId="3">
    <w:abstractNumId w:val="0"/>
  </w:num>
  <w:num w:numId="4">
    <w:abstractNumId w:val="3"/>
  </w:num>
  <w:num w:numId="5">
    <w:abstractNumId w:val="9"/>
  </w:num>
  <w:num w:numId="6">
    <w:abstractNumId w:val="5"/>
  </w:num>
  <w:num w:numId="7">
    <w:abstractNumId w:val="10"/>
  </w:num>
  <w:num w:numId="8">
    <w:abstractNumId w:val="12"/>
  </w:num>
  <w:num w:numId="9">
    <w:abstractNumId w:val="2"/>
  </w:num>
  <w:num w:numId="10">
    <w:abstractNumId w:val="6"/>
  </w:num>
  <w:num w:numId="11">
    <w:abstractNumId w:val="4"/>
  </w:num>
  <w:num w:numId="12">
    <w:abstractNumId w:val="7"/>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0118A"/>
    <w:pPr>
      <w:spacing w:after="160" w:line="259" w:lineRule="auto"/>
    </w:pPr>
    <w:rPr>
      <w:kern w:val="0"/>
      <w:sz w:val="22"/>
      <w:szCs w:val="22"/>
    </w:rPr>
  </w:style>
  <w:style w:type="paragraph" w:styleId="Heading1">
    <w:name w:val="heading 1"/>
    <w:basedOn w:val="Normal"/>
    <w:next w:val="Normal"/>
    <w:link w:val="Heading1Char"/>
    <w:uiPriority w:val="9"/>
    <w:qFormat/>
    <w:rsid w:val="00EB20A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C4C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E01F9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uiPriority w:val="9"/>
    <w:unhideWhenUsed/>
    <w:qFormat/>
    <w:rsid w:val="60F6B922"/>
    <w:pPr>
      <w:keepNext/>
      <w:keepLines/>
      <w:spacing w:before="80" w:after="40"/>
      <w:outlineLvl w:val="3"/>
    </w:pPr>
    <w:rPr>
      <w:rFonts w:eastAsiaTheme="minorEastAsia" w:cstheme="majorEastAsia"/>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118A"/>
    <w:rPr>
      <w:color w:val="0563C1"/>
      <w:u w:val="single"/>
    </w:rPr>
  </w:style>
  <w:style w:type="character" w:customStyle="1" w:styleId="UnresolvedMention1">
    <w:name w:val="Unresolved Mention1"/>
    <w:basedOn w:val="DefaultParagraphFont"/>
    <w:uiPriority w:val="99"/>
    <w:semiHidden/>
    <w:unhideWhenUsed/>
    <w:rsid w:val="0020118A"/>
    <w:rPr>
      <w:color w:val="605E5C"/>
      <w:shd w:val="clear" w:color="auto" w:fill="E1DFDD"/>
    </w:rPr>
  </w:style>
  <w:style w:type="character" w:customStyle="1" w:styleId="normaltextrun">
    <w:name w:val="normaltextrun"/>
    <w:basedOn w:val="DefaultParagraphFont"/>
    <w:rsid w:val="00427F71"/>
  </w:style>
  <w:style w:type="paragraph" w:styleId="Header">
    <w:name w:val="header"/>
    <w:basedOn w:val="Normal"/>
    <w:link w:val="HeaderChar"/>
    <w:uiPriority w:val="99"/>
    <w:unhideWhenUsed/>
    <w:rsid w:val="00427F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7F71"/>
    <w:rPr>
      <w:kern w:val="0"/>
      <w:sz w:val="22"/>
      <w:szCs w:val="22"/>
    </w:rPr>
  </w:style>
  <w:style w:type="paragraph" w:styleId="Footer">
    <w:name w:val="footer"/>
    <w:basedOn w:val="Normal"/>
    <w:link w:val="FooterChar"/>
    <w:uiPriority w:val="99"/>
    <w:unhideWhenUsed/>
    <w:rsid w:val="00427F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7F71"/>
    <w:rPr>
      <w:kern w:val="0"/>
      <w:sz w:val="22"/>
      <w:szCs w:val="22"/>
    </w:rPr>
  </w:style>
  <w:style w:type="character" w:styleId="FollowedHyperlink">
    <w:name w:val="FollowedHyperlink"/>
    <w:basedOn w:val="DefaultParagraphFont"/>
    <w:uiPriority w:val="99"/>
    <w:semiHidden/>
    <w:unhideWhenUsed/>
    <w:rsid w:val="00092B98"/>
    <w:rPr>
      <w:color w:val="954F72" w:themeColor="followedHyperlink"/>
      <w:u w:val="single"/>
    </w:rPr>
  </w:style>
  <w:style w:type="character" w:styleId="CommentReference">
    <w:name w:val="annotation reference"/>
    <w:basedOn w:val="DefaultParagraphFont"/>
    <w:uiPriority w:val="99"/>
    <w:semiHidden/>
    <w:unhideWhenUsed/>
    <w:rsid w:val="00EA6E69"/>
    <w:rPr>
      <w:sz w:val="16"/>
      <w:szCs w:val="16"/>
    </w:rPr>
  </w:style>
  <w:style w:type="paragraph" w:styleId="CommentText">
    <w:name w:val="annotation text"/>
    <w:basedOn w:val="Normal"/>
    <w:link w:val="CommentTextChar"/>
    <w:uiPriority w:val="99"/>
    <w:unhideWhenUsed/>
    <w:rsid w:val="00EA6E69"/>
    <w:pPr>
      <w:spacing w:line="240" w:lineRule="auto"/>
    </w:pPr>
    <w:rPr>
      <w:sz w:val="20"/>
      <w:szCs w:val="20"/>
    </w:rPr>
  </w:style>
  <w:style w:type="character" w:customStyle="1" w:styleId="CommentTextChar">
    <w:name w:val="Comment Text Char"/>
    <w:basedOn w:val="DefaultParagraphFont"/>
    <w:link w:val="CommentText"/>
    <w:uiPriority w:val="99"/>
    <w:rsid w:val="00EA6E69"/>
    <w:rPr>
      <w:kern w:val="0"/>
      <w:sz w:val="20"/>
      <w:szCs w:val="20"/>
    </w:rPr>
  </w:style>
  <w:style w:type="paragraph" w:styleId="CommentSubject">
    <w:name w:val="annotation subject"/>
    <w:basedOn w:val="CommentText"/>
    <w:next w:val="CommentText"/>
    <w:link w:val="CommentSubjectChar"/>
    <w:uiPriority w:val="99"/>
    <w:semiHidden/>
    <w:unhideWhenUsed/>
    <w:rsid w:val="00EA6E69"/>
    <w:rPr>
      <w:b/>
      <w:bCs/>
    </w:rPr>
  </w:style>
  <w:style w:type="character" w:customStyle="1" w:styleId="CommentSubjectChar">
    <w:name w:val="Comment Subject Char"/>
    <w:basedOn w:val="CommentTextChar"/>
    <w:link w:val="CommentSubject"/>
    <w:uiPriority w:val="99"/>
    <w:semiHidden/>
    <w:rsid w:val="00EA6E69"/>
    <w:rPr>
      <w:b/>
      <w:bCs/>
      <w:kern w:val="0"/>
      <w:sz w:val="20"/>
      <w:szCs w:val="20"/>
    </w:rPr>
  </w:style>
  <w:style w:type="character" w:styleId="Strong">
    <w:name w:val="Strong"/>
    <w:basedOn w:val="DefaultParagraphFont"/>
    <w:uiPriority w:val="22"/>
    <w:qFormat/>
    <w:rsid w:val="00B35692"/>
    <w:rPr>
      <w:b/>
      <w:bCs/>
    </w:rPr>
  </w:style>
  <w:style w:type="paragraph" w:styleId="NormalWeb">
    <w:name w:val="Normal (Web)"/>
    <w:basedOn w:val="Normal"/>
    <w:uiPriority w:val="99"/>
    <w:semiHidden/>
    <w:unhideWhenUsed/>
    <w:rsid w:val="0076146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8D0B9C"/>
    <w:rPr>
      <w:kern w:val="0"/>
      <w:sz w:val="22"/>
      <w:szCs w:val="22"/>
    </w:rPr>
  </w:style>
  <w:style w:type="paragraph" w:customStyle="1" w:styleId="paragraph">
    <w:name w:val="paragraph"/>
    <w:basedOn w:val="Normal"/>
    <w:rsid w:val="00BA0F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BA0F69"/>
  </w:style>
  <w:style w:type="paragraph" w:styleId="NoSpacing">
    <w:name w:val="No Spacing"/>
    <w:uiPriority w:val="1"/>
    <w:qFormat/>
    <w:rsid w:val="00F33102"/>
    <w:rPr>
      <w:kern w:val="0"/>
      <w:sz w:val="22"/>
      <w:szCs w:val="22"/>
    </w:rPr>
  </w:style>
  <w:style w:type="paragraph" w:styleId="ListParagraph">
    <w:name w:val="List Paragraph"/>
    <w:basedOn w:val="Normal"/>
    <w:uiPriority w:val="34"/>
    <w:qFormat/>
    <w:rsid w:val="00047EC1"/>
    <w:pPr>
      <w:ind w:left="720"/>
      <w:contextualSpacing/>
    </w:pPr>
  </w:style>
  <w:style w:type="character" w:customStyle="1" w:styleId="Heading3Char">
    <w:name w:val="Heading 3 Char"/>
    <w:basedOn w:val="DefaultParagraphFont"/>
    <w:link w:val="Heading3"/>
    <w:uiPriority w:val="9"/>
    <w:rsid w:val="00E01F94"/>
    <w:rPr>
      <w:rFonts w:ascii="Times New Roman" w:eastAsia="Times New Roman" w:hAnsi="Times New Roman" w:cs="Times New Roman"/>
      <w:b/>
      <w:bCs/>
      <w:kern w:val="0"/>
      <w:sz w:val="27"/>
      <w:szCs w:val="27"/>
      <w:lang w:eastAsia="en-GB"/>
    </w:rPr>
  </w:style>
  <w:style w:type="character" w:customStyle="1" w:styleId="Heading2Char">
    <w:name w:val="Heading 2 Char"/>
    <w:basedOn w:val="DefaultParagraphFont"/>
    <w:link w:val="Heading2"/>
    <w:uiPriority w:val="9"/>
    <w:semiHidden/>
    <w:rsid w:val="006C4C59"/>
    <w:rPr>
      <w:rFonts w:asciiTheme="majorHAnsi" w:eastAsiaTheme="majorEastAsia" w:hAnsiTheme="majorHAnsi" w:cstheme="majorBidi"/>
      <w:color w:val="2F5496" w:themeColor="accent1" w:themeShade="BF"/>
      <w:kern w:val="0"/>
      <w:sz w:val="26"/>
      <w:szCs w:val="26"/>
    </w:rPr>
  </w:style>
  <w:style w:type="character" w:customStyle="1" w:styleId="Heading1Char">
    <w:name w:val="Heading 1 Char"/>
    <w:basedOn w:val="DefaultParagraphFont"/>
    <w:link w:val="Heading1"/>
    <w:uiPriority w:val="9"/>
    <w:rsid w:val="00EB20A2"/>
    <w:rPr>
      <w:rFonts w:asciiTheme="majorHAnsi" w:eastAsiaTheme="majorEastAsia" w:hAnsiTheme="majorHAnsi" w:cstheme="majorBidi"/>
      <w:color w:val="2F5496" w:themeColor="accent1" w:themeShade="BF"/>
      <w:kern w:val="0"/>
      <w:sz w:val="32"/>
      <w:szCs w:val="32"/>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5A01B4"/>
  </w:style>
  <w:style w:type="character" w:customStyle="1" w:styleId="whitespace-normal">
    <w:name w:val="whitespace-normal"/>
    <w:basedOn w:val="DefaultParagraphFont"/>
    <w:rsid w:val="005A01B4"/>
  </w:style>
  <w:style w:type="paragraph" w:styleId="FootnoteText">
    <w:name w:val="footnote text"/>
    <w:basedOn w:val="Normal"/>
    <w:link w:val="FootnoteTextChar"/>
    <w:uiPriority w:val="99"/>
    <w:semiHidden/>
    <w:unhideWhenUsed/>
    <w:rsid w:val="001C51D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C51DD"/>
    <w:rPr>
      <w:kern w:val="0"/>
      <w:sz w:val="20"/>
      <w:szCs w:val="20"/>
    </w:rPr>
  </w:style>
  <w:style w:type="character" w:styleId="FootnoteReference">
    <w:name w:val="footnote reference"/>
    <w:basedOn w:val="DefaultParagraphFont"/>
    <w:uiPriority w:val="99"/>
    <w:semiHidden/>
    <w:unhideWhenUsed/>
    <w:rsid w:val="001C51DD"/>
    <w:rPr>
      <w:vertAlign w:val="superscript"/>
    </w:rPr>
  </w:style>
  <w:style w:type="paragraph" w:customStyle="1" w:styleId="Default">
    <w:name w:val="Default"/>
    <w:basedOn w:val="Normal"/>
    <w:uiPriority w:val="1"/>
    <w:rsid w:val="723213EB"/>
    <w:pPr>
      <w:spacing w:after="0"/>
    </w:pPr>
    <w:rPr>
      <w:rFonts w:eastAsiaTheme="minorEastAsia"/>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e797301-539d-40c7-a715-ccc9edb8427d" xsi:nil="true"/>
    <lcf76f155ced4ddcb4097134ff3c332f xmlns="7abd3c36-47c8-4aaf-844f-19d133e5f96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EF6B3C6B625D54C843BCDEA2776DAB8" ma:contentTypeVersion="18" ma:contentTypeDescription="Create a new document." ma:contentTypeScope="" ma:versionID="3a2b0e3998f931868ff462ff5089034e">
  <xsd:schema xmlns:xsd="http://www.w3.org/2001/XMLSchema" xmlns:xs="http://www.w3.org/2001/XMLSchema" xmlns:p="http://schemas.microsoft.com/office/2006/metadata/properties" xmlns:ns2="7abd3c36-47c8-4aaf-844f-19d133e5f96a" xmlns:ns3="8e797301-539d-40c7-a715-ccc9edb8427d" targetNamespace="http://schemas.microsoft.com/office/2006/metadata/properties" ma:root="true" ma:fieldsID="8f7f50cf7e2c3fd3e0d7b02ab8de428f" ns2:_="" ns3:_="">
    <xsd:import namespace="7abd3c36-47c8-4aaf-844f-19d133e5f96a"/>
    <xsd:import namespace="8e797301-539d-40c7-a715-ccc9edb842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bd3c36-47c8-4aaf-844f-19d133e5f9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50d1030-2ca0-4d97-ba2d-1f54c4f5912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797301-539d-40c7-a715-ccc9edb8427d"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818fbbe6-5bbf-4e1c-adf9-07f0c1c1864b}" ma:internalName="TaxCatchAll" ma:showField="CatchAllData" ma:web="8e797301-539d-40c7-a715-ccc9edb8427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BCE800-0560-4C46-BBCD-F1E4BEEB1CFE}">
  <ds:schemaRefs>
    <ds:schemaRef ds:uri="http://schemas.microsoft.com/sharepoint/v3/contenttype/forms"/>
  </ds:schemaRefs>
</ds:datastoreItem>
</file>

<file path=customXml/itemProps2.xml><?xml version="1.0" encoding="utf-8"?>
<ds:datastoreItem xmlns:ds="http://schemas.openxmlformats.org/officeDocument/2006/customXml" ds:itemID="{C0F74678-DD01-4062-A6CE-EDE28DF46733}">
  <ds:schemaRefs>
    <ds:schemaRef ds:uri="http://schemas.microsoft.com/office/2006/metadata/properties"/>
    <ds:schemaRef ds:uri="http://schemas.microsoft.com/office/infopath/2007/PartnerControls"/>
    <ds:schemaRef ds:uri="8e797301-539d-40c7-a715-ccc9edb8427d"/>
    <ds:schemaRef ds:uri="7abd3c36-47c8-4aaf-844f-19d133e5f96a"/>
  </ds:schemaRefs>
</ds:datastoreItem>
</file>

<file path=customXml/itemProps3.xml><?xml version="1.0" encoding="utf-8"?>
<ds:datastoreItem xmlns:ds="http://schemas.openxmlformats.org/officeDocument/2006/customXml" ds:itemID="{FD98FA14-D358-584C-96D1-1BA7AFE364BD}">
  <ds:schemaRefs>
    <ds:schemaRef ds:uri="http://schemas.openxmlformats.org/officeDocument/2006/bibliography"/>
  </ds:schemaRefs>
</ds:datastoreItem>
</file>

<file path=customXml/itemProps4.xml><?xml version="1.0" encoding="utf-8"?>
<ds:datastoreItem xmlns:ds="http://schemas.openxmlformats.org/officeDocument/2006/customXml" ds:itemID="{768D0A14-C54E-4820-86BA-0ABCFEA54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bd3c36-47c8-4aaf-844f-19d133e5f96a"/>
    <ds:schemaRef ds:uri="8e797301-539d-40c7-a715-ccc9edb842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TOU0084</dc:title>
  <cp:revision>0</cp:revision>
</cp:coreProperties>
</file>