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1FD9" w:rsidRPr="00560C4C" w:rsidP="00651FD9">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651FD9">
        <w:rPr>
          <w:rFonts w:ascii="Calibri" w:hAnsi="Calibri" w:cs="Calibri"/>
          <w:sz w:val="28"/>
          <w:szCs w:val="28"/>
        </w:rPr>
        <w:t>Wessex partnership</w:t>
      </w:r>
    </w:p>
    <w:p w:rsidR="00B934FC" w:rsidP="00F94BB5">
      <w:pPr>
        <w:pStyle w:val="ListParagraph"/>
        <w:numPr>
          <w:ilvl w:val="0"/>
          <w:numId w:val="22"/>
        </w:numPr>
      </w:pPr>
      <w:r w:rsidRPr="009C55E5">
        <w:t xml:space="preserve">Thank you for the opportunity to respond to this consultation. This response is on behalf of the Wessex partnership, comprising Bournemouth Christchurch &amp; Poole Council, Dorset Council, Somerset Council and Wiltshire Council. </w:t>
      </w:r>
    </w:p>
    <w:p w:rsidR="00B934FC" w:rsidRPr="009C55E5" w:rsidP="00F94BB5">
      <w:pPr>
        <w:pStyle w:val="ListParagraph"/>
      </w:pPr>
    </w:p>
    <w:p w:rsidR="00B934FC" w:rsidP="00F94BB5">
      <w:pPr>
        <w:pStyle w:val="ListParagraph"/>
        <w:numPr>
          <w:ilvl w:val="0"/>
          <w:numId w:val="22"/>
        </w:numPr>
      </w:pPr>
      <w:r w:rsidRPr="009C55E5">
        <w:t>Visit Britain data shows that there were over 14 million domestic visitor bed-nights</w:t>
      </w:r>
      <w:r>
        <w:rPr>
          <w:rStyle w:val="FootnoteReference"/>
        </w:rPr>
        <w:footnoteReference w:id="2"/>
      </w:r>
      <w:r w:rsidRPr="009C55E5">
        <w:t xml:space="preserve"> in Wessex in 2024, alongside 7.3million nights from international visitor numbers.</w:t>
      </w:r>
      <w:r>
        <w:rPr>
          <w:rStyle w:val="FootnoteReference"/>
        </w:rPr>
        <w:footnoteReference w:id="3"/>
      </w:r>
    </w:p>
    <w:p w:rsidR="00B934FC" w:rsidP="00F94BB5">
      <w:pPr>
        <w:pStyle w:val="ListParagraph"/>
      </w:pPr>
    </w:p>
    <w:p w:rsidR="00B934FC" w:rsidP="00F94BB5">
      <w:pPr>
        <w:pStyle w:val="ListParagraph"/>
        <w:numPr>
          <w:ilvl w:val="0"/>
          <w:numId w:val="22"/>
        </w:numPr>
      </w:pPr>
      <w:r w:rsidRPr="009C55E5">
        <w:t>National tourism policy fails to take account of the different needs of different places and is underpowered by funding. Local areas are expected to deliver growth, pride in place and resilience without stable core support for destination management, business support, skills and product development.</w:t>
      </w:r>
    </w:p>
    <w:p w:rsidR="00B934FC" w:rsidP="00F94BB5">
      <w:pPr>
        <w:pStyle w:val="ListParagraph"/>
      </w:pPr>
    </w:p>
    <w:p w:rsidR="00B934FC" w:rsidP="00F94BB5">
      <w:pPr>
        <w:pStyle w:val="ListParagraph"/>
        <w:numPr>
          <w:ilvl w:val="0"/>
          <w:numId w:val="22"/>
        </w:numPr>
      </w:pPr>
      <w:r w:rsidRPr="009C55E5">
        <w:t>The stop–start nature of growth funding has constrained long-term planning. UKSPF was extended with “transition year” funding to March 2026, but has now ended, creating a significant cliff-edge for local visitor economy programmes and business support pipelines.</w:t>
      </w:r>
    </w:p>
    <w:p w:rsidR="00B934FC" w:rsidP="00F94BB5">
      <w:pPr>
        <w:pStyle w:val="ListParagraph"/>
      </w:pPr>
    </w:p>
    <w:p w:rsidR="00B934FC" w:rsidP="00F94BB5">
      <w:pPr>
        <w:pStyle w:val="ListParagraph"/>
        <w:numPr>
          <w:ilvl w:val="0"/>
          <w:numId w:val="22"/>
        </w:numPr>
      </w:pPr>
      <w:r w:rsidRPr="009C55E5">
        <w:t>Other growth funding is targeted at mayoral strategic authorities, and non-mayoral areas are unable to access this funding. Analysis of ten comparable funding programmes for the 2026 financial year reveals a significant premium for existing Mayoral Combined Authorities (MCAs). If Wessex held established MCA status and was funded on an equivalent basis it would receive an estimated £456.75m in additional funding each year (equivalent to £245.13 per Wessex resident).</w:t>
      </w:r>
    </w:p>
    <w:p w:rsidR="00B934FC" w:rsidP="00F94BB5">
      <w:pPr>
        <w:pStyle w:val="ListParagraph"/>
      </w:pPr>
    </w:p>
    <w:p w:rsidR="00B934FC" w:rsidP="00F94BB5">
      <w:pPr>
        <w:pStyle w:val="ListParagraph"/>
        <w:numPr>
          <w:ilvl w:val="0"/>
          <w:numId w:val="22"/>
        </w:numPr>
      </w:pPr>
      <w:r w:rsidRPr="009C55E5">
        <w:t xml:space="preserve">Tourism demand has recovered strongly, but it is fragile and uneven across seasons and geographies, with persistent cost and workforce challenges. </w:t>
      </w:r>
    </w:p>
    <w:p w:rsidR="00B934FC" w:rsidP="00F94BB5">
      <w:pPr>
        <w:pStyle w:val="ListParagraph"/>
      </w:pPr>
    </w:p>
    <w:p w:rsidR="00B934FC" w:rsidP="00F94BB5">
      <w:pPr>
        <w:pStyle w:val="ListParagraph"/>
        <w:numPr>
          <w:ilvl w:val="0"/>
          <w:numId w:val="22"/>
        </w:numPr>
      </w:pPr>
      <w:r w:rsidRPr="009C55E5">
        <w:t>Our councils’ area includes major coastal and rural destinations and internationally significant heritage and culture. These places can drive regional growth—if government enables long-term investment in transport, digital, skills, housing for workers, climate resilience, and year-round product development.</w:t>
      </w:r>
    </w:p>
    <w:p w:rsidR="00B934FC" w:rsidRPr="00F94BB5" w:rsidP="00F94BB5">
      <w:pPr>
        <w:rPr>
          <w:b/>
          <w:bCs/>
        </w:rPr>
      </w:pPr>
      <w:r w:rsidRPr="00F94BB5">
        <w:rPr>
          <w:b/>
          <w:bCs/>
        </w:rPr>
        <w:t>How effective are government policies in supporting the growth, competitiveness and long-term resilience of the tourism sector?</w:t>
      </w:r>
    </w:p>
    <w:p w:rsidR="00B934FC" w:rsidP="00F94BB5">
      <w:pPr>
        <w:pStyle w:val="ListParagraph"/>
        <w:numPr>
          <w:ilvl w:val="0"/>
          <w:numId w:val="22"/>
        </w:numPr>
      </w:pPr>
      <w:r w:rsidRPr="009C55E5">
        <w:t>Government policy frameworks (Tourism Recovery Plan, DMO reform, national marketing) provide a direction of travel, but are not matched by long-term, devolved revenue and capital funding. Destination management and business support are expected to be delivered locally, yet the funding landscape remains short-term, fragmented and uncertain, limiting multi-year planning and investment readiness.</w:t>
      </w:r>
    </w:p>
    <w:p w:rsidR="00B934FC" w:rsidP="00F94BB5">
      <w:pPr>
        <w:pStyle w:val="ListParagraph"/>
      </w:pPr>
    </w:p>
    <w:p w:rsidR="00B934FC" w:rsidP="00F94BB5">
      <w:pPr>
        <w:pStyle w:val="ListParagraph"/>
        <w:numPr>
          <w:ilvl w:val="0"/>
          <w:numId w:val="22"/>
        </w:numPr>
      </w:pPr>
      <w:r w:rsidRPr="009C55E5">
        <w:t>A key constraint is the cliff-edge from UKSPF which ended in March 2026, leaving a major gap for local growth, skills, business support and destination programmes. Additional Government funding for growth is limited to mayoral areas leaving areas like Wessex without access to growth funds, though some of our destinations experience high visitor volumes and associated pressures</w:t>
      </w:r>
    </w:p>
    <w:p w:rsidR="00B934FC" w:rsidP="00F94BB5">
      <w:pPr>
        <w:pStyle w:val="ListParagraph"/>
      </w:pPr>
    </w:p>
    <w:p w:rsidR="00B934FC" w:rsidRPr="009C55E5" w:rsidP="00F94BB5">
      <w:pPr>
        <w:pStyle w:val="ListParagraph"/>
        <w:numPr>
          <w:ilvl w:val="0"/>
          <w:numId w:val="22"/>
        </w:numPr>
      </w:pPr>
      <w:r w:rsidRPr="009C55E5">
        <w:t>In practice, this has created:</w:t>
      </w:r>
    </w:p>
    <w:p w:rsidR="00B934FC" w:rsidRPr="009C55E5" w:rsidP="00F94BB5">
      <w:pPr>
        <w:numPr>
          <w:ilvl w:val="1"/>
          <w:numId w:val="22"/>
        </w:numPr>
      </w:pPr>
      <w:r>
        <w:t>Removal of</w:t>
      </w:r>
      <w:r w:rsidRPr="009C55E5">
        <w:t xml:space="preserve"> business support provision (advice, productivity, digital adoption, decarbonisation support) once UKSPF-funded contracts end.</w:t>
      </w:r>
    </w:p>
    <w:p w:rsidR="00B934FC" w:rsidRPr="009C55E5" w:rsidP="00F94BB5">
      <w:pPr>
        <w:numPr>
          <w:ilvl w:val="1"/>
          <w:numId w:val="22"/>
        </w:numPr>
      </w:pPr>
      <w:r w:rsidRPr="009C55E5">
        <w:t>Inability to retain specialist staff in tourism, investment and destination teams due to short-term funding.</w:t>
      </w:r>
    </w:p>
    <w:p w:rsidR="00B934FC" w:rsidP="00F94BB5">
      <w:pPr>
        <w:numPr>
          <w:ilvl w:val="1"/>
          <w:numId w:val="22"/>
        </w:numPr>
      </w:pPr>
      <w:r w:rsidRPr="009C55E5">
        <w:t xml:space="preserve">Reduced ability to develop multi-year pipelines for visitor infrastructure and product development, and reduced ability to match fund investment. </w:t>
      </w:r>
    </w:p>
    <w:p w:rsidR="00B934FC" w:rsidRPr="00F94BB5" w:rsidP="00F94BB5">
      <w:pPr>
        <w:rPr>
          <w:b/>
          <w:bCs/>
        </w:rPr>
      </w:pPr>
      <w:r w:rsidRPr="00F94BB5">
        <w:rPr>
          <w:b/>
          <w:bCs/>
        </w:rPr>
        <w:t>What are the main barriers to international competitiveness? How effectively does the UK promote itself overseas as a destination and what more could be done to strengthen its international profile?</w:t>
      </w:r>
    </w:p>
    <w:p w:rsidR="00B934FC" w:rsidP="00F94BB5">
      <w:pPr>
        <w:pStyle w:val="ListParagraph"/>
        <w:numPr>
          <w:ilvl w:val="0"/>
          <w:numId w:val="22"/>
        </w:numPr>
      </w:pPr>
      <w:r w:rsidRPr="009C55E5">
        <w:t xml:space="preserve">Building on the above we would highlight the limited resource and insufficient local capacity (DMO/LVEP capability, product development, visitor servicing, data/insight) driven by lack of stable core funding—especially acute as UKSPF ends, which limits the ability for areas to promote overseas and grow their visitor offers. </w:t>
      </w:r>
    </w:p>
    <w:p w:rsidR="00B934FC" w:rsidRPr="009C55E5" w:rsidP="00F94BB5">
      <w:pPr>
        <w:pStyle w:val="ListParagraph"/>
      </w:pPr>
    </w:p>
    <w:p w:rsidR="00B934FC" w:rsidP="00F94BB5">
      <w:pPr>
        <w:pStyle w:val="ListParagraph"/>
        <w:numPr>
          <w:ilvl w:val="0"/>
          <w:numId w:val="22"/>
        </w:numPr>
      </w:pPr>
      <w:r w:rsidRPr="009C55E5">
        <w:t>VisitBritain’s forecasts indicate continued inbound growth and high overall value, suggesting that national promotion remains impactful at a macro level. However, across Wessex the challenge relates to distribution and conversion: converting into regional dispersal, longer stays, off-season demand, and investment in visitor infrastructure which requires locally resourced destination organisations and business support</w:t>
      </w:r>
      <w:r>
        <w:rPr>
          <w:rStyle w:val="FootnoteReference"/>
        </w:rPr>
        <w:footnoteReference w:id="4"/>
      </w:r>
      <w:r>
        <w:rPr>
          <w:rStyle w:val="FootnoteReference"/>
        </w:rPr>
        <w:footnoteReference w:id="5"/>
      </w:r>
    </w:p>
    <w:p w:rsidR="00B934FC" w:rsidP="00F94BB5">
      <w:pPr>
        <w:pStyle w:val="ListParagraph"/>
      </w:pPr>
    </w:p>
    <w:p w:rsidR="00B934FC" w:rsidP="00F94BB5">
      <w:pPr>
        <w:pStyle w:val="ListParagraph"/>
        <w:numPr>
          <w:ilvl w:val="0"/>
          <w:numId w:val="22"/>
        </w:numPr>
      </w:pPr>
      <w:r w:rsidRPr="009C55E5">
        <w:t>We would ask for growth funding, both revenue and capital, to be restored to all local areas on a stable and long-term basis to support destination development, business support and place marketing</w:t>
      </w:r>
    </w:p>
    <w:p w:rsidR="00B934FC" w:rsidP="00E81281">
      <w:pPr>
        <w:pStyle w:val="ListParagraph"/>
      </w:pPr>
    </w:p>
    <w:p w:rsidR="00B934FC" w:rsidRPr="00E81281" w:rsidP="00E81281">
      <w:pPr>
        <w:rPr>
          <w:b/>
          <w:bCs/>
        </w:rPr>
      </w:pPr>
      <w:r w:rsidRPr="00E81281">
        <w:rPr>
          <w:b/>
          <w:bCs/>
        </w:rPr>
        <w:t>How does the UK’s recent tourism performance (including visitor numbers, length of stay and visitor spend) compare with other major European tourism destinations?</w:t>
      </w:r>
    </w:p>
    <w:p w:rsidR="00B934FC" w:rsidRPr="009C55E5" w:rsidP="00E81281">
      <w:pPr>
        <w:pStyle w:val="ListParagraph"/>
        <w:ind w:left="1440"/>
        <w:rPr>
          <w:b/>
          <w:bCs/>
        </w:rPr>
      </w:pPr>
    </w:p>
    <w:p w:rsidR="00B934FC" w:rsidP="00F94BB5">
      <w:pPr>
        <w:pStyle w:val="ListParagraph"/>
        <w:numPr>
          <w:ilvl w:val="0"/>
          <w:numId w:val="22"/>
        </w:numPr>
      </w:pPr>
      <w:r w:rsidRPr="009C55E5">
        <w:t xml:space="preserve">We have no specific comment regarding UK tourism performance data. </w:t>
      </w:r>
    </w:p>
    <w:p w:rsidR="00B934FC" w:rsidRPr="009C55E5" w:rsidP="00E81281">
      <w:pPr>
        <w:pStyle w:val="ListParagraph"/>
      </w:pPr>
    </w:p>
    <w:p w:rsidR="00B934FC" w:rsidRPr="00E81281" w:rsidP="00E81281">
      <w:pPr>
        <w:rPr>
          <w:b/>
          <w:bCs/>
        </w:rPr>
      </w:pPr>
      <w:r w:rsidRPr="00E81281">
        <w:rPr>
          <w:b/>
          <w:bCs/>
        </w:rPr>
        <w:t>What factors explain any divergence in growth trends between the UK and European countries?</w:t>
      </w:r>
    </w:p>
    <w:p w:rsidR="00B934FC" w:rsidRPr="009C55E5" w:rsidP="00E81281">
      <w:pPr>
        <w:pStyle w:val="ListParagraph"/>
        <w:ind w:left="1440"/>
        <w:rPr>
          <w:b/>
          <w:bCs/>
        </w:rPr>
      </w:pPr>
    </w:p>
    <w:p w:rsidR="00B934FC" w:rsidP="00E81281">
      <w:pPr>
        <w:pStyle w:val="ListParagraph"/>
        <w:numPr>
          <w:ilvl w:val="0"/>
          <w:numId w:val="22"/>
        </w:numPr>
      </w:pPr>
      <w:r w:rsidRPr="009C55E5">
        <w:t xml:space="preserve">As above, EU member states have more access to economic funding and therefore frequently maintain stronger multi-year destination investment models, while our subnational destination ecosystem remains fragmented and underfunded. The DMO review process recognised issues with funding and fragmentation to this end. </w:t>
      </w:r>
      <w:r>
        <w:rPr>
          <w:rStyle w:val="FootnoteReference"/>
        </w:rPr>
        <w:footnoteReference w:id="6"/>
      </w:r>
    </w:p>
    <w:p w:rsidR="00B934FC" w:rsidRPr="009C55E5" w:rsidP="00E81281">
      <w:pPr>
        <w:pStyle w:val="ListParagraph"/>
      </w:pPr>
    </w:p>
    <w:p w:rsidR="00B934FC" w:rsidRPr="00E81281" w:rsidP="00E81281">
      <w:pPr>
        <w:rPr>
          <w:b/>
          <w:bCs/>
        </w:rPr>
      </w:pPr>
      <w:r w:rsidRPr="00E81281">
        <w:rPr>
          <w:b/>
          <w:bCs/>
        </w:rPr>
        <w:t>What are the specific drivers of international tourism to the UK, what is the economic value of each of those drivers and how can their value be increased?</w:t>
      </w:r>
    </w:p>
    <w:p w:rsidR="00B934FC" w:rsidP="00E81281">
      <w:pPr>
        <w:pStyle w:val="ListParagraph"/>
        <w:numPr>
          <w:ilvl w:val="0"/>
          <w:numId w:val="22"/>
        </w:numPr>
      </w:pPr>
      <w:r w:rsidRPr="009C55E5">
        <w:t>Core drivers include heritage/culture, business/events, visiting friends and relatives (VFR), and education. The UK’s inbound mix in 2024 included holidays and VFR as major purposes, with large value contributions across segments.</w:t>
      </w:r>
      <w:r>
        <w:rPr>
          <w:rStyle w:val="FootnoteReference"/>
        </w:rPr>
        <w:footnoteReference w:id="7"/>
      </w:r>
      <w:r>
        <w:rPr>
          <w:rStyle w:val="FootnoteReference"/>
        </w:rPr>
        <w:footnoteReference w:id="8"/>
      </w:r>
      <w:r w:rsidRPr="009C55E5">
        <w:t xml:space="preserve"> </w:t>
      </w:r>
    </w:p>
    <w:p w:rsidR="00B934FC" w:rsidRPr="009C55E5" w:rsidP="00E81281">
      <w:pPr>
        <w:pStyle w:val="ListParagraph"/>
      </w:pPr>
    </w:p>
    <w:p w:rsidR="00B934FC" w:rsidRPr="009C55E5" w:rsidP="00E81281">
      <w:pPr>
        <w:pStyle w:val="ListParagraph"/>
        <w:numPr>
          <w:ilvl w:val="0"/>
          <w:numId w:val="22"/>
        </w:numPr>
      </w:pPr>
      <w:r w:rsidRPr="009C55E5">
        <w:t xml:space="preserve">Increasing value (especially for regions like ours) requires dispersal strategies (itinerary development linking gateways to rural/coastal heritage), year-round offers (festivals, walking/cycling, wellness, food and drink) and better local conversion through destination management, visitor servicing, and business support—currently constrained by lack of funding. </w:t>
      </w:r>
      <w:r>
        <w:rPr>
          <w:rStyle w:val="FootnoteReference"/>
        </w:rPr>
        <w:footnoteReference w:id="9"/>
      </w:r>
      <w:r>
        <w:rPr>
          <w:rStyle w:val="FootnoteReference"/>
        </w:rPr>
        <w:footnoteReference w:id="10"/>
      </w:r>
    </w:p>
    <w:p w:rsidR="00B934FC" w:rsidRPr="00E81281" w:rsidP="00E81281">
      <w:pPr>
        <w:rPr>
          <w:b/>
          <w:bCs/>
        </w:rPr>
      </w:pPr>
      <w:r w:rsidRPr="00E81281">
        <w:rPr>
          <w:b/>
          <w:bCs/>
        </w:rPr>
        <w:t>What are the arguments for and against the proposal to give mayoral strategic authorities the power to introduce an overnight visitor levy? If a levy is introduced, how should it best be spent to attract tourism and investment?</w:t>
      </w:r>
    </w:p>
    <w:p w:rsidR="00B934FC" w:rsidP="00E81281">
      <w:pPr>
        <w:pStyle w:val="ListParagraph"/>
        <w:numPr>
          <w:ilvl w:val="0"/>
          <w:numId w:val="22"/>
        </w:numPr>
      </w:pPr>
      <w:r w:rsidRPr="009C55E5">
        <w:t xml:space="preserve">Wessex supports the introduction of an overnight visitor levy but believes this should not be constrained to mayoral areas. </w:t>
      </w:r>
    </w:p>
    <w:p w:rsidR="00B934FC" w:rsidRPr="009C55E5" w:rsidP="005A3077">
      <w:pPr>
        <w:pStyle w:val="ListParagraph"/>
      </w:pPr>
    </w:p>
    <w:p w:rsidR="00B934FC" w:rsidP="00E81281">
      <w:pPr>
        <w:pStyle w:val="ListParagraph"/>
        <w:numPr>
          <w:ilvl w:val="0"/>
          <w:numId w:val="22"/>
        </w:numPr>
        <w:rPr>
          <w:rFonts w:cstheme="minorHAnsi"/>
        </w:rPr>
      </w:pPr>
      <w:r w:rsidRPr="00F94BB5">
        <w:rPr>
          <w:rFonts w:cstheme="minorHAnsi"/>
        </w:rPr>
        <w:t>Major visitor destinations in Wessex are not currently part of a mayoral or foundation strategic authority yet experience some of the highest visitor volumes and associated pressures. Restricting levy powers to mayoral areas risks disadvantaging destinations that most need additional funding. We therefore support extending levy powers to Foundation Strategic Authorities and where these are not yet in place, directly to local authorities as our visitor pressures are demonstrably high.</w:t>
      </w:r>
    </w:p>
    <w:p w:rsidR="00B934FC" w:rsidRPr="005A3077" w:rsidP="005A3077">
      <w:pPr>
        <w:pStyle w:val="ListParagraph"/>
        <w:rPr>
          <w:rFonts w:cstheme="minorHAnsi"/>
        </w:rPr>
      </w:pPr>
    </w:p>
    <w:p w:rsidR="00B934FC" w:rsidP="00E81281">
      <w:pPr>
        <w:pStyle w:val="ListParagraph"/>
        <w:numPr>
          <w:ilvl w:val="0"/>
          <w:numId w:val="22"/>
        </w:numPr>
        <w:rPr>
          <w:rFonts w:cstheme="minorHAnsi"/>
        </w:rPr>
      </w:pPr>
      <w:r w:rsidRPr="00F94BB5">
        <w:rPr>
          <w:rFonts w:cstheme="minorHAnsi"/>
        </w:rPr>
        <w:t>Councils should also be able to do this given their duty to promote the "economic, social or environmental well-being”</w:t>
      </w:r>
      <w:r>
        <w:rPr>
          <w:rStyle w:val="FootnoteReference"/>
          <w:rFonts w:cstheme="minorHAnsi"/>
        </w:rPr>
        <w:footnoteReference w:id="11"/>
      </w:r>
      <w:r w:rsidRPr="00F94BB5">
        <w:rPr>
          <w:rFonts w:cstheme="minorHAnsi"/>
        </w:rPr>
        <w:t xml:space="preserve"> of their area under the Local Government Act 2000. This will complement investment in and the work of Destination Delivery Partnerships and Destination Management Organisations. Councils will be able to use the levy to invest in public realm improvements or events that attract visitors and investment. </w:t>
      </w:r>
    </w:p>
    <w:p w:rsidR="00B934FC" w:rsidRPr="005A3077" w:rsidP="005A3077">
      <w:pPr>
        <w:pStyle w:val="ListParagraph"/>
        <w:rPr>
          <w:rFonts w:cstheme="minorHAnsi"/>
        </w:rPr>
      </w:pPr>
    </w:p>
    <w:p w:rsidR="00B934FC" w:rsidP="00E81281">
      <w:pPr>
        <w:pStyle w:val="ListParagraph"/>
        <w:numPr>
          <w:ilvl w:val="0"/>
          <w:numId w:val="22"/>
        </w:numPr>
        <w:rPr>
          <w:rFonts w:cstheme="minorHAnsi"/>
        </w:rPr>
      </w:pPr>
      <w:r w:rsidRPr="00F94BB5">
        <w:rPr>
          <w:rFonts w:cstheme="minorHAnsi"/>
        </w:rPr>
        <w:t xml:space="preserve">Levy revenues must have a clear and visible link to supporting the visitor economy and mitigating the impacts of tourism. Investment should prioritise destination management, visitor infrastructure, public realm, safety, events, marketing and services that directly benefit visitors and tourism businesses. The visitor industry is a major employer in coastal and other communities and therefore investment in the place will enable more youth engagement, more job opportunities and people into employment. </w:t>
      </w:r>
    </w:p>
    <w:p w:rsidR="00B934FC" w:rsidRPr="00F94BB5" w:rsidP="00E81281">
      <w:pPr>
        <w:pStyle w:val="ListParagraph"/>
        <w:rPr>
          <w:rFonts w:cstheme="minorHAnsi"/>
        </w:rPr>
      </w:pPr>
    </w:p>
    <w:p w:rsidR="00B934FC" w:rsidP="00E81281">
      <w:pPr>
        <w:pStyle w:val="ListParagraph"/>
        <w:numPr>
          <w:ilvl w:val="0"/>
          <w:numId w:val="22"/>
        </w:numPr>
        <w:rPr>
          <w:rFonts w:cstheme="minorHAnsi"/>
        </w:rPr>
      </w:pPr>
      <w:r w:rsidRPr="00F94BB5">
        <w:rPr>
          <w:rFonts w:cstheme="minorHAnsi"/>
        </w:rPr>
        <w:t>We support local determination, provided it is transparent and informed by evidence of visitor impact. Overnight stays are a useful indicator, but flexibility is needed to reflect seasonal pressures, event-driven demand and the differing impacts of visitor types across destinations.</w:t>
      </w:r>
    </w:p>
    <w:p w:rsidR="00B934FC" w:rsidRPr="00E81281" w:rsidP="00E81281">
      <w:pPr>
        <w:pStyle w:val="ListParagraph"/>
        <w:rPr>
          <w:rFonts w:cstheme="minorHAnsi"/>
        </w:rPr>
      </w:pPr>
    </w:p>
    <w:p w:rsidR="00B934FC" w:rsidRPr="00F94BB5" w:rsidP="00E81281">
      <w:pPr>
        <w:pStyle w:val="ListParagraph"/>
        <w:numPr>
          <w:ilvl w:val="0"/>
          <w:numId w:val="22"/>
        </w:numPr>
        <w:rPr>
          <w:rFonts w:cstheme="minorHAnsi"/>
        </w:rPr>
      </w:pPr>
      <w:r w:rsidRPr="00F94BB5">
        <w:rPr>
          <w:rFonts w:cstheme="minorHAnsi"/>
        </w:rPr>
        <w:t>We believe the levy policy should be mindful that:</w:t>
      </w:r>
    </w:p>
    <w:p w:rsidR="00B934FC" w:rsidRPr="009C55E5" w:rsidP="00E81281">
      <w:pPr>
        <w:numPr>
          <w:ilvl w:val="1"/>
          <w:numId w:val="22"/>
        </w:numPr>
        <w:spacing w:line="259" w:lineRule="auto"/>
        <w:rPr>
          <w:rFonts w:cstheme="minorHAnsi"/>
        </w:rPr>
      </w:pPr>
      <w:r w:rsidRPr="009C55E5">
        <w:rPr>
          <w:rFonts w:cstheme="minorHAnsi"/>
        </w:rPr>
        <w:t>For campsite and caravan licensing Class BC (July 2023) allows up to 60 days per year with up to 50 pitches (motorhomes/campervans) without planning permission.</w:t>
      </w:r>
    </w:p>
    <w:p w:rsidR="00B934FC" w:rsidRPr="009C55E5" w:rsidP="00E81281">
      <w:pPr>
        <w:numPr>
          <w:ilvl w:val="1"/>
          <w:numId w:val="22"/>
        </w:numPr>
        <w:spacing w:line="259" w:lineRule="auto"/>
        <w:rPr>
          <w:rFonts w:cstheme="minorHAnsi"/>
        </w:rPr>
      </w:pPr>
      <w:r w:rsidRPr="009C55E5">
        <w:rPr>
          <w:rFonts w:cstheme="minorHAnsi"/>
        </w:rPr>
        <w:t>Local authorities may charge up to 100% extra on furnished second homes not let commercially. If they are let commercially, they must be actually let to paying guests for ≥ 70 nights per year, available to be let commercially for ≥ 140 nights per year and with an intention to be available for at least 140 nights next year</w:t>
      </w:r>
    </w:p>
    <w:p w:rsidR="00B934FC" w:rsidRPr="00F94BB5" w:rsidP="00E81281">
      <w:pPr>
        <w:pStyle w:val="ListParagraph"/>
        <w:numPr>
          <w:ilvl w:val="1"/>
          <w:numId w:val="22"/>
        </w:numPr>
        <w:rPr>
          <w:rFonts w:cstheme="minorHAnsi"/>
        </w:rPr>
      </w:pPr>
      <w:r w:rsidRPr="00F94BB5">
        <w:rPr>
          <w:rFonts w:cstheme="minorHAnsi"/>
        </w:rPr>
        <w:t>The threshold for liability could therefore vary by accommodation type and consider these and other relevant legislative requirements. A threshold should be considered to reduce disproportionate administrative burden on very small or infrequent providers. Any threshold should be simple, clearly defined, and designed to minimise avoidance or unfair competition. Limited flexibility may be appropriate within a framework as otherwise this would increase complexity for businesses operating across multiple areas.</w:t>
      </w:r>
      <w:r w:rsidRPr="00F94BB5">
        <w:rPr>
          <w:rFonts w:cstheme="minorHAnsi"/>
        </w:rPr>
        <w:t xml:space="preserve"> Any local exemptions should be clearly justified, consulted upon, and transparently communicated.</w:t>
      </w:r>
    </w:p>
    <w:p w:rsidR="00B934FC" w:rsidRPr="00E81281" w:rsidP="00E81281">
      <w:pPr>
        <w:rPr>
          <w:b/>
          <w:bCs/>
        </w:rPr>
      </w:pPr>
      <w:r w:rsidRPr="00E81281">
        <w:rPr>
          <w:b/>
          <w:bCs/>
        </w:rPr>
        <w:t xml:space="preserve"> How effectively do government structures and working arrangements support the tourism sector?</w:t>
      </w:r>
    </w:p>
    <w:p w:rsidR="00B934FC" w:rsidRPr="00E81281" w:rsidP="00E81281">
      <w:pPr>
        <w:rPr>
          <w:b/>
          <w:bCs/>
        </w:rPr>
      </w:pPr>
      <w:r w:rsidRPr="00E81281">
        <w:rPr>
          <w:b/>
          <w:bCs/>
        </w:rPr>
        <w:t>How well do VisitBritain/VisitEngland and Destination Management Organisations support the sector? How well do they compare to equivalent bodies in other countries?</w:t>
      </w:r>
    </w:p>
    <w:p w:rsidR="00B934FC" w:rsidRPr="009C55E5" w:rsidP="00E81281">
      <w:pPr>
        <w:pStyle w:val="ListParagraph"/>
        <w:numPr>
          <w:ilvl w:val="0"/>
          <w:numId w:val="22"/>
        </w:numPr>
      </w:pPr>
      <w:r w:rsidRPr="009C55E5">
        <w:t xml:space="preserve">England has been implementing reforms following the independent DMO review and the move toward Local Visitor Economy Partnerships (LVEPs). However, progress has been slow and has stalled in places as: </w:t>
      </w:r>
    </w:p>
    <w:p w:rsidR="00B934FC" w:rsidRPr="009C55E5" w:rsidP="00E81281">
      <w:pPr>
        <w:numPr>
          <w:ilvl w:val="0"/>
          <w:numId w:val="22"/>
        </w:numPr>
      </w:pPr>
      <w:r w:rsidRPr="009C55E5">
        <w:t>Many destination bodies remain project-funded, not core-funded, limiting delivery consistency.</w:t>
      </w:r>
    </w:p>
    <w:p w:rsidR="00B934FC" w:rsidRPr="009C55E5" w:rsidP="00E81281">
      <w:pPr>
        <w:numPr>
          <w:ilvl w:val="0"/>
          <w:numId w:val="22"/>
        </w:numPr>
      </w:pPr>
      <w:r w:rsidRPr="009C55E5">
        <w:t>Areas face challenges recruiting and retaining specialist staff without stable budgets.</w:t>
      </w:r>
    </w:p>
    <w:p w:rsidR="00B934FC" w:rsidRPr="00E81281" w:rsidP="00E81281">
      <w:pPr>
        <w:rPr>
          <w:b/>
          <w:bCs/>
        </w:rPr>
      </w:pPr>
      <w:r w:rsidRPr="00E81281">
        <w:rPr>
          <w:b/>
          <w:bCs/>
        </w:rPr>
        <w:t>How effectively do the UK and devolved Governments work together to promote tourism and support the sector?</w:t>
      </w:r>
    </w:p>
    <w:p w:rsidR="00B934FC" w:rsidRPr="009C55E5" w:rsidP="00E81281">
      <w:pPr>
        <w:pStyle w:val="ListParagraph"/>
        <w:numPr>
          <w:ilvl w:val="0"/>
          <w:numId w:val="22"/>
        </w:numPr>
      </w:pPr>
      <w:r w:rsidRPr="009C55E5">
        <w:t xml:space="preserve">We have no comment on the devolved Governments. </w:t>
      </w:r>
    </w:p>
    <w:p w:rsidR="00B934FC" w:rsidRPr="00E81281" w:rsidP="00E81281">
      <w:pPr>
        <w:rPr>
          <w:b/>
          <w:bCs/>
        </w:rPr>
      </w:pPr>
      <w:r w:rsidRPr="00E81281">
        <w:rPr>
          <w:b/>
          <w:bCs/>
        </w:rPr>
        <w:t>What opportunities exist to increase inward investment into tourism infrastructure and what changes may be needed to encourage it?</w:t>
      </w:r>
    </w:p>
    <w:p w:rsidR="00B934FC" w:rsidRPr="009C55E5" w:rsidP="00E81281">
      <w:pPr>
        <w:pStyle w:val="ListParagraph"/>
        <w:numPr>
          <w:ilvl w:val="0"/>
          <w:numId w:val="22"/>
        </w:numPr>
      </w:pPr>
      <w:r w:rsidRPr="009C55E5">
        <w:t>Opportunities in our area include:</w:t>
      </w:r>
    </w:p>
    <w:p w:rsidR="00B934FC" w:rsidRPr="009C55E5" w:rsidP="00E81281">
      <w:pPr>
        <w:numPr>
          <w:ilvl w:val="1"/>
          <w:numId w:val="22"/>
        </w:numPr>
        <w:spacing w:after="0"/>
      </w:pPr>
      <w:r w:rsidRPr="009C55E5">
        <w:t>Coastal resort and seafront renewal</w:t>
      </w:r>
    </w:p>
    <w:p w:rsidR="00B934FC" w:rsidRPr="009C55E5" w:rsidP="00E81281">
      <w:pPr>
        <w:numPr>
          <w:ilvl w:val="1"/>
          <w:numId w:val="22"/>
        </w:numPr>
        <w:spacing w:after="0"/>
      </w:pPr>
      <w:r w:rsidRPr="009C55E5">
        <w:t>Rural/heritage visitor hubs and sustainable mobility</w:t>
      </w:r>
    </w:p>
    <w:p w:rsidR="00B934FC" w:rsidRPr="009C55E5" w:rsidP="00E81281">
      <w:pPr>
        <w:numPr>
          <w:ilvl w:val="1"/>
          <w:numId w:val="22"/>
        </w:numPr>
        <w:spacing w:after="0"/>
      </w:pPr>
      <w:r w:rsidRPr="009C55E5">
        <w:t xml:space="preserve">Conference and events infrastructure </w:t>
      </w:r>
    </w:p>
    <w:p w:rsidR="00B934FC" w:rsidRPr="009C55E5" w:rsidP="00E81281">
      <w:pPr>
        <w:numPr>
          <w:ilvl w:val="1"/>
          <w:numId w:val="22"/>
        </w:numPr>
        <w:spacing w:after="0"/>
      </w:pPr>
      <w:r w:rsidRPr="009C55E5">
        <w:t>Nature-based and sustainable tourism, trails, and climate adaptation investments</w:t>
      </w:r>
    </w:p>
    <w:p w:rsidR="00B934FC" w:rsidRPr="009C55E5" w:rsidP="009C55E5">
      <w:pPr>
        <w:spacing w:after="0"/>
      </w:pPr>
    </w:p>
    <w:p w:rsidR="00B934FC" w:rsidRPr="009C55E5" w:rsidP="00E81281">
      <w:pPr>
        <w:pStyle w:val="ListParagraph"/>
        <w:numPr>
          <w:ilvl w:val="0"/>
          <w:numId w:val="22"/>
        </w:numPr>
        <w:spacing w:after="0"/>
      </w:pPr>
      <w:r w:rsidRPr="009C55E5">
        <w:t xml:space="preserve">Wessex authorities have delivered successful regeneration, cultural and heritage projects which support the visitor economy, but opportunities for further growth and inward investment are more challenging without sustainable pipeline funding. Funding should be broader than a single sector, enabling works such as transport investment and interchange, public realm and flood/coastal resilience all contribute to a thriving visitor economy. </w:t>
      </w:r>
    </w:p>
    <w:p w:rsidR="00B934FC" w:rsidRPr="009C55E5" w:rsidP="009C55E5">
      <w:pPr>
        <w:spacing w:after="0"/>
      </w:pPr>
    </w:p>
    <w:p w:rsidR="00B934FC" w:rsidRPr="00E81281" w:rsidP="00E81281">
      <w:pPr>
        <w:rPr>
          <w:b/>
          <w:bCs/>
        </w:rPr>
      </w:pPr>
      <w:r w:rsidRPr="00E81281">
        <w:rPr>
          <w:b/>
          <w:bCs/>
        </w:rPr>
        <w:t>What opportunities exist to increase inward investment into tourism infrastructure and what changes may be needed to encourage it?</w:t>
      </w:r>
    </w:p>
    <w:p w:rsidR="00B934FC" w:rsidP="00E81281">
      <w:pPr>
        <w:pStyle w:val="ListParagraph"/>
        <w:numPr>
          <w:ilvl w:val="0"/>
          <w:numId w:val="22"/>
        </w:numPr>
      </w:pPr>
      <w:r w:rsidRPr="009C55E5">
        <w:t>Nationally,</w:t>
      </w:r>
      <w:r>
        <w:t xml:space="preserve"> we understand</w:t>
      </w:r>
      <w:r w:rsidRPr="009C55E5">
        <w:t xml:space="preserve"> growth has been strongest in high-connectivity gateways and destinations benefiting from strong air/rail access and sustained marketing. While Wessex benefits from good connectivity to ports and airports, wider transport accessibility and reliability present an ongoing concern. Transport enhancements are also constrained by reduced funding. </w:t>
      </w:r>
    </w:p>
    <w:p w:rsidR="00B934FC" w:rsidRPr="00E81281" w:rsidP="00E81281">
      <w:r w:rsidRPr="00E81281">
        <w:rPr>
          <w:b/>
          <w:bCs/>
        </w:rPr>
        <w:t>Which areas have seen the biggest growth in inbound tourism and why?</w:t>
      </w:r>
    </w:p>
    <w:p w:rsidR="00B934FC" w:rsidP="00E81281">
      <w:pPr>
        <w:pStyle w:val="ListParagraph"/>
        <w:numPr>
          <w:ilvl w:val="0"/>
          <w:numId w:val="22"/>
        </w:numPr>
      </w:pPr>
      <w:r w:rsidRPr="009C55E5">
        <w:t xml:space="preserve">Nationally, </w:t>
      </w:r>
      <w:r>
        <w:t xml:space="preserve">we understand </w:t>
      </w:r>
      <w:r w:rsidRPr="009C55E5">
        <w:t>growth has been strongest in high-connectivity gateways and destinations benefiting from strong air/rail access and sustained marketing</w:t>
      </w:r>
    </w:p>
    <w:p w:rsidR="00B934FC" w:rsidRPr="00E81281" w:rsidP="00E81281">
      <w:r w:rsidRPr="00E81281">
        <w:rPr>
          <w:b/>
          <w:bCs/>
        </w:rPr>
        <w:t>How can investment be unlocked in all parts of the country?</w:t>
      </w:r>
    </w:p>
    <w:p w:rsidR="00B934FC" w:rsidP="00E81281">
      <w:pPr>
        <w:pStyle w:val="ListParagraph"/>
        <w:numPr>
          <w:ilvl w:val="0"/>
          <w:numId w:val="22"/>
        </w:numPr>
      </w:pPr>
      <w:r w:rsidRPr="009C55E5">
        <w:t xml:space="preserve">Fiscal devolution tools should be expanded beyond mayoral areas and in the interim equivalent mechanisms should be provided for councils.  </w:t>
      </w:r>
    </w:p>
    <w:p w:rsidR="00B934FC" w:rsidRPr="009C55E5" w:rsidP="00E81281">
      <w:pPr>
        <w:pStyle w:val="ListParagraph"/>
      </w:pPr>
    </w:p>
    <w:p w:rsidR="00B934FC" w:rsidP="00E81281">
      <w:pPr>
        <w:pStyle w:val="ListParagraph"/>
        <w:numPr>
          <w:ilvl w:val="0"/>
          <w:numId w:val="22"/>
        </w:numPr>
      </w:pPr>
      <w:r w:rsidRPr="009C55E5">
        <w:t xml:space="preserve">There should be funded destination capacity (LVEP functions) so places can develop investable projects, supported by a national visitor infrastructure fund with multi-year rounds, to avoid stop–start bidding. Alongside UKSPF, the removal of Levelling Up or biddable local growth funding has reduced the ability of non-mayoral areas to match fund or support projects even where funding from other parties is available. </w:t>
      </w:r>
    </w:p>
    <w:p w:rsidR="00B934FC" w:rsidP="00E81281">
      <w:pPr>
        <w:pStyle w:val="ListParagraph"/>
      </w:pPr>
    </w:p>
    <w:p w:rsidR="00B934FC" w:rsidRPr="00E81281" w:rsidP="00E81281">
      <w:pPr>
        <w:rPr>
          <w:b/>
          <w:bCs/>
        </w:rPr>
      </w:pPr>
      <w:r w:rsidRPr="00E81281">
        <w:rPr>
          <w:b/>
          <w:bCs/>
        </w:rPr>
        <w:t>How well is the visitor economy recovering from the COVID-19 pandemic and what challenges continue to affect business and destinations?</w:t>
      </w:r>
    </w:p>
    <w:p w:rsidR="00B934FC" w:rsidRPr="009C55E5" w:rsidP="00E81281">
      <w:pPr>
        <w:pStyle w:val="ListParagraph"/>
        <w:numPr>
          <w:ilvl w:val="0"/>
          <w:numId w:val="22"/>
        </w:numPr>
      </w:pPr>
      <w:r w:rsidRPr="009C55E5">
        <w:t xml:space="preserve">While numbers have recovered or increased in some areas, this is not a consistent picture. Businesses consistently report challenging trading conditions, with concerns around energy and operating cost pressures and the </w:t>
      </w:r>
      <w:r w:rsidRPr="009C55E5">
        <w:t>broader cost-of-living environment affecting demand and margins. There are concerns over workforce cost with the NI increase, alongside workforce shortages and housing affordability in coastal/rural communities. Many businesses have not been able to re-establish reserves to carry them through further shocks and are concerned about fragile seasonality, with visitor businesses heavily dependent on peak periods.</w:t>
      </w:r>
    </w:p>
    <w:p w:rsidR="00B934FC" w:rsidRPr="00E81281" w:rsidP="00E81281">
      <w:pPr>
        <w:ind w:left="360"/>
        <w:rPr>
          <w:b/>
          <w:bCs/>
        </w:rPr>
      </w:pPr>
      <w:r w:rsidRPr="00E81281">
        <w:rPr>
          <w:b/>
          <w:bCs/>
        </w:rPr>
        <w:t>How effectively is the domestic tourism sector functioning across the UK and what factors are shaping current levels of demand and recovery?</w:t>
      </w:r>
    </w:p>
    <w:p w:rsidR="00B934FC" w:rsidP="00E81281">
      <w:pPr>
        <w:pStyle w:val="ListParagraph"/>
        <w:numPr>
          <w:ilvl w:val="0"/>
          <w:numId w:val="22"/>
        </w:numPr>
      </w:pPr>
      <w:r w:rsidRPr="009C55E5">
        <w:t xml:space="preserve">We have no particular comment on domestic vs international tourism. </w:t>
      </w:r>
    </w:p>
    <w:p w:rsidR="00B934FC" w:rsidRPr="00E81281" w:rsidP="00E81281">
      <w:r w:rsidRPr="00E81281">
        <w:rPr>
          <w:b/>
          <w:bCs/>
        </w:rPr>
        <w:t>How can tourism better support regional growth, community prosperity and wider Government objectives?</w:t>
      </w:r>
    </w:p>
    <w:p w:rsidR="00B934FC" w:rsidRPr="00F94BB5" w:rsidP="00E81281">
      <w:pPr>
        <w:pStyle w:val="ListParagraph"/>
        <w:numPr>
          <w:ilvl w:val="0"/>
          <w:numId w:val="22"/>
        </w:numPr>
        <w:rPr>
          <w:b/>
          <w:bCs/>
        </w:rPr>
      </w:pPr>
      <w:r w:rsidRPr="00E81281">
        <w:t>Tou</w:t>
      </w:r>
      <w:r w:rsidRPr="009C55E5">
        <w:t xml:space="preserve">rism can deliver growth, jobs, place-making and cultural investment. Nationally, tourism directly supported substantial output and jobs (ONS estimates for 2023: £58bn output and 1.2m jobs). Investment in tourism also supports pride in place and thriving healthy and safe communities, all contributing to Government strategies and objectives.  </w:t>
      </w:r>
    </w:p>
    <w:p w:rsidR="00B934FC" w:rsidRPr="00E81281" w:rsidP="00E81281">
      <w:pPr>
        <w:rPr>
          <w:b/>
          <w:bCs/>
        </w:rPr>
      </w:pPr>
      <w:r w:rsidRPr="00E81281">
        <w:rPr>
          <w:b/>
          <w:bCs/>
        </w:rPr>
        <w:t>What barriers prevent regions from capitalising fully on tourism demand and what opportunities remain overlooked?</w:t>
      </w:r>
    </w:p>
    <w:p w:rsidR="00B934FC" w:rsidRPr="009C55E5" w:rsidP="00E81281">
      <w:pPr>
        <w:pStyle w:val="ListParagraph"/>
        <w:numPr>
          <w:ilvl w:val="0"/>
          <w:numId w:val="22"/>
        </w:numPr>
      </w:pPr>
      <w:r w:rsidRPr="009C55E5">
        <w:t>Please refer to earlier answers on dispersal of funding</w:t>
      </w:r>
    </w:p>
    <w:p w:rsidR="00B934FC" w:rsidRPr="00E81281" w:rsidP="00E81281">
      <w:pPr>
        <w:rPr>
          <w:b/>
          <w:bCs/>
        </w:rPr>
      </w:pPr>
      <w:r w:rsidRPr="00E81281">
        <w:rPr>
          <w:b/>
          <w:bCs/>
        </w:rPr>
        <w:t>Are transport links, digital connectivity and cultural infrastructure adequate to support regional tourism growth?</w:t>
      </w:r>
    </w:p>
    <w:p w:rsidR="00B934FC" w:rsidP="00E81281">
      <w:pPr>
        <w:pStyle w:val="ListParagraph"/>
        <w:numPr>
          <w:ilvl w:val="0"/>
          <w:numId w:val="22"/>
        </w:numPr>
      </w:pPr>
      <w:r w:rsidRPr="009C55E5">
        <w:t>No, particularly in rural and coastal areas</w:t>
      </w:r>
    </w:p>
    <w:p w:rsidR="00B934FC" w:rsidRPr="009C55E5" w:rsidP="00E81281">
      <w:pPr>
        <w:pStyle w:val="ListParagraph"/>
      </w:pPr>
    </w:p>
    <w:p w:rsidR="00B934FC" w:rsidP="00E81281">
      <w:pPr>
        <w:pStyle w:val="ListParagraph"/>
        <w:numPr>
          <w:ilvl w:val="0"/>
          <w:numId w:val="22"/>
        </w:numPr>
      </w:pPr>
      <w:r w:rsidRPr="009C55E5">
        <w:t xml:space="preserve">In rural areas reliability and availability of transport is a persistent challenge via every mode. Digital connectivity and coverage remain patchy, and mobile coverage is a particular concern. </w:t>
      </w:r>
    </w:p>
    <w:p w:rsidR="00B934FC" w:rsidRPr="009C55E5" w:rsidP="00E81281">
      <w:pPr>
        <w:pStyle w:val="ListParagraph"/>
      </w:pPr>
    </w:p>
    <w:p w:rsidR="00B934FC" w:rsidP="00E81281">
      <w:pPr>
        <w:pStyle w:val="ListParagraph"/>
        <w:numPr>
          <w:ilvl w:val="0"/>
          <w:numId w:val="22"/>
        </w:numPr>
      </w:pPr>
      <w:r w:rsidRPr="009C55E5">
        <w:t xml:space="preserve">In coastal areas, there can be additional concerns around high demand causing infrastructure strain and climate/coastal erosion risks. </w:t>
      </w:r>
    </w:p>
    <w:p w:rsidR="00B934FC" w:rsidP="00E81281">
      <w:pPr>
        <w:pStyle w:val="ListParagraph"/>
      </w:pPr>
    </w:p>
    <w:p w:rsidR="00B934FC" w:rsidP="00E81281">
      <w:pPr>
        <w:pStyle w:val="ListParagraph"/>
        <w:numPr>
          <w:ilvl w:val="0"/>
          <w:numId w:val="22"/>
        </w:numPr>
      </w:pPr>
      <w:r w:rsidRPr="009C55E5">
        <w:t xml:space="preserve">Wessex authorities have continued to drive cultural infrastructure, and capital investments through Future High Streets Fund and Towns Fund have supported cultural investment – nonetheless, in the absence of stable revenue funding, sustaining the cultural offer is a concern. </w:t>
      </w:r>
    </w:p>
    <w:p w:rsidR="00B934FC" w:rsidRPr="00E81281" w:rsidP="00E81281">
      <w:pPr>
        <w:rPr>
          <w:b/>
          <w:bCs/>
        </w:rPr>
      </w:pPr>
      <w:r w:rsidRPr="00E81281">
        <w:rPr>
          <w:b/>
          <w:bCs/>
        </w:rPr>
        <w:t>What are the particular opportunities and challenges for tourism in: a) coastal areas, and b) rural areas</w:t>
      </w:r>
    </w:p>
    <w:p w:rsidR="00B934FC" w:rsidRPr="009C55E5" w:rsidP="00E81281">
      <w:pPr>
        <w:pStyle w:val="ListParagraph"/>
        <w:numPr>
          <w:ilvl w:val="0"/>
          <w:numId w:val="22"/>
        </w:numPr>
      </w:pPr>
      <w:r w:rsidRPr="009C55E5">
        <w:t xml:space="preserve">As above, with additional challenges around workforce availability linked to the price of housing and a trend of young workers to move to larger urban areas for opportunities. </w:t>
      </w:r>
    </w:p>
    <w:p w:rsidR="00B934FC" w:rsidRPr="00E81281" w:rsidP="00E81281">
      <w:pPr>
        <w:rPr>
          <w:b/>
          <w:bCs/>
        </w:rPr>
      </w:pPr>
      <w:r w:rsidRPr="00E81281">
        <w:rPr>
          <w:b/>
          <w:bCs/>
        </w:rPr>
        <w:t>How can the Government and tourism sector maximise the potential of cultural heritage and creative assets to attract visitors?</w:t>
      </w:r>
    </w:p>
    <w:p w:rsidR="00B934FC" w:rsidP="00E81281">
      <w:pPr>
        <w:pStyle w:val="ListParagraph"/>
        <w:numPr>
          <w:ilvl w:val="0"/>
          <w:numId w:val="22"/>
        </w:numPr>
      </w:pPr>
      <w:r w:rsidRPr="009C55E5">
        <w:t xml:space="preserve">We see particular interest and demand in integrating heritage with film/TV and creative industries. There should also be further consideration around sustaining events and festivals and supporting them to extend seasons. We would be supportive of mechanisms to ensure events present longer-term opportunities to work with their local communities, building on the best practice of some of our major events. </w:t>
      </w:r>
    </w:p>
    <w:p w:rsidR="00B934FC" w:rsidRPr="009C55E5" w:rsidP="00E81281">
      <w:pPr>
        <w:pStyle w:val="ListParagraph"/>
      </w:pPr>
    </w:p>
    <w:p w:rsidR="00B934FC" w:rsidRPr="009C55E5" w:rsidP="00E81281">
      <w:pPr>
        <w:pStyle w:val="ListParagraph"/>
        <w:numPr>
          <w:ilvl w:val="0"/>
          <w:numId w:val="22"/>
        </w:numPr>
      </w:pPr>
      <w:r w:rsidRPr="009C55E5">
        <w:t>This requires sustained destination management and local investment capacit</w:t>
      </w:r>
    </w:p>
    <w:p w:rsidR="00B934FC" w:rsidRPr="00E81281" w:rsidP="00E81281">
      <w:pPr>
        <w:rPr>
          <w:b/>
          <w:bCs/>
        </w:rPr>
      </w:pPr>
      <w:r w:rsidRPr="00E81281">
        <w:rPr>
          <w:b/>
          <w:bCs/>
        </w:rPr>
        <w:t>What are the key issues facing the tourism workforce?</w:t>
      </w:r>
    </w:p>
    <w:p w:rsidR="00B934FC" w:rsidRPr="00E81281" w:rsidP="00E81281">
      <w:pPr>
        <w:rPr>
          <w:b/>
          <w:bCs/>
        </w:rPr>
      </w:pPr>
      <w:r w:rsidRPr="00E81281">
        <w:rPr>
          <w:b/>
          <w:bCs/>
        </w:rPr>
        <w:t>How have immigration and employment policies and legislation affected the tourism sector?</w:t>
      </w:r>
    </w:p>
    <w:p w:rsidR="00B934FC" w:rsidP="00E81281">
      <w:pPr>
        <w:pStyle w:val="ListParagraph"/>
        <w:numPr>
          <w:ilvl w:val="0"/>
          <w:numId w:val="22"/>
        </w:numPr>
      </w:pPr>
      <w:r w:rsidRPr="009C55E5">
        <w:t xml:space="preserve">Key issues facing the tourism workforce include recruitment/retention challenges, seasonality, skills gaps (hospitality management, digital, green skills), and housing affordability in coastal and rural destinations. From a wider economic perspective, the sector also faces challenges around productivity. </w:t>
      </w:r>
    </w:p>
    <w:p w:rsidR="00B934FC" w:rsidRPr="009C55E5" w:rsidP="00E81281">
      <w:pPr>
        <w:pStyle w:val="ListParagraph"/>
      </w:pPr>
    </w:p>
    <w:p w:rsidR="00B934FC" w:rsidRPr="009C55E5" w:rsidP="00E81281">
      <w:pPr>
        <w:pStyle w:val="ListParagraph"/>
        <w:numPr>
          <w:ilvl w:val="0"/>
          <w:numId w:val="22"/>
        </w:numPr>
      </w:pPr>
      <w:r w:rsidRPr="009C55E5">
        <w:t xml:space="preserve">Some businesses have reported reduced labour supply associated with immigration policy changes. </w:t>
      </w:r>
    </w:p>
    <w:p w:rsidR="00B934FC" w:rsidRPr="00E81281" w:rsidP="00E81281">
      <w:pPr>
        <w:rPr>
          <w:b/>
          <w:bCs/>
        </w:rPr>
      </w:pPr>
      <w:r w:rsidRPr="00E81281">
        <w:rPr>
          <w:b/>
          <w:bCs/>
        </w:rPr>
        <w:t>Conclusion</w:t>
      </w:r>
    </w:p>
    <w:p w:rsidR="00B934FC" w:rsidP="00E81281">
      <w:pPr>
        <w:pStyle w:val="ListParagraph"/>
        <w:numPr>
          <w:ilvl w:val="0"/>
          <w:numId w:val="22"/>
        </w:numPr>
      </w:pPr>
      <w:r w:rsidRPr="009C55E5">
        <w:t>In conclusion, national tourism policy fails to take account of the different needs of different places and is underpowered by funding. Local areas are expected to deliver growth, pride in place and resilience without stable core support for destination management, business support, skills and product development.</w:t>
      </w:r>
    </w:p>
    <w:p w:rsidR="00B934FC" w:rsidRPr="009C55E5" w:rsidP="00E81281">
      <w:pPr>
        <w:pStyle w:val="ListParagraph"/>
      </w:pPr>
    </w:p>
    <w:p w:rsidR="00B934FC" w:rsidP="00E81281">
      <w:pPr>
        <w:pStyle w:val="ListParagraph"/>
        <w:numPr>
          <w:ilvl w:val="0"/>
          <w:numId w:val="22"/>
        </w:numPr>
      </w:pPr>
      <w:r w:rsidRPr="009C55E5">
        <w:t xml:space="preserve">The stop–start nature of growth funding has constrained long-term planning. UKSPF was extended with “transition year” funding to March 2026, but has now ended, creating a significant cliff-edge for local visitor economy programmes and business support pipelines. </w:t>
      </w:r>
    </w:p>
    <w:p w:rsidR="00B934FC" w:rsidP="00E81281">
      <w:pPr>
        <w:pStyle w:val="ListParagraph"/>
      </w:pPr>
    </w:p>
    <w:p w:rsidR="00B934FC" w:rsidP="00E81281">
      <w:pPr>
        <w:pStyle w:val="ListParagraph"/>
        <w:numPr>
          <w:ilvl w:val="0"/>
          <w:numId w:val="22"/>
        </w:numPr>
      </w:pPr>
      <w:r w:rsidRPr="009C55E5">
        <w:t xml:space="preserve">Other growth funding is targeted at mayoral strategic authorities, and non-mayoral areas are unable to access this funding. Analysis of ten comparable funding programmes for the 2026 financial year reveals a significant premium for </w:t>
      </w:r>
      <w:r w:rsidRPr="009C55E5">
        <w:t>existing Mayoral Combined Authorities (MCAs). If Wessex held established MCA status and was funded on an equivalent basis it would receive an estimated £456.75m in additional funding each year (equivalent to £245.13 per Wessex resident).</w:t>
      </w:r>
    </w:p>
    <w:p w:rsidR="00B934FC" w:rsidP="00E81281">
      <w:pPr>
        <w:pStyle w:val="ListParagraph"/>
      </w:pPr>
    </w:p>
    <w:p w:rsidR="00B934FC" w:rsidP="00E81281">
      <w:pPr>
        <w:pStyle w:val="ListParagraph"/>
        <w:numPr>
          <w:ilvl w:val="0"/>
          <w:numId w:val="22"/>
        </w:numPr>
      </w:pPr>
      <w:r w:rsidRPr="009C55E5">
        <w:t xml:space="preserve">Tourism demand has recovered strongly, but it is fragile and uneven across seasons and geographies, with persistent cost and workforce challenges. </w:t>
      </w:r>
    </w:p>
    <w:p w:rsidR="00B934FC" w:rsidP="00E81281">
      <w:pPr>
        <w:pStyle w:val="ListParagraph"/>
      </w:pPr>
    </w:p>
    <w:p w:rsidR="00B934FC" w:rsidRPr="009C55E5" w:rsidP="00E81281">
      <w:pPr>
        <w:pStyle w:val="ListParagraph"/>
        <w:numPr>
          <w:ilvl w:val="0"/>
          <w:numId w:val="22"/>
        </w:numPr>
      </w:pPr>
      <w:r w:rsidRPr="009C55E5">
        <w:t>Our councils’ area includes major coastal and rural destinations and internationally significant heritage and culture. These places can drive regional growth—if government enables long-term investment in transport, digital, skills, housing for workers, climate resilience, and year-round product development.</w:t>
      </w:r>
    </w:p>
    <w:p w:rsidR="00B934FC" w:rsidRPr="009C55E5" w:rsidP="009C55E5"/>
    <w:p w:rsidR="00B934FC" w:rsidRPr="009C55E5" w:rsidP="078A58A2">
      <w:pPr>
        <w:rPr>
          <w:rFonts w:eastAsia="Arial" w:cs="Arial"/>
          <w:color w:val="000000" w:themeColor="text1"/>
        </w:rPr>
      </w:pPr>
    </w:p>
    <w:sectPr w:rsidSect="002F0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34FC" w:rsidP="000E46B5">
      <w:pPr>
        <w:spacing w:after="0" w:line="240" w:lineRule="auto"/>
      </w:pPr>
      <w:r>
        <w:separator/>
      </w:r>
    </w:p>
  </w:footnote>
  <w:footnote w:type="continuationSeparator" w:id="1">
    <w:p w:rsidR="00B934FC" w:rsidP="000E46B5">
      <w:pPr>
        <w:spacing w:after="0" w:line="240" w:lineRule="auto"/>
      </w:pPr>
      <w:r>
        <w:continuationSeparator/>
      </w:r>
    </w:p>
  </w:footnote>
  <w:footnote w:id="2">
    <w:p w:rsidR="00B934FC" w:rsidP="009C55E5">
      <w:pPr>
        <w:pStyle w:val="FootnoteText"/>
      </w:pPr>
      <w:r>
        <w:rPr>
          <w:rStyle w:val="FootnoteReference"/>
        </w:rPr>
        <w:footnoteRef/>
      </w:r>
      <w:r>
        <w:t xml:space="preserve"> </w:t>
      </w:r>
      <w:r>
        <w:fldChar w:fldCharType="begin"/>
      </w:r>
      <w:r>
        <w:instrText xml:space="preserve"> HYPERLINK "https://www.visitbritain.org/research-insights" \l "explore-different-datasets-using-our-visualisations" </w:instrText>
      </w:r>
      <w:r>
        <w:fldChar w:fldCharType="separate"/>
      </w:r>
      <w:r w:rsidRPr="00D874A7">
        <w:rPr>
          <w:rStyle w:val="Hyperlink"/>
        </w:rPr>
        <w:t>UK Tourism Industry Statistics &amp; Research | VisitBritain.org</w:t>
      </w:r>
      <w:r>
        <w:fldChar w:fldCharType="end"/>
      </w:r>
    </w:p>
  </w:footnote>
  <w:footnote w:id="3">
    <w:p w:rsidR="00B934FC" w:rsidP="009C55E5">
      <w:pPr>
        <w:pStyle w:val="FootnoteText"/>
      </w:pPr>
      <w:r>
        <w:rPr>
          <w:rStyle w:val="FootnoteReference"/>
        </w:rPr>
        <w:footnoteRef/>
      </w:r>
      <w:r>
        <w:t xml:space="preserve"> </w:t>
      </w:r>
      <w:r>
        <w:fldChar w:fldCharType="begin"/>
      </w:r>
      <w:r>
        <w:instrText xml:space="preserve"> HYPERLINK "https://www.visitbritain.org/research-insights/inbound-visits-and-spend-annual-regional" </w:instrText>
      </w:r>
      <w:r>
        <w:fldChar w:fldCharType="separate"/>
      </w:r>
      <w:r w:rsidRPr="003271B0">
        <w:rPr>
          <w:rStyle w:val="Hyperlink"/>
        </w:rPr>
        <w:t>Inbound visits and spend: annual, regional | VisitBritain.org</w:t>
      </w:r>
      <w:r>
        <w:fldChar w:fldCharType="end"/>
      </w:r>
    </w:p>
  </w:footnote>
  <w:footnote w:id="4">
    <w:p w:rsidR="00B934FC">
      <w:pPr>
        <w:pStyle w:val="FootnoteText"/>
      </w:pPr>
      <w:r>
        <w:rPr>
          <w:rStyle w:val="FootnoteReference"/>
        </w:rPr>
        <w:footnoteRef/>
      </w:r>
      <w:r>
        <w:t xml:space="preserve"> </w:t>
      </w:r>
      <w:r>
        <w:fldChar w:fldCharType="begin"/>
      </w:r>
      <w:r>
        <w:instrText xml:space="preserve"> HYPERLINK "https://www.visitbritain.org/news-and-media/industry-news-and-press-releases/visitbritain-publishes-inbound-tourism-forecast-0" </w:instrText>
      </w:r>
      <w:r>
        <w:fldChar w:fldCharType="separate"/>
      </w:r>
      <w:r w:rsidRPr="00E81281">
        <w:rPr>
          <w:rStyle w:val="Hyperlink"/>
        </w:rPr>
        <w:t>VisitBritain publishes inbound tourism forecast for 2025 | VisitBritain.org</w:t>
      </w:r>
      <w:r>
        <w:fldChar w:fldCharType="end"/>
      </w:r>
    </w:p>
  </w:footnote>
  <w:footnote w:id="5">
    <w:p w:rsidR="00B934FC">
      <w:pPr>
        <w:pStyle w:val="FootnoteText"/>
      </w:pPr>
      <w:r>
        <w:rPr>
          <w:rStyle w:val="FootnoteReference"/>
        </w:rPr>
        <w:footnoteRef/>
      </w:r>
      <w:r>
        <w:t xml:space="preserve"> </w:t>
      </w:r>
      <w:r>
        <w:fldChar w:fldCharType="begin"/>
      </w:r>
      <w:r>
        <w:instrText xml:space="preserve"> HYPERLINK "https://www.visitbritain.org/research-insights/inbound-tourism-forecast" </w:instrText>
      </w:r>
      <w:r>
        <w:fldChar w:fldCharType="separate"/>
      </w:r>
      <w:r w:rsidRPr="00E81281">
        <w:rPr>
          <w:rStyle w:val="Hyperlink"/>
        </w:rPr>
        <w:t>UK Inbound Travel &amp; Tourism Statistics | VisitBritain.org</w:t>
      </w:r>
      <w:r>
        <w:fldChar w:fldCharType="end"/>
      </w:r>
    </w:p>
  </w:footnote>
  <w:footnote w:id="6">
    <w:p w:rsidR="00B934FC" w:rsidP="009C55E5">
      <w:pPr>
        <w:pStyle w:val="FootnoteText"/>
      </w:pPr>
      <w:r>
        <w:rPr>
          <w:rStyle w:val="FootnoteReference"/>
        </w:rPr>
        <w:footnoteRef/>
      </w:r>
      <w:r>
        <w:t xml:space="preserve"> </w:t>
      </w:r>
      <w:r>
        <w:fldChar w:fldCharType="begin"/>
      </w:r>
      <w:r>
        <w:instrText xml:space="preserve"> HYPERLINK "https://www.visitbritain.org/resources-destination-partners/dmo-review" </w:instrText>
      </w:r>
      <w:r>
        <w:fldChar w:fldCharType="separate"/>
      </w:r>
      <w:r w:rsidRPr="00C05E92">
        <w:rPr>
          <w:rStyle w:val="Hyperlink"/>
        </w:rPr>
        <w:t>The DMO review | VisitBritain.org</w:t>
      </w:r>
      <w:r>
        <w:fldChar w:fldCharType="end"/>
      </w:r>
    </w:p>
  </w:footnote>
  <w:footnote w:id="7">
    <w:p w:rsidR="00B934FC" w:rsidP="009C55E5">
      <w:pPr>
        <w:pStyle w:val="FootnoteText"/>
      </w:pPr>
      <w:r>
        <w:rPr>
          <w:rStyle w:val="FootnoteReference"/>
        </w:rPr>
        <w:footnoteRef/>
      </w:r>
      <w:r>
        <w:t xml:space="preserve"> </w:t>
      </w:r>
      <w:r>
        <w:fldChar w:fldCharType="begin"/>
      </w:r>
      <w:r>
        <w:instrText xml:space="preserve"> HYPERLINK "https://www.visitbritain.org/research-insights" \l "explore-different-datasets-using-our-visualisations" </w:instrText>
      </w:r>
      <w:r>
        <w:fldChar w:fldCharType="separate"/>
      </w:r>
      <w:r w:rsidRPr="006F005F">
        <w:rPr>
          <w:rStyle w:val="Hyperlink"/>
        </w:rPr>
        <w:t>UK Tourism Industry Statistics &amp; Research | VisitBritain.org</w:t>
      </w:r>
      <w:r>
        <w:fldChar w:fldCharType="end"/>
      </w:r>
    </w:p>
  </w:footnote>
  <w:footnote w:id="8">
    <w:p w:rsidR="00B934FC" w:rsidP="009C55E5">
      <w:pPr>
        <w:pStyle w:val="FootnoteText"/>
      </w:pPr>
      <w:r>
        <w:rPr>
          <w:rStyle w:val="FootnoteReference"/>
        </w:rPr>
        <w:footnoteRef/>
      </w:r>
      <w:r>
        <w:t xml:space="preserve"> </w:t>
      </w:r>
      <w:r>
        <w:fldChar w:fldCharType="begin"/>
      </w:r>
      <w:r>
        <w:instrText xml:space="preserve"> HYPERLINK "https://www.ons.gov.uk/peoplepopulationandcommunity/leisureandtourism/articles/traveltrends/2024" </w:instrText>
      </w:r>
      <w:r>
        <w:fldChar w:fldCharType="separate"/>
      </w:r>
      <w:r w:rsidRPr="006F005F">
        <w:rPr>
          <w:rStyle w:val="Hyperlink"/>
        </w:rPr>
        <w:t>Travel trends - Office for National Statistics</w:t>
      </w:r>
      <w:r>
        <w:fldChar w:fldCharType="end"/>
      </w:r>
    </w:p>
  </w:footnote>
  <w:footnote w:id="9">
    <w:p w:rsidR="00B934FC" w:rsidP="009C55E5">
      <w:pPr>
        <w:pStyle w:val="FootnoteText"/>
      </w:pPr>
      <w:r>
        <w:rPr>
          <w:rStyle w:val="FootnoteReference"/>
        </w:rPr>
        <w:footnoteRef/>
      </w:r>
      <w:r>
        <w:t xml:space="preserve"> </w:t>
      </w:r>
      <w:r>
        <w:fldChar w:fldCharType="begin"/>
      </w:r>
      <w:r>
        <w:instrText xml:space="preserve"> HYPERLINK "https://questions-statements.parliament.uk/written-questions/detail/2025-07-10/66586" </w:instrText>
      </w:r>
      <w:r>
        <w:fldChar w:fldCharType="separate"/>
      </w:r>
      <w:r w:rsidRPr="00220D92">
        <w:rPr>
          <w:rStyle w:val="Hyperlink"/>
        </w:rPr>
        <w:t>[questions-...liament.uk]</w:t>
      </w:r>
      <w:r>
        <w:fldChar w:fldCharType="end"/>
      </w:r>
    </w:p>
  </w:footnote>
  <w:footnote w:id="10">
    <w:p w:rsidR="00B934FC" w:rsidP="009C55E5">
      <w:pPr>
        <w:pStyle w:val="FootnoteText"/>
      </w:pPr>
      <w:r>
        <w:rPr>
          <w:rStyle w:val="FootnoteReference"/>
        </w:rPr>
        <w:footnoteRef/>
      </w:r>
      <w:r>
        <w:t xml:space="preserve"> </w:t>
      </w:r>
      <w:r>
        <w:fldChar w:fldCharType="begin"/>
      </w:r>
      <w:r>
        <w:instrText xml:space="preserve"> HYPERLINK "https://www.visitbritain.org/resources-destination-partners/dmo-review" </w:instrText>
      </w:r>
      <w:r>
        <w:fldChar w:fldCharType="separate"/>
      </w:r>
      <w:r w:rsidRPr="00C05E92">
        <w:rPr>
          <w:rStyle w:val="Hyperlink"/>
        </w:rPr>
        <w:t>The DMO review | VisitBritain.org</w:t>
      </w:r>
      <w:r>
        <w:fldChar w:fldCharType="end"/>
      </w:r>
    </w:p>
  </w:footnote>
  <w:footnote w:id="11">
    <w:p w:rsidR="00B934FC" w:rsidP="009C55E5">
      <w:pPr>
        <w:pStyle w:val="FootnoteText"/>
      </w:pPr>
      <w:r>
        <w:rPr>
          <w:rStyle w:val="FootnoteReference"/>
        </w:rPr>
        <w:footnoteRef/>
      </w:r>
      <w:r>
        <w:t xml:space="preserve"> </w:t>
      </w:r>
      <w:r>
        <w:fldChar w:fldCharType="begin"/>
      </w:r>
      <w:r>
        <w:instrText xml:space="preserve"> HYPERLINK "https://www.legislation.gov.uk/ukpga/2000/22/notes/division/1/1" </w:instrText>
      </w:r>
      <w:r>
        <w:fldChar w:fldCharType="separate"/>
      </w:r>
      <w:r w:rsidRPr="00F1107F">
        <w:rPr>
          <w:rStyle w:val="Hyperlink"/>
        </w:rPr>
        <w:t>Local Government Act 2000 - Explanatory Notes</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D167C"/>
    <w:multiLevelType w:val="multilevel"/>
    <w:tmpl w:val="2FD69650"/>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8E43366"/>
    <w:multiLevelType w:val="hybridMultilevel"/>
    <w:tmpl w:val="F5A0A070"/>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4CE8CB"/>
    <w:multiLevelType w:val="hybridMultilevel"/>
    <w:tmpl w:val="DFC895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6531CA3"/>
    <w:multiLevelType w:val="multilevel"/>
    <w:tmpl w:val="E126F6E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25A99E"/>
    <w:multiLevelType w:val="hybridMultilevel"/>
    <w:tmpl w:val="028AC45A"/>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471A74"/>
    <w:multiLevelType w:val="hybridMultilevel"/>
    <w:tmpl w:val="F14ED01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DC31B2"/>
    <w:multiLevelType w:val="hybridMultilevel"/>
    <w:tmpl w:val="EF5C5AAC"/>
    <w:lvl w:ilvl="0">
      <w:start w:val="0"/>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81E9104"/>
    <w:multiLevelType w:val="hybridMultilevel"/>
    <w:tmpl w:val="1E9CAEE0"/>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AE6868"/>
    <w:multiLevelType w:val="hybridMultilevel"/>
    <w:tmpl w:val="39E4305C"/>
    <w:lvl w:ilvl="0">
      <w:start w:val="2"/>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F0BB514"/>
    <w:multiLevelType w:val="multilevel"/>
    <w:tmpl w:val="D29C6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FA85377"/>
    <w:multiLevelType w:val="hybridMultilevel"/>
    <w:tmpl w:val="BFBAFBBC"/>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F53C40"/>
    <w:multiLevelType w:val="hybridMultilevel"/>
    <w:tmpl w:val="9BCA0CD6"/>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1355999"/>
    <w:multiLevelType w:val="multilevel"/>
    <w:tmpl w:val="2712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D601CC"/>
    <w:multiLevelType w:val="hybridMultilevel"/>
    <w:tmpl w:val="61D829B8"/>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46D0DB"/>
    <w:multiLevelType w:val="hybridMultilevel"/>
    <w:tmpl w:val="A96AE234"/>
    <w:lvl w:ilvl="0">
      <w:start w:val="3"/>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BEE8CD"/>
    <w:multiLevelType w:val="hybridMultilevel"/>
    <w:tmpl w:val="1FAEA634"/>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F0FC9EC"/>
    <w:multiLevelType w:val="hybridMultilevel"/>
    <w:tmpl w:val="F626D9A0"/>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1B6E552"/>
    <w:multiLevelType w:val="hybridMultilevel"/>
    <w:tmpl w:val="A3F0BA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6D55543"/>
    <w:multiLevelType w:val="hybridMultilevel"/>
    <w:tmpl w:val="6EB0C0A8"/>
    <w:lvl w:ilvl="0">
      <w:start w:val="3"/>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C2C3FF9"/>
    <w:multiLevelType w:val="multilevel"/>
    <w:tmpl w:val="CFC445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6FC005D0"/>
    <w:multiLevelType w:val="hybridMultilevel"/>
    <w:tmpl w:val="8488DF72"/>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15B71CF"/>
    <w:multiLevelType w:val="hybridMultilevel"/>
    <w:tmpl w:val="221E5F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7683483A"/>
    <w:multiLevelType w:val="hybridMultilevel"/>
    <w:tmpl w:val="A340461C"/>
    <w:lvl w:ilvl="0">
      <w:start w:val="1"/>
      <w:numFmt w:val="decimal"/>
      <w:lvlText w:val="%1)"/>
      <w:lvlJc w:val="left"/>
      <w:pPr>
        <w:ind w:left="360" w:hanging="360"/>
      </w:pPr>
      <w:rPr>
        <w:rFonts w:hint="default"/>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1"/>
  </w:num>
  <w:num w:numId="2">
    <w:abstractNumId w:val="10"/>
  </w:num>
  <w:num w:numId="3">
    <w:abstractNumId w:val="17"/>
  </w:num>
  <w:num w:numId="4">
    <w:abstractNumId w:val="18"/>
  </w:num>
  <w:num w:numId="5">
    <w:abstractNumId w:val="21"/>
  </w:num>
  <w:num w:numId="6">
    <w:abstractNumId w:val="20"/>
  </w:num>
  <w:num w:numId="7">
    <w:abstractNumId w:val="14"/>
  </w:num>
  <w:num w:numId="8">
    <w:abstractNumId w:val="2"/>
  </w:num>
  <w:num w:numId="9">
    <w:abstractNumId w:val="16"/>
  </w:num>
  <w:num w:numId="10">
    <w:abstractNumId w:val="19"/>
  </w:num>
  <w:num w:numId="11">
    <w:abstractNumId w:val="9"/>
  </w:num>
  <w:num w:numId="12">
    <w:abstractNumId w:val="7"/>
  </w:num>
  <w:num w:numId="13">
    <w:abstractNumId w:val="4"/>
  </w:num>
  <w:num w:numId="14">
    <w:abstractNumId w:val="15"/>
  </w:num>
  <w:num w:numId="15">
    <w:abstractNumId w:val="3"/>
  </w:num>
  <w:num w:numId="16">
    <w:abstractNumId w:val="12"/>
  </w:num>
  <w:num w:numId="17">
    <w:abstractNumId w:val="0"/>
  </w:num>
  <w:num w:numId="18">
    <w:abstractNumId w:val="22"/>
  </w:num>
  <w:num w:numId="19">
    <w:abstractNumId w:val="6"/>
  </w:num>
  <w:num w:numId="20">
    <w:abstractNumId w:val="1"/>
  </w:num>
  <w:num w:numId="21">
    <w:abstractNumId w:val="13"/>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E4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6B5"/>
    <w:rPr>
      <w:rFonts w:eastAsiaTheme="majorEastAsia" w:cstheme="majorBidi"/>
      <w:color w:val="272727" w:themeColor="text1" w:themeTint="D8"/>
    </w:rPr>
  </w:style>
  <w:style w:type="paragraph" w:styleId="Title">
    <w:name w:val="Title"/>
    <w:basedOn w:val="Normal"/>
    <w:next w:val="Normal"/>
    <w:link w:val="TitleChar"/>
    <w:uiPriority w:val="10"/>
    <w:qFormat/>
    <w:rsid w:val="000E4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6B5"/>
    <w:pPr>
      <w:spacing w:before="160"/>
      <w:jc w:val="center"/>
    </w:pPr>
    <w:rPr>
      <w:i/>
      <w:iCs/>
      <w:color w:val="404040" w:themeColor="text1" w:themeTint="BF"/>
    </w:rPr>
  </w:style>
  <w:style w:type="character" w:customStyle="1" w:styleId="QuoteChar">
    <w:name w:val="Quote Char"/>
    <w:basedOn w:val="DefaultParagraphFont"/>
    <w:link w:val="Quote"/>
    <w:uiPriority w:val="29"/>
    <w:rsid w:val="000E46B5"/>
    <w:rPr>
      <w:i/>
      <w:iCs/>
      <w:color w:val="404040" w:themeColor="text1" w:themeTint="BF"/>
    </w:rPr>
  </w:style>
  <w:style w:type="paragraph" w:styleId="ListParagraph">
    <w:name w:val="List Paragraph"/>
    <w:basedOn w:val="Normal"/>
    <w:uiPriority w:val="34"/>
    <w:qFormat/>
    <w:rsid w:val="000E46B5"/>
    <w:pPr>
      <w:ind w:left="720"/>
      <w:contextualSpacing/>
    </w:pPr>
  </w:style>
  <w:style w:type="character" w:styleId="IntenseEmphasis">
    <w:name w:val="Intense Emphasis"/>
    <w:basedOn w:val="DefaultParagraphFont"/>
    <w:uiPriority w:val="21"/>
    <w:qFormat/>
    <w:rsid w:val="000E46B5"/>
    <w:rPr>
      <w:i/>
      <w:iCs/>
      <w:color w:val="0F4761" w:themeColor="accent1" w:themeShade="BF"/>
    </w:rPr>
  </w:style>
  <w:style w:type="paragraph" w:styleId="IntenseQuote">
    <w:name w:val="Intense Quote"/>
    <w:basedOn w:val="Normal"/>
    <w:next w:val="Normal"/>
    <w:link w:val="IntenseQuoteChar"/>
    <w:uiPriority w:val="30"/>
    <w:qFormat/>
    <w:rsid w:val="000E4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6B5"/>
    <w:rPr>
      <w:i/>
      <w:iCs/>
      <w:color w:val="0F4761" w:themeColor="accent1" w:themeShade="BF"/>
    </w:rPr>
  </w:style>
  <w:style w:type="character" w:styleId="IntenseReference">
    <w:name w:val="Intense Reference"/>
    <w:basedOn w:val="DefaultParagraphFont"/>
    <w:uiPriority w:val="32"/>
    <w:qFormat/>
    <w:rsid w:val="000E46B5"/>
    <w:rPr>
      <w:b/>
      <w:bCs/>
      <w:smallCaps/>
      <w:color w:val="0F4761" w:themeColor="accent1" w:themeShade="BF"/>
      <w:spacing w:val="5"/>
    </w:rPr>
  </w:style>
  <w:style w:type="paragraph" w:styleId="Header">
    <w:name w:val="header"/>
    <w:basedOn w:val="Normal"/>
    <w:link w:val="HeaderChar"/>
    <w:uiPriority w:val="99"/>
    <w:unhideWhenUsed/>
    <w:rsid w:val="000E46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6B5"/>
  </w:style>
  <w:style w:type="paragraph" w:styleId="Footer">
    <w:name w:val="footer"/>
    <w:basedOn w:val="Normal"/>
    <w:link w:val="FooterChar"/>
    <w:uiPriority w:val="99"/>
    <w:unhideWhenUsed/>
    <w:rsid w:val="000E4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6B5"/>
  </w:style>
  <w:style w:type="character" w:styleId="Hyperlink">
    <w:name w:val="Hyperlink"/>
    <w:basedOn w:val="DefaultParagraphFont"/>
    <w:uiPriority w:val="99"/>
    <w:unhideWhenUsed/>
    <w:rsid w:val="009C55E5"/>
    <w:rPr>
      <w:color w:val="467886" w:themeColor="hyperlink"/>
      <w:u w:val="single"/>
    </w:rPr>
  </w:style>
  <w:style w:type="paragraph" w:styleId="FootnoteText">
    <w:name w:val="footnote text"/>
    <w:basedOn w:val="Normal"/>
    <w:link w:val="FootnoteTextChar"/>
    <w:uiPriority w:val="99"/>
    <w:semiHidden/>
    <w:unhideWhenUsed/>
    <w:rsid w:val="009C55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55E5"/>
    <w:rPr>
      <w:sz w:val="20"/>
      <w:szCs w:val="20"/>
    </w:rPr>
  </w:style>
  <w:style w:type="character" w:styleId="FootnoteReference">
    <w:name w:val="footnote reference"/>
    <w:basedOn w:val="DefaultParagraphFont"/>
    <w:uiPriority w:val="99"/>
    <w:semiHidden/>
    <w:unhideWhenUsed/>
    <w:rsid w:val="009C55E5"/>
    <w:rPr>
      <w:vertAlign w:val="superscript"/>
    </w:rPr>
  </w:style>
  <w:style w:type="paragraph" w:styleId="EndnoteText">
    <w:name w:val="endnote text"/>
    <w:basedOn w:val="Normal"/>
    <w:link w:val="EndnoteTextChar"/>
    <w:uiPriority w:val="99"/>
    <w:semiHidden/>
    <w:unhideWhenUsed/>
    <w:rsid w:val="00F94B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BB5"/>
    <w:rPr>
      <w:sz w:val="20"/>
      <w:szCs w:val="20"/>
    </w:rPr>
  </w:style>
  <w:style w:type="character" w:styleId="EndnoteReference">
    <w:name w:val="endnote reference"/>
    <w:basedOn w:val="DefaultParagraphFont"/>
    <w:uiPriority w:val="99"/>
    <w:semiHidden/>
    <w:unhideWhenUsed/>
    <w:rsid w:val="00F94BB5"/>
    <w:rPr>
      <w:vertAlign w:val="superscript"/>
    </w:rPr>
  </w:style>
  <w:style w:type="character" w:styleId="FollowedHyperlink">
    <w:name w:val="FollowedHyperlink"/>
    <w:basedOn w:val="DefaultParagraphFont"/>
    <w:uiPriority w:val="99"/>
    <w:semiHidden/>
    <w:unhideWhenUsed/>
    <w:rsid w:val="00F94BB5"/>
    <w:rPr>
      <w:color w:val="96607D" w:themeColor="followedHyperlink"/>
      <w:u w:val="single"/>
    </w:rPr>
  </w:style>
  <w:style w:type="character" w:customStyle="1" w:styleId="UnresolvedMention1">
    <w:name w:val="Unresolved Mention1"/>
    <w:basedOn w:val="DefaultParagraphFont"/>
    <w:uiPriority w:val="99"/>
    <w:semiHidden/>
    <w:unhideWhenUsed/>
    <w:rsid w:val="00E81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E06D54DAC8D3429CC1FA01D8AD3AE5" ma:contentTypeVersion="14" ma:contentTypeDescription="Create a new document." ma:contentTypeScope="" ma:versionID="ce31b26af86f4873a619911de4717cb3">
  <xsd:schema xmlns:xsd="http://www.w3.org/2001/XMLSchema" xmlns:xs="http://www.w3.org/2001/XMLSchema" xmlns:p="http://schemas.microsoft.com/office/2006/metadata/properties" xmlns:ns2="e63f58f8-54eb-470d-bc96-328072fcaede" xmlns:ns3="c2925f0b-4e55-44aa-bc88-f5037f5efc1d" targetNamespace="http://schemas.microsoft.com/office/2006/metadata/properties" ma:root="true" ma:fieldsID="ea45bc6c107fbf02378846cda184bbd3" ns2:_="" ns3:_="">
    <xsd:import namespace="e63f58f8-54eb-470d-bc96-328072fcaede"/>
    <xsd:import namespace="c2925f0b-4e55-44aa-bc88-f5037f5ef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f58f8-54eb-470d-bc96-328072fca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df4a1f-7efd-448e-8d4c-d4bc970677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25f0b-4e55-44aa-bc88-f5037f5efc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1e83ca-c664-4d2f-aa53-543035346426}" ma:internalName="TaxCatchAll" ma:showField="CatchAllData" ma:web="c2925f0b-4e55-44aa-bc88-f5037f5efc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3f58f8-54eb-470d-bc96-328072fcaede">
      <Terms xmlns="http://schemas.microsoft.com/office/infopath/2007/PartnerControls"/>
    </lcf76f155ced4ddcb4097134ff3c332f>
    <TaxCatchAll xmlns="c2925f0b-4e55-44aa-bc88-f5037f5efc1d" xsi:nil="true"/>
  </documentManagement>
</p:properties>
</file>

<file path=customXml/itemProps1.xml><?xml version="1.0" encoding="utf-8"?>
<ds:datastoreItem xmlns:ds="http://schemas.openxmlformats.org/officeDocument/2006/customXml" ds:itemID="{F3198C2B-3FEA-44DB-ACB5-ED09156C8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3f58f8-54eb-470d-bc96-328072fcaede"/>
    <ds:schemaRef ds:uri="c2925f0b-4e55-44aa-bc88-f5037f5ef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7168A-96CA-40DF-8630-6EFC761D6EB1}">
  <ds:schemaRefs>
    <ds:schemaRef ds:uri="http://schemas.openxmlformats.org/officeDocument/2006/bibliography"/>
  </ds:schemaRefs>
</ds:datastoreItem>
</file>

<file path=customXml/itemProps3.xml><?xml version="1.0" encoding="utf-8"?>
<ds:datastoreItem xmlns:ds="http://schemas.openxmlformats.org/officeDocument/2006/customXml" ds:itemID="{9194BCE0-E716-4003-9B14-F156727FD084}">
  <ds:schemaRefs>
    <ds:schemaRef ds:uri="http://schemas.microsoft.com/sharepoint/v3/contenttype/forms"/>
  </ds:schemaRefs>
</ds:datastoreItem>
</file>

<file path=customXml/itemProps4.xml><?xml version="1.0" encoding="utf-8"?>
<ds:datastoreItem xmlns:ds="http://schemas.openxmlformats.org/officeDocument/2006/customXml" ds:itemID="{9AD53270-0CDD-4C51-A4B2-4E294234CF27}">
  <ds:schemaRefs>
    <ds:schemaRef ds:uri="http://schemas.microsoft.com/office/2006/metadata/properties"/>
    <ds:schemaRef ds:uri="http://schemas.microsoft.com/office/infopath/2007/PartnerControls"/>
    <ds:schemaRef ds:uri="e63f58f8-54eb-470d-bc96-328072fcaede"/>
    <ds:schemaRef ds:uri="c2925f0b-4e55-44aa-bc88-f5037f5efc1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TOU0080</dc:title>
  <cp:revision>0</cp:revision>
</cp:coreProperties>
</file>