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767C" w:rsidRPr="00560C4C" w:rsidP="004F767C">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th</w:t>
      </w:r>
      <w:r w:rsidRPr="004F767C">
        <w:rPr>
          <w:rFonts w:ascii="Calibri" w:hAnsi="Calibri" w:cs="Calibri"/>
          <w:sz w:val="28"/>
          <w:szCs w:val="28"/>
        </w:rPr>
        <w:t xml:space="preserve">e </w:t>
      </w:r>
      <w:r>
        <w:rPr>
          <w:rFonts w:ascii="Calibri" w:hAnsi="Calibri" w:cs="Calibri"/>
          <w:sz w:val="28"/>
          <w:szCs w:val="28"/>
        </w:rPr>
        <w:br/>
      </w:r>
      <w:r w:rsidRPr="004F767C">
        <w:rPr>
          <w:rFonts w:ascii="Calibri" w:hAnsi="Calibri" w:cs="Calibri"/>
          <w:sz w:val="28"/>
          <w:szCs w:val="28"/>
        </w:rPr>
        <w:t>Professional Association of Self-Caterers UK (PASC UK)</w:t>
      </w:r>
    </w:p>
    <w:p w:rsidR="00F506DA">
      <w:pPr>
        <w:spacing w:line="276" w:lineRule="auto"/>
        <w:jc w:val="both"/>
        <w:rPr>
          <w:b/>
          <w:bCs/>
          <w:color w:val="595959"/>
        </w:rPr>
      </w:pPr>
    </w:p>
    <w:p w:rsidR="00F506DA">
      <w:pPr>
        <w:pStyle w:val="Heading1"/>
        <w:spacing w:before="0" w:after="0" w:line="276" w:lineRule="auto"/>
        <w:jc w:val="both"/>
        <w:rPr>
          <w:sz w:val="24"/>
          <w:szCs w:val="24"/>
          <w:u w:val="single"/>
        </w:rPr>
      </w:pPr>
      <w:r>
        <w:rPr>
          <w:sz w:val="24"/>
          <w:szCs w:val="24"/>
          <w:u w:val="single"/>
        </w:rPr>
        <w:t>Executive Summary</w:t>
      </w:r>
    </w:p>
    <w:p w:rsidR="00F506DA">
      <w:pPr>
        <w:pStyle w:val="Heading1"/>
        <w:spacing w:before="0" w:after="0" w:line="276" w:lineRule="auto"/>
        <w:jc w:val="both"/>
        <w:rPr>
          <w:sz w:val="24"/>
          <w:szCs w:val="24"/>
          <w:u w:val="single"/>
        </w:rPr>
      </w:pPr>
    </w:p>
    <w:p w:rsidR="00F506DA">
      <w:r>
        <w:rPr>
          <w:b/>
          <w:bCs/>
          <w:i/>
          <w:iCs/>
          <w:color w:val="1F3864"/>
        </w:rPr>
        <w:t>England</w:t>
      </w:r>
      <w:r>
        <w:t xml:space="preserve"> </w:t>
      </w:r>
    </w:p>
    <w:p w:rsidR="00F506DA"/>
    <w:tbl>
      <w:tblPr>
        <w:tblStyle w:val="Table1"/>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13"/>
        <w:gridCol w:w="4513"/>
      </w:tblGrid>
      <w:tr>
        <w:tblPrEx>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147,000</w:t>
            </w:r>
          </w:p>
          <w:p w:rsidR="00F506DA">
            <w:pPr>
              <w:spacing w:line="276" w:lineRule="auto"/>
              <w:jc w:val="both"/>
            </w:pPr>
            <w:r>
              <w:rPr>
                <w:color w:val="595959"/>
              </w:rPr>
              <w:t>Dedicated holiday lets in England</w:t>
            </w:r>
          </w:p>
        </w:tc>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£5.9bn</w:t>
            </w:r>
          </w:p>
          <w:p w:rsidR="00F506DA">
            <w:pPr>
              <w:spacing w:line="276" w:lineRule="auto"/>
              <w:jc w:val="both"/>
            </w:pPr>
            <w:r>
              <w:rPr>
                <w:color w:val="595959"/>
              </w:rPr>
              <w:t>Gross Value Added to English economy</w:t>
            </w:r>
          </w:p>
        </w:tc>
      </w:tr>
      <w:tr>
        <w:tblPrEx>
          <w:tblW w:w="9026" w:type="dxa"/>
          <w:tblInd w:w="0" w:type="dxa"/>
          <w:tblLayout w:type="fixed"/>
          <w:tblLook w:val="0400"/>
        </w:tblPrEx>
        <w:tc>
          <w:tcPr>
            <w:tcW w:w="4513" w:type="dxa"/>
            <w:tcBorders>
              <w:top w:val="nil"/>
              <w:left w:val="nil"/>
              <w:bottom w:val="nil"/>
              <w:right w:val="nil"/>
            </w:tcBorders>
            <w:shd w:val="clear" w:color="auto" w:fill="FFFFFF"/>
            <w:tcMar>
              <w:top w:w="40" w:type="dxa"/>
              <w:left w:w="0" w:type="dxa"/>
              <w:bottom w:w="40" w:type="dxa"/>
              <w:right w:w="0" w:type="dxa"/>
            </w:tcMar>
          </w:tcPr>
          <w:p w:rsidR="00F506DA">
            <w:pPr>
              <w:spacing w:line="276" w:lineRule="auto"/>
              <w:jc w:val="both"/>
            </w:pPr>
          </w:p>
        </w:tc>
        <w:tc>
          <w:tcPr>
            <w:tcW w:w="4513" w:type="dxa"/>
            <w:tcBorders>
              <w:top w:val="nil"/>
              <w:left w:val="nil"/>
              <w:bottom w:val="nil"/>
              <w:right w:val="nil"/>
            </w:tcBorders>
            <w:shd w:val="clear" w:color="auto" w:fill="FFFFFF"/>
            <w:tcMar>
              <w:top w:w="40" w:type="dxa"/>
              <w:left w:w="0" w:type="dxa"/>
              <w:bottom w:w="40" w:type="dxa"/>
              <w:right w:w="0" w:type="dxa"/>
            </w:tcMar>
          </w:tcPr>
          <w:p w:rsidR="00F506DA">
            <w:pPr>
              <w:spacing w:line="276" w:lineRule="auto"/>
              <w:jc w:val="both"/>
            </w:pPr>
          </w:p>
        </w:tc>
      </w:tr>
      <w:tr>
        <w:tblPrEx>
          <w:tblW w:w="9026" w:type="dxa"/>
          <w:tblInd w:w="0" w:type="dxa"/>
          <w:tblLayout w:type="fixed"/>
          <w:tblLook w:val="0400"/>
        </w:tblPrEx>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120,300</w:t>
            </w:r>
          </w:p>
          <w:p w:rsidR="00F506DA">
            <w:pPr>
              <w:spacing w:line="276" w:lineRule="auto"/>
              <w:jc w:val="both"/>
            </w:pPr>
            <w:r>
              <w:rPr>
                <w:color w:val="595959"/>
              </w:rPr>
              <w:t>Jobs supported in England</w:t>
            </w:r>
          </w:p>
        </w:tc>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28.3m</w:t>
            </w:r>
          </w:p>
          <w:p w:rsidR="00F506DA">
            <w:pPr>
              <w:spacing w:line="276" w:lineRule="auto"/>
              <w:jc w:val="both"/>
            </w:pPr>
            <w:r>
              <w:rPr>
                <w:color w:val="595959"/>
              </w:rPr>
              <w:t>Domestic holidaymakers per year</w:t>
            </w:r>
          </w:p>
        </w:tc>
      </w:tr>
      <w:tr>
        <w:tblPrEx>
          <w:tblW w:w="9026" w:type="dxa"/>
          <w:tblInd w:w="0" w:type="dxa"/>
          <w:tblLayout w:type="fixed"/>
          <w:tblLook w:val="0400"/>
        </w:tblPrEx>
        <w:tc>
          <w:tcPr>
            <w:tcW w:w="4513" w:type="dxa"/>
            <w:tcBorders>
              <w:top w:val="nil"/>
              <w:left w:val="nil"/>
              <w:bottom w:val="nil"/>
              <w:right w:val="nil"/>
            </w:tcBorders>
            <w:shd w:val="clear" w:color="auto" w:fill="FFFFFF"/>
            <w:tcMar>
              <w:top w:w="40" w:type="dxa"/>
              <w:left w:w="0" w:type="dxa"/>
              <w:bottom w:w="40" w:type="dxa"/>
              <w:right w:w="0" w:type="dxa"/>
            </w:tcMar>
          </w:tcPr>
          <w:p w:rsidR="00F506DA">
            <w:pPr>
              <w:spacing w:line="276" w:lineRule="auto"/>
              <w:jc w:val="both"/>
            </w:pPr>
          </w:p>
        </w:tc>
        <w:tc>
          <w:tcPr>
            <w:tcW w:w="4513" w:type="dxa"/>
            <w:tcBorders>
              <w:top w:val="nil"/>
              <w:left w:val="nil"/>
              <w:bottom w:val="nil"/>
              <w:right w:val="nil"/>
            </w:tcBorders>
            <w:shd w:val="clear" w:color="auto" w:fill="FFFFFF"/>
            <w:tcMar>
              <w:top w:w="40" w:type="dxa"/>
              <w:left w:w="0" w:type="dxa"/>
              <w:bottom w:w="40" w:type="dxa"/>
              <w:right w:w="0" w:type="dxa"/>
            </w:tcMar>
          </w:tcPr>
          <w:p w:rsidR="00F506DA">
            <w:pPr>
              <w:spacing w:line="276" w:lineRule="auto"/>
              <w:jc w:val="both"/>
            </w:pPr>
          </w:p>
        </w:tc>
      </w:tr>
      <w:tr>
        <w:tblPrEx>
          <w:tblW w:w="9026" w:type="dxa"/>
          <w:tblInd w:w="0" w:type="dxa"/>
          <w:tblLayout w:type="fixed"/>
          <w:tblLook w:val="0400"/>
        </w:tblPrEx>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0.6%</w:t>
            </w:r>
          </w:p>
          <w:p w:rsidR="00F506DA">
            <w:pPr>
              <w:spacing w:line="276" w:lineRule="auto"/>
              <w:jc w:val="both"/>
            </w:pPr>
            <w:r>
              <w:rPr>
                <w:color w:val="595959"/>
              </w:rPr>
              <w:t>Of total housing stock</w:t>
            </w:r>
          </w:p>
        </w:tc>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48%</w:t>
            </w:r>
          </w:p>
          <w:p w:rsidR="00F506DA">
            <w:pPr>
              <w:spacing w:line="276" w:lineRule="auto"/>
              <w:jc w:val="both"/>
            </w:pPr>
            <w:r>
              <w:rPr>
                <w:color w:val="595959"/>
              </w:rPr>
              <w:t>Cannot legally become primary homes</w:t>
            </w:r>
          </w:p>
        </w:tc>
      </w:tr>
    </w:tbl>
    <w:p w:rsidR="00F506DA">
      <w:pPr>
        <w:spacing w:line="276" w:lineRule="auto"/>
        <w:jc w:val="both"/>
      </w:pPr>
    </w:p>
    <w:p w:rsidR="00F506DA">
      <w:pPr>
        <w:pStyle w:val="Heading1"/>
        <w:spacing w:before="0" w:after="0" w:line="276" w:lineRule="auto"/>
        <w:jc w:val="both"/>
        <w:rPr>
          <w:i/>
          <w:iCs/>
          <w:sz w:val="24"/>
          <w:szCs w:val="24"/>
        </w:rPr>
      </w:pPr>
      <w:bookmarkStart w:id="0" w:name="_heading=h.hmpocpiosmyf" w:colFirst="0" w:colLast="0"/>
      <w:bookmarkEnd w:id="0"/>
      <w:r>
        <w:rPr>
          <w:i/>
          <w:iCs/>
          <w:sz w:val="24"/>
          <w:szCs w:val="24"/>
        </w:rPr>
        <w:t>Wales</w:t>
      </w:r>
    </w:p>
    <w:p w:rsidR="00F506DA"/>
    <w:tbl>
      <w:tblPr>
        <w:tblStyle w:val="Table2"/>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13"/>
        <w:gridCol w:w="4513"/>
      </w:tblGrid>
      <w:tr>
        <w:tblPrEx>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22,000</w:t>
            </w:r>
          </w:p>
          <w:p w:rsidR="00F506DA">
            <w:pPr>
              <w:spacing w:line="276" w:lineRule="auto"/>
              <w:jc w:val="both"/>
            </w:pPr>
            <w:r>
              <w:rPr>
                <w:color w:val="595959"/>
              </w:rPr>
              <w:t>Dedicated holiday lets in England</w:t>
            </w:r>
          </w:p>
        </w:tc>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£0.7bn</w:t>
            </w:r>
          </w:p>
          <w:p w:rsidR="00F506DA">
            <w:pPr>
              <w:spacing w:line="276" w:lineRule="auto"/>
              <w:jc w:val="both"/>
            </w:pPr>
            <w:r>
              <w:rPr>
                <w:color w:val="595959"/>
              </w:rPr>
              <w:t>Gross Value Added to English economy</w:t>
            </w:r>
          </w:p>
        </w:tc>
      </w:tr>
      <w:tr>
        <w:tblPrEx>
          <w:tblW w:w="9026" w:type="dxa"/>
          <w:tblInd w:w="0" w:type="dxa"/>
          <w:tblLayout w:type="fixed"/>
          <w:tblLook w:val="0400"/>
        </w:tblPrEx>
        <w:tc>
          <w:tcPr>
            <w:tcW w:w="4513" w:type="dxa"/>
            <w:tcBorders>
              <w:top w:val="nil"/>
              <w:left w:val="nil"/>
              <w:bottom w:val="nil"/>
              <w:right w:val="nil"/>
            </w:tcBorders>
            <w:shd w:val="clear" w:color="auto" w:fill="FFFFFF"/>
            <w:tcMar>
              <w:top w:w="40" w:type="dxa"/>
              <w:left w:w="0" w:type="dxa"/>
              <w:bottom w:w="40" w:type="dxa"/>
              <w:right w:w="0" w:type="dxa"/>
            </w:tcMar>
          </w:tcPr>
          <w:p w:rsidR="00F506DA">
            <w:pPr>
              <w:spacing w:line="276" w:lineRule="auto"/>
              <w:jc w:val="both"/>
            </w:pPr>
          </w:p>
        </w:tc>
        <w:tc>
          <w:tcPr>
            <w:tcW w:w="4513" w:type="dxa"/>
            <w:tcBorders>
              <w:top w:val="nil"/>
              <w:left w:val="nil"/>
              <w:bottom w:val="nil"/>
              <w:right w:val="nil"/>
            </w:tcBorders>
            <w:shd w:val="clear" w:color="auto" w:fill="FFFFFF"/>
            <w:tcMar>
              <w:top w:w="40" w:type="dxa"/>
              <w:left w:w="0" w:type="dxa"/>
              <w:bottom w:w="40" w:type="dxa"/>
              <w:right w:w="0" w:type="dxa"/>
            </w:tcMar>
          </w:tcPr>
          <w:p w:rsidR="00F506DA">
            <w:pPr>
              <w:spacing w:line="276" w:lineRule="auto"/>
              <w:jc w:val="both"/>
            </w:pPr>
          </w:p>
        </w:tc>
      </w:tr>
      <w:tr>
        <w:tblPrEx>
          <w:tblW w:w="9026" w:type="dxa"/>
          <w:tblInd w:w="0" w:type="dxa"/>
          <w:tblLayout w:type="fixed"/>
          <w:tblLook w:val="0400"/>
        </w:tblPrEx>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18,300</w:t>
            </w:r>
          </w:p>
          <w:p w:rsidR="00F506DA">
            <w:pPr>
              <w:spacing w:line="276" w:lineRule="auto"/>
              <w:jc w:val="both"/>
            </w:pPr>
            <w:r>
              <w:rPr>
                <w:color w:val="595959"/>
              </w:rPr>
              <w:t>Jobs supported in England</w:t>
            </w:r>
          </w:p>
        </w:tc>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4.6m</w:t>
            </w:r>
          </w:p>
          <w:p w:rsidR="00F506DA">
            <w:pPr>
              <w:spacing w:line="276" w:lineRule="auto"/>
              <w:jc w:val="both"/>
            </w:pPr>
            <w:r>
              <w:rPr>
                <w:color w:val="595959"/>
              </w:rPr>
              <w:t>Domestic holidaymakers per year</w:t>
            </w:r>
          </w:p>
        </w:tc>
      </w:tr>
      <w:tr>
        <w:tblPrEx>
          <w:tblW w:w="9026" w:type="dxa"/>
          <w:tblInd w:w="0" w:type="dxa"/>
          <w:tblLayout w:type="fixed"/>
          <w:tblLook w:val="0400"/>
        </w:tblPrEx>
        <w:tc>
          <w:tcPr>
            <w:tcW w:w="4513" w:type="dxa"/>
            <w:tcBorders>
              <w:top w:val="nil"/>
              <w:left w:val="nil"/>
              <w:bottom w:val="nil"/>
              <w:right w:val="nil"/>
            </w:tcBorders>
            <w:shd w:val="clear" w:color="auto" w:fill="FFFFFF"/>
            <w:tcMar>
              <w:top w:w="40" w:type="dxa"/>
              <w:left w:w="0" w:type="dxa"/>
              <w:bottom w:w="40" w:type="dxa"/>
              <w:right w:w="0" w:type="dxa"/>
            </w:tcMar>
          </w:tcPr>
          <w:p w:rsidR="00F506DA">
            <w:pPr>
              <w:spacing w:line="276" w:lineRule="auto"/>
              <w:jc w:val="both"/>
            </w:pPr>
          </w:p>
        </w:tc>
        <w:tc>
          <w:tcPr>
            <w:tcW w:w="4513" w:type="dxa"/>
            <w:tcBorders>
              <w:top w:val="nil"/>
              <w:left w:val="nil"/>
              <w:bottom w:val="nil"/>
              <w:right w:val="nil"/>
            </w:tcBorders>
            <w:shd w:val="clear" w:color="auto" w:fill="FFFFFF"/>
            <w:tcMar>
              <w:top w:w="40" w:type="dxa"/>
              <w:left w:w="0" w:type="dxa"/>
              <w:bottom w:w="40" w:type="dxa"/>
              <w:right w:w="0" w:type="dxa"/>
            </w:tcMar>
          </w:tcPr>
          <w:p w:rsidR="00F506DA">
            <w:pPr>
              <w:spacing w:line="276" w:lineRule="auto"/>
              <w:jc w:val="both"/>
            </w:pPr>
          </w:p>
        </w:tc>
      </w:tr>
      <w:tr>
        <w:tblPrEx>
          <w:tblW w:w="9026" w:type="dxa"/>
          <w:tblInd w:w="0" w:type="dxa"/>
          <w:tblLayout w:type="fixed"/>
          <w:tblLook w:val="0400"/>
        </w:tblPrEx>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1.5%</w:t>
            </w:r>
          </w:p>
          <w:p w:rsidR="00F506DA">
            <w:pPr>
              <w:spacing w:line="276" w:lineRule="auto"/>
              <w:jc w:val="both"/>
            </w:pPr>
            <w:r>
              <w:rPr>
                <w:color w:val="595959"/>
              </w:rPr>
              <w:t>Of total housing stock</w:t>
            </w:r>
          </w:p>
        </w:tc>
        <w:tc>
          <w:tcPr>
            <w:tcW w:w="4513" w:type="dxa"/>
            <w:tcBorders>
              <w:top w:val="nil"/>
              <w:left w:val="nil"/>
              <w:bottom w:val="nil"/>
              <w:right w:val="nil"/>
            </w:tcBorders>
            <w:shd w:val="clear" w:color="auto" w:fill="DDEAF6"/>
            <w:tcMar>
              <w:top w:w="140" w:type="dxa"/>
              <w:left w:w="180" w:type="dxa"/>
              <w:bottom w:w="140" w:type="dxa"/>
              <w:right w:w="180" w:type="dxa"/>
            </w:tcMar>
            <w:vAlign w:val="center"/>
          </w:tcPr>
          <w:p w:rsidR="00F506DA">
            <w:pPr>
              <w:spacing w:line="276" w:lineRule="auto"/>
              <w:jc w:val="both"/>
            </w:pPr>
            <w:r>
              <w:rPr>
                <w:b/>
                <w:bCs/>
                <w:color w:val="1F3864"/>
              </w:rPr>
              <w:t>33%</w:t>
            </w:r>
          </w:p>
          <w:p w:rsidR="00F506DA">
            <w:pPr>
              <w:spacing w:line="276" w:lineRule="auto"/>
              <w:jc w:val="both"/>
            </w:pPr>
            <w:r>
              <w:rPr>
                <w:color w:val="595959"/>
              </w:rPr>
              <w:t>Cannot legally become primary homes</w:t>
            </w:r>
          </w:p>
        </w:tc>
      </w:tr>
    </w:tbl>
    <w:p w:rsidR="00F506DA">
      <w:pPr>
        <w:spacing w:line="276" w:lineRule="auto"/>
        <w:jc w:val="both"/>
        <w:rPr>
          <w:i/>
          <w:iCs/>
          <w:sz w:val="20"/>
          <w:szCs w:val="20"/>
        </w:rPr>
      </w:pPr>
    </w:p>
    <w:p w:rsidR="00F506DA">
      <w:pPr>
        <w:spacing w:line="276" w:lineRule="auto"/>
        <w:jc w:val="both"/>
        <w:rPr>
          <w:i/>
          <w:iCs/>
          <w:sz w:val="20"/>
          <w:szCs w:val="20"/>
        </w:rPr>
      </w:pPr>
      <w:r>
        <w:rPr>
          <w:i/>
          <w:iCs/>
          <w:sz w:val="20"/>
          <w:szCs w:val="20"/>
        </w:rPr>
        <w:t>*Figures as of August 2025</w:t>
      </w:r>
    </w:p>
    <w:p w:rsidR="00F506DA">
      <w:pPr>
        <w:spacing w:line="276" w:lineRule="auto"/>
        <w:jc w:val="both"/>
        <w:rPr>
          <w:i/>
          <w:iCs/>
          <w:sz w:val="20"/>
          <w:szCs w:val="20"/>
        </w:rPr>
      </w:pPr>
    </w:p>
    <w:p w:rsidR="00F506DA">
      <w:pPr>
        <w:spacing w:line="276" w:lineRule="auto"/>
        <w:jc w:val="both"/>
        <w:rPr>
          <w:color w:val="2E75B6"/>
          <w:vertAlign w:val="superscript"/>
        </w:rPr>
      </w:pPr>
      <w:r>
        <w:rPr>
          <w:color w:val="000000"/>
        </w:rPr>
        <w:t>PASC UK is the largest trade association for the professional self-catering sector in England and Wales, with over 2,500 members including 170+ agency members. This submission draws on independent economic analysis by Frontier Economics, booking market data from Key Data, and</w:t>
      </w:r>
      <w:r>
        <w:t xml:space="preserve"> three</w:t>
      </w:r>
      <w:r>
        <w:rPr>
          <w:color w:val="000000"/>
        </w:rPr>
        <w:t xml:space="preserve"> rounds of member surveys conducted in 2023, 2024 and 2025, among other open-source data points.</w:t>
      </w:r>
      <w:r>
        <w:rPr>
          <w:color w:val="2E75B6"/>
          <w:vertAlign w:val="superscript"/>
        </w:rPr>
        <w:t>[1]</w:t>
      </w:r>
      <w:r>
        <w:rPr>
          <w:color w:val="000000"/>
        </w:rPr>
        <w:t xml:space="preserve"> </w:t>
      </w:r>
      <w:r>
        <w:rPr>
          <w:color w:val="2E75B6"/>
          <w:vertAlign w:val="superscript"/>
        </w:rPr>
        <w:t>[8]</w:t>
      </w:r>
      <w:r>
        <w:rPr>
          <w:color w:val="000000"/>
        </w:rPr>
        <w:t xml:space="preserve"> </w:t>
      </w:r>
      <w:r>
        <w:rPr>
          <w:color w:val="2E75B6"/>
          <w:vertAlign w:val="superscript"/>
        </w:rPr>
        <w:t>[9]</w:t>
      </w:r>
    </w:p>
    <w:p w:rsidR="00F506DA">
      <w:pPr>
        <w:spacing w:line="276" w:lineRule="auto"/>
        <w:jc w:val="both"/>
      </w:pPr>
    </w:p>
    <w:p w:rsidR="00F506DA">
      <w:pPr>
        <w:spacing w:line="276" w:lineRule="auto"/>
        <w:jc w:val="both"/>
        <w:rPr>
          <w:color w:val="000000"/>
        </w:rPr>
      </w:pPr>
      <w:r>
        <w:rPr>
          <w:color w:val="000000"/>
        </w:rPr>
        <w:t xml:space="preserve">We welcome the Committee's inquiry. The self-catering sector is an established, long-standing part of the UK visitor economy. </w:t>
      </w:r>
      <w:r>
        <w:t>An important</w:t>
      </w:r>
      <w:r>
        <w:rPr>
          <w:color w:val="000000"/>
        </w:rPr>
        <w:t xml:space="preserve"> first point to stress is that the sector is not a recent phenomenon driven purely by digital platforms. The sector has </w:t>
      </w:r>
      <w:r>
        <w:t>existed</w:t>
      </w:r>
      <w:r>
        <w:rPr>
          <w:color w:val="000000"/>
        </w:rPr>
        <w:t xml:space="preserve"> for a hundred years or more, </w:t>
      </w:r>
      <w:r>
        <w:t>for example,</w:t>
      </w:r>
      <w:r>
        <w:rPr>
          <w:color w:val="000000"/>
        </w:rPr>
        <w:t xml:space="preserve"> </w:t>
      </w:r>
      <w:r>
        <w:t>t</w:t>
      </w:r>
      <w:r>
        <w:rPr>
          <w:color w:val="000000"/>
        </w:rPr>
        <w:t xml:space="preserve">he National Trust has let holiday cottages since the 1940s. Specialist agencies have operated since the 1970s and 1980s. A dedicated Furnished Holiday Let tax regime existed from 1984 to 2025. </w:t>
      </w:r>
      <w:r>
        <w:t>Operators are</w:t>
      </w:r>
      <w:r>
        <w:rPr>
          <w:color w:val="000000"/>
        </w:rPr>
        <w:t xml:space="preserve"> serious, albeit small micro-businesses providing genuine economic value to some of the most visitor-dependent communities </w:t>
      </w:r>
      <w:r>
        <w:rPr>
          <w:color w:val="000000"/>
        </w:rPr>
        <w:t>across the UK.</w:t>
      </w:r>
    </w:p>
    <w:p w:rsidR="00F506DA">
      <w:pPr>
        <w:spacing w:line="276" w:lineRule="auto"/>
        <w:jc w:val="both"/>
      </w:pPr>
    </w:p>
    <w:p w:rsidR="00F506DA">
      <w:pPr>
        <w:spacing w:line="276" w:lineRule="auto"/>
        <w:jc w:val="both"/>
      </w:pPr>
      <w:r>
        <w:t xml:space="preserve">The Committee's call for evidence asks how the UK can boost visitor numbers, improve international competitiveness, support tourism's recovery from the pandemic, and ensure the sector's long-term resilience. Our submission addresses each of these directly, but our central finding is that the answer lies as much in what the government should stop doing as in what it should start. The evidence we present shows that a combination of tax changes, regulatory interventions and macroeconomic pressures is actively </w:t>
      </w:r>
      <w:r>
        <w:t>driving decline in domestic tourism: visitor numbers are falling, businesses are closing, and the rural and coastal communities most dependent on the sector are contracting. The UK's price competitiveness, already ranked 113th out of 119 countries globally, is being further eroded by a wave of policy decisions made without adequate assessment of their combined effect on the visitor economy. We set out the scale of that decline, its causes, and a set of specific, practical recommendations that would, if adop</w:t>
      </w:r>
      <w:r>
        <w:t>ted, meaningfully improve the sector's competitiveness and support jobs in the communities that need them most.</w:t>
      </w:r>
    </w:p>
    <w:p w:rsidR="00F506DA">
      <w:pPr>
        <w:spacing w:line="276" w:lineRule="auto"/>
        <w:jc w:val="both"/>
      </w:pPr>
    </w:p>
    <w:p w:rsidR="00F506DA">
      <w:pPr>
        <w:spacing w:line="276" w:lineRule="auto"/>
        <w:jc w:val="both"/>
        <w:rPr>
          <w:color w:val="000000"/>
        </w:rPr>
      </w:pPr>
      <w:r>
        <w:rPr>
          <w:color w:val="000000"/>
        </w:rPr>
        <w:t>Our submission makes six core arguments:</w:t>
      </w:r>
    </w:p>
    <w:p w:rsidR="00F506DA">
      <w:pPr>
        <w:spacing w:line="276" w:lineRule="auto"/>
        <w:jc w:val="both"/>
      </w:pPr>
    </w:p>
    <w:p w:rsidR="00F506DA">
      <w:pPr>
        <w:numPr>
          <w:ilvl w:val="0"/>
          <w:numId w:val="1"/>
        </w:numPr>
        <w:pBdr>
          <w:top w:val="nil"/>
          <w:left w:val="nil"/>
          <w:bottom w:val="nil"/>
          <w:right w:val="nil"/>
          <w:between w:val="nil"/>
        </w:pBdr>
        <w:spacing w:line="276" w:lineRule="auto"/>
        <w:jc w:val="both"/>
      </w:pPr>
      <w:r>
        <w:rPr>
          <w:color w:val="000000"/>
        </w:rPr>
        <w:t>The current direction of government policy is actively harming the self-catering sector and the wider domestic tourism economy.</w:t>
      </w:r>
    </w:p>
    <w:p w:rsidR="00F506DA">
      <w:pPr>
        <w:numPr>
          <w:ilvl w:val="0"/>
          <w:numId w:val="1"/>
        </w:numPr>
        <w:pBdr>
          <w:top w:val="nil"/>
          <w:left w:val="nil"/>
          <w:bottom w:val="nil"/>
          <w:right w:val="nil"/>
          <w:between w:val="nil"/>
        </w:pBdr>
        <w:spacing w:line="276" w:lineRule="auto"/>
        <w:jc w:val="both"/>
      </w:pPr>
      <w:r>
        <w:rPr>
          <w:color w:val="000000"/>
        </w:rPr>
        <w:t>Rural and coastal communities, the heartland of the sector, are carrying a disproportionate share of that harm.</w:t>
      </w:r>
    </w:p>
    <w:p w:rsidR="00F506DA">
      <w:pPr>
        <w:numPr>
          <w:ilvl w:val="0"/>
          <w:numId w:val="1"/>
        </w:numPr>
        <w:pBdr>
          <w:top w:val="nil"/>
          <w:left w:val="nil"/>
          <w:bottom w:val="nil"/>
          <w:right w:val="nil"/>
          <w:between w:val="nil"/>
        </w:pBdr>
        <w:spacing w:line="276" w:lineRule="auto"/>
        <w:jc w:val="both"/>
      </w:pPr>
      <w:r>
        <w:rPr>
          <w:color w:val="000000"/>
        </w:rPr>
        <w:t>The cumulative burden on micro-businesses is severe and is not being adequately assessed.</w:t>
      </w:r>
    </w:p>
    <w:p w:rsidR="00F506DA">
      <w:pPr>
        <w:numPr>
          <w:ilvl w:val="0"/>
          <w:numId w:val="1"/>
        </w:numPr>
        <w:pBdr>
          <w:top w:val="nil"/>
          <w:left w:val="nil"/>
          <w:bottom w:val="nil"/>
          <w:right w:val="nil"/>
          <w:between w:val="nil"/>
        </w:pBdr>
        <w:spacing w:line="276" w:lineRule="auto"/>
        <w:jc w:val="both"/>
      </w:pPr>
      <w:r>
        <w:rPr>
          <w:color w:val="000000"/>
        </w:rPr>
        <w:t>England should learn clear lessons from the regulatory experiences of Scotland and Wales.</w:t>
      </w:r>
    </w:p>
    <w:p w:rsidR="00F506DA">
      <w:pPr>
        <w:numPr>
          <w:ilvl w:val="0"/>
          <w:numId w:val="1"/>
        </w:numPr>
        <w:pBdr>
          <w:top w:val="nil"/>
          <w:left w:val="nil"/>
          <w:bottom w:val="nil"/>
          <w:right w:val="nil"/>
          <w:between w:val="nil"/>
        </w:pBdr>
        <w:spacing w:line="276" w:lineRule="auto"/>
        <w:jc w:val="both"/>
      </w:pPr>
      <w:r>
        <w:rPr>
          <w:color w:val="000000"/>
        </w:rPr>
        <w:t>Domestic tourism must be treated as a strategic job creator and economic growth priority.</w:t>
      </w:r>
    </w:p>
    <w:p w:rsidR="00F506DA">
      <w:pPr>
        <w:numPr>
          <w:ilvl w:val="0"/>
          <w:numId w:val="1"/>
        </w:numPr>
        <w:pBdr>
          <w:top w:val="nil"/>
          <w:left w:val="nil"/>
          <w:bottom w:val="nil"/>
          <w:right w:val="nil"/>
          <w:between w:val="nil"/>
        </w:pBdr>
        <w:spacing w:line="276" w:lineRule="auto"/>
        <w:jc w:val="both"/>
      </w:pPr>
      <w:r>
        <w:rPr>
          <w:color w:val="000000"/>
        </w:rPr>
        <w:t>The economic, social and environmental contribution of the self-catering sector is consistently underestimated and deserves explicit government recognition.</w:t>
      </w:r>
    </w:p>
    <w:p w:rsidR="00F506DA">
      <w:pPr>
        <w:spacing w:line="276" w:lineRule="auto"/>
        <w:jc w:val="both"/>
      </w:pPr>
    </w:p>
    <w:p w:rsidR="00F506DA">
      <w:pPr>
        <w:pStyle w:val="Heading1"/>
        <w:spacing w:before="0" w:after="0" w:line="276" w:lineRule="auto"/>
        <w:jc w:val="both"/>
        <w:rPr>
          <w:sz w:val="24"/>
          <w:szCs w:val="24"/>
          <w:u w:val="single"/>
        </w:rPr>
      </w:pPr>
      <w:r>
        <w:rPr>
          <w:sz w:val="24"/>
          <w:szCs w:val="24"/>
          <w:u w:val="single"/>
        </w:rPr>
        <w:t>About PASC UK and the Self-Catering Sector</w:t>
      </w:r>
    </w:p>
    <w:p w:rsidR="00F506DA">
      <w:pPr>
        <w:pStyle w:val="Heading1"/>
        <w:spacing w:before="0" w:after="0" w:line="276" w:lineRule="auto"/>
        <w:ind w:left="720"/>
        <w:jc w:val="both"/>
        <w:rPr>
          <w:sz w:val="24"/>
          <w:szCs w:val="24"/>
          <w:u w:val="single"/>
        </w:rPr>
      </w:pPr>
    </w:p>
    <w:p w:rsidR="00F506DA">
      <w:pPr>
        <w:spacing w:line="276" w:lineRule="auto"/>
        <w:jc w:val="both"/>
        <w:rPr>
          <w:color w:val="000000"/>
        </w:rPr>
      </w:pPr>
      <w:r>
        <w:rPr>
          <w:color w:val="000000"/>
        </w:rPr>
        <w:t>PASC UK represents the self-catering sector across England and Wales. Our 2,500+ members range from individual owners letting a single rural cottage to large booking agencies representing hundreds of properties across 230+ online brands.</w:t>
      </w:r>
    </w:p>
    <w:p w:rsidR="00F506DA">
      <w:pPr>
        <w:spacing w:line="276" w:lineRule="auto"/>
        <w:jc w:val="both"/>
      </w:pPr>
    </w:p>
    <w:p w:rsidR="00F506DA">
      <w:pPr>
        <w:spacing w:line="276" w:lineRule="auto"/>
        <w:jc w:val="both"/>
        <w:rPr>
          <w:color w:val="000000"/>
        </w:rPr>
      </w:pPr>
      <w:r>
        <w:rPr>
          <w:color w:val="000000"/>
        </w:rPr>
        <w:t>It is important at the outset to be clear about what we mean by a 'dedicated holiday let'. Online travel agencies have transformed the way consumers discover and book accommodation, and in doing so have brought enormous choice and convenience to travellers. However, 'Airbnb' has become a colloquial shorthand for all short-term letting, and that conflation has materially distorted public and policy debate.</w:t>
      </w:r>
    </w:p>
    <w:p w:rsidR="00F506DA">
      <w:pPr>
        <w:spacing w:line="276" w:lineRule="auto"/>
        <w:jc w:val="both"/>
        <w:rPr>
          <w:color w:val="000000"/>
        </w:rPr>
      </w:pPr>
    </w:p>
    <w:p w:rsidR="00F506DA">
      <w:pPr>
        <w:spacing w:line="276" w:lineRule="auto"/>
        <w:jc w:val="both"/>
        <w:rPr>
          <w:color w:val="000000"/>
        </w:rPr>
      </w:pPr>
      <w:r>
        <w:rPr>
          <w:color w:val="000000"/>
        </w:rPr>
        <w:t xml:space="preserve">These platforms list a wide range of accommodation types: spare rooms in occupied homes, occasional lets by owner-residents, B&amp;Bs, boutique hotels, glamping structures and purpose-built holiday lets. When platform listing numbers grow, this does not represent equivalent growth in dedicated holiday let stock. </w:t>
      </w:r>
    </w:p>
    <w:p w:rsidR="00F506DA">
      <w:pPr>
        <w:spacing w:line="276" w:lineRule="auto"/>
        <w:jc w:val="both"/>
        <w:rPr>
          <w:color w:val="000000"/>
        </w:rPr>
      </w:pPr>
    </w:p>
    <w:p w:rsidR="00F506DA">
      <w:pPr>
        <w:spacing w:line="276" w:lineRule="auto"/>
        <w:jc w:val="both"/>
        <w:rPr>
          <w:color w:val="000000"/>
        </w:rPr>
      </w:pPr>
      <w:r>
        <w:rPr>
          <w:color w:val="000000"/>
        </w:rPr>
        <w:t>PASC UK represents the professionally managed, entire-property holiday let sector. This is a distinct business category with its own economic profile and regulatory implications. The policy debate must distinguish between these different types of accommodation if interventions are to be well-targeted and proportionate.</w:t>
      </w:r>
    </w:p>
    <w:p w:rsidR="00F506DA">
      <w:pPr>
        <w:spacing w:line="276" w:lineRule="auto"/>
        <w:jc w:val="both"/>
      </w:pPr>
    </w:p>
    <w:p w:rsidR="00F506DA">
      <w:pPr>
        <w:spacing w:line="276" w:lineRule="auto"/>
        <w:jc w:val="both"/>
        <w:rPr>
          <w:color w:val="2E75B6"/>
          <w:vertAlign w:val="superscript"/>
        </w:rPr>
      </w:pPr>
      <w:r>
        <w:rPr>
          <w:color w:val="000000"/>
        </w:rPr>
        <w:t xml:space="preserve">This distinction is more than definitional. When the Campaign to Protect Rural England cited a 661% increase in short-term listings in Cornwall, this figure was initially reproduced in a House of Commons </w:t>
      </w:r>
      <w:r>
        <w:rPr>
          <w:color w:val="000000"/>
        </w:rPr>
        <w:t>Library briefing and referenced in government planning consultations. The House of Commons Library subsequently removed the figure in February 2024, acknowledging that the research only looked at listings on certain platforms - meaning some 'growth' simply represented existing lettings being newly advertised online.</w:t>
      </w:r>
      <w:r>
        <w:rPr>
          <w:color w:val="2E75B6"/>
          <w:vertAlign w:val="superscript"/>
        </w:rPr>
        <w:t>[19]</w:t>
      </w:r>
      <w:r>
        <w:rPr>
          <w:color w:val="000000"/>
        </w:rPr>
        <w:t xml:space="preserve"> The actual compound annual growth rate in dedicated holiday lets in Cornwall between 2016 and 2021 was 3–5%.</w:t>
      </w:r>
      <w:r>
        <w:rPr>
          <w:color w:val="2E75B6"/>
          <w:vertAlign w:val="superscript"/>
        </w:rPr>
        <w:t>[11]</w:t>
      </w:r>
    </w:p>
    <w:p w:rsidR="00F506DA">
      <w:pPr>
        <w:spacing w:line="276" w:lineRule="auto"/>
        <w:jc w:val="both"/>
      </w:pPr>
    </w:p>
    <w:p w:rsidR="00F506DA">
      <w:pPr>
        <w:spacing w:line="276" w:lineRule="auto"/>
        <w:jc w:val="both"/>
        <w:rPr>
          <w:color w:val="2E75B6"/>
          <w:vertAlign w:val="superscript"/>
        </w:rPr>
      </w:pPr>
      <w:r>
        <w:rPr>
          <w:color w:val="000000"/>
        </w:rPr>
        <w:t>A 2025</w:t>
      </w:r>
      <w:r>
        <w:t xml:space="preserve"> </w:t>
      </w:r>
      <w:r>
        <w:rPr>
          <w:color w:val="000000"/>
        </w:rPr>
        <w:t>PASC UK survey of 1,345 businesses found that 4</w:t>
      </w:r>
      <w:r>
        <w:t>9</w:t>
      </w:r>
      <w:r>
        <w:rPr>
          <w:color w:val="000000"/>
        </w:rPr>
        <w:t xml:space="preserve">% of operators have run their property for more than ten years, and </w:t>
      </w:r>
      <w:r>
        <w:t>73</w:t>
      </w:r>
      <w:r>
        <w:rPr>
          <w:color w:val="000000"/>
        </w:rPr>
        <w:t xml:space="preserve">% for more than </w:t>
      </w:r>
      <w:r>
        <w:t xml:space="preserve">five </w:t>
      </w:r>
      <w:r>
        <w:rPr>
          <w:color w:val="000000"/>
        </w:rPr>
        <w:t>years - pre-dating the so-called 'Airbnb era'.</w:t>
      </w:r>
      <w:r>
        <w:rPr>
          <w:color w:val="2E75B6"/>
          <w:vertAlign w:val="superscript"/>
        </w:rPr>
        <w:t>[9]</w:t>
      </w:r>
    </w:p>
    <w:p w:rsidR="00F506DA">
      <w:pPr>
        <w:spacing w:line="276" w:lineRule="auto"/>
        <w:jc w:val="both"/>
      </w:pPr>
    </w:p>
    <w:p w:rsidR="00F506DA">
      <w:pPr>
        <w:pStyle w:val="Heading1"/>
        <w:numPr>
          <w:ilvl w:val="0"/>
          <w:numId w:val="4"/>
        </w:numPr>
        <w:spacing w:before="0" w:after="0" w:line="276" w:lineRule="auto"/>
        <w:jc w:val="both"/>
        <w:rPr>
          <w:sz w:val="24"/>
          <w:szCs w:val="24"/>
          <w:u w:val="single"/>
        </w:rPr>
      </w:pPr>
      <w:r>
        <w:rPr>
          <w:sz w:val="24"/>
          <w:szCs w:val="24"/>
          <w:u w:val="single"/>
        </w:rPr>
        <w:t>Current Policy is Actively Harming the Sector and Domestic Tourism</w:t>
      </w:r>
    </w:p>
    <w:p w:rsidR="00F506DA">
      <w:pPr>
        <w:pStyle w:val="Heading1"/>
        <w:spacing w:before="0" w:after="0" w:line="276" w:lineRule="auto"/>
        <w:ind w:left="720"/>
        <w:jc w:val="both"/>
        <w:rPr>
          <w:sz w:val="24"/>
          <w:szCs w:val="24"/>
          <w:u w:val="single"/>
        </w:rPr>
      </w:pPr>
    </w:p>
    <w:p w:rsidR="00F506DA">
      <w:pPr>
        <w:pStyle w:val="Heading2"/>
        <w:numPr>
          <w:ilvl w:val="1"/>
          <w:numId w:val="4"/>
        </w:numPr>
        <w:spacing w:before="0" w:after="0" w:line="276" w:lineRule="auto"/>
        <w:jc w:val="both"/>
        <w:rPr>
          <w:sz w:val="22"/>
          <w:szCs w:val="22"/>
        </w:rPr>
      </w:pPr>
      <w:r>
        <w:rPr>
          <w:sz w:val="22"/>
          <w:szCs w:val="22"/>
        </w:rPr>
        <w:t>The domestic tourism market is in decline</w:t>
      </w:r>
    </w:p>
    <w:p w:rsidR="00F506DA">
      <w:pPr>
        <w:pStyle w:val="Heading2"/>
        <w:spacing w:before="0" w:after="0" w:line="276" w:lineRule="auto"/>
        <w:ind w:left="780"/>
        <w:jc w:val="both"/>
        <w:rPr>
          <w:sz w:val="22"/>
          <w:szCs w:val="22"/>
        </w:rPr>
      </w:pPr>
    </w:p>
    <w:p w:rsidR="00F506DA">
      <w:pPr>
        <w:spacing w:line="276" w:lineRule="auto"/>
        <w:jc w:val="both"/>
        <w:rPr>
          <w:color w:val="2E75B6"/>
          <w:vertAlign w:val="superscript"/>
        </w:rPr>
      </w:pPr>
      <w:r>
        <w:rPr>
          <w:color w:val="000000"/>
        </w:rPr>
        <w:t>Domestic overnight tourism has contracted significantly. Between 2022 and 2024, domestic holiday trips fell by almost ten million, from 42.3 million to 32.5 million.</w:t>
      </w:r>
      <w:r>
        <w:rPr>
          <w:color w:val="2E75B6"/>
          <w:vertAlign w:val="superscript"/>
        </w:rPr>
        <w:t>[3]</w:t>
      </w:r>
      <w:r>
        <w:rPr>
          <w:color w:val="000000"/>
        </w:rPr>
        <w:t xml:space="preserve"> Over the same period, UK residents' overseas holidays increased by over ten million visits, and annual spending abroad rose by £13.4 billion.</w:t>
      </w:r>
      <w:r>
        <w:rPr>
          <w:color w:val="2E75B6"/>
          <w:vertAlign w:val="superscript"/>
        </w:rPr>
        <w:t>[4]</w:t>
      </w:r>
      <w:r>
        <w:rPr>
          <w:color w:val="000000"/>
        </w:rPr>
        <w:t xml:space="preserve"> It is vital that HM Treasury recognise that </w:t>
      </w:r>
      <w:r>
        <w:t xml:space="preserve">domestic tourism is not displacement spending, rather that people choose to holiday either at home or abroad and £13.4 billion more of their holiday spend each year is being lost abroad. </w:t>
      </w:r>
      <w:r>
        <w:rPr>
          <w:color w:val="000000"/>
        </w:rPr>
        <w:t>Spending on UK seaside and countryside breaks fell by £1.8 billion in a single year.</w:t>
      </w:r>
      <w:r>
        <w:rPr>
          <w:color w:val="2E75B6"/>
          <w:vertAlign w:val="superscript"/>
        </w:rPr>
        <w:t>[7]</w:t>
      </w:r>
    </w:p>
    <w:p w:rsidR="00F506DA">
      <w:pPr>
        <w:spacing w:line="276" w:lineRule="auto"/>
        <w:jc w:val="both"/>
      </w:pPr>
    </w:p>
    <w:p w:rsidR="00F506DA">
      <w:pPr>
        <w:spacing w:line="276" w:lineRule="auto"/>
        <w:jc w:val="both"/>
      </w:pPr>
      <w:r>
        <w:t>Furthermore, if the Government is to succeed with its ambition to deliver</w:t>
      </w:r>
      <w:r>
        <w:t xml:space="preserve"> 50 million inbound visitors to the UK by 2030, a thriving domestic tourism industry is vital to provide the attractions and hospitality venues that will encourage these increased inbound visitors.</w:t>
      </w:r>
      <w:r>
        <w:rPr>
          <w:color w:val="2E75B6"/>
          <w:vertAlign w:val="superscript"/>
        </w:rPr>
        <w:t>[31]</w:t>
      </w:r>
      <w:r>
        <w:t xml:space="preserve">  </w:t>
      </w:r>
    </w:p>
    <w:p w:rsidR="00F506DA">
      <w:pPr>
        <w:spacing w:line="276" w:lineRule="auto"/>
        <w:jc w:val="both"/>
      </w:pPr>
      <w:r>
        <w:t xml:space="preserve"> </w:t>
      </w:r>
    </w:p>
    <w:p w:rsidR="00F506DA">
      <w:pPr>
        <w:spacing w:line="276" w:lineRule="auto"/>
        <w:jc w:val="both"/>
        <w:rPr>
          <w:color w:val="000000"/>
        </w:rPr>
      </w:pPr>
      <w:r>
        <w:rPr>
          <w:color w:val="000000"/>
        </w:rPr>
        <w:t>Within the self-catering sector specifically, the number of properties registered as self-catering businesses with the Valuation Office Agency fell by 9.2% in England and 5.6% in Wales in 2024, and by a further 7% in England in 2025 - a cumulative decline of 15.5% in England since 2023.</w:t>
      </w:r>
      <w:r>
        <w:rPr>
          <w:color w:val="2E75B6"/>
          <w:vertAlign w:val="superscript"/>
        </w:rPr>
        <w:t>[2]</w:t>
      </w:r>
      <w:r>
        <w:rPr>
          <w:color w:val="000000"/>
        </w:rPr>
        <w:t xml:space="preserve"> The sector is not growing out of control, as policy debate sometimes implies. It is contracting.</w:t>
      </w:r>
    </w:p>
    <w:p w:rsidR="00F506DA">
      <w:pPr>
        <w:spacing w:line="276" w:lineRule="auto"/>
        <w:jc w:val="both"/>
      </w:pPr>
    </w:p>
    <w:p w:rsidR="00F506DA">
      <w:pPr>
        <w:pStyle w:val="Heading2"/>
        <w:numPr>
          <w:ilvl w:val="1"/>
          <w:numId w:val="4"/>
        </w:numPr>
        <w:spacing w:before="0" w:after="0" w:line="276" w:lineRule="auto"/>
        <w:jc w:val="both"/>
        <w:rPr>
          <w:sz w:val="22"/>
          <w:szCs w:val="22"/>
        </w:rPr>
      </w:pPr>
      <w:r>
        <w:rPr>
          <w:sz w:val="22"/>
          <w:szCs w:val="22"/>
        </w:rPr>
        <w:t>A wave of policy interventions is compounding market pressures</w:t>
      </w:r>
    </w:p>
    <w:p w:rsidR="00F506DA">
      <w:pPr>
        <w:pStyle w:val="Heading2"/>
        <w:spacing w:before="0" w:after="0" w:line="276" w:lineRule="auto"/>
        <w:ind w:left="780"/>
        <w:jc w:val="both"/>
        <w:rPr>
          <w:sz w:val="22"/>
          <w:szCs w:val="22"/>
        </w:rPr>
      </w:pPr>
    </w:p>
    <w:p w:rsidR="00F506DA">
      <w:pPr>
        <w:spacing w:line="276" w:lineRule="auto"/>
        <w:jc w:val="both"/>
      </w:pPr>
      <w:r>
        <w:rPr>
          <w:color w:val="000000"/>
        </w:rPr>
        <w:t xml:space="preserve">The self-catering sector is navigating approximately 20 separate legislative and regulatory interventions arriving in rapid succession and without co-ordinated assessment of their combined effect. </w:t>
      </w:r>
    </w:p>
    <w:p w:rsidR="00F506DA">
      <w:pPr>
        <w:spacing w:line="276" w:lineRule="auto"/>
        <w:jc w:val="both"/>
      </w:pPr>
    </w:p>
    <w:p w:rsidR="00F506DA">
      <w:pPr>
        <w:spacing w:line="276" w:lineRule="auto"/>
        <w:jc w:val="both"/>
        <w:rPr>
          <w:color w:val="000000"/>
        </w:rPr>
      </w:pPr>
      <w:r>
        <w:rPr>
          <w:color w:val="000000"/>
        </w:rPr>
        <w:t xml:space="preserve">For higher-rate taxpayers with a mortgage, the abolition of the FHL tax regime alone added approximately £3,200 in annual tax with </w:t>
      </w:r>
      <w:r>
        <w:t>property owners now facing an additional 2p of income tax on top</w:t>
      </w:r>
      <w:r>
        <w:rPr>
          <w:color w:val="000000"/>
        </w:rPr>
        <w:t>. The proposed EPC C upgrade, which would have required spending of up to £1</w:t>
      </w:r>
      <w:r>
        <w:t>0</w:t>
      </w:r>
      <w:r>
        <w:rPr>
          <w:color w:val="000000"/>
        </w:rPr>
        <w:t>,000 per property,</w:t>
      </w:r>
      <w:r>
        <w:t xml:space="preserve"> absorbing</w:t>
      </w:r>
      <w:r>
        <w:rPr>
          <w:color w:val="000000"/>
        </w:rPr>
        <w:t xml:space="preserve"> three or more years of the typical small operator's profit, has been dropped for now. Even in isolation, several of these measures </w:t>
      </w:r>
      <w:r>
        <w:rPr>
          <w:color w:val="000000"/>
        </w:rPr>
        <w:t>are capable of making</w:t>
      </w:r>
      <w:r>
        <w:rPr>
          <w:color w:val="000000"/>
        </w:rPr>
        <w:t xml:space="preserve"> a marginal business unviable. In combination, they represent a cumulative burden that is without recent precedent.</w:t>
      </w:r>
    </w:p>
    <w:p w:rsidR="00F506DA">
      <w:pPr>
        <w:spacing w:line="276" w:lineRule="auto"/>
        <w:jc w:val="both"/>
      </w:pPr>
    </w:p>
    <w:p w:rsidR="00F506DA">
      <w:pPr>
        <w:pStyle w:val="Heading2"/>
        <w:numPr>
          <w:ilvl w:val="1"/>
          <w:numId w:val="4"/>
        </w:numPr>
        <w:spacing w:before="0" w:after="0" w:line="276" w:lineRule="auto"/>
        <w:jc w:val="both"/>
        <w:rPr>
          <w:sz w:val="22"/>
          <w:szCs w:val="22"/>
        </w:rPr>
      </w:pPr>
      <w:r>
        <w:rPr>
          <w:sz w:val="22"/>
          <w:szCs w:val="22"/>
        </w:rPr>
        <w:t>The policy direction contradicts the Government's own growth agenda</w:t>
      </w:r>
    </w:p>
    <w:p w:rsidR="00F506DA">
      <w:pPr>
        <w:pStyle w:val="Heading2"/>
        <w:spacing w:before="0" w:after="0" w:line="276" w:lineRule="auto"/>
        <w:ind w:left="780"/>
        <w:jc w:val="both"/>
        <w:rPr>
          <w:sz w:val="22"/>
          <w:szCs w:val="22"/>
        </w:rPr>
      </w:pPr>
    </w:p>
    <w:p w:rsidR="00F506DA">
      <w:pPr>
        <w:spacing w:line="276" w:lineRule="auto"/>
        <w:jc w:val="both"/>
        <w:rPr>
          <w:color w:val="000000"/>
        </w:rPr>
      </w:pPr>
      <w:r>
        <w:rPr>
          <w:color w:val="000000"/>
        </w:rPr>
        <w:t>The Government has committed to kickstarting growth across the country, easing the cost-of-living crisis, and reducing the regulatory burden on businesses. The current direction of travel in tourism policy runs contrary to each of these. The UK already ranks 113th out of 119 countries for price competitiveness.</w:t>
      </w:r>
      <w:r>
        <w:rPr>
          <w:color w:val="2E75B6"/>
          <w:vertAlign w:val="superscript"/>
        </w:rPr>
        <w:t>[5]</w:t>
      </w:r>
      <w:r>
        <w:rPr>
          <w:color w:val="000000"/>
        </w:rPr>
        <w:t xml:space="preserve"> Adding further cost to the visitor economy - through levies, increased business </w:t>
      </w:r>
      <w:r>
        <w:rPr>
          <w:color w:val="000000"/>
        </w:rPr>
        <w:t>rates</w:t>
      </w:r>
      <w:r>
        <w:t>, increased taxes</w:t>
      </w:r>
      <w:r>
        <w:rPr>
          <w:color w:val="000000"/>
        </w:rPr>
        <w:t>, and a heavier regulatory burden - risks accelerating the already visible trend of UK families choosing to holiday abroad rather than at home.</w:t>
      </w:r>
    </w:p>
    <w:p w:rsidR="00F506DA">
      <w:pPr>
        <w:spacing w:line="276" w:lineRule="auto"/>
        <w:jc w:val="both"/>
      </w:pPr>
    </w:p>
    <w:p w:rsidR="00F506DA">
      <w:pPr>
        <w:spacing w:line="276" w:lineRule="auto"/>
        <w:jc w:val="both"/>
      </w:pPr>
      <w:r>
        <w:t>This also runs counter to the Government’s own commitment to reduce the administrative costs of regulation on business by 25% as part of its wider regulatory reform agenda.</w:t>
      </w:r>
      <w:r>
        <w:rPr>
          <w:color w:val="2E75B6"/>
          <w:vertAlign w:val="superscript"/>
        </w:rPr>
        <w:t>[32]</w:t>
      </w:r>
    </w:p>
    <w:p w:rsidR="00F506DA">
      <w:pPr>
        <w:spacing w:line="276" w:lineRule="auto"/>
        <w:jc w:val="both"/>
      </w:pPr>
    </w:p>
    <w:p w:rsidR="00F506DA">
      <w:pPr>
        <w:spacing w:line="276" w:lineRule="auto"/>
        <w:jc w:val="both"/>
        <w:rPr>
          <w:color w:val="2E75B6"/>
          <w:vertAlign w:val="superscript"/>
        </w:rPr>
      </w:pPr>
      <w:r>
        <w:rPr>
          <w:color w:val="000000"/>
        </w:rPr>
        <w:t>The sector is not seeking special treatment. It is not asking for subsidies or for economically unviable businesses to be propped up. Tourism jobs are often more accessible, flexible and low-barrier-to-entry than alternatives and are particularly valuable in areas with high numbers of people not in employment, education or training.</w:t>
      </w:r>
      <w:r>
        <w:rPr>
          <w:color w:val="2E75B6"/>
          <w:vertAlign w:val="superscript"/>
        </w:rPr>
        <w:t xml:space="preserve">[18] </w:t>
      </w:r>
      <w:r>
        <w:t>They are often the gateway to long-term employment for many young people across the country, providing them with valuable skills and experience they go on to use throughout the rest of their careers.</w:t>
      </w:r>
    </w:p>
    <w:p w:rsidR="00F506DA">
      <w:pPr>
        <w:spacing w:line="276" w:lineRule="auto"/>
        <w:jc w:val="both"/>
      </w:pPr>
    </w:p>
    <w:p w:rsidR="00F506DA">
      <w:pPr>
        <w:pStyle w:val="Heading1"/>
        <w:numPr>
          <w:ilvl w:val="0"/>
          <w:numId w:val="4"/>
        </w:numPr>
        <w:spacing w:before="0" w:after="0" w:line="276" w:lineRule="auto"/>
        <w:jc w:val="both"/>
        <w:rPr>
          <w:sz w:val="24"/>
          <w:szCs w:val="24"/>
          <w:u w:val="single"/>
        </w:rPr>
      </w:pPr>
      <w:r>
        <w:rPr>
          <w:sz w:val="24"/>
          <w:szCs w:val="24"/>
          <w:u w:val="single"/>
        </w:rPr>
        <w:t>Rural and Coastal Communities Are Disproportionately Exposed</w:t>
      </w:r>
    </w:p>
    <w:p w:rsidR="00F506DA">
      <w:pPr>
        <w:pStyle w:val="Heading1"/>
        <w:spacing w:before="0" w:after="0" w:line="276" w:lineRule="auto"/>
        <w:ind w:left="720"/>
        <w:jc w:val="both"/>
        <w:rPr>
          <w:sz w:val="24"/>
          <w:szCs w:val="24"/>
          <w:u w:val="single"/>
        </w:rPr>
      </w:pPr>
    </w:p>
    <w:p w:rsidR="00F506DA">
      <w:pPr>
        <w:spacing w:line="276" w:lineRule="auto"/>
        <w:jc w:val="both"/>
        <w:rPr>
          <w:color w:val="2E75B6"/>
          <w:vertAlign w:val="superscript"/>
        </w:rPr>
      </w:pPr>
      <w:r>
        <w:rPr>
          <w:color w:val="000000"/>
        </w:rPr>
        <w:t>In England, 26% of dedicated holiday lets are located on farms, where letting income frequently provides the cross-subsidy that keeps agricultural businesses viable.</w:t>
      </w:r>
      <w:r>
        <w:rPr>
          <w:color w:val="2E75B6"/>
          <w:vertAlign w:val="superscript"/>
        </w:rPr>
        <w:t>[9]</w:t>
      </w:r>
      <w:r>
        <w:rPr>
          <w:color w:val="000000"/>
        </w:rPr>
        <w:t xml:space="preserve"> Self-catering accommodation underpins a local economic ecosystem: evidence indicates that for every £100 spent on accommodation, a further £78 is spent in the wider local economy - in pubs, restaurants, shops, visitor attractions and local services.</w:t>
      </w:r>
      <w:r>
        <w:rPr>
          <w:color w:val="2E75B6"/>
          <w:vertAlign w:val="superscript"/>
        </w:rPr>
        <w:t>[26]</w:t>
      </w:r>
    </w:p>
    <w:p w:rsidR="00F506DA">
      <w:pPr>
        <w:spacing w:line="276" w:lineRule="auto"/>
        <w:jc w:val="both"/>
      </w:pPr>
    </w:p>
    <w:p w:rsidR="00F506DA">
      <w:pPr>
        <w:spacing w:line="276" w:lineRule="auto"/>
        <w:jc w:val="both"/>
        <w:rPr>
          <w:color w:val="000000"/>
        </w:rPr>
      </w:pPr>
      <w:r>
        <w:rPr>
          <w:color w:val="000000"/>
        </w:rPr>
        <w:t>These communities have fewer alternative economic drivers. When holiday let businesses close, the consequences ripple outward. The local pub loses footfall; the village shop reduces its hours; the regional visitor attraction becomes less viable. This is not a theoretical risk. It is already happening in parts of Wales, where overnight stays fell by 29% between 2023 and 2024, pub closures are accelerating, and major visitor attractions have closed permanently. And the impacts are starting to be felt in Engla</w:t>
      </w:r>
      <w:r>
        <w:rPr>
          <w:color w:val="000000"/>
        </w:rPr>
        <w:t xml:space="preserve">nd. In the 12 months </w:t>
      </w:r>
      <w:r>
        <w:t>between Q3 2024 and Q3 2025, seaside and coastal destinations, many of them among the most deprived areas of the UK, lost £640 million in domestic tourism spend, shedding a total of £1.4 billion since 2022.</w:t>
      </w:r>
      <w:r>
        <w:rPr>
          <w:color w:val="2E75B6"/>
          <w:vertAlign w:val="superscript"/>
        </w:rPr>
        <w:t>[33]</w:t>
      </w:r>
    </w:p>
    <w:p w:rsidR="00F506DA">
      <w:pPr>
        <w:spacing w:line="276" w:lineRule="auto"/>
        <w:jc w:val="both"/>
      </w:pPr>
    </w:p>
    <w:p w:rsidR="00F506DA">
      <w:pPr>
        <w:spacing w:line="276" w:lineRule="auto"/>
        <w:jc w:val="both"/>
        <w:rPr>
          <w:color w:val="000000"/>
        </w:rPr>
      </w:pPr>
      <w:r>
        <w:rPr>
          <w:color w:val="000000"/>
        </w:rPr>
        <w:t xml:space="preserve">We ask the Committee to recommend an explicit government target to stem the </w:t>
      </w:r>
      <w:r>
        <w:t>decline</w:t>
      </w:r>
      <w:r>
        <w:rPr>
          <w:color w:val="000000"/>
        </w:rPr>
        <w:t xml:space="preserve"> and </w:t>
      </w:r>
      <w:r>
        <w:rPr>
          <w:b/>
          <w:bCs/>
          <w:color w:val="000000"/>
        </w:rPr>
        <w:t>restore</w:t>
      </w:r>
      <w:r>
        <w:rPr>
          <w:color w:val="000000"/>
        </w:rPr>
        <w:t xml:space="preserve"> domestic overnight trips in England's</w:t>
      </w:r>
      <w:r>
        <w:t xml:space="preserve"> </w:t>
      </w:r>
      <w:r>
        <w:rPr>
          <w:color w:val="000000"/>
        </w:rPr>
        <w:t xml:space="preserve">small towns, seaside and countryside. </w:t>
      </w:r>
      <w:r>
        <w:t>These have fallen by 18% from 57.2m in 2022</w:t>
      </w:r>
      <w:r>
        <w:rPr>
          <w:color w:val="2E75B6"/>
          <w:vertAlign w:val="superscript"/>
        </w:rPr>
        <w:t>[36]</w:t>
      </w:r>
      <w:r>
        <w:t xml:space="preserve"> to 46.7m in 2024</w:t>
      </w:r>
      <w:r>
        <w:rPr>
          <w:color w:val="2E75B6"/>
          <w:vertAlign w:val="superscript"/>
        </w:rPr>
        <w:t>[3]</w:t>
      </w:r>
      <w:r>
        <w:t xml:space="preserve">, the target should at least be to restore numbers back up </w:t>
      </w:r>
      <w:r>
        <w:rPr>
          <w:color w:val="000000"/>
        </w:rPr>
        <w:t>to</w:t>
      </w:r>
      <w:r>
        <w:t xml:space="preserve"> </w:t>
      </w:r>
      <w:r>
        <w:rPr>
          <w:color w:val="000000"/>
        </w:rPr>
        <w:t>57.2m by 2030. This would represent a meaningful, measurable commitment to the communities most dependent on domestic tourism.</w:t>
      </w:r>
    </w:p>
    <w:p w:rsidR="00F506DA">
      <w:pPr>
        <w:spacing w:line="276" w:lineRule="auto"/>
        <w:jc w:val="both"/>
      </w:pPr>
    </w:p>
    <w:p w:rsidR="00F506DA">
      <w:pPr>
        <w:spacing w:line="276" w:lineRule="auto"/>
        <w:jc w:val="both"/>
        <w:rPr>
          <w:color w:val="000000"/>
        </w:rPr>
      </w:pPr>
      <w:r>
        <w:rPr>
          <w:color w:val="000000"/>
        </w:rPr>
        <w:t>Policy is too often designed from an urban perspective that does not reflect rural and coastal realities or th</w:t>
      </w:r>
      <w:r>
        <w:t>e many property types that guests enjoy short stays in</w:t>
      </w:r>
      <w:r>
        <w:rPr>
          <w:color w:val="000000"/>
        </w:rPr>
        <w:t xml:space="preserve">. The statutory short-term let register, which the Government has committed to but not yet implemented fully, is urgently needed </w:t>
      </w:r>
      <w:r>
        <w:t>because the government</w:t>
      </w:r>
      <w:r>
        <w:rPr>
          <w:color w:val="000000"/>
        </w:rPr>
        <w:t xml:space="preserve"> currently lacks the granular data to understand the sector's true composition, distribution and behaviour. A yurt or a </w:t>
      </w:r>
      <w:r>
        <w:t xml:space="preserve">shepherd's hut </w:t>
      </w:r>
      <w:r>
        <w:rPr>
          <w:color w:val="000000"/>
        </w:rPr>
        <w:t xml:space="preserve">is not the same as a primary home, nor is an </w:t>
      </w:r>
      <w:r>
        <w:t>a</w:t>
      </w:r>
      <w:r>
        <w:rPr>
          <w:color w:val="000000"/>
        </w:rPr>
        <w:t xml:space="preserve">nnex, a </w:t>
      </w:r>
      <w:r>
        <w:t xml:space="preserve">converted farm on a barn. Equally a well occupied </w:t>
      </w:r>
      <w:r>
        <w:t>self catered</w:t>
      </w:r>
      <w:r>
        <w:t xml:space="preserve"> holiday let is not the same as a second home left empty</w:t>
      </w:r>
      <w:r>
        <w:t xml:space="preserve"> for large parts of the year. Yet in housing debates, “short term lets” are often grouped together and </w:t>
      </w:r>
      <w:r>
        <w:t>self catered</w:t>
      </w:r>
      <w:r>
        <w:t xml:space="preserve"> properties are often conflated with second homes</w:t>
      </w:r>
      <w:r>
        <w:rPr>
          <w:color w:val="000000"/>
        </w:rPr>
        <w:t xml:space="preserve">. </w:t>
      </w:r>
    </w:p>
    <w:p w:rsidR="00F506DA">
      <w:pPr>
        <w:spacing w:line="276" w:lineRule="auto"/>
        <w:jc w:val="both"/>
      </w:pPr>
    </w:p>
    <w:p w:rsidR="00F506DA">
      <w:pPr>
        <w:spacing w:line="276" w:lineRule="auto"/>
        <w:jc w:val="both"/>
        <w:rPr>
          <w:color w:val="2E75B6"/>
          <w:vertAlign w:val="superscript"/>
        </w:rPr>
      </w:pPr>
      <w:r>
        <w:t xml:space="preserve">The Committee should note that the tourism levy proposals in England, Wales and Scotland have proceeded in the absence of robust registration data. There can be no better example of the weakness of the current evidence base than the Welsh Government’s own estimate that a future register could capture anywhere between 16,000 and 55,000 providers - a disparity so wide that it demonstrates </w:t>
      </w:r>
      <w:r>
        <w:t>policymakers are attempting to regulate and tax a sector whose scale they cannot yet reliably quantify.</w:t>
      </w:r>
      <w:r>
        <w:rPr>
          <w:color w:val="2E75B6"/>
          <w:vertAlign w:val="superscript"/>
        </w:rPr>
        <w:t>[12]</w:t>
      </w:r>
    </w:p>
    <w:p w:rsidR="00F506DA">
      <w:pPr>
        <w:spacing w:line="276" w:lineRule="auto"/>
        <w:jc w:val="both"/>
      </w:pPr>
    </w:p>
    <w:p w:rsidR="00F506DA">
      <w:pPr>
        <w:pStyle w:val="Heading1"/>
        <w:numPr>
          <w:ilvl w:val="0"/>
          <w:numId w:val="4"/>
        </w:numPr>
        <w:spacing w:before="0" w:after="0" w:line="276" w:lineRule="auto"/>
        <w:jc w:val="both"/>
        <w:rPr>
          <w:sz w:val="22"/>
          <w:szCs w:val="22"/>
          <w:u w:val="single"/>
        </w:rPr>
      </w:pPr>
      <w:r>
        <w:rPr>
          <w:sz w:val="22"/>
          <w:szCs w:val="22"/>
          <w:u w:val="single"/>
        </w:rPr>
        <w:t>The Cumulative Burden on Micro-Businesses Is Not Being Properly Assessed</w:t>
      </w:r>
    </w:p>
    <w:p w:rsidR="00F506DA">
      <w:pPr>
        <w:pStyle w:val="Heading1"/>
        <w:spacing w:before="0" w:after="0" w:line="276" w:lineRule="auto"/>
        <w:ind w:left="720"/>
        <w:jc w:val="both"/>
        <w:rPr>
          <w:sz w:val="22"/>
          <w:szCs w:val="22"/>
          <w:u w:val="single"/>
        </w:rPr>
      </w:pPr>
    </w:p>
    <w:p w:rsidR="00F506DA">
      <w:pPr>
        <w:spacing w:line="276" w:lineRule="auto"/>
        <w:jc w:val="both"/>
        <w:rPr>
          <w:color w:val="000000"/>
        </w:rPr>
      </w:pPr>
      <w:r>
        <w:rPr>
          <w:color w:val="000000"/>
        </w:rPr>
        <w:t>The self-catering sector is overwhelmingly made up of micro-businesses. In Wales, 45% of operators are aged 60 or over; the typical owner is a woman running a single small property.</w:t>
      </w:r>
      <w:r>
        <w:rPr>
          <w:color w:val="2E75B6"/>
          <w:vertAlign w:val="superscript"/>
        </w:rPr>
        <w:t>[9]</w:t>
      </w:r>
      <w:r>
        <w:rPr>
          <w:color w:val="000000"/>
        </w:rPr>
        <w:t xml:space="preserve"> Average turnover is approximately £25,000, with profit of around £5,000.</w:t>
      </w:r>
      <w:r>
        <w:rPr>
          <w:color w:val="2E75B6"/>
          <w:vertAlign w:val="superscript"/>
        </w:rPr>
        <w:t>[26]</w:t>
      </w:r>
      <w:r>
        <w:rPr>
          <w:color w:val="000000"/>
        </w:rPr>
        <w:t xml:space="preserve"> These are not corporate hotel groups with legal teams, HR departments and tax advisers. They are family businesses operating on narrow margins.</w:t>
      </w:r>
    </w:p>
    <w:p w:rsidR="00F506DA">
      <w:pPr>
        <w:spacing w:line="276" w:lineRule="auto"/>
        <w:jc w:val="both"/>
      </w:pPr>
    </w:p>
    <w:p w:rsidR="00F506DA">
      <w:pPr>
        <w:spacing w:line="276" w:lineRule="auto"/>
        <w:jc w:val="both"/>
        <w:rPr>
          <w:color w:val="2E75B6"/>
          <w:vertAlign w:val="superscript"/>
        </w:rPr>
      </w:pPr>
      <w:r>
        <w:rPr>
          <w:color w:val="000000"/>
        </w:rPr>
        <w:t>The cumulative compliance burden - fire risk assessments, gas and electrical safety certificates, commercial waste collection, consumer protection obligations</w:t>
      </w:r>
      <w:r>
        <w:t xml:space="preserve"> such as </w:t>
      </w:r>
      <w:r>
        <w:rPr>
          <w:color w:val="000000"/>
        </w:rPr>
        <w:t>drip-pricing compliance, HMRC intermediary reporting, council tax premiums, minimum wage increases, National insurance increases, and forthcoming registration and levy collection obligations falls with disproportionate weight on businesses without compliance infrastructure. The House of Commons Business and Trade Committee has noted that SMEs across all sectors are already facing operating challenges comparable to those experienced during the COVID-19 pandemic.</w:t>
      </w:r>
      <w:r>
        <w:rPr>
          <w:color w:val="2E75B6"/>
          <w:vertAlign w:val="superscript"/>
        </w:rPr>
        <w:t>[18]</w:t>
      </w:r>
    </w:p>
    <w:p w:rsidR="00F506DA">
      <w:pPr>
        <w:spacing w:line="276" w:lineRule="auto"/>
        <w:jc w:val="both"/>
      </w:pPr>
    </w:p>
    <w:p w:rsidR="00F506DA">
      <w:pPr>
        <w:spacing w:line="276" w:lineRule="auto"/>
        <w:jc w:val="both"/>
        <w:rPr>
          <w:color w:val="000000"/>
        </w:rPr>
      </w:pPr>
      <w:r>
        <w:rPr>
          <w:color w:val="000000"/>
        </w:rPr>
        <w:t xml:space="preserve">To our knowledge, and despite repeated requests, no government department has undertaken a cumulative impact assessment of what </w:t>
      </w:r>
      <w:r>
        <w:rPr>
          <w:color w:val="000000"/>
        </w:rPr>
        <w:t>all of</w:t>
      </w:r>
      <w:r>
        <w:rPr>
          <w:color w:val="000000"/>
        </w:rPr>
        <w:t xml:space="preserve"> these interventions mean in combination for the micro-businesses that constitute the sector's backbone. Each policy is evaluated in isolation. The result is that the full weight of these changes, arriving simultaneously from multiple departments, is invisible in any single policy appraisal and in impact assessments </w:t>
      </w:r>
      <w:r>
        <w:t>underpinning incoming regulation</w:t>
      </w:r>
      <w:r>
        <w:rPr>
          <w:color w:val="000000"/>
        </w:rPr>
        <w:t>.</w:t>
      </w:r>
    </w:p>
    <w:p w:rsidR="00F506DA">
      <w:pPr>
        <w:spacing w:line="276" w:lineRule="auto"/>
        <w:jc w:val="both"/>
      </w:pPr>
    </w:p>
    <w:p w:rsidR="00F506DA">
      <w:pPr>
        <w:spacing w:line="276" w:lineRule="auto"/>
        <w:jc w:val="both"/>
        <w:rPr>
          <w:color w:val="000000"/>
        </w:rPr>
      </w:pPr>
      <w:r>
        <w:rPr>
          <w:color w:val="000000"/>
        </w:rPr>
        <w:t xml:space="preserve">We ask the Committee to recommend that the </w:t>
      </w:r>
      <w:r>
        <w:t>g</w:t>
      </w:r>
      <w:r>
        <w:rPr>
          <w:color w:val="000000"/>
        </w:rPr>
        <w:t xml:space="preserve">overnment commits to a cumulative regulatory impact review for the self-catering and wider visitor accommodation sector before any further significant policy interventions are introduced, including </w:t>
      </w:r>
      <w:r>
        <w:t xml:space="preserve">a </w:t>
      </w:r>
      <w:r>
        <w:rPr>
          <w:color w:val="000000"/>
        </w:rPr>
        <w:t>visitor levy in England</w:t>
      </w:r>
      <w:r>
        <w:t>, and encourage devolved administrations to do the same.</w:t>
      </w:r>
    </w:p>
    <w:p w:rsidR="00F506DA">
      <w:pPr>
        <w:spacing w:line="276" w:lineRule="auto"/>
        <w:jc w:val="both"/>
      </w:pPr>
    </w:p>
    <w:p w:rsidR="00F506DA">
      <w:pPr>
        <w:spacing w:line="276" w:lineRule="auto"/>
        <w:jc w:val="both"/>
      </w:pPr>
      <w:r>
        <w:t>The image below shows how these interventions are impacting an individual self-catering operator.</w:t>
      </w:r>
    </w:p>
    <w:p w:rsidR="00F506DA">
      <w:pPr>
        <w:spacing w:line="276" w:lineRule="auto"/>
        <w:jc w:val="both"/>
      </w:pPr>
      <w:r>
        <w:rPr>
          <w:noProof/>
        </w:rPr>
        <w:drawing>
          <wp:inline distT="114300" distB="114300" distL="114300" distR="114300">
            <wp:extent cx="6188400" cy="6184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xmlns:r="http://schemas.openxmlformats.org/officeDocument/2006/relationships" r:embed="rId5"/>
                    <a:srcRect/>
                    <a:stretch>
                      <a:fillRect/>
                    </a:stretch>
                  </pic:blipFill>
                  <pic:spPr>
                    <a:xfrm>
                      <a:off x="0" y="0"/>
                      <a:ext cx="6188400" cy="6184900"/>
                    </a:xfrm>
                    <a:prstGeom prst="rect">
                      <a:avLst/>
                    </a:prstGeom>
                    <a:ln/>
                  </pic:spPr>
                </pic:pic>
              </a:graphicData>
            </a:graphic>
          </wp:inline>
        </w:drawing>
      </w:r>
    </w:p>
    <w:p w:rsidR="00F506DA">
      <w:pPr>
        <w:spacing w:line="276" w:lineRule="auto"/>
        <w:jc w:val="both"/>
      </w:pPr>
    </w:p>
    <w:p w:rsidR="00F506DA">
      <w:pPr>
        <w:pStyle w:val="Heading1"/>
        <w:numPr>
          <w:ilvl w:val="0"/>
          <w:numId w:val="4"/>
        </w:numPr>
        <w:spacing w:before="0" w:after="0" w:line="276" w:lineRule="auto"/>
        <w:jc w:val="both"/>
        <w:rPr>
          <w:sz w:val="24"/>
          <w:szCs w:val="24"/>
          <w:u w:val="single"/>
        </w:rPr>
      </w:pPr>
      <w:r>
        <w:rPr>
          <w:sz w:val="24"/>
          <w:szCs w:val="24"/>
          <w:u w:val="single"/>
        </w:rPr>
        <w:t>England Must Learn from Scotland and Wales</w:t>
      </w:r>
    </w:p>
    <w:p w:rsidR="00F506DA">
      <w:pPr>
        <w:pStyle w:val="Heading1"/>
        <w:spacing w:before="0" w:after="0" w:line="276" w:lineRule="auto"/>
        <w:ind w:left="720"/>
        <w:jc w:val="both"/>
        <w:rPr>
          <w:sz w:val="24"/>
          <w:szCs w:val="24"/>
          <w:u w:val="single"/>
        </w:rPr>
      </w:pPr>
    </w:p>
    <w:p w:rsidR="00F506DA">
      <w:pPr>
        <w:spacing w:line="276" w:lineRule="auto"/>
        <w:jc w:val="both"/>
        <w:rPr>
          <w:color w:val="000000"/>
        </w:rPr>
      </w:pPr>
      <w:r>
        <w:rPr>
          <w:color w:val="000000"/>
        </w:rPr>
        <w:t xml:space="preserve">England still </w:t>
      </w:r>
      <w:r>
        <w:rPr>
          <w:color w:val="000000"/>
        </w:rPr>
        <w:t>has the opportunity to</w:t>
      </w:r>
      <w:r>
        <w:rPr>
          <w:color w:val="000000"/>
        </w:rPr>
        <w:t xml:space="preserve"> design a proportionate regulatory framework for the self-catering sector. Scotland and Wales do not and did not. Both nations provide empirically grounded lessons about what happens when interventions are introduced without adequate evidence, without adequate data, and without proper assessment of cumulative consequences. Critically, both devolved governments have already been forced to amend or review poorly designed policies in response to concerns and confusion </w:t>
      </w:r>
      <w:r>
        <w:t>from local businesse</w:t>
      </w:r>
      <w:r>
        <w:t>s across the wider hospitality sector</w:t>
      </w:r>
      <w:r>
        <w:rPr>
          <w:color w:val="000000"/>
        </w:rPr>
        <w:t xml:space="preserve"> </w:t>
      </w:r>
      <w:r>
        <w:t xml:space="preserve">shortly after </w:t>
      </w:r>
      <w:r>
        <w:rPr>
          <w:color w:val="000000"/>
        </w:rPr>
        <w:t>their introduction</w:t>
      </w:r>
      <w:r>
        <w:t xml:space="preserve"> and local and national governments have lost </w:t>
      </w:r>
      <w:r>
        <w:t>a number of</w:t>
      </w:r>
      <w:r>
        <w:t xml:space="preserve"> legal battles, costing the </w:t>
      </w:r>
      <w:r>
        <w:t>tax payer</w:t>
      </w:r>
      <w:r>
        <w:t xml:space="preserve"> hundreds of thousands of pounds if not more.</w:t>
      </w:r>
    </w:p>
    <w:p w:rsidR="00F506DA">
      <w:pPr>
        <w:spacing w:line="276" w:lineRule="auto"/>
        <w:jc w:val="both"/>
      </w:pPr>
    </w:p>
    <w:p w:rsidR="00F506DA">
      <w:pPr>
        <w:spacing w:line="276" w:lineRule="auto"/>
        <w:jc w:val="both"/>
      </w:pPr>
    </w:p>
    <w:p w:rsidR="00F506DA">
      <w:pPr>
        <w:spacing w:line="276" w:lineRule="auto"/>
        <w:jc w:val="both"/>
      </w:pPr>
    </w:p>
    <w:p w:rsidR="00F506DA">
      <w:pPr>
        <w:pStyle w:val="Heading2"/>
        <w:numPr>
          <w:ilvl w:val="1"/>
          <w:numId w:val="4"/>
        </w:numPr>
        <w:spacing w:before="0" w:after="0" w:line="276" w:lineRule="auto"/>
        <w:jc w:val="both"/>
        <w:rPr>
          <w:sz w:val="22"/>
          <w:szCs w:val="22"/>
        </w:rPr>
      </w:pPr>
      <w:r>
        <w:rPr>
          <w:sz w:val="22"/>
          <w:szCs w:val="22"/>
        </w:rPr>
        <w:t>Scotland: a cautionary case study</w:t>
      </w:r>
    </w:p>
    <w:p w:rsidR="00F506DA">
      <w:pPr>
        <w:pStyle w:val="Heading2"/>
        <w:spacing w:before="0" w:after="0" w:line="276" w:lineRule="auto"/>
        <w:ind w:left="780"/>
        <w:jc w:val="both"/>
        <w:rPr>
          <w:sz w:val="22"/>
          <w:szCs w:val="22"/>
        </w:rPr>
      </w:pPr>
    </w:p>
    <w:p w:rsidR="00F506DA">
      <w:pPr>
        <w:spacing w:line="276" w:lineRule="auto"/>
        <w:jc w:val="both"/>
        <w:rPr>
          <w:color w:val="2E75B6"/>
          <w:vertAlign w:val="superscript"/>
        </w:rPr>
      </w:pPr>
      <w:r>
        <w:rPr>
          <w:color w:val="000000"/>
        </w:rPr>
        <w:t>Scotland introduced a mandatory short-term let licensing scheme from October 2022, combining overlapping planning and licensing obligations. The results are now well evidenced:</w:t>
      </w:r>
      <w:r>
        <w:rPr>
          <w:color w:val="2E75B6"/>
          <w:vertAlign w:val="superscript"/>
        </w:rPr>
        <w:t>[14]</w:t>
      </w:r>
      <w:r>
        <w:rPr>
          <w:color w:val="000000"/>
        </w:rPr>
        <w:t xml:space="preserve"> </w:t>
      </w:r>
      <w:r>
        <w:rPr>
          <w:color w:val="2E75B6"/>
          <w:vertAlign w:val="superscript"/>
        </w:rPr>
        <w:t>[15]</w:t>
      </w:r>
    </w:p>
    <w:p w:rsidR="00F506DA">
      <w:pPr>
        <w:spacing w:line="276" w:lineRule="auto"/>
        <w:jc w:val="both"/>
        <w:rPr>
          <w:color w:val="2E75B6"/>
          <w:vertAlign w:val="superscript"/>
        </w:rPr>
      </w:pPr>
    </w:p>
    <w:p w:rsidR="00F506DA">
      <w:pPr>
        <w:numPr>
          <w:ilvl w:val="0"/>
          <w:numId w:val="5"/>
        </w:numPr>
        <w:pBdr>
          <w:top w:val="nil"/>
          <w:left w:val="nil"/>
          <w:bottom w:val="nil"/>
          <w:right w:val="nil"/>
          <w:between w:val="nil"/>
        </w:pBdr>
        <w:spacing w:line="276" w:lineRule="auto"/>
        <w:jc w:val="both"/>
      </w:pPr>
      <w:r>
        <w:rPr>
          <w:color w:val="000000"/>
        </w:rPr>
        <w:t>Guest nights across parts of Scotland fell by 53%.</w:t>
      </w:r>
      <w:r>
        <w:rPr>
          <w:color w:val="2E75B6"/>
          <w:vertAlign w:val="superscript"/>
        </w:rPr>
        <w:t>[14]</w:t>
      </w:r>
    </w:p>
    <w:p w:rsidR="00F506DA">
      <w:pPr>
        <w:numPr>
          <w:ilvl w:val="0"/>
          <w:numId w:val="5"/>
        </w:numPr>
        <w:pBdr>
          <w:top w:val="nil"/>
          <w:left w:val="nil"/>
          <w:bottom w:val="nil"/>
          <w:right w:val="nil"/>
          <w:between w:val="nil"/>
        </w:pBdr>
        <w:spacing w:line="276" w:lineRule="auto"/>
        <w:jc w:val="both"/>
      </w:pPr>
      <w:r>
        <w:rPr>
          <w:color w:val="000000"/>
        </w:rPr>
        <w:t>Hotel prices in Edinburgh increased by 82% since 2019, pricing out visitors and reducing average stay durations.</w:t>
      </w:r>
      <w:r>
        <w:rPr>
          <w:color w:val="2E75B6"/>
          <w:vertAlign w:val="superscript"/>
        </w:rPr>
        <w:t>[16]</w:t>
      </w:r>
    </w:p>
    <w:p w:rsidR="00F506DA">
      <w:pPr>
        <w:numPr>
          <w:ilvl w:val="0"/>
          <w:numId w:val="5"/>
        </w:numPr>
        <w:pBdr>
          <w:top w:val="nil"/>
          <w:left w:val="nil"/>
          <w:bottom w:val="nil"/>
          <w:right w:val="nil"/>
          <w:between w:val="nil"/>
        </w:pBdr>
        <w:spacing w:line="276" w:lineRule="auto"/>
        <w:jc w:val="both"/>
      </w:pPr>
      <w:r>
        <w:rPr>
          <w:color w:val="000000"/>
        </w:rPr>
        <w:t>The STL sector in Edinburgh alone supported 5,580 jobs and contributed £154 million in GVA in 2023, much of which is now at risk.</w:t>
      </w:r>
      <w:r>
        <w:rPr>
          <w:color w:val="2E75B6"/>
          <w:vertAlign w:val="superscript"/>
        </w:rPr>
        <w:t>[15]</w:t>
      </w:r>
    </w:p>
    <w:p w:rsidR="00F506DA">
      <w:pPr>
        <w:numPr>
          <w:ilvl w:val="0"/>
          <w:numId w:val="5"/>
        </w:numPr>
        <w:pBdr>
          <w:top w:val="nil"/>
          <w:left w:val="nil"/>
          <w:bottom w:val="nil"/>
          <w:right w:val="nil"/>
          <w:between w:val="nil"/>
        </w:pBdr>
        <w:spacing w:line="276" w:lineRule="auto"/>
        <w:jc w:val="both"/>
      </w:pPr>
      <w:r>
        <w:rPr>
          <w:color w:val="000000"/>
        </w:rPr>
        <w:t>Over 75% of affected businesses reported a negative or extremely negative impact on their operations; 89% reported mental health consequences.</w:t>
      </w:r>
      <w:r>
        <w:rPr>
          <w:color w:val="2E75B6"/>
          <w:vertAlign w:val="superscript"/>
        </w:rPr>
        <w:t>[14]</w:t>
      </w:r>
    </w:p>
    <w:p w:rsidR="00F506DA">
      <w:pPr>
        <w:numPr>
          <w:ilvl w:val="0"/>
          <w:numId w:val="5"/>
        </w:numPr>
        <w:pBdr>
          <w:top w:val="nil"/>
          <w:left w:val="nil"/>
          <w:bottom w:val="nil"/>
          <w:right w:val="nil"/>
          <w:between w:val="nil"/>
        </w:pBdr>
        <w:spacing w:line="276" w:lineRule="auto"/>
        <w:jc w:val="both"/>
      </w:pPr>
      <w:r>
        <w:rPr>
          <w:color w:val="000000"/>
        </w:rPr>
        <w:t xml:space="preserve">In Glasgow, the number of short-term </w:t>
      </w:r>
      <w:r>
        <w:rPr>
          <w:color w:val="000000"/>
        </w:rPr>
        <w:t>lets</w:t>
      </w:r>
      <w:r>
        <w:rPr>
          <w:color w:val="000000"/>
        </w:rPr>
        <w:t xml:space="preserve"> fell by 43%; in East Lothian by 25%.</w:t>
      </w:r>
      <w:r>
        <w:rPr>
          <w:color w:val="2E75B6"/>
          <w:vertAlign w:val="superscript"/>
        </w:rPr>
        <w:t>[14]</w:t>
      </w:r>
    </w:p>
    <w:p w:rsidR="00F506DA">
      <w:pPr>
        <w:numPr>
          <w:ilvl w:val="0"/>
          <w:numId w:val="5"/>
        </w:numPr>
        <w:pBdr>
          <w:top w:val="nil"/>
          <w:left w:val="nil"/>
          <w:bottom w:val="nil"/>
          <w:right w:val="nil"/>
          <w:between w:val="nil"/>
        </w:pBdr>
        <w:spacing w:line="276" w:lineRule="auto"/>
        <w:jc w:val="both"/>
      </w:pPr>
      <w:r>
        <w:rPr>
          <w:color w:val="000000"/>
        </w:rPr>
        <w:t>The City of Edinburgh Council lost two separate judicial reviews of its licensing policy - in June 2023 and December 2023 - with the Court of Session ruling its approach irrational and unlawful.</w:t>
      </w:r>
      <w:r>
        <w:rPr>
          <w:color w:val="2E75B6"/>
          <w:vertAlign w:val="superscript"/>
        </w:rPr>
        <w:t>[21]</w:t>
      </w:r>
      <w:r>
        <w:rPr>
          <w:color w:val="000000"/>
        </w:rPr>
        <w:t xml:space="preserve"> </w:t>
      </w:r>
      <w:r>
        <w:rPr>
          <w:color w:val="2E75B6"/>
          <w:vertAlign w:val="superscript"/>
        </w:rPr>
        <w:t>[22]</w:t>
      </w:r>
    </w:p>
    <w:p w:rsidR="00F506DA">
      <w:pPr>
        <w:pBdr>
          <w:top w:val="nil"/>
          <w:left w:val="nil"/>
          <w:bottom w:val="nil"/>
          <w:right w:val="nil"/>
          <w:between w:val="nil"/>
        </w:pBdr>
        <w:spacing w:line="276" w:lineRule="auto"/>
        <w:ind w:left="540"/>
        <w:jc w:val="both"/>
        <w:rPr>
          <w:color w:val="000000"/>
        </w:rPr>
      </w:pPr>
    </w:p>
    <w:p w:rsidR="00F506DA">
      <w:pPr>
        <w:spacing w:line="276" w:lineRule="auto"/>
        <w:jc w:val="both"/>
        <w:rPr>
          <w:color w:val="000000"/>
        </w:rPr>
      </w:pPr>
      <w:r>
        <w:rPr>
          <w:color w:val="000000"/>
        </w:rPr>
        <w:t>Scotland's licensing scheme has seen implementation date postponements, guidance rewrites, and a Scottish Labour/Conservative call for a formal pause and review. A cross-party roundtable at Holyrood in June 2025, attended by MSPs from Scottish Labour and the Scottish Conservatives, produced explicit agreement that England and Wales should not replicate the Scottish approach. Participants described the regime as 'plagued by delays, inconsistent implementation, and confusion'.</w:t>
      </w:r>
    </w:p>
    <w:p w:rsidR="00F506DA">
      <w:pPr>
        <w:spacing w:line="276" w:lineRule="auto"/>
        <w:jc w:val="both"/>
      </w:pPr>
    </w:p>
    <w:p w:rsidR="00F506DA">
      <w:pPr>
        <w:pStyle w:val="Heading2"/>
        <w:numPr>
          <w:ilvl w:val="1"/>
          <w:numId w:val="4"/>
        </w:numPr>
        <w:spacing w:before="0" w:after="0" w:line="276" w:lineRule="auto"/>
        <w:jc w:val="both"/>
        <w:rPr>
          <w:sz w:val="22"/>
          <w:szCs w:val="22"/>
        </w:rPr>
      </w:pPr>
      <w:r>
        <w:rPr>
          <w:sz w:val="22"/>
          <w:szCs w:val="22"/>
        </w:rPr>
        <w:t>Wales: the evidence against the levy</w:t>
      </w:r>
    </w:p>
    <w:p w:rsidR="00F506DA">
      <w:pPr>
        <w:pStyle w:val="Heading2"/>
        <w:spacing w:before="0" w:after="0" w:line="276" w:lineRule="auto"/>
        <w:ind w:left="360"/>
        <w:jc w:val="both"/>
        <w:rPr>
          <w:sz w:val="22"/>
          <w:szCs w:val="22"/>
        </w:rPr>
      </w:pPr>
    </w:p>
    <w:p w:rsidR="00F506DA">
      <w:pPr>
        <w:spacing w:line="276" w:lineRule="auto"/>
        <w:jc w:val="both"/>
        <w:rPr>
          <w:color w:val="2E75B6"/>
          <w:vertAlign w:val="superscript"/>
        </w:rPr>
      </w:pPr>
      <w:r>
        <w:rPr>
          <w:color w:val="000000"/>
        </w:rPr>
        <w:t>Wales presents a different but equally instructive case. The Welsh Government's own evidence undermines the case for its proposed visitor levy:</w:t>
      </w:r>
      <w:r>
        <w:rPr>
          <w:color w:val="2E75B6"/>
          <w:vertAlign w:val="superscript"/>
        </w:rPr>
        <w:t>[13]</w:t>
      </w:r>
      <w:r>
        <w:rPr>
          <w:color w:val="000000"/>
        </w:rPr>
        <w:t xml:space="preserve"> </w:t>
      </w:r>
      <w:r>
        <w:rPr>
          <w:color w:val="2E75B6"/>
          <w:vertAlign w:val="superscript"/>
        </w:rPr>
        <w:t>[12]</w:t>
      </w:r>
    </w:p>
    <w:p w:rsidR="00F506DA">
      <w:pPr>
        <w:spacing w:line="276" w:lineRule="auto"/>
        <w:jc w:val="both"/>
      </w:pPr>
    </w:p>
    <w:p w:rsidR="00F506DA">
      <w:pPr>
        <w:numPr>
          <w:ilvl w:val="0"/>
          <w:numId w:val="6"/>
        </w:numPr>
        <w:pBdr>
          <w:top w:val="nil"/>
          <w:left w:val="nil"/>
          <w:bottom w:val="nil"/>
          <w:right w:val="nil"/>
          <w:between w:val="nil"/>
        </w:pBdr>
        <w:spacing w:line="276" w:lineRule="auto"/>
        <w:jc w:val="both"/>
      </w:pPr>
      <w:r>
        <w:rPr>
          <w:color w:val="000000"/>
        </w:rPr>
        <w:t>Its consumer survey found that 21% of respondents would not visit or would reduce their stay if a levy were introduced, with a further 21% cutting back on spending.</w:t>
      </w:r>
      <w:r>
        <w:rPr>
          <w:color w:val="2E75B6"/>
          <w:vertAlign w:val="superscript"/>
        </w:rPr>
        <w:t>[13]</w:t>
      </w:r>
    </w:p>
    <w:p w:rsidR="00F506DA">
      <w:pPr>
        <w:numPr>
          <w:ilvl w:val="0"/>
          <w:numId w:val="6"/>
        </w:numPr>
        <w:pBdr>
          <w:top w:val="nil"/>
          <w:left w:val="nil"/>
          <w:bottom w:val="nil"/>
          <w:right w:val="nil"/>
          <w:between w:val="nil"/>
        </w:pBdr>
        <w:spacing w:line="276" w:lineRule="auto"/>
        <w:jc w:val="both"/>
      </w:pPr>
      <w:r>
        <w:rPr>
          <w:color w:val="000000"/>
        </w:rPr>
        <w:t>Its Economic Impact Assessment projected GVA losses of £17.7–£26.8 million and between 485 and 730 full-time equivalent job losses.</w:t>
      </w:r>
      <w:r>
        <w:rPr>
          <w:color w:val="2E75B6"/>
          <w:vertAlign w:val="superscript"/>
        </w:rPr>
        <w:t>[12]</w:t>
      </w:r>
    </w:p>
    <w:p w:rsidR="00F506DA">
      <w:pPr>
        <w:numPr>
          <w:ilvl w:val="0"/>
          <w:numId w:val="6"/>
        </w:numPr>
        <w:pBdr>
          <w:top w:val="nil"/>
          <w:left w:val="nil"/>
          <w:bottom w:val="nil"/>
          <w:right w:val="nil"/>
          <w:between w:val="nil"/>
        </w:pBdr>
        <w:spacing w:line="276" w:lineRule="auto"/>
        <w:jc w:val="both"/>
      </w:pPr>
      <w:r>
        <w:rPr>
          <w:color w:val="000000"/>
        </w:rPr>
        <w:t>If accommodation providers absorb the cost rather than passing it to guests, the projected GVA loss rises to £40 million.</w:t>
      </w:r>
      <w:r>
        <w:rPr>
          <w:color w:val="2E75B6"/>
          <w:vertAlign w:val="superscript"/>
        </w:rPr>
        <w:t>[12]</w:t>
      </w:r>
    </w:p>
    <w:p w:rsidR="00F506DA">
      <w:pPr>
        <w:pBdr>
          <w:top w:val="nil"/>
          <w:left w:val="nil"/>
          <w:bottom w:val="nil"/>
          <w:right w:val="nil"/>
          <w:between w:val="nil"/>
        </w:pBdr>
        <w:spacing w:line="276" w:lineRule="auto"/>
        <w:ind w:left="540"/>
        <w:jc w:val="both"/>
        <w:rPr>
          <w:color w:val="000000"/>
        </w:rPr>
      </w:pPr>
    </w:p>
    <w:p w:rsidR="00F506DA">
      <w:pPr>
        <w:spacing w:line="276" w:lineRule="auto"/>
        <w:jc w:val="both"/>
        <w:rPr>
          <w:color w:val="2E75B6"/>
          <w:vertAlign w:val="superscript"/>
        </w:rPr>
      </w:pPr>
      <w:r>
        <w:rPr>
          <w:color w:val="000000"/>
        </w:rPr>
        <w:t>Beyond the levy, Welsh operators face the 182-day occupancy threshold and council tax premiums of up to 300%, Article 4 planning restrictions, already subject to successful judicial review in Gwynedd,</w:t>
      </w:r>
      <w:r>
        <w:rPr>
          <w:color w:val="2E75B6"/>
          <w:vertAlign w:val="superscript"/>
        </w:rPr>
        <w:t>[23]</w:t>
      </w:r>
      <w:r>
        <w:rPr>
          <w:color w:val="000000"/>
        </w:rPr>
        <w:t xml:space="preserve"> and a licensing scheme that in its current form PASC UK regards as unworkable. The scheme disproportionately targets short-term lets over other accommodation types without clear justification, introduces heavy-handed enforcement despite limited evidence of systemic non-compliance, and risks administrative delays and uncertainty that could directly affect bookings and business confidence.</w:t>
      </w:r>
    </w:p>
    <w:p w:rsidR="00F506DA">
      <w:pPr>
        <w:spacing w:line="276" w:lineRule="auto"/>
        <w:jc w:val="both"/>
      </w:pPr>
    </w:p>
    <w:p w:rsidR="00F506DA">
      <w:pPr>
        <w:spacing w:line="276" w:lineRule="auto"/>
        <w:jc w:val="both"/>
        <w:rPr>
          <w:color w:val="000000"/>
        </w:rPr>
      </w:pPr>
      <w:r>
        <w:rPr>
          <w:color w:val="000000"/>
        </w:rPr>
        <w:t>The lesson from both nations is consistent - regulatory overreach, introduced without adequate data and without proper cumulative assessment, damages the sector, costs jobs, and proves difficult to unwind. England should not repeat these errors.</w:t>
      </w:r>
    </w:p>
    <w:p w:rsidR="00F506DA">
      <w:pPr>
        <w:spacing w:line="276" w:lineRule="auto"/>
        <w:jc w:val="both"/>
      </w:pPr>
    </w:p>
    <w:p w:rsidR="00F506DA">
      <w:pPr>
        <w:pStyle w:val="Heading1"/>
        <w:numPr>
          <w:ilvl w:val="0"/>
          <w:numId w:val="4"/>
        </w:numPr>
        <w:spacing w:before="0" w:after="0" w:line="276" w:lineRule="auto"/>
        <w:jc w:val="both"/>
        <w:rPr>
          <w:sz w:val="24"/>
          <w:szCs w:val="24"/>
          <w:u w:val="single"/>
        </w:rPr>
      </w:pPr>
      <w:r>
        <w:rPr>
          <w:sz w:val="24"/>
          <w:szCs w:val="24"/>
          <w:u w:val="single"/>
        </w:rPr>
        <w:t>Domestic Tourism Must Be a Strategic Job Creator and Growth Priority</w:t>
      </w:r>
    </w:p>
    <w:p w:rsidR="00F506DA">
      <w:pPr>
        <w:pStyle w:val="Heading1"/>
        <w:spacing w:before="0" w:after="0" w:line="276" w:lineRule="auto"/>
        <w:ind w:left="720"/>
        <w:jc w:val="both"/>
        <w:rPr>
          <w:sz w:val="24"/>
          <w:szCs w:val="24"/>
          <w:u w:val="single"/>
        </w:rPr>
      </w:pPr>
    </w:p>
    <w:p w:rsidR="00F506DA">
      <w:pPr>
        <w:pStyle w:val="Heading2"/>
        <w:numPr>
          <w:ilvl w:val="1"/>
          <w:numId w:val="4"/>
        </w:numPr>
        <w:spacing w:before="0" w:after="0" w:line="276" w:lineRule="auto"/>
        <w:jc w:val="both"/>
        <w:rPr>
          <w:sz w:val="22"/>
          <w:szCs w:val="22"/>
        </w:rPr>
      </w:pPr>
      <w:r>
        <w:rPr>
          <w:sz w:val="22"/>
          <w:szCs w:val="22"/>
        </w:rPr>
        <w:t>The proposed overnight visitor levy</w:t>
      </w:r>
    </w:p>
    <w:p w:rsidR="00F506DA">
      <w:pPr>
        <w:pStyle w:val="Heading2"/>
        <w:spacing w:before="0" w:after="0" w:line="276" w:lineRule="auto"/>
        <w:ind w:left="780"/>
        <w:jc w:val="both"/>
        <w:rPr>
          <w:sz w:val="22"/>
          <w:szCs w:val="22"/>
        </w:rPr>
      </w:pPr>
    </w:p>
    <w:p w:rsidR="00F506DA">
      <w:pPr>
        <w:spacing w:line="276" w:lineRule="auto"/>
        <w:jc w:val="both"/>
        <w:rPr>
          <w:color w:val="000000"/>
        </w:rPr>
      </w:pPr>
      <w:r>
        <w:rPr>
          <w:color w:val="000000"/>
        </w:rPr>
        <w:t xml:space="preserve">PASC UK is firmly opposed to the introduction of an overnight visitor levy in England. Our opposition rests on four grounds. </w:t>
      </w:r>
    </w:p>
    <w:p w:rsidR="00F506DA">
      <w:pPr>
        <w:spacing w:line="276" w:lineRule="auto"/>
        <w:jc w:val="both"/>
      </w:pPr>
    </w:p>
    <w:p w:rsidR="00F506DA">
      <w:pPr>
        <w:spacing w:line="276" w:lineRule="auto"/>
        <w:jc w:val="both"/>
        <w:rPr>
          <w:color w:val="000000"/>
        </w:rPr>
      </w:pPr>
      <w:r>
        <w:rPr>
          <w:b/>
          <w:bCs/>
          <w:color w:val="000000"/>
        </w:rPr>
        <w:t>First, the UK is already highly uncompetitive on price.</w:t>
      </w:r>
      <w:r>
        <w:rPr>
          <w:color w:val="000000"/>
        </w:rPr>
        <w:t xml:space="preserve"> The UK ranks 113th out of 119 countries for price competitiveness.</w:t>
      </w:r>
      <w:r>
        <w:rPr>
          <w:color w:val="2E75B6"/>
          <w:vertAlign w:val="superscript"/>
        </w:rPr>
        <w:t>[5]</w:t>
      </w:r>
      <w:r>
        <w:rPr>
          <w:color w:val="000000"/>
        </w:rPr>
        <w:t xml:space="preserve"> Accommodation VAT stands at 20%, compared to an EU average of 9%.</w:t>
      </w:r>
      <w:r>
        <w:rPr>
          <w:color w:val="2E75B6"/>
          <w:vertAlign w:val="superscript"/>
        </w:rPr>
        <w:t>[6]</w:t>
      </w:r>
      <w:r>
        <w:rPr>
          <w:color w:val="000000"/>
        </w:rPr>
        <w:t xml:space="preserve"> Even EU destinations that operate a tourist levy tax visitors less overall than the UK does today. Adding a further levy compounds an existing disadvantage. In many European cities, tourist taxes have been introduced or increased not to support or stimulate tourism, but explicitly to manage or deter over-tourism</w:t>
      </w:r>
      <w:r>
        <w:t>,</w:t>
      </w:r>
      <w:r>
        <w:rPr>
          <w:color w:val="000000"/>
        </w:rPr>
        <w:t xml:space="preserve"> Amsterdam, for example, now applies one of the highest ra</w:t>
      </w:r>
      <w:r>
        <w:rPr>
          <w:color w:val="000000"/>
        </w:rPr>
        <w:t>tes in Europe at 12.5%.</w:t>
      </w:r>
      <w:r>
        <w:rPr>
          <w:color w:val="2E75B6"/>
          <w:vertAlign w:val="superscript"/>
        </w:rPr>
        <w:t>[34]</w:t>
      </w:r>
      <w:r>
        <w:rPr>
          <w:color w:val="000000"/>
        </w:rPr>
        <w:t xml:space="preserve"> Adding a further levy in the UK therefore compounds an existing competitive disadvantage rather than addressing excess demand.</w:t>
      </w:r>
    </w:p>
    <w:p w:rsidR="00F506DA">
      <w:pPr>
        <w:spacing w:line="276" w:lineRule="auto"/>
        <w:jc w:val="both"/>
        <w:rPr>
          <w:color w:val="000000"/>
        </w:rPr>
      </w:pPr>
    </w:p>
    <w:p w:rsidR="00F506DA">
      <w:pPr>
        <w:spacing w:line="276" w:lineRule="auto"/>
        <w:jc w:val="both"/>
        <w:rPr>
          <w:color w:val="000000"/>
        </w:rPr>
      </w:pPr>
      <w:r>
        <w:rPr>
          <w:b/>
          <w:bCs/>
          <w:color w:val="000000"/>
        </w:rPr>
        <w:t xml:space="preserve">Second, the levy </w:t>
      </w:r>
      <w:r>
        <w:rPr>
          <w:b/>
          <w:bCs/>
        </w:rPr>
        <w:t>cannot be both simple and fair</w:t>
      </w:r>
      <w:r>
        <w:rPr>
          <w:b/>
          <w:bCs/>
          <w:color w:val="000000"/>
        </w:rPr>
        <w:t>.</w:t>
      </w:r>
      <w:r>
        <w:rPr>
          <w:color w:val="000000"/>
        </w:rPr>
        <w:t xml:space="preserve"> As a fixed charge per person per night regardless of accommodation cost, it falls disproportionately on lower-value stays. A business traveller in a £150-per-night hotel pays a levy equivalent to roughly 1–2% of their bill. A family of six staying a week in a cottage at £300 for the week could pay the equivalent of over 20% in levy charges. </w:t>
      </w:r>
      <w:r>
        <w:t xml:space="preserve">A fixed charge </w:t>
      </w:r>
      <w:r>
        <w:rPr>
          <w:color w:val="000000"/>
        </w:rPr>
        <w:t>levy hits lower-income domestic holidaymakers harder than higher-income ones at a time when people continue to struggle wi</w:t>
      </w:r>
      <w:r>
        <w:rPr>
          <w:color w:val="000000"/>
        </w:rPr>
        <w:t xml:space="preserve">th the </w:t>
      </w:r>
      <w:r>
        <w:rPr>
          <w:color w:val="000000"/>
        </w:rPr>
        <w:t>cost of living</w:t>
      </w:r>
      <w:r>
        <w:rPr>
          <w:color w:val="000000"/>
        </w:rPr>
        <w:t xml:space="preserve"> </w:t>
      </w:r>
      <w:r>
        <w:t>crisis, which the government has committed to address</w:t>
      </w:r>
      <w:r>
        <w:rPr>
          <w:color w:val="000000"/>
        </w:rPr>
        <w:t xml:space="preserve">. Conversely a percentage </w:t>
      </w:r>
      <w:r>
        <w:t>levy might be fairer but is extremely complex to introduce and administer which has led to Scottish Government needing to lay urgent amending legislation to provide the fixed charge option as an alternative for councils.</w:t>
      </w:r>
    </w:p>
    <w:p w:rsidR="00F506DA">
      <w:pPr>
        <w:spacing w:line="276" w:lineRule="auto"/>
        <w:jc w:val="both"/>
      </w:pPr>
    </w:p>
    <w:p w:rsidR="00F506DA">
      <w:pPr>
        <w:spacing w:line="276" w:lineRule="auto"/>
        <w:jc w:val="both"/>
        <w:rPr>
          <w:color w:val="000000"/>
        </w:rPr>
      </w:pPr>
      <w:r>
        <w:rPr>
          <w:b/>
          <w:bCs/>
          <w:color w:val="000000"/>
        </w:rPr>
        <w:t>Third, 93% of visitors to English self-catering properties are domestic.</w:t>
      </w:r>
      <w:r>
        <w:rPr>
          <w:color w:val="2E75B6"/>
          <w:vertAlign w:val="superscript"/>
        </w:rPr>
        <w:t>[9]</w:t>
      </w:r>
      <w:r>
        <w:rPr>
          <w:color w:val="000000"/>
        </w:rPr>
        <w:t xml:space="preserve"> The proposed levy is, in practical terms, a tax on British families choosing to holiday in Britain. At a time when UK residents are already spending £13.4 billion more per year on overseas travel than they did in 2022,</w:t>
      </w:r>
      <w:r>
        <w:rPr>
          <w:color w:val="2E75B6"/>
          <w:vertAlign w:val="superscript"/>
        </w:rPr>
        <w:t>[4]</w:t>
      </w:r>
      <w:r>
        <w:rPr>
          <w:color w:val="000000"/>
        </w:rPr>
        <w:t xml:space="preserve"> a levy that further incentivises holidaying abroad is economically counterproductive.</w:t>
      </w:r>
    </w:p>
    <w:p w:rsidR="00F506DA">
      <w:pPr>
        <w:spacing w:line="276" w:lineRule="auto"/>
        <w:jc w:val="both"/>
        <w:rPr>
          <w:color w:val="000000"/>
        </w:rPr>
      </w:pPr>
    </w:p>
    <w:p w:rsidR="00F506DA">
      <w:pPr>
        <w:spacing w:line="276" w:lineRule="auto"/>
        <w:jc w:val="both"/>
        <w:rPr>
          <w:color w:val="000000"/>
        </w:rPr>
      </w:pPr>
      <w:r>
        <w:rPr>
          <w:b/>
          <w:bCs/>
          <w:color w:val="000000"/>
        </w:rPr>
        <w:t>Fourth, Scotland's experience confirms the risk.</w:t>
      </w:r>
      <w:r>
        <w:rPr>
          <w:color w:val="000000"/>
        </w:rPr>
        <w:t xml:space="preserve"> Scotland's heavier regulatory environment has driven Average Daily Rates up by 6% year-on-year in 2024 - double the rate of increase in England and Wales (3%).</w:t>
      </w:r>
      <w:r>
        <w:rPr>
          <w:color w:val="2E75B6"/>
          <w:vertAlign w:val="superscript"/>
        </w:rPr>
        <w:t>[8]</w:t>
      </w:r>
      <w:r>
        <w:rPr>
          <w:color w:val="000000"/>
        </w:rPr>
        <w:t xml:space="preserve"> These price increases fall primarily on British consumers, providing a further incentive to choose a European holiday over a domestic one.</w:t>
      </w:r>
    </w:p>
    <w:p w:rsidR="00F506DA">
      <w:pPr>
        <w:spacing w:line="276" w:lineRule="auto"/>
        <w:jc w:val="both"/>
      </w:pPr>
    </w:p>
    <w:p w:rsidR="00F506DA">
      <w:pPr>
        <w:spacing w:line="276" w:lineRule="auto"/>
        <w:jc w:val="both"/>
      </w:pPr>
      <w:r>
        <w:t>In the King’s speech on 13 May 2026, the implementation of a visitor levy for England was announced. Disappointingly, this announcement was made prior to publication of the public consultation, and without any impact assessment. It therefore represents another example of legislation being brought in without consideration of the cumulative impact on the tourism sector.</w:t>
      </w:r>
    </w:p>
    <w:p w:rsidR="00F506DA">
      <w:pPr>
        <w:spacing w:line="276" w:lineRule="auto"/>
        <w:jc w:val="both"/>
      </w:pPr>
    </w:p>
    <w:p w:rsidR="00F506DA">
      <w:pPr>
        <w:spacing w:line="276" w:lineRule="auto"/>
        <w:jc w:val="both"/>
      </w:pPr>
      <w:r>
        <w:t xml:space="preserve">If </w:t>
      </w:r>
      <w:r>
        <w:rPr>
          <w:color w:val="000000"/>
        </w:rPr>
        <w:t>the Government nonetheless proceeds with the levy legislation, we ask the Committee to recommend that the framework must as a minimum include:</w:t>
      </w:r>
    </w:p>
    <w:p w:rsidR="00F506DA">
      <w:pPr>
        <w:numPr>
          <w:ilvl w:val="0"/>
          <w:numId w:val="7"/>
        </w:numPr>
        <w:spacing w:line="276" w:lineRule="auto"/>
        <w:jc w:val="both"/>
      </w:pPr>
      <w:r>
        <w:t>a single national framework with one pricing model</w:t>
      </w:r>
    </w:p>
    <w:p w:rsidR="00F506DA">
      <w:pPr>
        <w:numPr>
          <w:ilvl w:val="0"/>
          <w:numId w:val="7"/>
        </w:numPr>
        <w:spacing w:line="276" w:lineRule="auto"/>
        <w:jc w:val="both"/>
      </w:pPr>
      <w:r>
        <w:t>application across all accommodation types including spare rooms and platforms</w:t>
      </w:r>
    </w:p>
    <w:p w:rsidR="00F506DA">
      <w:pPr>
        <w:numPr>
          <w:ilvl w:val="0"/>
          <w:numId w:val="7"/>
        </w:numPr>
        <w:spacing w:line="276" w:lineRule="auto"/>
        <w:jc w:val="both"/>
        <w:rPr>
          <w:color w:val="000000"/>
        </w:rPr>
      </w:pPr>
      <w:r>
        <w:rPr>
          <w:color w:val="000000"/>
        </w:rPr>
        <w:t>full statutory hypothecation of revenues to the visitor economy</w:t>
      </w:r>
    </w:p>
    <w:p w:rsidR="00F506DA">
      <w:pPr>
        <w:numPr>
          <w:ilvl w:val="0"/>
          <w:numId w:val="7"/>
        </w:numPr>
        <w:spacing w:line="276" w:lineRule="auto"/>
        <w:jc w:val="both"/>
      </w:pPr>
      <w:r>
        <w:rPr>
          <w:color w:val="000000"/>
        </w:rPr>
        <w:t xml:space="preserve">a minimum 18-month implementation period with a mandatory post-implementation review and sunset </w:t>
      </w:r>
      <w:r>
        <w:t>clause</w:t>
      </w:r>
    </w:p>
    <w:p w:rsidR="00F506DA">
      <w:pPr>
        <w:numPr>
          <w:ilvl w:val="0"/>
          <w:numId w:val="7"/>
        </w:numPr>
        <w:spacing w:line="276" w:lineRule="auto"/>
        <w:jc w:val="both"/>
      </w:pPr>
      <w:r>
        <w:rPr>
          <w:color w:val="000000"/>
        </w:rPr>
        <w:t xml:space="preserve">an independent economic impact assessment before any rates </w:t>
      </w:r>
      <w:r>
        <w:rPr>
          <w:color w:val="000000"/>
        </w:rPr>
        <w:t>are</w:t>
      </w:r>
      <w:r>
        <w:rPr>
          <w:color w:val="000000"/>
        </w:rPr>
        <w:t xml:space="preserve"> set</w:t>
      </w:r>
    </w:p>
    <w:p w:rsidR="00F506DA">
      <w:pPr>
        <w:spacing w:line="276" w:lineRule="auto"/>
        <w:jc w:val="both"/>
      </w:pPr>
    </w:p>
    <w:p w:rsidR="00F506DA">
      <w:pPr>
        <w:spacing w:line="276" w:lineRule="auto"/>
        <w:jc w:val="both"/>
      </w:pPr>
      <w:r>
        <w:t>We stress that the levy must be simple to implement and set at a level that is as low as possible to avoid further impacting visitor numbers. It is also imperative that the</w:t>
      </w:r>
      <w:r>
        <w:rPr>
          <w:color w:val="000000"/>
        </w:rPr>
        <w:t xml:space="preserve"> powers are kept only to established Metro Mayors e.g. Greater London, GMCA, WMCA and GLCA as w</w:t>
      </w:r>
      <w:r>
        <w:t xml:space="preserve">e fear non-Mayoral authorities would not have the experience, resources or capabilities to undertake the necessary </w:t>
      </w:r>
      <w:r>
        <w:t xml:space="preserve">impact assessments that will be required to minimise the risk of legal challenges and to ensure the scheme does not cause further decline in the tourism sector. </w:t>
      </w:r>
    </w:p>
    <w:p w:rsidR="00F506DA">
      <w:pPr>
        <w:spacing w:line="276" w:lineRule="auto"/>
        <w:jc w:val="both"/>
      </w:pPr>
    </w:p>
    <w:p w:rsidR="00F506DA">
      <w:pPr>
        <w:spacing w:line="276" w:lineRule="auto"/>
        <w:jc w:val="both"/>
      </w:pPr>
    </w:p>
    <w:p w:rsidR="00F506DA">
      <w:pPr>
        <w:pStyle w:val="Heading2"/>
        <w:numPr>
          <w:ilvl w:val="1"/>
          <w:numId w:val="4"/>
        </w:numPr>
        <w:spacing w:before="0" w:after="0" w:line="276" w:lineRule="auto"/>
        <w:jc w:val="both"/>
        <w:rPr>
          <w:sz w:val="22"/>
          <w:szCs w:val="22"/>
        </w:rPr>
      </w:pPr>
      <w:r>
        <w:rPr>
          <w:sz w:val="22"/>
          <w:szCs w:val="22"/>
        </w:rPr>
        <w:t>The case for VAT reform</w:t>
      </w:r>
    </w:p>
    <w:p w:rsidR="00F506DA">
      <w:pPr>
        <w:pStyle w:val="Heading2"/>
        <w:spacing w:before="0" w:after="0" w:line="276" w:lineRule="auto"/>
        <w:ind w:left="780"/>
        <w:jc w:val="both"/>
        <w:rPr>
          <w:sz w:val="22"/>
          <w:szCs w:val="22"/>
        </w:rPr>
      </w:pPr>
    </w:p>
    <w:p w:rsidR="00F506DA">
      <w:pPr>
        <w:spacing w:line="276" w:lineRule="auto"/>
        <w:jc w:val="both"/>
      </w:pPr>
      <w:r>
        <w:t xml:space="preserve">The UK has one of the highest VAT rates for hospitality and tourism across Europe.  </w:t>
      </w:r>
    </w:p>
    <w:p w:rsidR="00F506DA">
      <w:pPr>
        <w:spacing w:line="276" w:lineRule="auto"/>
        <w:jc w:val="both"/>
      </w:pPr>
    </w:p>
    <w:p w:rsidR="00F506DA">
      <w:pPr>
        <w:spacing w:line="276" w:lineRule="auto"/>
        <w:jc w:val="both"/>
        <w:rPr>
          <w:color w:val="000000"/>
        </w:rPr>
      </w:pPr>
      <w:r>
        <w:rPr>
          <w:color w:val="000000"/>
        </w:rPr>
        <w:t>The single most effective measure to improve domestic tourism competitiveness would be a reduction in VAT on accommodation and hospitality. The Tourism Alliance has set out this case in detail as has UKHospitality.</w:t>
      </w:r>
      <w:r>
        <w:rPr>
          <w:color w:val="2E75B6"/>
          <w:vertAlign w:val="superscript"/>
        </w:rPr>
        <w:t xml:space="preserve"> </w:t>
      </w:r>
      <w:r>
        <w:rPr>
          <w:color w:val="000000"/>
        </w:rPr>
        <w:t>Reducing VAT to 12.5% - aligned with the EU average - would directly improve affordability for domestic consumers and reduce cost pressures on businesses. It would thus likely boost growth in the sector, ability to hire and re</w:t>
      </w:r>
      <w:r>
        <w:t>venues to the Exchequer.</w:t>
      </w:r>
      <w:r>
        <w:rPr>
          <w:color w:val="000000"/>
        </w:rPr>
        <w:t xml:space="preserve"> </w:t>
      </w:r>
    </w:p>
    <w:p w:rsidR="00F506DA">
      <w:pPr>
        <w:spacing w:line="276" w:lineRule="auto"/>
        <w:jc w:val="both"/>
      </w:pPr>
    </w:p>
    <w:p w:rsidR="00F506DA">
      <w:pPr>
        <w:spacing w:line="276" w:lineRule="auto"/>
        <w:jc w:val="both"/>
      </w:pPr>
      <w:r>
        <w:t>The temporary VAT reduction to 5% and subsequently 12.5% during the pandemic recovery period demonstrated the positive demand effect of lower rates - industry evidence showed that many businesses passed the reduction directly on to consumers through lower prices, helping to stimulate domestic demand, preserve jobs, improve cashflow and support business survival at a critical period for the sector. UKHospitality has argued that the reduced rate “stimulated demand and generated revenue”, while parliamentary e</w:t>
      </w:r>
      <w:r>
        <w:t>vidence noted that around 70% of hospitality businesses benefiting from the cut passed it on to consumers to keep prices low.</w:t>
      </w:r>
      <w:r>
        <w:rPr>
          <w:color w:val="2E75B6"/>
          <w:vertAlign w:val="superscript"/>
        </w:rPr>
        <w:t>[35]</w:t>
      </w:r>
    </w:p>
    <w:p w:rsidR="00F506DA">
      <w:pPr>
        <w:spacing w:before="240" w:after="240" w:line="276" w:lineRule="auto"/>
        <w:jc w:val="both"/>
        <w:rPr>
          <w:b/>
          <w:bCs/>
          <w:i/>
          <w:iCs/>
          <w:color w:val="1F3864"/>
        </w:rPr>
      </w:pPr>
      <w:r>
        <w:rPr>
          <w:b/>
          <w:bCs/>
          <w:i/>
          <w:iCs/>
          <w:color w:val="1F3864"/>
        </w:rPr>
        <w:t>Table: Hospitality and Tourism VAT Rates Across Europe</w:t>
      </w:r>
    </w:p>
    <w:tbl>
      <w:tblPr>
        <w:tblStyle w:val="Table3"/>
        <w:tblW w:w="8020" w:type="dxa"/>
        <w:tblInd w:w="0" w:type="dxa"/>
        <w:tblLayout w:type="fixed"/>
        <w:tblLook w:val="0600"/>
      </w:tblPr>
      <w:tblGrid>
        <w:gridCol w:w="3290"/>
        <w:gridCol w:w="4730"/>
      </w:tblGrid>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center"/>
            </w:pPr>
            <w:r>
              <w:rPr>
                <w:b/>
                <w:bCs/>
              </w:rPr>
              <w:t>Country</w:t>
            </w:r>
          </w:p>
        </w:tc>
        <w:tc>
          <w:tcPr>
            <w:tcW w:w="4730" w:type="dxa"/>
            <w:tcMar>
              <w:top w:w="100" w:type="dxa"/>
              <w:left w:w="100" w:type="dxa"/>
              <w:bottom w:w="100" w:type="dxa"/>
              <w:right w:w="100" w:type="dxa"/>
            </w:tcMar>
          </w:tcPr>
          <w:p w:rsidR="00F506DA">
            <w:pPr>
              <w:spacing w:line="276" w:lineRule="auto"/>
              <w:jc w:val="center"/>
            </w:pPr>
            <w:r>
              <w:rPr>
                <w:b/>
                <w:bCs/>
              </w:rPr>
              <w:t>VAT Rate on Accommodation &amp; Hospitality</w:t>
            </w:r>
          </w:p>
        </w:tc>
      </w:tr>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both"/>
            </w:pPr>
            <w:r>
              <w:rPr>
                <w:b/>
                <w:bCs/>
              </w:rPr>
              <w:t>United Kingdom</w:t>
            </w:r>
          </w:p>
        </w:tc>
        <w:tc>
          <w:tcPr>
            <w:tcW w:w="4730" w:type="dxa"/>
            <w:tcMar>
              <w:top w:w="100" w:type="dxa"/>
              <w:left w:w="100" w:type="dxa"/>
              <w:bottom w:w="100" w:type="dxa"/>
              <w:right w:w="100" w:type="dxa"/>
            </w:tcMar>
          </w:tcPr>
          <w:p w:rsidR="00F506DA">
            <w:pPr>
              <w:spacing w:line="276" w:lineRule="auto"/>
              <w:jc w:val="both"/>
            </w:pPr>
            <w:r>
              <w:rPr>
                <w:b/>
                <w:bCs/>
              </w:rPr>
              <w:t>20%</w:t>
            </w:r>
          </w:p>
        </w:tc>
      </w:tr>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both"/>
            </w:pPr>
            <w:r>
              <w:t>Ireland</w:t>
            </w:r>
          </w:p>
        </w:tc>
        <w:tc>
          <w:tcPr>
            <w:tcW w:w="4730" w:type="dxa"/>
            <w:tcMar>
              <w:top w:w="100" w:type="dxa"/>
              <w:left w:w="100" w:type="dxa"/>
              <w:bottom w:w="100" w:type="dxa"/>
              <w:right w:w="100" w:type="dxa"/>
            </w:tcMar>
          </w:tcPr>
          <w:p w:rsidR="00F506DA">
            <w:pPr>
              <w:spacing w:line="276" w:lineRule="auto"/>
              <w:jc w:val="both"/>
            </w:pPr>
            <w:r>
              <w:t>9%</w:t>
            </w:r>
          </w:p>
        </w:tc>
      </w:tr>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both"/>
            </w:pPr>
            <w:r>
              <w:t>France</w:t>
            </w:r>
          </w:p>
        </w:tc>
        <w:tc>
          <w:tcPr>
            <w:tcW w:w="4730" w:type="dxa"/>
            <w:tcMar>
              <w:top w:w="100" w:type="dxa"/>
              <w:left w:w="100" w:type="dxa"/>
              <w:bottom w:w="100" w:type="dxa"/>
              <w:right w:w="100" w:type="dxa"/>
            </w:tcMar>
          </w:tcPr>
          <w:p w:rsidR="00F506DA">
            <w:pPr>
              <w:spacing w:line="276" w:lineRule="auto"/>
              <w:jc w:val="both"/>
            </w:pPr>
            <w:r>
              <w:t>10%</w:t>
            </w:r>
          </w:p>
        </w:tc>
      </w:tr>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both"/>
            </w:pPr>
            <w:r>
              <w:t>Germany</w:t>
            </w:r>
          </w:p>
        </w:tc>
        <w:tc>
          <w:tcPr>
            <w:tcW w:w="4730" w:type="dxa"/>
            <w:tcMar>
              <w:top w:w="100" w:type="dxa"/>
              <w:left w:w="100" w:type="dxa"/>
              <w:bottom w:w="100" w:type="dxa"/>
              <w:right w:w="100" w:type="dxa"/>
            </w:tcMar>
          </w:tcPr>
          <w:p w:rsidR="00F506DA">
            <w:pPr>
              <w:spacing w:line="276" w:lineRule="auto"/>
              <w:jc w:val="both"/>
            </w:pPr>
            <w:r>
              <w:t>7%</w:t>
            </w:r>
          </w:p>
        </w:tc>
      </w:tr>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both"/>
            </w:pPr>
            <w:r>
              <w:t>Italy</w:t>
            </w:r>
          </w:p>
        </w:tc>
        <w:tc>
          <w:tcPr>
            <w:tcW w:w="4730" w:type="dxa"/>
            <w:tcMar>
              <w:top w:w="100" w:type="dxa"/>
              <w:left w:w="100" w:type="dxa"/>
              <w:bottom w:w="100" w:type="dxa"/>
              <w:right w:w="100" w:type="dxa"/>
            </w:tcMar>
          </w:tcPr>
          <w:p w:rsidR="00F506DA">
            <w:pPr>
              <w:spacing w:line="276" w:lineRule="auto"/>
              <w:jc w:val="both"/>
            </w:pPr>
            <w:r>
              <w:t>10%</w:t>
            </w:r>
          </w:p>
        </w:tc>
      </w:tr>
      <w:tr>
        <w:tblPrEx>
          <w:tblW w:w="8020" w:type="dxa"/>
          <w:tblInd w:w="0" w:type="dxa"/>
          <w:tblLayout w:type="fixed"/>
          <w:tblLook w:val="0600"/>
        </w:tblPrEx>
        <w:trPr>
          <w:trHeight w:val="305"/>
        </w:trPr>
        <w:tc>
          <w:tcPr>
            <w:tcW w:w="3290" w:type="dxa"/>
            <w:tcMar>
              <w:top w:w="100" w:type="dxa"/>
              <w:left w:w="100" w:type="dxa"/>
              <w:bottom w:w="100" w:type="dxa"/>
              <w:right w:w="100" w:type="dxa"/>
            </w:tcMar>
          </w:tcPr>
          <w:p w:rsidR="00F506DA">
            <w:pPr>
              <w:spacing w:line="276" w:lineRule="auto"/>
              <w:jc w:val="both"/>
            </w:pPr>
            <w:r>
              <w:t>Spain</w:t>
            </w:r>
          </w:p>
        </w:tc>
        <w:tc>
          <w:tcPr>
            <w:tcW w:w="4730" w:type="dxa"/>
            <w:tcMar>
              <w:top w:w="100" w:type="dxa"/>
              <w:left w:w="100" w:type="dxa"/>
              <w:bottom w:w="100" w:type="dxa"/>
              <w:right w:w="100" w:type="dxa"/>
            </w:tcMar>
          </w:tcPr>
          <w:p w:rsidR="00F506DA">
            <w:pPr>
              <w:spacing w:line="276" w:lineRule="auto"/>
              <w:jc w:val="both"/>
            </w:pPr>
            <w:r>
              <w:t>10%</w:t>
            </w:r>
          </w:p>
        </w:tc>
      </w:tr>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both"/>
            </w:pPr>
            <w:r>
              <w:t>Greece</w:t>
            </w:r>
          </w:p>
        </w:tc>
        <w:tc>
          <w:tcPr>
            <w:tcW w:w="4730" w:type="dxa"/>
            <w:tcMar>
              <w:top w:w="100" w:type="dxa"/>
              <w:left w:w="100" w:type="dxa"/>
              <w:bottom w:w="100" w:type="dxa"/>
              <w:right w:w="100" w:type="dxa"/>
            </w:tcMar>
          </w:tcPr>
          <w:p w:rsidR="00F506DA">
            <w:pPr>
              <w:spacing w:line="276" w:lineRule="auto"/>
              <w:jc w:val="both"/>
            </w:pPr>
            <w:r>
              <w:t>13%</w:t>
            </w:r>
          </w:p>
        </w:tc>
      </w:tr>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both"/>
            </w:pPr>
            <w:r>
              <w:t>Netherlands</w:t>
            </w:r>
          </w:p>
        </w:tc>
        <w:tc>
          <w:tcPr>
            <w:tcW w:w="4730" w:type="dxa"/>
            <w:tcMar>
              <w:top w:w="100" w:type="dxa"/>
              <w:left w:w="100" w:type="dxa"/>
              <w:bottom w:w="100" w:type="dxa"/>
              <w:right w:w="100" w:type="dxa"/>
            </w:tcMar>
          </w:tcPr>
          <w:p w:rsidR="00F506DA">
            <w:pPr>
              <w:spacing w:line="276" w:lineRule="auto"/>
              <w:jc w:val="both"/>
            </w:pPr>
            <w:r>
              <w:t>9%</w:t>
            </w:r>
          </w:p>
        </w:tc>
      </w:tr>
      <w:tr>
        <w:tblPrEx>
          <w:tblW w:w="8020" w:type="dxa"/>
          <w:tblInd w:w="0" w:type="dxa"/>
          <w:tblLayout w:type="fixed"/>
          <w:tblLook w:val="0600"/>
        </w:tblPrEx>
        <w:trPr>
          <w:trHeight w:val="455"/>
        </w:trPr>
        <w:tc>
          <w:tcPr>
            <w:tcW w:w="3290" w:type="dxa"/>
            <w:tcMar>
              <w:top w:w="100" w:type="dxa"/>
              <w:left w:w="100" w:type="dxa"/>
              <w:bottom w:w="100" w:type="dxa"/>
              <w:right w:w="100" w:type="dxa"/>
            </w:tcMar>
          </w:tcPr>
          <w:p w:rsidR="00F506DA">
            <w:pPr>
              <w:spacing w:line="276" w:lineRule="auto"/>
              <w:jc w:val="both"/>
            </w:pPr>
            <w:r>
              <w:t>Portugal</w:t>
            </w:r>
          </w:p>
        </w:tc>
        <w:tc>
          <w:tcPr>
            <w:tcW w:w="4730" w:type="dxa"/>
            <w:tcMar>
              <w:top w:w="100" w:type="dxa"/>
              <w:left w:w="100" w:type="dxa"/>
              <w:bottom w:w="100" w:type="dxa"/>
              <w:right w:w="100" w:type="dxa"/>
            </w:tcMar>
          </w:tcPr>
          <w:p w:rsidR="00F506DA">
            <w:pPr>
              <w:spacing w:line="276" w:lineRule="auto"/>
              <w:jc w:val="both"/>
            </w:pPr>
            <w:r>
              <w:t>6%</w:t>
            </w:r>
          </w:p>
        </w:tc>
      </w:tr>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both"/>
            </w:pPr>
            <w:r>
              <w:t>EU Average</w:t>
            </w:r>
          </w:p>
        </w:tc>
        <w:tc>
          <w:tcPr>
            <w:tcW w:w="4730" w:type="dxa"/>
            <w:tcMar>
              <w:top w:w="100" w:type="dxa"/>
              <w:left w:w="100" w:type="dxa"/>
              <w:bottom w:w="100" w:type="dxa"/>
              <w:right w:w="100" w:type="dxa"/>
            </w:tcMar>
          </w:tcPr>
          <w:p w:rsidR="00F506DA">
            <w:pPr>
              <w:spacing w:line="276" w:lineRule="auto"/>
              <w:jc w:val="both"/>
            </w:pPr>
            <w:r>
              <w:t>~9–10%</w:t>
            </w:r>
          </w:p>
        </w:tc>
      </w:tr>
      <w:tr>
        <w:tblPrEx>
          <w:tblW w:w="8020" w:type="dxa"/>
          <w:tblInd w:w="0" w:type="dxa"/>
          <w:tblLayout w:type="fixed"/>
          <w:tblLook w:val="0600"/>
        </w:tblPrEx>
        <w:trPr>
          <w:trHeight w:val="500"/>
        </w:trPr>
        <w:tc>
          <w:tcPr>
            <w:tcW w:w="3290" w:type="dxa"/>
            <w:tcMar>
              <w:top w:w="100" w:type="dxa"/>
              <w:left w:w="100" w:type="dxa"/>
              <w:bottom w:w="100" w:type="dxa"/>
              <w:right w:w="100" w:type="dxa"/>
            </w:tcMar>
          </w:tcPr>
          <w:p w:rsidR="00F506DA">
            <w:pPr>
              <w:spacing w:line="276" w:lineRule="auto"/>
              <w:jc w:val="both"/>
            </w:pPr>
            <w:r>
              <w:rPr>
                <w:b/>
                <w:bCs/>
              </w:rPr>
              <w:t>PASC UK / TA Proposal (UK)</w:t>
            </w:r>
          </w:p>
        </w:tc>
        <w:tc>
          <w:tcPr>
            <w:tcW w:w="4730" w:type="dxa"/>
            <w:tcMar>
              <w:top w:w="100" w:type="dxa"/>
              <w:left w:w="100" w:type="dxa"/>
              <w:bottom w:w="100" w:type="dxa"/>
              <w:right w:w="100" w:type="dxa"/>
            </w:tcMar>
          </w:tcPr>
          <w:p w:rsidR="00F506DA">
            <w:pPr>
              <w:spacing w:line="276" w:lineRule="auto"/>
              <w:jc w:val="both"/>
            </w:pPr>
            <w:r>
              <w:rPr>
                <w:b/>
                <w:bCs/>
              </w:rPr>
              <w:t>12.5%</w:t>
            </w:r>
          </w:p>
        </w:tc>
      </w:tr>
    </w:tbl>
    <w:p w:rsidR="00F506DA">
      <w:pPr>
        <w:spacing w:before="240" w:after="240" w:line="276" w:lineRule="auto"/>
        <w:jc w:val="both"/>
        <w:rPr>
          <w:i/>
          <w:iCs/>
          <w:sz w:val="20"/>
          <w:szCs w:val="20"/>
        </w:rPr>
      </w:pPr>
      <w:r>
        <w:rPr>
          <w:i/>
          <w:iCs/>
          <w:sz w:val="20"/>
          <w:szCs w:val="20"/>
        </w:rPr>
        <w:t>Sources: Tourism Alliance, Taxing Tourists: The UK vs Competitor Destinations (September 2023); Tourism Alliance / UKHospitality, The Benefits of Retaining Hospitality and Tourism VAT at 12.5% (2023).</w:t>
      </w:r>
    </w:p>
    <w:p w:rsidR="00F506DA">
      <w:pPr>
        <w:spacing w:line="276" w:lineRule="auto"/>
        <w:jc w:val="both"/>
      </w:pPr>
    </w:p>
    <w:p w:rsidR="00F506DA">
      <w:pPr>
        <w:spacing w:line="276" w:lineRule="auto"/>
        <w:jc w:val="both"/>
      </w:pPr>
    </w:p>
    <w:p w:rsidR="00F506DA">
      <w:pPr>
        <w:spacing w:line="276" w:lineRule="auto"/>
        <w:jc w:val="both"/>
      </w:pPr>
    </w:p>
    <w:p w:rsidR="00F506DA">
      <w:pPr>
        <w:spacing w:line="276" w:lineRule="auto"/>
        <w:jc w:val="both"/>
      </w:pPr>
    </w:p>
    <w:p w:rsidR="00F506DA">
      <w:pPr>
        <w:pStyle w:val="Heading1"/>
        <w:numPr>
          <w:ilvl w:val="0"/>
          <w:numId w:val="4"/>
        </w:numPr>
        <w:spacing w:before="0" w:after="0" w:line="276" w:lineRule="auto"/>
        <w:jc w:val="both"/>
        <w:rPr>
          <w:sz w:val="24"/>
          <w:szCs w:val="24"/>
          <w:u w:val="single"/>
        </w:rPr>
      </w:pPr>
      <w:r>
        <w:rPr>
          <w:sz w:val="24"/>
          <w:szCs w:val="24"/>
          <w:u w:val="single"/>
        </w:rPr>
        <w:t>The Economic Value of Domestic Tourism Must Be Explicitly Recognised</w:t>
      </w:r>
    </w:p>
    <w:p w:rsidR="00F506DA">
      <w:pPr>
        <w:pStyle w:val="Heading1"/>
        <w:spacing w:before="0" w:after="0" w:line="276" w:lineRule="auto"/>
        <w:ind w:left="720"/>
        <w:jc w:val="both"/>
        <w:rPr>
          <w:sz w:val="24"/>
          <w:szCs w:val="24"/>
          <w:u w:val="single"/>
        </w:rPr>
      </w:pPr>
    </w:p>
    <w:p w:rsidR="00F506DA">
      <w:pPr>
        <w:spacing w:line="276" w:lineRule="auto"/>
        <w:jc w:val="both"/>
        <w:rPr>
          <w:color w:val="000000"/>
        </w:rPr>
      </w:pPr>
      <w:r>
        <w:rPr>
          <w:color w:val="000000"/>
        </w:rPr>
        <w:t>In the 50 English constituencies with the highest concentration of holiday lets, wage growth between 2015 and 2022 outpaced the English average by enough to leave residents £575 a year better off than if the local economy had grown at the national rate.</w:t>
      </w:r>
      <w:r>
        <w:rPr>
          <w:color w:val="2E75B6"/>
          <w:vertAlign w:val="superscript"/>
        </w:rPr>
        <w:t>[11]</w:t>
      </w:r>
      <w:r>
        <w:rPr>
          <w:color w:val="000000"/>
        </w:rPr>
        <w:t xml:space="preserve"> Holiday </w:t>
      </w:r>
      <w:r>
        <w:rPr>
          <w:color w:val="000000"/>
        </w:rPr>
        <w:t>lets</w:t>
      </w:r>
      <w:r>
        <w:rPr>
          <w:color w:val="000000"/>
        </w:rPr>
        <w:t xml:space="preserve"> do not drain local economies; they support them.</w:t>
      </w:r>
    </w:p>
    <w:p w:rsidR="00F506DA">
      <w:pPr>
        <w:spacing w:line="276" w:lineRule="auto"/>
        <w:jc w:val="both"/>
      </w:pPr>
    </w:p>
    <w:p w:rsidR="00F506DA">
      <w:pPr>
        <w:spacing w:line="276" w:lineRule="auto"/>
        <w:jc w:val="both"/>
        <w:rPr>
          <w:color w:val="2E75B6"/>
          <w:vertAlign w:val="superscript"/>
        </w:rPr>
      </w:pPr>
      <w:r>
        <w:rPr>
          <w:color w:val="000000"/>
        </w:rPr>
        <w:t>The sector also offers a compelling sustainability case. The average return journey to a UK self-catering property is 204 miles, generating approximately 0.13 tonnes of CO</w:t>
      </w:r>
      <w:r>
        <w:rPr>
          <w:rFonts w:ascii="Cambria Math" w:eastAsia="Cambria Math" w:hAnsi="Cambria Math" w:cs="Cambria Math"/>
          <w:color w:val="000000"/>
        </w:rPr>
        <w:t>₂</w:t>
      </w:r>
      <w:r>
        <w:rPr>
          <w:color w:val="000000"/>
        </w:rPr>
        <w:t xml:space="preserve"> per car. A return flight to Spain for a family of four generates approximately 2.9 tonnes - more than 22 times greater.</w:t>
      </w:r>
      <w:r>
        <w:rPr>
          <w:color w:val="2E75B6"/>
          <w:vertAlign w:val="superscript"/>
        </w:rPr>
        <w:t>[31]</w:t>
      </w:r>
      <w:r>
        <w:rPr>
          <w:color w:val="000000"/>
        </w:rPr>
        <w:t xml:space="preserve"> Over a third of properties in PASC UK's 2025 survey had EV charging points installed, compared to a UK homes average of just 3.3%.</w:t>
      </w:r>
      <w:r>
        <w:rPr>
          <w:color w:val="2E75B6"/>
          <w:vertAlign w:val="superscript"/>
        </w:rPr>
        <w:t>[9]</w:t>
      </w:r>
    </w:p>
    <w:p w:rsidR="00F506DA">
      <w:pPr>
        <w:spacing w:line="276" w:lineRule="auto"/>
        <w:jc w:val="both"/>
      </w:pPr>
    </w:p>
    <w:p w:rsidR="00F506DA">
      <w:pPr>
        <w:spacing w:line="276" w:lineRule="auto"/>
        <w:jc w:val="both"/>
      </w:pPr>
      <w:r>
        <w:t xml:space="preserve">Despite these stats and many others, domestic tourism remains structurally undervalued in government policy. Under HM Treasury's Green Book framework, domestic visitor spending is treated as displaced expenditure - net-neutral to national GVA. That framing does not hold in rural and coastal communities, where visitor spending sustains jobs and businesses with no equivalent replacement. </w:t>
      </w:r>
    </w:p>
    <w:p w:rsidR="00F506DA">
      <w:pPr>
        <w:spacing w:line="276" w:lineRule="auto"/>
        <w:jc w:val="both"/>
      </w:pPr>
    </w:p>
    <w:p w:rsidR="00F506DA">
      <w:pPr>
        <w:spacing w:line="276" w:lineRule="auto"/>
        <w:jc w:val="both"/>
      </w:pPr>
      <w:r>
        <w:t>To treat expenditure in Torridge or the North Yorkshire Moors as equivalent in effect to spending in central London overlooks precisely the communities the Government's growth agenda most needs to reach. There is a further strategic dimension, a resilient domestic tourism base is a prerequisite for the Government's 50 million inbound visitor target. International visitors are drawn to vibrant, active destinations. If domestic demand weakens and rural businesses close, as many now are, the offer on which inb</w:t>
      </w:r>
      <w:r>
        <w:t xml:space="preserve">ound tourism depends is eroded, and the barriers for future re-entry are significant. </w:t>
      </w:r>
    </w:p>
    <w:p w:rsidR="00F506DA">
      <w:pPr>
        <w:spacing w:line="276" w:lineRule="auto"/>
        <w:jc w:val="both"/>
        <w:rPr>
          <w:color w:val="000000"/>
        </w:rPr>
      </w:pPr>
    </w:p>
    <w:p w:rsidR="00F506DA">
      <w:pPr>
        <w:pStyle w:val="Heading1"/>
        <w:numPr>
          <w:ilvl w:val="0"/>
          <w:numId w:val="4"/>
        </w:numPr>
        <w:spacing w:before="0" w:after="0" w:line="276" w:lineRule="auto"/>
        <w:jc w:val="both"/>
        <w:rPr>
          <w:sz w:val="24"/>
          <w:szCs w:val="24"/>
          <w:u w:val="single"/>
        </w:rPr>
      </w:pPr>
      <w:r>
        <w:rPr>
          <w:sz w:val="24"/>
          <w:szCs w:val="24"/>
          <w:u w:val="single"/>
        </w:rPr>
        <w:t>Recommendations</w:t>
      </w:r>
    </w:p>
    <w:p w:rsidR="00F506DA">
      <w:pPr>
        <w:pStyle w:val="Heading1"/>
        <w:spacing w:before="0" w:after="0" w:line="276" w:lineRule="auto"/>
        <w:ind w:left="720"/>
        <w:jc w:val="both"/>
        <w:rPr>
          <w:sz w:val="24"/>
          <w:szCs w:val="24"/>
          <w:u w:val="single"/>
        </w:rPr>
      </w:pPr>
    </w:p>
    <w:p w:rsidR="00F506DA">
      <w:pPr>
        <w:spacing w:line="276" w:lineRule="auto"/>
        <w:jc w:val="both"/>
      </w:pPr>
      <w:r>
        <w:t xml:space="preserve">The Committee has asked what government can do to boost visitor numbers, improve competitiveness and ensure the sector's long-term resilience. Our recommendations are directed at each of those objectives. They are a response to specific, evidenced failures in the current policy environment. Several ask government to pause and assess before acting further; others ask for measures that would directly improve competitiveness and reverse the decline we have documented. Taken together, they represent a coherent </w:t>
      </w:r>
      <w:r>
        <w:t>programme for restoring confidence in the sector and giving domestic tourism the strategic attention it deserves.</w:t>
      </w:r>
    </w:p>
    <w:p w:rsidR="00F506DA">
      <w:pPr>
        <w:spacing w:line="276" w:lineRule="auto"/>
        <w:jc w:val="both"/>
      </w:pPr>
    </w:p>
    <w:p w:rsidR="00F506DA">
      <w:pPr>
        <w:spacing w:line="276" w:lineRule="auto"/>
        <w:jc w:val="both"/>
        <w:rPr>
          <w:color w:val="000000"/>
        </w:rPr>
      </w:pPr>
      <w:r>
        <w:rPr>
          <w:color w:val="000000"/>
        </w:rPr>
        <w:t>PASC UK asks the Committee to make the following recommendations to Government:</w:t>
      </w:r>
    </w:p>
    <w:p w:rsidR="00F506DA">
      <w:pPr>
        <w:spacing w:line="276" w:lineRule="auto"/>
        <w:jc w:val="both"/>
        <w:rPr>
          <w:color w:val="000000"/>
        </w:rPr>
      </w:pPr>
    </w:p>
    <w:p w:rsidR="00F506DA">
      <w:pPr>
        <w:numPr>
          <w:ilvl w:val="0"/>
          <w:numId w:val="2"/>
        </w:numPr>
        <w:pBdr>
          <w:top w:val="nil"/>
          <w:left w:val="nil"/>
          <w:bottom w:val="nil"/>
          <w:right w:val="nil"/>
          <w:between w:val="nil"/>
        </w:pBdr>
        <w:spacing w:line="276" w:lineRule="auto"/>
        <w:jc w:val="both"/>
      </w:pPr>
      <w:r>
        <w:rPr>
          <w:b/>
          <w:bCs/>
        </w:rPr>
        <w:t>Do not introduce an England overnight visitor levy</w:t>
      </w:r>
      <w:r>
        <w:t xml:space="preserve"> without first reducing accommodation VAT, publishing the Visitor Economy Growth Strategy with measurable targets, completing an </w:t>
      </w:r>
      <w:r>
        <w:t>independent economic impact assessment, and establishing a statutory hypothecation framework ensuring levy revenues are ringfenced for the visitor economy.</w:t>
      </w:r>
    </w:p>
    <w:p w:rsidR="00F506DA">
      <w:pPr>
        <w:numPr>
          <w:ilvl w:val="0"/>
          <w:numId w:val="2"/>
        </w:numPr>
        <w:pBdr>
          <w:top w:val="nil"/>
          <w:left w:val="nil"/>
          <w:bottom w:val="nil"/>
          <w:right w:val="nil"/>
          <w:between w:val="nil"/>
        </w:pBdr>
        <w:spacing w:line="276" w:lineRule="auto"/>
        <w:jc w:val="both"/>
      </w:pPr>
      <w:r>
        <w:rPr>
          <w:b/>
          <w:bCs/>
        </w:rPr>
        <w:t>Recommend a moratorium on all further policy interventions and commission a cumulative regulatory impact assessment</w:t>
      </w:r>
      <w:r>
        <w:t xml:space="preserve"> of all recent and forthcoming policy interventions affecting the self-catering and visitor accommodation sector, before any further significant measures are introduced.</w:t>
      </w:r>
    </w:p>
    <w:p w:rsidR="00F506DA">
      <w:pPr>
        <w:numPr>
          <w:ilvl w:val="0"/>
          <w:numId w:val="2"/>
        </w:numPr>
        <w:spacing w:line="276" w:lineRule="auto"/>
        <w:jc w:val="both"/>
      </w:pPr>
      <w:r>
        <w:rPr>
          <w:b/>
          <w:bCs/>
        </w:rPr>
        <w:t>Introduce a tourism impact assessment requirement</w:t>
      </w:r>
      <w:r>
        <w:t xml:space="preserve"> for significant policy proposals from any government department - including Treasury, MHCLG and DBT - that materially affects the cost, accessibility or competitiveness of the UK as a visitor destination. Furthermore, to make that a reality, we’d recommend the appointment of a Minister dedicated solely to tourism and hospitality might not be possible, or a Senior Civil Servant acting in a cross-department role as e.g. hospitality and tourism tsar, would provide much needed oversight into policies made by o</w:t>
      </w:r>
      <w:r>
        <w:t>ther departments which directly affect tourism.</w:t>
      </w:r>
    </w:p>
    <w:p w:rsidR="00F506DA">
      <w:pPr>
        <w:numPr>
          <w:ilvl w:val="0"/>
          <w:numId w:val="2"/>
        </w:numPr>
        <w:pBdr>
          <w:top w:val="nil"/>
          <w:left w:val="nil"/>
          <w:bottom w:val="nil"/>
          <w:right w:val="nil"/>
          <w:between w:val="nil"/>
        </w:pBdr>
        <w:spacing w:line="276" w:lineRule="auto"/>
        <w:jc w:val="both"/>
      </w:pPr>
      <w:r>
        <w:rPr>
          <w:b/>
          <w:bCs/>
          <w:color w:val="000000"/>
        </w:rPr>
        <w:t xml:space="preserve">Implement the statutory short-term let register </w:t>
      </w:r>
      <w:r>
        <w:rPr>
          <w:b/>
          <w:bCs/>
        </w:rPr>
        <w:t>in England</w:t>
      </w:r>
      <w:r>
        <w:rPr>
          <w:b/>
          <w:bCs/>
          <w:color w:val="000000"/>
        </w:rPr>
        <w:t xml:space="preserve"> without further delay.</w:t>
      </w:r>
      <w:r>
        <w:rPr>
          <w:color w:val="000000"/>
        </w:rPr>
        <w:t xml:space="preserve"> The register must distinguish between dedicated holiday lets, spare rooms, occasional lets and other property types such as yur</w:t>
      </w:r>
      <w:r>
        <w:t xml:space="preserve">ts and shepherds huts.  It must also capture the number of bedrooms available </w:t>
      </w:r>
      <w:r>
        <w:rPr>
          <w:color w:val="000000"/>
        </w:rPr>
        <w:t xml:space="preserve">and location. Without it, policy continues to be made </w:t>
      </w:r>
      <w:r>
        <w:rPr>
          <w:color w:val="000000"/>
        </w:rPr>
        <w:t>on the basis of</w:t>
      </w:r>
      <w:r>
        <w:rPr>
          <w:color w:val="000000"/>
        </w:rPr>
        <w:t xml:space="preserve"> unreliable and conflated data.</w:t>
      </w:r>
    </w:p>
    <w:p w:rsidR="00F506DA">
      <w:pPr>
        <w:numPr>
          <w:ilvl w:val="0"/>
          <w:numId w:val="2"/>
        </w:numPr>
        <w:pBdr>
          <w:top w:val="nil"/>
          <w:left w:val="nil"/>
          <w:bottom w:val="nil"/>
          <w:right w:val="nil"/>
          <w:between w:val="nil"/>
        </w:pBdr>
        <w:spacing w:line="276" w:lineRule="auto"/>
        <w:jc w:val="both"/>
      </w:pPr>
      <w:r>
        <w:rPr>
          <w:b/>
          <w:bCs/>
          <w:color w:val="000000"/>
        </w:rPr>
        <w:t>Reduce VAT on accommodation and hospitality to 12.5%</w:t>
      </w:r>
      <w:r>
        <w:rPr>
          <w:color w:val="000000"/>
        </w:rPr>
        <w:t xml:space="preserve">, aligned </w:t>
      </w:r>
      <w:r>
        <w:t>closer to</w:t>
      </w:r>
      <w:r>
        <w:rPr>
          <w:color w:val="000000"/>
        </w:rPr>
        <w:t xml:space="preserve"> the EU average. This is the single most effective measure available to improve the affordability and competitiveness of domestic tourism.</w:t>
      </w:r>
    </w:p>
    <w:p w:rsidR="00F506DA">
      <w:pPr>
        <w:numPr>
          <w:ilvl w:val="0"/>
          <w:numId w:val="2"/>
        </w:numPr>
        <w:pBdr>
          <w:top w:val="nil"/>
          <w:left w:val="nil"/>
          <w:bottom w:val="nil"/>
          <w:right w:val="nil"/>
          <w:between w:val="nil"/>
        </w:pBdr>
        <w:spacing w:line="276" w:lineRule="auto"/>
        <w:jc w:val="both"/>
      </w:pPr>
      <w:r>
        <w:rPr>
          <w:b/>
          <w:bCs/>
          <w:color w:val="000000"/>
        </w:rPr>
        <w:t>Publish the National Visitor Economy Strategy with an explicit domestic tourism strand,</w:t>
      </w:r>
      <w:r>
        <w:rPr>
          <w:color w:val="000000"/>
        </w:rPr>
        <w:t xml:space="preserve"> including a target to restore overnight trips to 202</w:t>
      </w:r>
      <w:r>
        <w:t xml:space="preserve">2 levels in </w:t>
      </w:r>
      <w:r>
        <w:rPr>
          <w:color w:val="000000"/>
        </w:rPr>
        <w:t xml:space="preserve">England's seaside, countryside and small towns to at least 57.2 million by 2030 and so counter the recent </w:t>
      </w:r>
      <w:r>
        <w:t>18% fall to 46.7m in 2024</w:t>
      </w:r>
      <w:r>
        <w:rPr>
          <w:color w:val="000000"/>
        </w:rPr>
        <w:t>, a dedicated section on the sustainability credentials of domestic holidays and a commitment to review HM Treasury's Green Book treatment of domestic visitor spending to ensure its distributional value in rural and coastal economies is properly recognised</w:t>
      </w:r>
      <w:r>
        <w:t xml:space="preserve"> alongside the direct value of encouraging people to holiday</w:t>
      </w:r>
      <w:r>
        <w:t xml:space="preserve"> in the UK and not abroad</w:t>
      </w:r>
      <w:r>
        <w:rPr>
          <w:color w:val="000000"/>
        </w:rPr>
        <w:t>.</w:t>
      </w:r>
    </w:p>
    <w:p w:rsidR="00F506DA">
      <w:pPr>
        <w:spacing w:line="276" w:lineRule="auto"/>
        <w:jc w:val="both"/>
      </w:pPr>
    </w:p>
    <w:p w:rsidR="00F506DA">
      <w:pPr>
        <w:pStyle w:val="Heading1"/>
        <w:spacing w:before="0" w:after="0" w:line="276" w:lineRule="auto"/>
        <w:jc w:val="both"/>
        <w:rPr>
          <w:sz w:val="24"/>
          <w:szCs w:val="24"/>
          <w:u w:val="single"/>
        </w:rPr>
      </w:pPr>
      <w:r>
        <w:rPr>
          <w:sz w:val="24"/>
          <w:szCs w:val="24"/>
          <w:u w:val="single"/>
        </w:rPr>
        <w:t>Annexe A: Holiday Lets in the News</w:t>
      </w:r>
    </w:p>
    <w:p w:rsidR="00F506DA">
      <w:pPr>
        <w:pStyle w:val="Heading1"/>
        <w:spacing w:before="0" w:after="0" w:line="276" w:lineRule="auto"/>
        <w:jc w:val="both"/>
        <w:rPr>
          <w:sz w:val="24"/>
          <w:szCs w:val="24"/>
          <w:u w:val="single"/>
        </w:rPr>
      </w:pPr>
    </w:p>
    <w:p w:rsidR="00F506DA">
      <w:pPr>
        <w:spacing w:line="276" w:lineRule="auto"/>
        <w:jc w:val="both"/>
      </w:pPr>
      <w:r>
        <w:rPr>
          <w:color w:val="000000"/>
        </w:rPr>
        <w:t>The following recent media coverage illustrates the breadth of public interest in policy affecting the self-catering sector, and the real-world consequences for operators and communities.</w:t>
      </w:r>
    </w:p>
    <w:p w:rsidR="00F506DA">
      <w:pPr>
        <w:spacing w:line="276" w:lineRule="auto"/>
        <w:jc w:val="both"/>
      </w:pPr>
    </w:p>
    <w:tbl>
      <w:tblPr>
        <w:tblStyle w:val="Table4"/>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00"/>
        <w:gridCol w:w="7226"/>
      </w:tblGrid>
      <w:tr>
        <w:tblPrEx>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00" w:type="dxa"/>
            <w:tcBorders>
              <w:top w:val="single" w:sz="4" w:space="0" w:color="CCCCCC"/>
              <w:left w:val="single" w:sz="4" w:space="0" w:color="CCCCCC"/>
              <w:bottom w:val="single" w:sz="4" w:space="0" w:color="CCCCCC"/>
              <w:right w:val="single" w:sz="4" w:space="0" w:color="CCCCCC"/>
            </w:tcBorders>
            <w:shd w:val="clear" w:color="auto" w:fill="1F3864"/>
            <w:tcMar>
              <w:top w:w="120" w:type="dxa"/>
              <w:left w:w="140" w:type="dxa"/>
              <w:bottom w:w="120" w:type="dxa"/>
              <w:right w:w="140" w:type="dxa"/>
            </w:tcMar>
            <w:vAlign w:val="center"/>
          </w:tcPr>
          <w:p w:rsidR="00F506DA">
            <w:pPr>
              <w:spacing w:line="276" w:lineRule="auto"/>
            </w:pPr>
            <w:r>
              <w:rPr>
                <w:b/>
                <w:bCs/>
                <w:color w:val="FFFFFF"/>
              </w:rPr>
              <w:t>BBC News</w:t>
            </w:r>
          </w:p>
          <w:p w:rsidR="00F506DA">
            <w:pPr>
              <w:spacing w:line="276" w:lineRule="auto"/>
            </w:pPr>
            <w:r>
              <w:rPr>
                <w:color w:val="C5D9F1"/>
              </w:rPr>
              <w:t>2025</w:t>
            </w:r>
          </w:p>
        </w:tc>
        <w:tc>
          <w:tcPr>
            <w:tcW w:w="7226" w:type="dxa"/>
            <w:tcBorders>
              <w:top w:val="single" w:sz="4" w:space="0" w:color="CCCCCC"/>
              <w:left w:val="single" w:sz="4" w:space="0" w:color="CCCCCC"/>
              <w:bottom w:val="single" w:sz="4" w:space="0" w:color="CCCCCC"/>
              <w:right w:val="single" w:sz="4" w:space="0" w:color="CCCCCC"/>
            </w:tcBorders>
            <w:shd w:val="clear" w:color="auto" w:fill="F2F2F2"/>
            <w:tcMar>
              <w:top w:w="120" w:type="dxa"/>
              <w:left w:w="160" w:type="dxa"/>
              <w:bottom w:w="120" w:type="dxa"/>
              <w:right w:w="160" w:type="dxa"/>
            </w:tcMar>
          </w:tcPr>
          <w:p w:rsidR="00F506DA">
            <w:pPr>
              <w:spacing w:line="276" w:lineRule="auto"/>
            </w:pPr>
            <w:r>
              <w:rPr>
                <w:b/>
                <w:bCs/>
                <w:color w:val="1F3864"/>
              </w:rPr>
              <w:t>Holiday lets and the rural housing debate</w:t>
            </w:r>
          </w:p>
          <w:p w:rsidR="00F506DA">
            <w:pPr>
              <w:spacing w:line="276" w:lineRule="auto"/>
            </w:pPr>
            <w:r>
              <w:rPr>
                <w:color w:val="595959"/>
              </w:rPr>
              <w:t>BBC reporting on the debate around holiday lets in rural communities, examining the tension between tourism economic value and housing policy.</w:t>
            </w:r>
          </w:p>
          <w:p w:rsidR="00F506DA">
            <w:pPr>
              <w:spacing w:line="276" w:lineRule="auto"/>
            </w:pPr>
            <w:r>
              <w:rPr>
                <w:i/>
                <w:iCs/>
                <w:color w:val="2E75B6"/>
              </w:rPr>
              <w:t>https://www.bbc.co.uk/news/articles/cyvmjm7lq7no</w:t>
            </w:r>
          </w:p>
        </w:tc>
      </w:tr>
    </w:tbl>
    <w:p w:rsidR="00F506DA">
      <w:pPr>
        <w:spacing w:line="276" w:lineRule="auto"/>
      </w:pPr>
    </w:p>
    <w:tbl>
      <w:tblPr>
        <w:tblStyle w:val="Table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00"/>
        <w:gridCol w:w="7226"/>
      </w:tblGrid>
      <w:tr>
        <w:tblPrEx>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00" w:type="dxa"/>
            <w:tcBorders>
              <w:top w:val="single" w:sz="4" w:space="0" w:color="CCCCCC"/>
              <w:left w:val="single" w:sz="4" w:space="0" w:color="CCCCCC"/>
              <w:bottom w:val="single" w:sz="4" w:space="0" w:color="CCCCCC"/>
              <w:right w:val="single" w:sz="4" w:space="0" w:color="CCCCCC"/>
            </w:tcBorders>
            <w:shd w:val="clear" w:color="auto" w:fill="17375E"/>
            <w:tcMar>
              <w:top w:w="120" w:type="dxa"/>
              <w:left w:w="140" w:type="dxa"/>
              <w:bottom w:w="120" w:type="dxa"/>
              <w:right w:w="140" w:type="dxa"/>
            </w:tcMar>
            <w:vAlign w:val="center"/>
          </w:tcPr>
          <w:p w:rsidR="00F506DA">
            <w:pPr>
              <w:spacing w:line="276" w:lineRule="auto"/>
            </w:pPr>
            <w:r>
              <w:rPr>
                <w:b/>
                <w:bCs/>
                <w:color w:val="FFFFFF"/>
              </w:rPr>
              <w:t>ITV Wales</w:t>
            </w:r>
          </w:p>
          <w:p w:rsidR="00F506DA">
            <w:pPr>
              <w:spacing w:line="276" w:lineRule="auto"/>
            </w:pPr>
            <w:r>
              <w:rPr>
                <w:color w:val="C5D9F1"/>
              </w:rPr>
              <w:t>March 2024</w:t>
            </w:r>
          </w:p>
        </w:tc>
        <w:tc>
          <w:tcPr>
            <w:tcW w:w="72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rsidR="00F506DA">
            <w:pPr>
              <w:spacing w:line="276" w:lineRule="auto"/>
            </w:pPr>
            <w:r>
              <w:rPr>
                <w:b/>
                <w:bCs/>
                <w:color w:val="1F3864"/>
              </w:rPr>
              <w:t>Second home policy harming genuine holiday let businesses, warns expert</w:t>
            </w:r>
          </w:p>
          <w:p w:rsidR="00F506DA">
            <w:pPr>
              <w:spacing w:line="276" w:lineRule="auto"/>
            </w:pPr>
            <w:r>
              <w:rPr>
                <w:color w:val="595959"/>
              </w:rPr>
              <w:t>ITV Wales coverage of expert warnings that second home legislation is failing to distinguish between second homes and professionally managed holiday lets, harming legitimate businesses.</w:t>
            </w:r>
          </w:p>
          <w:p w:rsidR="00F506DA">
            <w:pPr>
              <w:spacing w:line="276" w:lineRule="auto"/>
            </w:pPr>
            <w:r>
              <w:rPr>
                <w:i/>
                <w:iCs/>
                <w:color w:val="2E75B6"/>
              </w:rPr>
              <w:t>https://www.itv.com/news/wales/2024-03-07/second-home-policy-harming-genuine-holiday-let-businesses-warns-expert</w:t>
            </w:r>
          </w:p>
        </w:tc>
      </w:tr>
    </w:tbl>
    <w:p w:rsidR="00F506DA">
      <w:pPr>
        <w:spacing w:line="276" w:lineRule="auto"/>
      </w:pPr>
    </w:p>
    <w:p w:rsidR="00F506DA">
      <w:pPr>
        <w:spacing w:line="276" w:lineRule="auto"/>
      </w:pPr>
    </w:p>
    <w:p w:rsidR="00F506DA">
      <w:pPr>
        <w:spacing w:line="276" w:lineRule="auto"/>
      </w:pPr>
    </w:p>
    <w:p w:rsidR="00F506DA">
      <w:pPr>
        <w:spacing w:line="276" w:lineRule="auto"/>
      </w:pPr>
    </w:p>
    <w:tbl>
      <w:tblPr>
        <w:tblStyle w:val="Table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00"/>
        <w:gridCol w:w="7226"/>
      </w:tblGrid>
      <w:tr>
        <w:tblPrEx>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00" w:type="dxa"/>
            <w:tcBorders>
              <w:top w:val="single" w:sz="4" w:space="0" w:color="CCCCCC"/>
              <w:left w:val="single" w:sz="4" w:space="0" w:color="CCCCCC"/>
              <w:bottom w:val="single" w:sz="4" w:space="0" w:color="CCCCCC"/>
              <w:right w:val="single" w:sz="4" w:space="0" w:color="CCCCCC"/>
            </w:tcBorders>
            <w:shd w:val="clear" w:color="auto" w:fill="1F3864"/>
            <w:tcMar>
              <w:top w:w="120" w:type="dxa"/>
              <w:left w:w="140" w:type="dxa"/>
              <w:bottom w:w="120" w:type="dxa"/>
              <w:right w:w="140" w:type="dxa"/>
            </w:tcMar>
            <w:vAlign w:val="center"/>
          </w:tcPr>
          <w:p w:rsidR="00F506DA">
            <w:pPr>
              <w:spacing w:line="276" w:lineRule="auto"/>
            </w:pPr>
            <w:r>
              <w:rPr>
                <w:b/>
                <w:bCs/>
                <w:color w:val="FFFFFF"/>
              </w:rPr>
              <w:t xml:space="preserve">Short Term </w:t>
            </w:r>
            <w:r>
              <w:rPr>
                <w:b/>
                <w:bCs/>
                <w:color w:val="FFFFFF"/>
              </w:rPr>
              <w:t>Rentalz</w:t>
            </w:r>
          </w:p>
          <w:p w:rsidR="00F506DA">
            <w:pPr>
              <w:spacing w:line="276" w:lineRule="auto"/>
            </w:pPr>
            <w:r>
              <w:rPr>
                <w:color w:val="C5D9F1"/>
              </w:rPr>
              <w:t>2025</w:t>
            </w:r>
          </w:p>
        </w:tc>
        <w:tc>
          <w:tcPr>
            <w:tcW w:w="7226" w:type="dxa"/>
            <w:tcBorders>
              <w:top w:val="single" w:sz="4" w:space="0" w:color="CCCCCC"/>
              <w:left w:val="single" w:sz="4" w:space="0" w:color="CCCCCC"/>
              <w:bottom w:val="single" w:sz="4" w:space="0" w:color="CCCCCC"/>
              <w:right w:val="single" w:sz="4" w:space="0" w:color="CCCCCC"/>
            </w:tcBorders>
            <w:shd w:val="clear" w:color="auto" w:fill="F2F2F2"/>
            <w:tcMar>
              <w:top w:w="120" w:type="dxa"/>
              <w:left w:w="160" w:type="dxa"/>
              <w:bottom w:w="120" w:type="dxa"/>
              <w:right w:w="160" w:type="dxa"/>
            </w:tcMar>
          </w:tcPr>
          <w:p w:rsidR="00F506DA">
            <w:pPr>
              <w:spacing w:line="276" w:lineRule="auto"/>
            </w:pPr>
            <w:r>
              <w:rPr>
                <w:b/>
                <w:bCs/>
                <w:color w:val="1F3864"/>
              </w:rPr>
              <w:t xml:space="preserve">Westminster regulation and the short-term </w:t>
            </w:r>
            <w:r>
              <w:rPr>
                <w:b/>
                <w:bCs/>
                <w:color w:val="1F3864"/>
              </w:rPr>
              <w:t>lets</w:t>
            </w:r>
            <w:r>
              <w:rPr>
                <w:b/>
                <w:bCs/>
                <w:color w:val="1F3864"/>
              </w:rPr>
              <w:t xml:space="preserve"> debate</w:t>
            </w:r>
          </w:p>
          <w:p w:rsidR="00F506DA">
            <w:pPr>
              <w:spacing w:line="276" w:lineRule="auto"/>
            </w:pPr>
            <w:r>
              <w:rPr>
                <w:color w:val="595959"/>
              </w:rPr>
              <w:t>Industry coverage of the Westminster Hall debate on the proposed visitor levy in England, reporting on parliamentary opposition from across the political spectrum.</w:t>
            </w:r>
          </w:p>
          <w:p w:rsidR="00F506DA">
            <w:pPr>
              <w:spacing w:line="276" w:lineRule="auto"/>
            </w:pPr>
            <w:r>
              <w:rPr>
                <w:i/>
                <w:iCs/>
                <w:color w:val="2E75B6"/>
              </w:rPr>
              <w:t>https://shorttermrentalz.com/news/westminster-regulation-short-term-lets-debate/</w:t>
            </w:r>
          </w:p>
        </w:tc>
      </w:tr>
    </w:tbl>
    <w:p w:rsidR="00F506DA">
      <w:pPr>
        <w:spacing w:line="276" w:lineRule="auto"/>
      </w:pPr>
    </w:p>
    <w:tbl>
      <w:tblPr>
        <w:tblStyle w:val="Table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00"/>
        <w:gridCol w:w="7226"/>
      </w:tblGrid>
      <w:tr>
        <w:tblPrEx>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00" w:type="dxa"/>
            <w:tcBorders>
              <w:top w:val="single" w:sz="4" w:space="0" w:color="CCCCCC"/>
              <w:left w:val="single" w:sz="4" w:space="0" w:color="CCCCCC"/>
              <w:bottom w:val="single" w:sz="4" w:space="0" w:color="CCCCCC"/>
              <w:right w:val="single" w:sz="4" w:space="0" w:color="CCCCCC"/>
            </w:tcBorders>
            <w:shd w:val="clear" w:color="auto" w:fill="17375E"/>
            <w:tcMar>
              <w:top w:w="120" w:type="dxa"/>
              <w:left w:w="140" w:type="dxa"/>
              <w:bottom w:w="120" w:type="dxa"/>
              <w:right w:w="140" w:type="dxa"/>
            </w:tcMar>
            <w:vAlign w:val="center"/>
          </w:tcPr>
          <w:p w:rsidR="00F506DA">
            <w:pPr>
              <w:spacing w:line="276" w:lineRule="auto"/>
            </w:pPr>
            <w:r>
              <w:rPr>
                <w:b/>
                <w:bCs/>
                <w:color w:val="FFFFFF"/>
              </w:rPr>
              <w:t>The Daily Telegraph</w:t>
            </w:r>
          </w:p>
          <w:p w:rsidR="00F506DA">
            <w:pPr>
              <w:spacing w:line="276" w:lineRule="auto"/>
            </w:pPr>
            <w:r>
              <w:rPr>
                <w:color w:val="C5D9F1"/>
              </w:rPr>
              <w:t>2025</w:t>
            </w:r>
          </w:p>
        </w:tc>
        <w:tc>
          <w:tcPr>
            <w:tcW w:w="72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rsidR="00F506DA">
            <w:pPr>
              <w:spacing w:line="276" w:lineRule="auto"/>
            </w:pPr>
            <w:r>
              <w:rPr>
                <w:b/>
                <w:bCs/>
                <w:color w:val="1F3864"/>
              </w:rPr>
              <w:t>Holiday let owners cut prices to escape second home tax</w:t>
            </w:r>
          </w:p>
          <w:p w:rsidR="00F506DA">
            <w:pPr>
              <w:spacing w:line="276" w:lineRule="auto"/>
            </w:pPr>
            <w:r>
              <w:rPr>
                <w:color w:val="595959"/>
              </w:rPr>
              <w:t>Reporting on how operators are being forced to discount heavily to meet occupancy thresholds and avoid punitive council tax premiums, at the cost of business viability.</w:t>
            </w:r>
          </w:p>
          <w:p w:rsidR="00F506DA">
            <w:pPr>
              <w:spacing w:line="276" w:lineRule="auto"/>
            </w:pPr>
            <w:r>
              <w:rPr>
                <w:i/>
                <w:iCs/>
                <w:color w:val="2E75B6"/>
              </w:rPr>
              <w:t>https://www.telegraph.co.uk/money/tax/news/holiday-let-owners-cut-prices-escape-second-home-tax/</w:t>
            </w:r>
          </w:p>
        </w:tc>
      </w:tr>
    </w:tbl>
    <w:p w:rsidR="00F506DA">
      <w:pPr>
        <w:spacing w:line="276" w:lineRule="auto"/>
      </w:pPr>
    </w:p>
    <w:tbl>
      <w:tblPr>
        <w:tblStyle w:val="Table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00"/>
        <w:gridCol w:w="7226"/>
      </w:tblGrid>
      <w:tr>
        <w:tblPrEx>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00" w:type="dxa"/>
            <w:tcBorders>
              <w:top w:val="single" w:sz="4" w:space="0" w:color="CCCCCC"/>
              <w:left w:val="single" w:sz="4" w:space="0" w:color="CCCCCC"/>
              <w:bottom w:val="single" w:sz="4" w:space="0" w:color="CCCCCC"/>
              <w:right w:val="single" w:sz="4" w:space="0" w:color="CCCCCC"/>
            </w:tcBorders>
            <w:shd w:val="clear" w:color="auto" w:fill="1F3864"/>
            <w:tcMar>
              <w:top w:w="120" w:type="dxa"/>
              <w:left w:w="140" w:type="dxa"/>
              <w:bottom w:w="120" w:type="dxa"/>
              <w:right w:w="140" w:type="dxa"/>
            </w:tcMar>
            <w:vAlign w:val="center"/>
          </w:tcPr>
          <w:p w:rsidR="00F506DA">
            <w:pPr>
              <w:spacing w:line="276" w:lineRule="auto"/>
            </w:pPr>
            <w:r>
              <w:rPr>
                <w:b/>
                <w:bCs/>
                <w:color w:val="FFFFFF"/>
              </w:rPr>
              <w:t>The Daily Telegraph</w:t>
            </w:r>
          </w:p>
          <w:p w:rsidR="00F506DA">
            <w:pPr>
              <w:spacing w:line="276" w:lineRule="auto"/>
            </w:pPr>
            <w:r>
              <w:rPr>
                <w:color w:val="C5D9F1"/>
              </w:rPr>
              <w:t>2025</w:t>
            </w:r>
          </w:p>
        </w:tc>
        <w:tc>
          <w:tcPr>
            <w:tcW w:w="7226" w:type="dxa"/>
            <w:tcBorders>
              <w:top w:val="single" w:sz="4" w:space="0" w:color="CCCCCC"/>
              <w:left w:val="single" w:sz="4" w:space="0" w:color="CCCCCC"/>
              <w:bottom w:val="single" w:sz="4" w:space="0" w:color="CCCCCC"/>
              <w:right w:val="single" w:sz="4" w:space="0" w:color="CCCCCC"/>
            </w:tcBorders>
            <w:shd w:val="clear" w:color="auto" w:fill="F2F2F2"/>
            <w:tcMar>
              <w:top w:w="120" w:type="dxa"/>
              <w:left w:w="160" w:type="dxa"/>
              <w:bottom w:w="120" w:type="dxa"/>
              <w:right w:w="160" w:type="dxa"/>
            </w:tcMar>
          </w:tcPr>
          <w:p w:rsidR="00F506DA">
            <w:pPr>
              <w:spacing w:line="276" w:lineRule="auto"/>
            </w:pPr>
            <w:r>
              <w:rPr>
                <w:b/>
                <w:bCs/>
                <w:color w:val="1F3864"/>
              </w:rPr>
              <w:t>Labour's endless red tape has killed the Welsh holiday</w:t>
            </w:r>
          </w:p>
          <w:p w:rsidR="00F506DA">
            <w:pPr>
              <w:spacing w:line="276" w:lineRule="auto"/>
            </w:pPr>
            <w:r>
              <w:rPr>
                <w:color w:val="595959"/>
              </w:rPr>
              <w:t>Investigation into how the accumulation of Welsh Government policy interventions — the 182-day rule, council tax premiums, the proposed levy — has driven a steep decline in Welsh holiday let businesses.</w:t>
            </w:r>
          </w:p>
          <w:p w:rsidR="00F506DA">
            <w:pPr>
              <w:spacing w:line="276" w:lineRule="auto"/>
            </w:pPr>
            <w:r>
              <w:rPr>
                <w:i/>
                <w:iCs/>
                <w:color w:val="2E75B6"/>
              </w:rPr>
              <w:t>https://www.telegraph.co.uk/money/property/labours-endless-red-tape-killed-welsh-holiday/</w:t>
            </w:r>
          </w:p>
        </w:tc>
      </w:tr>
    </w:tbl>
    <w:p w:rsidR="00F506DA">
      <w:pPr>
        <w:spacing w:line="276" w:lineRule="auto"/>
      </w:pPr>
    </w:p>
    <w:tbl>
      <w:tblPr>
        <w:tblStyle w:val="Table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00"/>
        <w:gridCol w:w="7226"/>
      </w:tblGrid>
      <w:tr>
        <w:tblPrEx>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00" w:type="dxa"/>
            <w:tcBorders>
              <w:top w:val="single" w:sz="4" w:space="0" w:color="CCCCCC"/>
              <w:left w:val="single" w:sz="4" w:space="0" w:color="CCCCCC"/>
              <w:bottom w:val="single" w:sz="4" w:space="0" w:color="CCCCCC"/>
              <w:right w:val="single" w:sz="4" w:space="0" w:color="CCCCCC"/>
            </w:tcBorders>
            <w:shd w:val="clear" w:color="auto" w:fill="17375E"/>
            <w:tcMar>
              <w:top w:w="120" w:type="dxa"/>
              <w:left w:w="140" w:type="dxa"/>
              <w:bottom w:w="120" w:type="dxa"/>
              <w:right w:w="140" w:type="dxa"/>
            </w:tcMar>
            <w:vAlign w:val="center"/>
          </w:tcPr>
          <w:p w:rsidR="00F506DA">
            <w:pPr>
              <w:spacing w:line="276" w:lineRule="auto"/>
            </w:pPr>
            <w:r>
              <w:rPr>
                <w:b/>
                <w:bCs/>
                <w:color w:val="FFFFFF"/>
              </w:rPr>
              <w:t>Farmers Weekly</w:t>
            </w:r>
          </w:p>
          <w:p w:rsidR="00F506DA">
            <w:pPr>
              <w:spacing w:line="276" w:lineRule="auto"/>
            </w:pPr>
            <w:r>
              <w:rPr>
                <w:color w:val="C5D9F1"/>
              </w:rPr>
              <w:t>March 2025</w:t>
            </w:r>
          </w:p>
        </w:tc>
        <w:tc>
          <w:tcPr>
            <w:tcW w:w="7226"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rsidR="00F506DA">
            <w:pPr>
              <w:spacing w:line="276" w:lineRule="auto"/>
            </w:pPr>
            <w:r>
              <w:rPr>
                <w:b/>
                <w:bCs/>
                <w:color w:val="1F3864"/>
              </w:rPr>
              <w:t>Farm-based holiday providers face a tough 2025</w:t>
            </w:r>
          </w:p>
          <w:p w:rsidR="00F506DA">
            <w:pPr>
              <w:spacing w:line="276" w:lineRule="auto"/>
            </w:pPr>
            <w:r>
              <w:rPr>
                <w:color w:val="595959"/>
              </w:rPr>
              <w:t>Farmers Weekly reports on the combined impact of FHL abolition, business rates changes and declining visitor numbers on farm diversification businesses — with 26% of English dedicated holiday lets located on farms.</w:t>
            </w:r>
          </w:p>
          <w:p w:rsidR="00F506DA">
            <w:pPr>
              <w:spacing w:line="276" w:lineRule="auto"/>
            </w:pPr>
            <w:r>
              <w:rPr>
                <w:i/>
                <w:iCs/>
                <w:color w:val="2E75B6"/>
              </w:rPr>
              <w:t>https://www.fwi.co.uk/business/diversification/farm-based-holiday-providers-face-a-tough-2025</w:t>
            </w:r>
          </w:p>
        </w:tc>
      </w:tr>
    </w:tbl>
    <w:p w:rsidR="00F506DA">
      <w:pPr>
        <w:spacing w:line="276" w:lineRule="auto"/>
      </w:pPr>
    </w:p>
    <w:tbl>
      <w:tblPr>
        <w:tblStyle w:val="Table1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00"/>
        <w:gridCol w:w="7226"/>
      </w:tblGrid>
      <w:tr>
        <w:tblPrEx>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00" w:type="dxa"/>
            <w:tcBorders>
              <w:top w:val="single" w:sz="4" w:space="0" w:color="CCCCCC"/>
              <w:left w:val="single" w:sz="4" w:space="0" w:color="CCCCCC"/>
              <w:bottom w:val="single" w:sz="4" w:space="0" w:color="CCCCCC"/>
              <w:right w:val="single" w:sz="4" w:space="0" w:color="CCCCCC"/>
            </w:tcBorders>
            <w:shd w:val="clear" w:color="auto" w:fill="1F3864"/>
            <w:tcMar>
              <w:top w:w="120" w:type="dxa"/>
              <w:left w:w="140" w:type="dxa"/>
              <w:bottom w:w="120" w:type="dxa"/>
              <w:right w:w="140" w:type="dxa"/>
            </w:tcMar>
            <w:vAlign w:val="center"/>
          </w:tcPr>
          <w:p w:rsidR="00F506DA">
            <w:pPr>
              <w:spacing w:line="276" w:lineRule="auto"/>
            </w:pPr>
            <w:r>
              <w:rPr>
                <w:b/>
                <w:bCs/>
                <w:color w:val="FFFFFF"/>
              </w:rPr>
              <w:t>Daily Express</w:t>
            </w:r>
          </w:p>
          <w:p w:rsidR="00F506DA">
            <w:pPr>
              <w:spacing w:line="276" w:lineRule="auto"/>
            </w:pPr>
            <w:r>
              <w:rPr>
                <w:color w:val="C5D9F1"/>
              </w:rPr>
              <w:t>2024</w:t>
            </w:r>
          </w:p>
        </w:tc>
        <w:tc>
          <w:tcPr>
            <w:tcW w:w="7226" w:type="dxa"/>
            <w:tcBorders>
              <w:top w:val="single" w:sz="4" w:space="0" w:color="CCCCCC"/>
              <w:left w:val="single" w:sz="4" w:space="0" w:color="CCCCCC"/>
              <w:bottom w:val="single" w:sz="4" w:space="0" w:color="CCCCCC"/>
              <w:right w:val="single" w:sz="4" w:space="0" w:color="CCCCCC"/>
            </w:tcBorders>
            <w:shd w:val="clear" w:color="auto" w:fill="F2F2F2"/>
            <w:tcMar>
              <w:top w:w="120" w:type="dxa"/>
              <w:left w:w="160" w:type="dxa"/>
              <w:bottom w:w="120" w:type="dxa"/>
              <w:right w:w="160" w:type="dxa"/>
            </w:tcMar>
          </w:tcPr>
          <w:p w:rsidR="00F506DA">
            <w:pPr>
              <w:spacing w:line="276" w:lineRule="auto"/>
            </w:pPr>
            <w:r>
              <w:rPr>
                <w:b/>
                <w:bCs/>
                <w:color w:val="1F3864"/>
              </w:rPr>
              <w:t>Labour abolishes the FHL tax regime</w:t>
            </w:r>
          </w:p>
          <w:p w:rsidR="00F506DA">
            <w:pPr>
              <w:spacing w:line="276" w:lineRule="auto"/>
            </w:pPr>
            <w:r>
              <w:rPr>
                <w:color w:val="595959"/>
              </w:rPr>
              <w:t>Reporting on the Government's decision to abolish the Furnished Holiday Let tax regime, and the sector's response to the removal of a 40-year-old framework recognising the commercial character of holiday letting.</w:t>
            </w:r>
          </w:p>
          <w:p w:rsidR="00F506DA">
            <w:pPr>
              <w:spacing w:line="276" w:lineRule="auto"/>
            </w:pPr>
            <w:r>
              <w:rPr>
                <w:i/>
                <w:iCs/>
                <w:color w:val="2E75B6"/>
              </w:rPr>
              <w:t>https://www.express.co.uk/news/uk/2024038/labour-fhl-tax-regime-abolished</w:t>
            </w:r>
          </w:p>
        </w:tc>
      </w:tr>
    </w:tbl>
    <w:p w:rsidR="00F506DA">
      <w:pPr>
        <w:spacing w:line="276" w:lineRule="auto"/>
        <w:jc w:val="both"/>
      </w:pPr>
    </w:p>
    <w:p w:rsidR="00F506DA">
      <w:pPr>
        <w:spacing w:line="276" w:lineRule="auto"/>
        <w:jc w:val="both"/>
      </w:pPr>
    </w:p>
    <w:p w:rsidR="00F506DA">
      <w:pPr>
        <w:spacing w:line="276" w:lineRule="auto"/>
        <w:jc w:val="both"/>
      </w:pPr>
    </w:p>
    <w:p w:rsidR="00F506DA">
      <w:pPr>
        <w:spacing w:line="276" w:lineRule="auto"/>
        <w:jc w:val="both"/>
      </w:pPr>
    </w:p>
    <w:p w:rsidR="00F506DA">
      <w:pPr>
        <w:spacing w:line="276" w:lineRule="auto"/>
        <w:jc w:val="both"/>
      </w:pPr>
    </w:p>
    <w:p w:rsidR="00F506DA">
      <w:pPr>
        <w:spacing w:line="276" w:lineRule="auto"/>
        <w:jc w:val="both"/>
      </w:pPr>
    </w:p>
    <w:p w:rsidR="00F506DA">
      <w:pPr>
        <w:spacing w:line="276" w:lineRule="auto"/>
        <w:jc w:val="both"/>
      </w:pPr>
    </w:p>
    <w:p w:rsidR="00F506DA">
      <w:pPr>
        <w:pStyle w:val="Heading1"/>
        <w:spacing w:before="0" w:after="0" w:line="276" w:lineRule="auto"/>
        <w:jc w:val="both"/>
        <w:rPr>
          <w:sz w:val="24"/>
          <w:szCs w:val="24"/>
          <w:u w:val="single"/>
        </w:rPr>
      </w:pPr>
      <w:r>
        <w:rPr>
          <w:sz w:val="24"/>
          <w:szCs w:val="24"/>
          <w:u w:val="single"/>
        </w:rPr>
        <w:t>References</w:t>
      </w:r>
    </w:p>
    <w:p w:rsidR="00F506DA">
      <w:pPr>
        <w:pStyle w:val="Heading1"/>
        <w:spacing w:before="0" w:after="0" w:line="276" w:lineRule="auto"/>
        <w:jc w:val="both"/>
        <w:rPr>
          <w:sz w:val="24"/>
          <w:szCs w:val="24"/>
          <w:u w:val="single"/>
        </w:rPr>
      </w:pPr>
    </w:p>
    <w:p w:rsidR="00F506DA">
      <w:pPr>
        <w:numPr>
          <w:ilvl w:val="0"/>
          <w:numId w:val="3"/>
        </w:numPr>
        <w:pBdr>
          <w:top w:val="nil"/>
          <w:left w:val="nil"/>
          <w:bottom w:val="nil"/>
          <w:right w:val="nil"/>
          <w:between w:val="nil"/>
        </w:pBdr>
        <w:spacing w:line="276" w:lineRule="auto"/>
        <w:jc w:val="both"/>
        <w:rPr>
          <w:color w:val="434343"/>
        </w:rPr>
      </w:pPr>
      <w:r>
        <w:rPr>
          <w:color w:val="434343"/>
        </w:rPr>
        <w:t>Frontier Economics, The Size, Growth and Economic Importance of Dedicated Holiday Lets in England and Wales, commissioned by PASC UK, May 2025. Available at: pascuk.co.uk</w:t>
      </w:r>
    </w:p>
    <w:p w:rsidR="00F506DA">
      <w:pPr>
        <w:numPr>
          <w:ilvl w:val="0"/>
          <w:numId w:val="3"/>
        </w:numPr>
        <w:pBdr>
          <w:top w:val="nil"/>
          <w:left w:val="nil"/>
          <w:bottom w:val="nil"/>
          <w:right w:val="nil"/>
          <w:between w:val="nil"/>
        </w:pBdr>
        <w:spacing w:line="276" w:lineRule="auto"/>
        <w:jc w:val="both"/>
        <w:rPr>
          <w:color w:val="434343"/>
        </w:rPr>
      </w:pPr>
      <w:r>
        <w:rPr>
          <w:color w:val="434343"/>
        </w:rPr>
        <w:t>Valuation Office Agency, Non-domestic Rating List data on self-catering properties, 2024–2025. Published quarterly.</w:t>
      </w:r>
    </w:p>
    <w:p w:rsidR="00F506DA">
      <w:pPr>
        <w:numPr>
          <w:ilvl w:val="0"/>
          <w:numId w:val="3"/>
        </w:numPr>
        <w:pBdr>
          <w:top w:val="nil"/>
          <w:left w:val="nil"/>
          <w:bottom w:val="nil"/>
          <w:right w:val="nil"/>
          <w:between w:val="nil"/>
        </w:pBdr>
        <w:spacing w:line="276" w:lineRule="auto"/>
        <w:jc w:val="both"/>
        <w:rPr>
          <w:color w:val="434343"/>
        </w:rPr>
      </w:pPr>
      <w:r>
        <w:rPr>
          <w:color w:val="434343"/>
        </w:rPr>
        <w:t>VisitBritain / VisitEngland, GB Tourist 2024 Report: Domestic Overnight Trips, published May 2025. Available at: visitbritain.org</w:t>
      </w:r>
    </w:p>
    <w:p w:rsidR="00F506DA">
      <w:pPr>
        <w:numPr>
          <w:ilvl w:val="0"/>
          <w:numId w:val="3"/>
        </w:numPr>
        <w:pBdr>
          <w:top w:val="nil"/>
          <w:left w:val="nil"/>
          <w:bottom w:val="nil"/>
          <w:right w:val="nil"/>
          <w:between w:val="nil"/>
        </w:pBdr>
        <w:spacing w:line="276" w:lineRule="auto"/>
        <w:jc w:val="both"/>
        <w:rPr>
          <w:color w:val="434343"/>
        </w:rPr>
      </w:pPr>
      <w:r>
        <w:rPr>
          <w:color w:val="434343"/>
        </w:rPr>
        <w:t>ONS, UK Residents' Visits Abroad, Table 5.01 (2022) and Table 3 (2024). Available at: ons.gov.uk</w:t>
      </w:r>
    </w:p>
    <w:p w:rsidR="00F506DA">
      <w:pPr>
        <w:numPr>
          <w:ilvl w:val="0"/>
          <w:numId w:val="3"/>
        </w:numPr>
        <w:pBdr>
          <w:top w:val="nil"/>
          <w:left w:val="nil"/>
          <w:bottom w:val="nil"/>
          <w:right w:val="nil"/>
          <w:between w:val="nil"/>
        </w:pBdr>
        <w:spacing w:line="276" w:lineRule="auto"/>
        <w:jc w:val="both"/>
        <w:rPr>
          <w:color w:val="434343"/>
        </w:rPr>
      </w:pPr>
      <w:r>
        <w:rPr>
          <w:color w:val="434343"/>
        </w:rPr>
        <w:t>World Economic Forum, Travel and Tourism Development Index 2024, published 21 May 2024. Available at: weforum.org/publications/travel-tourism-development-index-2024/</w:t>
      </w:r>
    </w:p>
    <w:p w:rsidR="00F506DA">
      <w:pPr>
        <w:numPr>
          <w:ilvl w:val="0"/>
          <w:numId w:val="3"/>
        </w:numPr>
        <w:pBdr>
          <w:top w:val="nil"/>
          <w:left w:val="nil"/>
          <w:bottom w:val="nil"/>
          <w:right w:val="nil"/>
          <w:between w:val="nil"/>
        </w:pBdr>
        <w:spacing w:line="276" w:lineRule="auto"/>
        <w:jc w:val="both"/>
        <w:rPr>
          <w:color w:val="434343"/>
        </w:rPr>
      </w:pPr>
      <w:r>
        <w:rPr>
          <w:color w:val="434343"/>
        </w:rPr>
        <w:t>The Times, 'Spending on UK Seaside and Country Staycations Falls £1.8bn', 2025. Referenced in PASC UK Westminster Hall Briefing, March 2026.</w:t>
      </w:r>
    </w:p>
    <w:p w:rsidR="00F506DA">
      <w:pPr>
        <w:numPr>
          <w:ilvl w:val="0"/>
          <w:numId w:val="3"/>
        </w:numPr>
        <w:pBdr>
          <w:top w:val="nil"/>
          <w:left w:val="nil"/>
          <w:bottom w:val="nil"/>
          <w:right w:val="nil"/>
          <w:between w:val="nil"/>
        </w:pBdr>
        <w:spacing w:line="276" w:lineRule="auto"/>
        <w:jc w:val="both"/>
        <w:rPr>
          <w:color w:val="434343"/>
        </w:rPr>
      </w:pPr>
      <w:r>
        <w:rPr>
          <w:color w:val="434343"/>
        </w:rPr>
        <w:t>Key Data, Analysis of Average Daily Rates and Booking Trends across 45,000+ properties in England, Wales and Scotland, 2024. Commissioned by PASC UK.</w:t>
      </w:r>
    </w:p>
    <w:p w:rsidR="00F506DA">
      <w:pPr>
        <w:numPr>
          <w:ilvl w:val="0"/>
          <w:numId w:val="3"/>
        </w:numPr>
        <w:pBdr>
          <w:top w:val="nil"/>
          <w:left w:val="nil"/>
          <w:bottom w:val="nil"/>
          <w:right w:val="nil"/>
          <w:between w:val="nil"/>
        </w:pBdr>
        <w:spacing w:line="276" w:lineRule="auto"/>
        <w:jc w:val="both"/>
        <w:rPr>
          <w:color w:val="434343"/>
        </w:rPr>
      </w:pPr>
      <w:r>
        <w:rPr>
          <w:color w:val="434343"/>
        </w:rPr>
        <w:t>PASC UK Self-Catering Owner Survey 2025, conducted May–June 2025, 1,345 respondents. Available at: pascuk.co.uk</w:t>
      </w:r>
    </w:p>
    <w:p w:rsidR="00F506DA">
      <w:pPr>
        <w:numPr>
          <w:ilvl w:val="0"/>
          <w:numId w:val="3"/>
        </w:numPr>
        <w:pBdr>
          <w:top w:val="nil"/>
          <w:left w:val="nil"/>
          <w:bottom w:val="nil"/>
          <w:right w:val="nil"/>
          <w:between w:val="nil"/>
        </w:pBdr>
        <w:spacing w:line="276" w:lineRule="auto"/>
        <w:jc w:val="both"/>
        <w:rPr>
          <w:color w:val="434343"/>
        </w:rPr>
      </w:pPr>
      <w:r>
        <w:rPr>
          <w:color w:val="434343"/>
        </w:rPr>
        <w:t xml:space="preserve">PASC UK </w:t>
      </w:r>
      <w:r>
        <w:rPr>
          <w:color w:val="434343"/>
        </w:rPr>
        <w:t>Short Term</w:t>
      </w:r>
      <w:r>
        <w:rPr>
          <w:color w:val="434343"/>
        </w:rPr>
        <w:t xml:space="preserve"> Letting Survey, March 2024, 7,593 respondents. Available at: pascuk.co.uk</w:t>
      </w:r>
    </w:p>
    <w:p w:rsidR="00F506DA">
      <w:pPr>
        <w:numPr>
          <w:ilvl w:val="0"/>
          <w:numId w:val="3"/>
        </w:numPr>
        <w:pBdr>
          <w:top w:val="nil"/>
          <w:left w:val="nil"/>
          <w:bottom w:val="nil"/>
          <w:right w:val="nil"/>
          <w:between w:val="nil"/>
        </w:pBdr>
        <w:spacing w:line="276" w:lineRule="auto"/>
        <w:jc w:val="both"/>
        <w:rPr>
          <w:color w:val="434343"/>
        </w:rPr>
      </w:pPr>
      <w:r>
        <w:rPr>
          <w:color w:val="434343"/>
        </w:rPr>
        <w:t>Frontier Economics, Impact Assessment of a New Planning Use Class for Holiday Lets in England, presented to UK Government and all English MPs, October 2023.</w:t>
      </w:r>
    </w:p>
    <w:p w:rsidR="00F506DA">
      <w:pPr>
        <w:numPr>
          <w:ilvl w:val="0"/>
          <w:numId w:val="3"/>
        </w:numPr>
        <w:pBdr>
          <w:top w:val="nil"/>
          <w:left w:val="nil"/>
          <w:bottom w:val="nil"/>
          <w:right w:val="nil"/>
          <w:between w:val="nil"/>
        </w:pBdr>
        <w:spacing w:line="276" w:lineRule="auto"/>
        <w:jc w:val="both"/>
        <w:rPr>
          <w:color w:val="434343"/>
        </w:rPr>
      </w:pPr>
      <w:r>
        <w:rPr>
          <w:color w:val="434343"/>
        </w:rPr>
        <w:t xml:space="preserve">Welsh Government, The Potential Economic and Greenhouse Gas Impacts of a Visitor Levy in Wales, November 2024. Available at: </w:t>
      </w:r>
      <w:r>
        <w:rPr>
          <w:color w:val="434343"/>
        </w:rPr>
        <w:t>gov.wales</w:t>
      </w:r>
    </w:p>
    <w:p w:rsidR="00F506DA">
      <w:pPr>
        <w:numPr>
          <w:ilvl w:val="0"/>
          <w:numId w:val="3"/>
        </w:numPr>
        <w:pBdr>
          <w:top w:val="nil"/>
          <w:left w:val="nil"/>
          <w:bottom w:val="nil"/>
          <w:right w:val="nil"/>
          <w:between w:val="nil"/>
        </w:pBdr>
        <w:spacing w:line="276" w:lineRule="auto"/>
        <w:jc w:val="both"/>
        <w:rPr>
          <w:color w:val="434343"/>
        </w:rPr>
      </w:pPr>
      <w:r>
        <w:rPr>
          <w:color w:val="434343"/>
        </w:rPr>
        <w:t xml:space="preserve">Welsh Government, Visitor Levy Research: Views of Consumers and Residents, March 2023. Available at: </w:t>
      </w:r>
      <w:r>
        <w:rPr>
          <w:color w:val="434343"/>
        </w:rPr>
        <w:t>gov.wales</w:t>
      </w:r>
    </w:p>
    <w:p w:rsidR="00F506DA">
      <w:pPr>
        <w:numPr>
          <w:ilvl w:val="0"/>
          <w:numId w:val="3"/>
        </w:numPr>
        <w:pBdr>
          <w:top w:val="nil"/>
          <w:left w:val="nil"/>
          <w:bottom w:val="nil"/>
          <w:right w:val="nil"/>
          <w:between w:val="nil"/>
        </w:pBdr>
        <w:spacing w:line="276" w:lineRule="auto"/>
        <w:jc w:val="both"/>
        <w:rPr>
          <w:color w:val="434343"/>
        </w:rPr>
      </w:pPr>
      <w:r>
        <w:rPr>
          <w:color w:val="434343"/>
        </w:rPr>
        <w:t>Association of Scotland's Self-Caterers (ASSC), Business Impact Survey, 2023; and Market Data Report, 2024.</w:t>
      </w:r>
    </w:p>
    <w:p w:rsidR="00F506DA">
      <w:pPr>
        <w:numPr>
          <w:ilvl w:val="0"/>
          <w:numId w:val="3"/>
        </w:numPr>
        <w:pBdr>
          <w:top w:val="nil"/>
          <w:left w:val="nil"/>
          <w:bottom w:val="nil"/>
          <w:right w:val="nil"/>
          <w:between w:val="nil"/>
        </w:pBdr>
        <w:spacing w:line="276" w:lineRule="auto"/>
        <w:jc w:val="both"/>
        <w:rPr>
          <w:color w:val="434343"/>
        </w:rPr>
      </w:pPr>
      <w:r>
        <w:rPr>
          <w:color w:val="434343"/>
        </w:rPr>
        <w:t>BiGGAR</w:t>
      </w:r>
      <w:r>
        <w:rPr>
          <w:color w:val="434343"/>
        </w:rPr>
        <w:t xml:space="preserve"> Economics, Economic Impact of Short-Term Lets in Scotland, December 2024. Available at: biggareconomics.co.uk</w:t>
      </w:r>
    </w:p>
    <w:p w:rsidR="00F506DA">
      <w:pPr>
        <w:numPr>
          <w:ilvl w:val="0"/>
          <w:numId w:val="3"/>
        </w:numPr>
        <w:pBdr>
          <w:top w:val="nil"/>
          <w:left w:val="nil"/>
          <w:bottom w:val="nil"/>
          <w:right w:val="nil"/>
          <w:between w:val="nil"/>
        </w:pBdr>
        <w:spacing w:line="276" w:lineRule="auto"/>
        <w:jc w:val="both"/>
        <w:rPr>
          <w:color w:val="434343"/>
        </w:rPr>
      </w:pPr>
      <w:r>
        <w:rPr>
          <w:color w:val="434343"/>
        </w:rPr>
        <w:t>LandlordZONE</w:t>
      </w:r>
      <w:r>
        <w:rPr>
          <w:color w:val="434343"/>
        </w:rPr>
        <w:t>, 'Hotel Prices in Edinburgh Up 82% Since 2019', 2024.</w:t>
      </w:r>
    </w:p>
    <w:p w:rsidR="00F506DA">
      <w:pPr>
        <w:numPr>
          <w:ilvl w:val="0"/>
          <w:numId w:val="3"/>
        </w:numPr>
        <w:pBdr>
          <w:top w:val="nil"/>
          <w:left w:val="nil"/>
          <w:bottom w:val="nil"/>
          <w:right w:val="nil"/>
          <w:between w:val="nil"/>
        </w:pBdr>
        <w:spacing w:line="276" w:lineRule="auto"/>
        <w:jc w:val="both"/>
        <w:rPr>
          <w:color w:val="434343"/>
        </w:rPr>
      </w:pPr>
      <w:r>
        <w:rPr>
          <w:color w:val="434343"/>
        </w:rPr>
        <w:t>PASC UK, Impact of Proposed EPC Legislation on Short-Term Holiday Lets, March 2025. Available at: pascuk.co.uk</w:t>
      </w:r>
    </w:p>
    <w:p w:rsidR="00F506DA">
      <w:pPr>
        <w:numPr>
          <w:ilvl w:val="0"/>
          <w:numId w:val="3"/>
        </w:numPr>
        <w:pBdr>
          <w:top w:val="nil"/>
          <w:left w:val="nil"/>
          <w:bottom w:val="nil"/>
          <w:right w:val="nil"/>
          <w:between w:val="nil"/>
        </w:pBdr>
        <w:spacing w:line="276" w:lineRule="auto"/>
        <w:jc w:val="both"/>
        <w:rPr>
          <w:color w:val="434343"/>
        </w:rPr>
      </w:pPr>
      <w:r>
        <w:rPr>
          <w:color w:val="434343"/>
        </w:rPr>
        <w:t>House of Commons Business and Trade Committee, Small Business Strategy, Fifteenth Report of Session 2024–26, published 11 February 2026. Available at: publications.parliament.uk</w:t>
      </w:r>
    </w:p>
    <w:p w:rsidR="00F506DA">
      <w:pPr>
        <w:numPr>
          <w:ilvl w:val="0"/>
          <w:numId w:val="3"/>
        </w:numPr>
        <w:pBdr>
          <w:top w:val="nil"/>
          <w:left w:val="nil"/>
          <w:bottom w:val="nil"/>
          <w:right w:val="nil"/>
          <w:between w:val="nil"/>
        </w:pBdr>
        <w:spacing w:line="276" w:lineRule="auto"/>
        <w:jc w:val="both"/>
        <w:rPr>
          <w:color w:val="434343"/>
        </w:rPr>
      </w:pPr>
      <w:r>
        <w:rPr>
          <w:color w:val="434343"/>
        </w:rPr>
        <w:t>House of Commons Library, The Growth in Short-Term Lettings (England), amended 12 February 2024 (paragraph on CPRE 661% figure removed). Available at: researchbriefings.files.parliament.uk</w:t>
      </w:r>
    </w:p>
    <w:p w:rsidR="00F506DA">
      <w:pPr>
        <w:numPr>
          <w:ilvl w:val="0"/>
          <w:numId w:val="3"/>
        </w:numPr>
        <w:pBdr>
          <w:top w:val="nil"/>
          <w:left w:val="nil"/>
          <w:bottom w:val="nil"/>
          <w:right w:val="nil"/>
          <w:between w:val="nil"/>
        </w:pBdr>
        <w:spacing w:line="276" w:lineRule="auto"/>
        <w:jc w:val="both"/>
        <w:rPr>
          <w:color w:val="434343"/>
        </w:rPr>
      </w:pPr>
      <w:r>
        <w:rPr>
          <w:color w:val="434343"/>
        </w:rPr>
        <w:t>Campaign to Protect Rural England (CPRE), Explosion in Holiday Lets is Strangling Rural Communities, 2021. Note: the 661% figure was subsequently removed from the House of Commons Library briefing; see footnote above.</w:t>
      </w:r>
    </w:p>
    <w:p w:rsidR="00F506DA">
      <w:pPr>
        <w:numPr>
          <w:ilvl w:val="0"/>
          <w:numId w:val="3"/>
        </w:numPr>
        <w:pBdr>
          <w:top w:val="nil"/>
          <w:left w:val="nil"/>
          <w:bottom w:val="nil"/>
          <w:right w:val="nil"/>
          <w:between w:val="nil"/>
        </w:pBdr>
        <w:spacing w:line="276" w:lineRule="auto"/>
        <w:jc w:val="both"/>
        <w:rPr>
          <w:color w:val="434343"/>
        </w:rPr>
      </w:pPr>
      <w:r>
        <w:rPr>
          <w:color w:val="434343"/>
        </w:rPr>
        <w:t>Court of Session, Ruling on City of Edinburgh Council short-term let licensing policy (rebuttable presumption against tenement buildings), June 2023.</w:t>
      </w:r>
    </w:p>
    <w:p w:rsidR="00F506DA">
      <w:pPr>
        <w:numPr>
          <w:ilvl w:val="0"/>
          <w:numId w:val="3"/>
        </w:numPr>
        <w:pBdr>
          <w:top w:val="nil"/>
          <w:left w:val="nil"/>
          <w:bottom w:val="nil"/>
          <w:right w:val="nil"/>
          <w:between w:val="nil"/>
        </w:pBdr>
        <w:spacing w:line="276" w:lineRule="auto"/>
        <w:jc w:val="both"/>
        <w:rPr>
          <w:color w:val="434343"/>
        </w:rPr>
      </w:pPr>
      <w:r>
        <w:rPr>
          <w:color w:val="434343"/>
        </w:rPr>
        <w:t xml:space="preserve">Court of Session, </w:t>
      </w:r>
      <w:r>
        <w:rPr>
          <w:color w:val="434343"/>
        </w:rPr>
        <w:t>Second</w:t>
      </w:r>
      <w:r>
        <w:rPr>
          <w:color w:val="434343"/>
        </w:rPr>
        <w:t xml:space="preserve"> judicial review of City of Edinburgh Council short-term let licensing policy, December 2023.</w:t>
      </w:r>
    </w:p>
    <w:p w:rsidR="00F506DA">
      <w:pPr>
        <w:numPr>
          <w:ilvl w:val="0"/>
          <w:numId w:val="3"/>
        </w:numPr>
        <w:pBdr>
          <w:top w:val="nil"/>
          <w:left w:val="nil"/>
          <w:bottom w:val="nil"/>
          <w:right w:val="nil"/>
          <w:between w:val="nil"/>
        </w:pBdr>
        <w:spacing w:line="276" w:lineRule="auto"/>
        <w:jc w:val="both"/>
        <w:rPr>
          <w:color w:val="434343"/>
        </w:rPr>
      </w:pPr>
      <w:r>
        <w:rPr>
          <w:color w:val="434343"/>
        </w:rPr>
        <w:t>High Court, Judicial review of Gwynedd Council Article 4 Direction applying to holiday lets, 2024–2025.</w:t>
      </w:r>
    </w:p>
    <w:p w:rsidR="00F506DA">
      <w:pPr>
        <w:numPr>
          <w:ilvl w:val="0"/>
          <w:numId w:val="3"/>
        </w:numPr>
        <w:pBdr>
          <w:top w:val="nil"/>
          <w:left w:val="nil"/>
          <w:bottom w:val="nil"/>
          <w:right w:val="nil"/>
          <w:between w:val="nil"/>
        </w:pBdr>
        <w:spacing w:line="276" w:lineRule="auto"/>
        <w:jc w:val="both"/>
        <w:rPr>
          <w:color w:val="434343"/>
        </w:rPr>
      </w:pPr>
      <w:r>
        <w:rPr>
          <w:color w:val="434343"/>
        </w:rPr>
        <w:t>Propertymark</w:t>
      </w:r>
      <w:r>
        <w:rPr>
          <w:color w:val="434343"/>
        </w:rPr>
        <w:t>, Survey of Landlords Leaving the Private Rented Sector, 30 March–29 April 2022.</w:t>
      </w:r>
    </w:p>
    <w:p w:rsidR="00F506DA">
      <w:pPr>
        <w:numPr>
          <w:ilvl w:val="0"/>
          <w:numId w:val="3"/>
        </w:numPr>
        <w:pBdr>
          <w:top w:val="nil"/>
          <w:left w:val="nil"/>
          <w:bottom w:val="nil"/>
          <w:right w:val="nil"/>
          <w:between w:val="nil"/>
        </w:pBdr>
        <w:spacing w:line="276" w:lineRule="auto"/>
        <w:jc w:val="both"/>
        <w:rPr>
          <w:color w:val="434343"/>
        </w:rPr>
      </w:pPr>
      <w:r>
        <w:rPr>
          <w:color w:val="434343"/>
        </w:rPr>
        <w:t>SpareRoom</w:t>
      </w:r>
      <w:r>
        <w:rPr>
          <w:color w:val="434343"/>
        </w:rPr>
        <w:t>, Landlords Confidence Survey, February 2025. Available at: spareroom.co.uk/statistics/landlords-confidence</w:t>
      </w:r>
    </w:p>
    <w:p w:rsidR="00F506DA">
      <w:pPr>
        <w:numPr>
          <w:ilvl w:val="0"/>
          <w:numId w:val="3"/>
        </w:numPr>
        <w:pBdr>
          <w:top w:val="nil"/>
          <w:left w:val="nil"/>
          <w:bottom w:val="nil"/>
          <w:right w:val="nil"/>
          <w:between w:val="nil"/>
        </w:pBdr>
        <w:spacing w:line="276" w:lineRule="auto"/>
        <w:jc w:val="both"/>
        <w:rPr>
          <w:color w:val="434343"/>
        </w:rPr>
      </w:pPr>
      <w:r>
        <w:rPr>
          <w:color w:val="434343"/>
        </w:rPr>
        <w:t>Oxford Economics / Sykes Cottages, Socio-Economic Impact of Short-Term Lets in the UK. Referenced in PASC UK 2025 Form and Value Report.</w:t>
      </w:r>
    </w:p>
    <w:p w:rsidR="00F506DA">
      <w:pPr>
        <w:numPr>
          <w:ilvl w:val="0"/>
          <w:numId w:val="3"/>
        </w:numPr>
        <w:pBdr>
          <w:top w:val="nil"/>
          <w:left w:val="nil"/>
          <w:bottom w:val="nil"/>
          <w:right w:val="nil"/>
          <w:between w:val="nil"/>
        </w:pBdr>
        <w:spacing w:line="276" w:lineRule="auto"/>
        <w:jc w:val="both"/>
        <w:rPr>
          <w:color w:val="434343"/>
        </w:rPr>
      </w:pPr>
      <w:r>
        <w:rPr>
          <w:color w:val="434343"/>
        </w:rPr>
        <w:t xml:space="preserve">Welsh Government, Tourism Barometer: Summer Wave 2025, published October 2025. Available at: </w:t>
      </w:r>
      <w:r>
        <w:rPr>
          <w:color w:val="434343"/>
        </w:rPr>
        <w:t>gov.wales</w:t>
      </w:r>
    </w:p>
    <w:p w:rsidR="00F506DA">
      <w:pPr>
        <w:numPr>
          <w:ilvl w:val="0"/>
          <w:numId w:val="3"/>
        </w:numPr>
        <w:pBdr>
          <w:top w:val="nil"/>
          <w:left w:val="nil"/>
          <w:bottom w:val="nil"/>
          <w:right w:val="nil"/>
          <w:between w:val="nil"/>
        </w:pBdr>
        <w:spacing w:line="276" w:lineRule="auto"/>
        <w:jc w:val="both"/>
        <w:rPr>
          <w:color w:val="434343"/>
        </w:rPr>
      </w:pPr>
      <w:r>
        <w:rPr>
          <w:color w:val="434343"/>
        </w:rPr>
        <w:t xml:space="preserve">Welsh Government, Domestic GB Tourism Statistics: Overnight Trips Annual Report 2024. Available at: </w:t>
      </w:r>
      <w:r>
        <w:rPr>
          <w:color w:val="434343"/>
        </w:rPr>
        <w:t>gov.wales</w:t>
      </w:r>
    </w:p>
    <w:p w:rsidR="00F506DA">
      <w:pPr>
        <w:numPr>
          <w:ilvl w:val="0"/>
          <w:numId w:val="3"/>
        </w:numPr>
        <w:pBdr>
          <w:top w:val="nil"/>
          <w:left w:val="nil"/>
          <w:bottom w:val="nil"/>
          <w:right w:val="nil"/>
          <w:between w:val="nil"/>
        </w:pBdr>
        <w:spacing w:line="276" w:lineRule="auto"/>
        <w:jc w:val="both"/>
        <w:rPr>
          <w:color w:val="434343"/>
        </w:rPr>
      </w:pPr>
      <w:r>
        <w:rPr>
          <w:color w:val="434343"/>
        </w:rPr>
        <w:t>UK Government, Autumn Budget 2024: Employer National Insurance Contributions Increase from 13.8% to 15%, effective April 2025. Available at: gov.uk</w:t>
      </w:r>
    </w:p>
    <w:p w:rsidR="00F506DA">
      <w:pPr>
        <w:numPr>
          <w:ilvl w:val="0"/>
          <w:numId w:val="3"/>
        </w:numPr>
        <w:pBdr>
          <w:top w:val="nil"/>
          <w:left w:val="nil"/>
          <w:bottom w:val="nil"/>
          <w:right w:val="nil"/>
          <w:between w:val="nil"/>
        </w:pBdr>
        <w:spacing w:line="276" w:lineRule="auto"/>
        <w:jc w:val="both"/>
        <w:rPr>
          <w:color w:val="434343"/>
        </w:rPr>
      </w:pPr>
      <w:r>
        <w:rPr>
          <w:color w:val="434343"/>
        </w:rPr>
        <w:t>UK Government, National Minimum Wage Increase of 6.7%, effective April 2025. Available at: gov.uk</w:t>
      </w:r>
    </w:p>
    <w:p w:rsidR="00F506DA">
      <w:pPr>
        <w:numPr>
          <w:ilvl w:val="0"/>
          <w:numId w:val="3"/>
        </w:numPr>
        <w:pBdr>
          <w:top w:val="nil"/>
          <w:left w:val="nil"/>
          <w:bottom w:val="nil"/>
          <w:right w:val="nil"/>
          <w:between w:val="nil"/>
        </w:pBdr>
        <w:spacing w:line="276" w:lineRule="auto"/>
        <w:jc w:val="both"/>
        <w:rPr>
          <w:color w:val="434343"/>
        </w:rPr>
      </w:pPr>
      <w:r>
        <w:rPr>
          <w:color w:val="434343"/>
        </w:rPr>
        <w:t>MyClimate</w:t>
      </w:r>
      <w:r>
        <w:rPr>
          <w:color w:val="434343"/>
        </w:rPr>
        <w:t xml:space="preserve"> CO</w:t>
      </w:r>
      <w:r>
        <w:rPr>
          <w:rFonts w:ascii="Cambria Math" w:eastAsia="Cambria Math" w:hAnsi="Cambria Math" w:cs="Cambria Math"/>
          <w:color w:val="434343"/>
        </w:rPr>
        <w:t>₂</w:t>
      </w:r>
      <w:r>
        <w:rPr>
          <w:color w:val="434343"/>
        </w:rPr>
        <w:t xml:space="preserve"> Emissions Calculator, applied to: (a) return car journey of 204 miles (diesel SUV); (b) return flight London Gatwick–Malaga for family of four. Journey distance derived from </w:t>
      </w:r>
      <w:r>
        <w:rPr>
          <w:color w:val="434343"/>
        </w:rPr>
        <w:t>SuperControl</w:t>
      </w:r>
      <w:r>
        <w:rPr>
          <w:color w:val="434343"/>
        </w:rPr>
        <w:t xml:space="preserve"> analysis of 432,000 bookings in 2024.</w:t>
      </w:r>
    </w:p>
    <w:p w:rsidR="00F506DA">
      <w:pPr>
        <w:numPr>
          <w:ilvl w:val="0"/>
          <w:numId w:val="3"/>
        </w:numPr>
        <w:pBdr>
          <w:top w:val="nil"/>
          <w:left w:val="nil"/>
          <w:bottom w:val="nil"/>
          <w:right w:val="nil"/>
          <w:between w:val="nil"/>
        </w:pBdr>
        <w:spacing w:line="276" w:lineRule="auto"/>
        <w:jc w:val="both"/>
        <w:rPr>
          <w:color w:val="434343"/>
          <w:sz w:val="20"/>
          <w:szCs w:val="20"/>
        </w:rPr>
      </w:pPr>
      <w:r>
        <w:rPr>
          <w:color w:val="434343"/>
        </w:rPr>
        <w:t>UK Government / Department for Culture, Media and Sport, ‘New ambition for 50 million annual visits to UK announced by Tourism Minister’, published 7 May 2025. Available at: gov.uk/government/news/new-ambition-for-50-million-annual-visits-to-uk-announced-by-tourism-minister</w:t>
      </w:r>
    </w:p>
    <w:p w:rsidR="00F506DA">
      <w:pPr>
        <w:numPr>
          <w:ilvl w:val="0"/>
          <w:numId w:val="3"/>
        </w:numPr>
        <w:pBdr>
          <w:top w:val="nil"/>
          <w:left w:val="nil"/>
          <w:bottom w:val="nil"/>
          <w:right w:val="nil"/>
          <w:between w:val="nil"/>
        </w:pBdr>
        <w:spacing w:line="276" w:lineRule="auto"/>
        <w:jc w:val="both"/>
        <w:rPr>
          <w:color w:val="434343"/>
        </w:rPr>
      </w:pPr>
      <w:r>
        <w:rPr>
          <w:color w:val="434343"/>
        </w:rPr>
        <w:t xml:space="preserve">HM Treasury / Department for Business and Trade, A New Approach to Ensure Regulators and Regulation Support Growth: Regulation Action Plan – Progress Update and Next Steps, published 21 October 2025. Available at: gov.uk/government/publications/a-new-approach-to-ensure-regulators-and-regulation-support-growth </w:t>
      </w:r>
    </w:p>
    <w:p w:rsidR="00F506DA">
      <w:pPr>
        <w:numPr>
          <w:ilvl w:val="0"/>
          <w:numId w:val="3"/>
        </w:numPr>
        <w:pBdr>
          <w:top w:val="nil"/>
          <w:left w:val="nil"/>
          <w:bottom w:val="nil"/>
          <w:right w:val="nil"/>
          <w:between w:val="nil"/>
        </w:pBdr>
        <w:spacing w:line="276" w:lineRule="auto"/>
        <w:jc w:val="both"/>
        <w:rPr>
          <w:color w:val="434343"/>
          <w:sz w:val="20"/>
          <w:szCs w:val="20"/>
        </w:rPr>
      </w:pPr>
      <w:r>
        <w:rPr>
          <w:color w:val="434343"/>
        </w:rPr>
        <w:t>New Economics Foundation, ‘The Disappearance of the Great British Holiday’, by Alex Chapman, published 9 February 2026. Available at: neweconomics.org/2026/02/the-disappearance-of-the-great-british-holiday</w:t>
      </w:r>
    </w:p>
    <w:p w:rsidR="00F506DA">
      <w:pPr>
        <w:numPr>
          <w:ilvl w:val="0"/>
          <w:numId w:val="3"/>
        </w:numPr>
        <w:pBdr>
          <w:top w:val="nil"/>
          <w:left w:val="nil"/>
          <w:bottom w:val="nil"/>
          <w:right w:val="nil"/>
          <w:between w:val="nil"/>
        </w:pBdr>
        <w:spacing w:line="276" w:lineRule="auto"/>
        <w:jc w:val="both"/>
        <w:rPr>
          <w:color w:val="434343"/>
        </w:rPr>
      </w:pPr>
      <w:r>
        <w:rPr>
          <w:color w:val="434343"/>
        </w:rPr>
        <w:t xml:space="preserve">City of Amsterdam, </w:t>
      </w:r>
      <w:r>
        <w:rPr>
          <w:i/>
          <w:iCs/>
          <w:color w:val="434343"/>
        </w:rPr>
        <w:t>Tourist tax (</w:t>
      </w:r>
      <w:r>
        <w:rPr>
          <w:i/>
          <w:iCs/>
          <w:color w:val="434343"/>
        </w:rPr>
        <w:t>toeristenbelasting</w:t>
      </w:r>
      <w:r>
        <w:rPr>
          <w:i/>
          <w:iCs/>
          <w:color w:val="434343"/>
        </w:rPr>
        <w:t>)</w:t>
      </w:r>
      <w:r>
        <w:rPr>
          <w:color w:val="434343"/>
        </w:rPr>
        <w:t xml:space="preserve">, accessed May 2026. Available at: </w:t>
      </w:r>
      <w:r>
        <w:fldChar w:fldCharType="begin"/>
      </w:r>
      <w:r>
        <w:instrText xml:space="preserve"> HYPERLINK "https://www.amsterdam.nl/en/municipal-taxes/tourist-tax/?utm_source=chatgpt.com" </w:instrText>
      </w:r>
      <w:r>
        <w:fldChar w:fldCharType="separate"/>
      </w:r>
      <w:r>
        <w:rPr>
          <w:color w:val="434343"/>
          <w:u w:val="single"/>
        </w:rPr>
        <w:t>amsterdam.nl/</w:t>
      </w:r>
      <w:r>
        <w:rPr>
          <w:color w:val="434343"/>
          <w:u w:val="single"/>
        </w:rPr>
        <w:t>en</w:t>
      </w:r>
      <w:r>
        <w:rPr>
          <w:color w:val="434343"/>
          <w:u w:val="single"/>
        </w:rPr>
        <w:t>/municipal-taxes/tourist-tax/</w:t>
      </w:r>
      <w:r>
        <w:fldChar w:fldCharType="end"/>
      </w:r>
    </w:p>
    <w:p w:rsidR="00F506DA">
      <w:pPr>
        <w:numPr>
          <w:ilvl w:val="0"/>
          <w:numId w:val="3"/>
        </w:numPr>
        <w:pBdr>
          <w:top w:val="nil"/>
          <w:left w:val="nil"/>
          <w:bottom w:val="nil"/>
          <w:right w:val="nil"/>
          <w:between w:val="nil"/>
        </w:pBdr>
        <w:spacing w:line="276" w:lineRule="auto"/>
        <w:jc w:val="both"/>
        <w:rPr>
          <w:color w:val="434343"/>
        </w:rPr>
      </w:pPr>
      <w:r>
        <w:rPr>
          <w:color w:val="434343"/>
        </w:rPr>
        <w:t xml:space="preserve">UKHospitality, </w:t>
      </w:r>
      <w:r>
        <w:rPr>
          <w:i/>
          <w:iCs/>
          <w:color w:val="434343"/>
        </w:rPr>
        <w:t>The Impact of a Reduced Rate of VAT for the Hospitality Sector</w:t>
      </w:r>
      <w:r>
        <w:rPr>
          <w:color w:val="434343"/>
        </w:rPr>
        <w:t xml:space="preserve">, published September 2023. Available at: ukhospitality.org.uk/wp-content/uploads/2024/01/The-impact-of-a-reduced-rate-of-VAT-for-the-hospitality-sector_190923.pdf </w:t>
      </w:r>
    </w:p>
    <w:p w:rsidR="00F506DA">
      <w:pPr>
        <w:numPr>
          <w:ilvl w:val="0"/>
          <w:numId w:val="3"/>
        </w:numPr>
        <w:pBdr>
          <w:top w:val="nil"/>
          <w:left w:val="nil"/>
          <w:bottom w:val="nil"/>
          <w:right w:val="nil"/>
          <w:between w:val="nil"/>
        </w:pBdr>
        <w:spacing w:line="276" w:lineRule="auto"/>
        <w:jc w:val="both"/>
        <w:rPr>
          <w:color w:val="434343"/>
        </w:rPr>
      </w:pPr>
      <w:r>
        <w:rPr>
          <w:color w:val="434343"/>
        </w:rPr>
        <w:t>VistBritain</w:t>
      </w:r>
      <w:r>
        <w:rPr>
          <w:color w:val="434343"/>
        </w:rPr>
        <w:t xml:space="preserve"> GB Tourist 2022 tables, domestic overnight trips in England, available </w:t>
      </w:r>
      <w:r>
        <w:rPr>
          <w:color w:val="434343"/>
        </w:rPr>
        <w:t>at  https://www.visitbritain.org/research-insights/great-britain-domestic-overnight-trips-archive</w:t>
      </w:r>
    </w:p>
    <w:p w:rsidR="00F506DA">
      <w:pPr>
        <w:pBdr>
          <w:top w:val="nil"/>
          <w:left w:val="nil"/>
          <w:bottom w:val="nil"/>
          <w:right w:val="nil"/>
          <w:between w:val="nil"/>
        </w:pBdr>
        <w:spacing w:line="276" w:lineRule="auto"/>
        <w:ind w:left="400"/>
        <w:jc w:val="both"/>
        <w:rPr>
          <w:color w:val="434343"/>
        </w:rPr>
      </w:pPr>
    </w:p>
    <w:p w:rsidR="00F506DA">
      <w:pPr>
        <w:pStyle w:val="Heading1"/>
        <w:spacing w:before="0" w:after="0" w:line="276" w:lineRule="auto"/>
        <w:jc w:val="both"/>
        <w:rPr>
          <w:sz w:val="24"/>
          <w:szCs w:val="24"/>
          <w:u w:val="single"/>
        </w:rPr>
      </w:pPr>
      <w:r>
        <w:rPr>
          <w:sz w:val="24"/>
          <w:szCs w:val="24"/>
          <w:u w:val="single"/>
        </w:rPr>
        <w:t>Contact</w:t>
      </w:r>
    </w:p>
    <w:p w:rsidR="00F506DA">
      <w:pPr>
        <w:pStyle w:val="Heading1"/>
        <w:spacing w:before="0" w:after="0" w:line="276" w:lineRule="auto"/>
        <w:jc w:val="both"/>
        <w:rPr>
          <w:sz w:val="24"/>
          <w:szCs w:val="24"/>
          <w:u w:val="single"/>
        </w:rPr>
      </w:pPr>
    </w:p>
    <w:p w:rsidR="00F506DA">
      <w:pPr>
        <w:spacing w:line="276" w:lineRule="auto"/>
        <w:jc w:val="both"/>
      </w:pPr>
      <w:r>
        <w:rPr>
          <w:color w:val="000000"/>
        </w:rPr>
        <w:t>The Professional Association of Self-Caterers UK (PASC UK)</w:t>
      </w:r>
    </w:p>
    <w:p w:rsidR="00F506DA">
      <w:pPr>
        <w:spacing w:line="276" w:lineRule="auto"/>
        <w:jc w:val="both"/>
      </w:pPr>
      <w:r>
        <w:rPr>
          <w:color w:val="000000"/>
        </w:rPr>
        <w:t>www.pascuk.co.uk</w:t>
      </w:r>
    </w:p>
    <w:p w:rsidR="00F506DA">
      <w:pPr>
        <w:spacing w:line="276" w:lineRule="auto"/>
        <w:jc w:val="both"/>
      </w:pPr>
      <w:r>
        <w:rPr>
          <w:color w:val="000000"/>
        </w:rPr>
        <w:t>PASC UK is happy to give oral evidence to the Committee and to provide further data, analysis or member case studies in support of this submission.</w:t>
      </w:r>
    </w:p>
    <w:sectPr>
      <w:footerReference w:type="default" r:id="rId6"/>
      <w:pgSz w:w="11906" w:h="16838"/>
      <w:pgMar w:top="1080" w:right="1080" w:bottom="108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4183BD5F-3D46-4B35-930A-CC41B039BB2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33E47B81-A926-440A-A1C0-E53FA53ECBB2}"/>
  </w:font>
  <w:font w:name="Calibri">
    <w:panose1 w:val="020F0502020204030204"/>
    <w:charset w:val="00"/>
    <w:family w:val="swiss"/>
    <w:pitch w:val="variable"/>
    <w:sig w:usb0="E4002EFF" w:usb1="C200247B" w:usb2="00000009" w:usb3="00000000" w:csb0="000001FF" w:csb1="00000000"/>
    <w:embedRegular r:id="rId3" w:fontKey="{0EBE96AA-0760-4CF2-B085-A43CF1BB966C}"/>
  </w:font>
  <w:font w:name="Cambria Math">
    <w:panose1 w:val="02040503050406030204"/>
    <w:charset w:val="00"/>
    <w:family w:val="roman"/>
    <w:pitch w:val="variable"/>
    <w:sig w:usb0="E00006FF" w:usb1="420024FF" w:usb2="02000000" w:usb3="00000000" w:csb0="0000019F" w:csb1="00000000"/>
    <w:embedRegular r:id="rId4" w:fontKey="{F8805FB4-1DE8-4793-B0AC-03C5112323B5}"/>
  </w:font>
  <w:font w:name="Cambria">
    <w:panose1 w:val="02040503050406030204"/>
    <w:charset w:val="00"/>
    <w:family w:val="roman"/>
    <w:pitch w:val="variable"/>
    <w:sig w:usb0="E00006FF" w:usb1="420024FF" w:usb2="02000000" w:usb3="00000000" w:csb0="0000019F" w:csb1="00000000"/>
    <w:embedRegular r:id="rId5" w:fontKey="{95ED2794-8222-4FFC-AB8D-020B3AEC5F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06DA">
    <w:pPr>
      <w:pBdr>
        <w:top w:val="nil"/>
        <w:left w:val="nil"/>
        <w:bottom w:val="nil"/>
        <w:right w:val="nil"/>
        <w:between w:val="nil"/>
      </w:pBdr>
      <w:tabs>
        <w:tab w:val="center" w:pos="4513"/>
        <w:tab w:val="right" w:pos="9026"/>
        <w:tab w:val="right" w:pos="10773"/>
      </w:tabs>
      <w:rPr>
        <w:color w:val="00905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ind w:left="540" w:hanging="260"/>
      </w:pPr>
      <w:rPr>
        <w:rFonts w:ascii="Arial" w:eastAsia="Arial" w:hAnsi="Arial" w:cs="Arial"/>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
    <w:nsid w:val="00000002"/>
    <w:multiLevelType w:val="hybridMultilevel"/>
    <w:tmpl w:val="00000000"/>
    <w:lvl w:ilvl="0">
      <w:start w:val="1"/>
      <w:numFmt w:val="decimal"/>
      <w:lvlText w:val="%1."/>
      <w:lvlJc w:val="left"/>
      <w:pPr>
        <w:ind w:left="540" w:hanging="30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
    <w:nsid w:val="00000003"/>
    <w:multiLevelType w:val="hybridMultilevel"/>
    <w:tmpl w:val="00000000"/>
    <w:lvl w:ilvl="0">
      <w:start w:val="1"/>
      <w:numFmt w:val="decimal"/>
      <w:lvlText w:val="%1."/>
      <w:lvlJc w:val="left"/>
      <w:pPr>
        <w:ind w:left="400" w:hanging="40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3">
    <w:nsid w:val="00000004"/>
    <w:multiLevelType w:val="multilevel"/>
    <w:tmpl w:val="00000000"/>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nsid w:val="00000005"/>
    <w:multiLevelType w:val="hybridMultilevel"/>
    <w:tmpl w:val="00000000"/>
    <w:lvl w:ilvl="0">
      <w:start w:val="1"/>
      <w:numFmt w:val="bullet"/>
      <w:lvlText w:val="●"/>
      <w:lvlJc w:val="left"/>
      <w:pPr>
        <w:ind w:left="640" w:hanging="360"/>
      </w:pPr>
      <w:rPr>
        <w:rFonts w:ascii="Noto Sans Symbols" w:eastAsia="Noto Sans Symbols" w:hAnsi="Noto Sans Symbols" w:cs="Noto Sans Symbols"/>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5">
    <w:nsid w:val="00000006"/>
    <w:multiLevelType w:val="hybridMultilevel"/>
    <w:tmpl w:val="00000000"/>
    <w:lvl w:ilvl="0">
      <w:start w:val="1"/>
      <w:numFmt w:val="bullet"/>
      <w:lvlText w:val="●"/>
      <w:lvlJc w:val="left"/>
      <w:pPr>
        <w:ind w:left="640" w:hanging="360"/>
      </w:pPr>
      <w:rPr>
        <w:rFonts w:ascii="Noto Sans Symbols" w:eastAsia="Noto Sans Symbols" w:hAnsi="Noto Sans Symbols" w:cs="Noto Sans Symbols"/>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6">
    <w:nsid w:val="0000000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pBdr>
        <w:top w:val="nil"/>
        <w:left w:val="nil"/>
        <w:bottom w:val="nil"/>
        <w:right w:val="nil"/>
        <w:between w:val="nil"/>
      </w:pBdr>
      <w:spacing w:before="320" w:after="120"/>
      <w:outlineLvl w:val="0"/>
    </w:pPr>
    <w:rPr>
      <w:b/>
      <w:bCs/>
      <w:color w:val="1F3864"/>
      <w:sz w:val="26"/>
      <w:szCs w:val="26"/>
    </w:rPr>
  </w:style>
  <w:style w:type="paragraph" w:styleId="Heading2">
    <w:name w:val="heading 2"/>
    <w:basedOn w:val="Normal1"/>
    <w:next w:val="Normal1"/>
    <w:pPr>
      <w:pBdr>
        <w:top w:val="nil"/>
        <w:left w:val="nil"/>
        <w:bottom w:val="nil"/>
        <w:right w:val="nil"/>
        <w:between w:val="nil"/>
      </w:pBdr>
      <w:spacing w:before="220" w:after="100"/>
      <w:outlineLvl w:val="1"/>
    </w:pPr>
    <w:rPr>
      <w:b/>
      <w:bCs/>
      <w:color w:val="2E75B6"/>
      <w:sz w:val="23"/>
      <w:szCs w:val="23"/>
    </w:rPr>
  </w:style>
  <w:style w:type="paragraph" w:styleId="Heading3">
    <w:name w:val="heading 3"/>
    <w:basedOn w:val="Normal1"/>
    <w:next w:val="Normal1"/>
    <w:pPr>
      <w:pBdr>
        <w:top w:val="nil"/>
        <w:left w:val="nil"/>
        <w:bottom w:val="nil"/>
        <w:right w:val="nil"/>
        <w:between w:val="nil"/>
      </w:pBdr>
      <w:outlineLvl w:val="2"/>
    </w:pPr>
    <w:rPr>
      <w:color w:val="1F4D78"/>
      <w:sz w:val="24"/>
      <w:szCs w:val="24"/>
    </w:rPr>
  </w:style>
  <w:style w:type="paragraph" w:styleId="Heading4">
    <w:name w:val="heading 4"/>
    <w:basedOn w:val="Normal1"/>
    <w:next w:val="Normal1"/>
    <w:pPr>
      <w:pBdr>
        <w:top w:val="nil"/>
        <w:left w:val="nil"/>
        <w:bottom w:val="nil"/>
        <w:right w:val="nil"/>
        <w:between w:val="nil"/>
      </w:pBdr>
      <w:outlineLvl w:val="3"/>
    </w:pPr>
    <w:rPr>
      <w:i/>
      <w:iCs/>
      <w:color w:val="2E74B5"/>
    </w:rPr>
  </w:style>
  <w:style w:type="paragraph" w:styleId="Heading5">
    <w:name w:val="heading 5"/>
    <w:basedOn w:val="Normal1"/>
    <w:next w:val="Normal1"/>
    <w:pPr>
      <w:pBdr>
        <w:top w:val="nil"/>
        <w:left w:val="nil"/>
        <w:bottom w:val="nil"/>
        <w:right w:val="nil"/>
        <w:between w:val="nil"/>
      </w:pBdr>
      <w:outlineLvl w:val="4"/>
    </w:pPr>
    <w:rPr>
      <w:color w:val="2E74B5"/>
    </w:rPr>
  </w:style>
  <w:style w:type="paragraph" w:styleId="Heading6">
    <w:name w:val="heading 6"/>
    <w:basedOn w:val="Normal1"/>
    <w:next w:val="Normal1"/>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pBdr>
        <w:top w:val="nil"/>
        <w:left w:val="nil"/>
        <w:bottom w:val="nil"/>
        <w:right w:val="nil"/>
        <w:between w:val="nil"/>
      </w:pBdr>
    </w:pPr>
    <w:rPr>
      <w:color w:val="000000"/>
      <w:sz w:val="56"/>
      <w:szCs w:val="56"/>
    </w:rPr>
  </w:style>
  <w:style w:type="paragraph" w:styleId="Subtitle">
    <w:name w:val="Subtitle"/>
    <w:basedOn w:val="Normal1"/>
    <w:next w:val="Normal1"/>
    <w:pPr>
      <w:keepNext/>
      <w:keepLines/>
      <w:spacing w:before="360" w:after="80"/>
    </w:pPr>
    <w:rPr>
      <w:rFonts w:ascii="Georgia" w:eastAsia="Georgia" w:hAnsi="Georgia" w:cs="Georgia"/>
      <w:i/>
      <w:iCs/>
      <w:color w:val="666666"/>
      <w:sz w:val="48"/>
      <w:szCs w:val="48"/>
    </w:rPr>
  </w:style>
  <w:style w:type="table" w:customStyle="1" w:styleId="Table1">
    <w:name w:val="Table1"/>
    <w:basedOn w:val="TableNormal0"/>
    <w:tblPr>
      <w:tblStyleRowBandSize w:val="1"/>
      <w:tblStyleColBandSize w:val="1"/>
      <w:tblCellMar>
        <w:top w:w="0" w:type="dxa"/>
        <w:left w:w="10" w:type="dxa"/>
        <w:bottom w:w="0" w:type="dxa"/>
        <w:right w:w="10" w:type="dxa"/>
      </w:tblCellMar>
    </w:tblPr>
  </w:style>
  <w:style w:type="table" w:customStyle="1" w:styleId="Table2">
    <w:name w:val="Table2"/>
    <w:basedOn w:val="TableNormal0"/>
    <w:tblPr>
      <w:tblStyleRowBandSize w:val="1"/>
      <w:tblStyleColBandSize w:val="1"/>
      <w:tblCellMar>
        <w:top w:w="0" w:type="dxa"/>
        <w:left w:w="10" w:type="dxa"/>
        <w:bottom w:w="0" w:type="dxa"/>
        <w:right w:w="10" w:type="dxa"/>
      </w:tblCellMar>
    </w:tblPr>
  </w:style>
  <w:style w:type="table" w:customStyle="1" w:styleId="Table3">
    <w:name w:val="Table3"/>
    <w:basedOn w:val="TableNormal0"/>
    <w:tblPr>
      <w:tblStyleRowBandSize w:val="1"/>
      <w:tblStyleColBandSize w:val="1"/>
    </w:tblPr>
  </w:style>
  <w:style w:type="table" w:customStyle="1" w:styleId="Table4">
    <w:name w:val="Table4"/>
    <w:basedOn w:val="TableNormal0"/>
    <w:tblPr>
      <w:tblStyleRowBandSize w:val="1"/>
      <w:tblStyleColBandSize w:val="1"/>
      <w:tblCellMar>
        <w:top w:w="0" w:type="dxa"/>
        <w:left w:w="10" w:type="dxa"/>
        <w:bottom w:w="0" w:type="dxa"/>
        <w:right w:w="10" w:type="dxa"/>
      </w:tblCellMar>
    </w:tblPr>
  </w:style>
  <w:style w:type="table" w:customStyle="1" w:styleId="Table5">
    <w:name w:val="Table5"/>
    <w:basedOn w:val="TableNormal0"/>
    <w:tblPr>
      <w:tblStyleRowBandSize w:val="1"/>
      <w:tblStyleColBandSize w:val="1"/>
      <w:tblCellMar>
        <w:top w:w="0" w:type="dxa"/>
        <w:left w:w="10" w:type="dxa"/>
        <w:bottom w:w="0" w:type="dxa"/>
        <w:right w:w="10" w:type="dxa"/>
      </w:tblCellMar>
    </w:tblPr>
  </w:style>
  <w:style w:type="table" w:customStyle="1" w:styleId="Table6">
    <w:name w:val="Table6"/>
    <w:basedOn w:val="TableNormal0"/>
    <w:tblPr>
      <w:tblStyleRowBandSize w:val="1"/>
      <w:tblStyleColBandSize w:val="1"/>
      <w:tblCellMar>
        <w:top w:w="0" w:type="dxa"/>
        <w:left w:w="10" w:type="dxa"/>
        <w:bottom w:w="0" w:type="dxa"/>
        <w:right w:w="10" w:type="dxa"/>
      </w:tblCellMar>
    </w:tblPr>
  </w:style>
  <w:style w:type="table" w:customStyle="1" w:styleId="Table7">
    <w:name w:val="Table7"/>
    <w:basedOn w:val="TableNormal0"/>
    <w:tblPr>
      <w:tblStyleRowBandSize w:val="1"/>
      <w:tblStyleColBandSize w:val="1"/>
      <w:tblCellMar>
        <w:top w:w="0" w:type="dxa"/>
        <w:left w:w="10" w:type="dxa"/>
        <w:bottom w:w="0" w:type="dxa"/>
        <w:right w:w="10" w:type="dxa"/>
      </w:tblCellMar>
    </w:tblPr>
  </w:style>
  <w:style w:type="table" w:customStyle="1" w:styleId="Table8">
    <w:name w:val="Table8"/>
    <w:basedOn w:val="TableNormal0"/>
    <w:tblPr>
      <w:tblStyleRowBandSize w:val="1"/>
      <w:tblStyleColBandSize w:val="1"/>
      <w:tblCellMar>
        <w:top w:w="0" w:type="dxa"/>
        <w:left w:w="10" w:type="dxa"/>
        <w:bottom w:w="0" w:type="dxa"/>
        <w:right w:w="10" w:type="dxa"/>
      </w:tblCellMar>
    </w:tblPr>
  </w:style>
  <w:style w:type="table" w:customStyle="1" w:styleId="Table9">
    <w:name w:val="Table9"/>
    <w:basedOn w:val="TableNormal0"/>
    <w:tblPr>
      <w:tblStyleRowBandSize w:val="1"/>
      <w:tblStyleColBandSize w:val="1"/>
      <w:tblCellMar>
        <w:top w:w="0" w:type="dxa"/>
        <w:left w:w="10" w:type="dxa"/>
        <w:bottom w:w="0" w:type="dxa"/>
        <w:right w:w="10" w:type="dxa"/>
      </w:tblCellMar>
    </w:tblPr>
  </w:style>
  <w:style w:type="table" w:customStyle="1" w:styleId="Table10">
    <w:name w:val="Table10"/>
    <w:basedOn w:val="TableNormal0"/>
    <w:tblPr>
      <w:tblStyleRowBandSize w:val="1"/>
      <w:tblStyleColBandSize w:val="1"/>
      <w:tblCellMar>
        <w:top w:w="0" w:type="dxa"/>
        <w:left w:w="10" w:type="dxa"/>
        <w:bottom w:w="0" w:type="dxa"/>
        <w:right w:w="10" w:type="dxa"/>
      </w:tblCellMar>
    </w:tblPr>
  </w:style>
  <w:style w:type="paragraph" w:styleId="Header">
    <w:name w:val="header"/>
    <w:basedOn w:val="Normal"/>
    <w:link w:val="HeaderChar"/>
    <w:uiPriority w:val="99"/>
    <w:unhideWhenUsed/>
    <w:rsid w:val="004F767C"/>
    <w:pPr>
      <w:tabs>
        <w:tab w:val="center" w:pos="4513"/>
        <w:tab w:val="right" w:pos="9026"/>
      </w:tabs>
    </w:pPr>
  </w:style>
  <w:style w:type="character" w:customStyle="1" w:styleId="HeaderChar">
    <w:name w:val="Header Char"/>
    <w:basedOn w:val="DefaultParagraphFont"/>
    <w:link w:val="Header"/>
    <w:uiPriority w:val="99"/>
    <w:rsid w:val="004F767C"/>
  </w:style>
  <w:style w:type="paragraph" w:styleId="Footer">
    <w:name w:val="footer"/>
    <w:basedOn w:val="Normal"/>
    <w:link w:val="FooterChar"/>
    <w:uiPriority w:val="99"/>
    <w:unhideWhenUsed/>
    <w:rsid w:val="004F767C"/>
    <w:pPr>
      <w:tabs>
        <w:tab w:val="center" w:pos="4513"/>
        <w:tab w:val="right" w:pos="9026"/>
      </w:tabs>
    </w:pPr>
  </w:style>
  <w:style w:type="character" w:customStyle="1" w:styleId="FooterChar">
    <w:name w:val="Footer Char"/>
    <w:basedOn w:val="DefaultParagraphFont"/>
    <w:link w:val="Footer"/>
    <w:uiPriority w:val="99"/>
    <w:rsid w:val="004F7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qwK3QXsVu9eZc+F2Q1fxUPIkxg==">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TOU0075</dc:title>
  <cp:revision>0</cp:revision>
</cp:coreProperties>
</file>