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549D2" w:rsidRPr="00560C4C" w:rsidP="006549D2">
      <w:pPr>
        <w:spacing w:line="360" w:lineRule="auto"/>
        <w:jc w:val="center"/>
        <w:rPr>
          <w:rFonts w:ascii="Calibri" w:hAnsi="Calibri" w:cs="Calibri"/>
          <w:sz w:val="28"/>
          <w:szCs w:val="28"/>
        </w:rPr>
      </w:pPr>
      <w:r w:rsidRPr="00560C4C">
        <w:rPr>
          <w:rFonts w:ascii="Calibri" w:hAnsi="Calibri" w:cs="Calibri"/>
          <w:sz w:val="28"/>
          <w:szCs w:val="28"/>
        </w:rPr>
        <w:t>Written evidence submitted by</w:t>
      </w:r>
      <w:r w:rsidRPr="00922D69">
        <w:rPr>
          <w:rFonts w:ascii="Calibri" w:hAnsi="Calibri" w:cs="Calibri"/>
          <w:sz w:val="28"/>
          <w:szCs w:val="28"/>
        </w:rPr>
        <w:t xml:space="preserve"> </w:t>
      </w:r>
      <w:r w:rsidRPr="006549D2">
        <w:rPr>
          <w:rFonts w:ascii="Calibri" w:hAnsi="Calibri" w:cs="Calibri"/>
          <w:sz w:val="28"/>
          <w:szCs w:val="28"/>
        </w:rPr>
        <w:t>Tourism South East</w:t>
      </w:r>
    </w:p>
    <w:p w:rsidR="00FB2C6E" w:rsidRPr="00716AAA" w:rsidP="00E464A9">
      <w:pPr>
        <w:spacing w:before="100" w:beforeAutospacing="1" w:after="100" w:afterAutospacing="1" w:line="240" w:lineRule="auto"/>
        <w:outlineLvl w:val="0"/>
        <w:rPr>
          <w:rFonts w:ascii="Aptos" w:eastAsia="Times New Roman" w:hAnsi="Aptos" w:cs="Times New Roman"/>
          <w:b/>
          <w:bCs/>
          <w:kern w:val="36"/>
          <w:sz w:val="48"/>
          <w:szCs w:val="48"/>
          <w:lang w:eastAsia="en-GB"/>
        </w:rPr>
      </w:pPr>
      <w:r w:rsidRPr="00716AAA">
        <w:rPr>
          <w:rFonts w:ascii="Aptos" w:eastAsia="Times New Roman" w:hAnsi="Aptos" w:cs="Times New Roman"/>
          <w:b/>
          <w:bCs/>
          <w:kern w:val="36"/>
          <w:sz w:val="48"/>
          <w:szCs w:val="48"/>
          <w:lang w:eastAsia="en-GB"/>
        </w:rPr>
        <w:t>THE FUTURE OF TOURISM: A SOUTH EAST PERSPECTIVE</w:t>
      </w:r>
    </w:p>
    <w:p w:rsidR="00FB2C6E" w:rsidRPr="00716AAA" w:rsidP="00E464A9">
      <w:pPr>
        <w:spacing w:before="100" w:beforeAutospacing="1" w:after="100" w:afterAutospacing="1" w:line="240" w:lineRule="auto"/>
        <w:outlineLvl w:val="1"/>
        <w:rPr>
          <w:rFonts w:ascii="Aptos" w:eastAsia="Times New Roman" w:hAnsi="Aptos" w:cs="Times New Roman"/>
          <w:b/>
          <w:bCs/>
          <w:kern w:val="0"/>
          <w:sz w:val="36"/>
          <w:szCs w:val="36"/>
          <w:lang w:eastAsia="en-GB"/>
        </w:rPr>
      </w:pPr>
      <w:r w:rsidRPr="00716AAA">
        <w:rPr>
          <w:rFonts w:ascii="Aptos" w:eastAsia="Times New Roman" w:hAnsi="Aptos" w:cs="Times New Roman"/>
          <w:b/>
          <w:bCs/>
          <w:kern w:val="0"/>
          <w:sz w:val="36"/>
          <w:szCs w:val="36"/>
          <w:lang w:eastAsia="en-GB"/>
        </w:rPr>
        <w:t>1. Introduction</w:t>
      </w:r>
    </w:p>
    <w:p w:rsidR="00FB2C6E" w:rsidRPr="00716AAA" w:rsidP="00E464A9">
      <w:p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The visitor economies across the South East are not optional extras. They are fundamental to the quality of life in our communities and directly influence whether people choose to live, work, visit or study here. These sectors matter for business confidence, economic growth, public health, and the </w:t>
      </w:r>
      <w:r>
        <w:rPr>
          <w:rFonts w:ascii="Aptos" w:eastAsia="Times New Roman" w:hAnsi="Aptos" w:cs="Times New Roman"/>
          <w:kern w:val="0"/>
          <w:sz w:val="24"/>
          <w:szCs w:val="24"/>
          <w:lang w:eastAsia="en-GB"/>
        </w:rPr>
        <w:t>long-term</w:t>
      </w:r>
      <w:r w:rsidRPr="00716AAA">
        <w:rPr>
          <w:rFonts w:ascii="Aptos" w:eastAsia="Times New Roman" w:hAnsi="Aptos" w:cs="Times New Roman"/>
          <w:kern w:val="0"/>
          <w:sz w:val="24"/>
          <w:szCs w:val="24"/>
          <w:lang w:eastAsia="en-GB"/>
        </w:rPr>
        <w:t xml:space="preserve"> resilience of our places.</w:t>
      </w:r>
    </w:p>
    <w:p w:rsidR="00FB2C6E" w:rsidRPr="00716AAA" w:rsidP="00E464A9">
      <w:p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Tourism is one of the South East’s most significant economic assets. The total value of tourism to the region exceeds £13 billion, making it one of the top sectors for GDP contribution and employment. Its economic ripple effect is profound: spend at an attraction, hotel or event stimulates investment, supports jobs, strengthens the hospitality and </w:t>
      </w:r>
      <w:r>
        <w:rPr>
          <w:rFonts w:ascii="Aptos" w:eastAsia="Times New Roman" w:hAnsi="Aptos" w:cs="Times New Roman"/>
          <w:kern w:val="0"/>
          <w:sz w:val="24"/>
          <w:szCs w:val="24"/>
          <w:lang w:eastAsia="en-GB"/>
        </w:rPr>
        <w:t>night-time</w:t>
      </w:r>
      <w:r w:rsidRPr="00716AAA">
        <w:rPr>
          <w:rFonts w:ascii="Aptos" w:eastAsia="Times New Roman" w:hAnsi="Aptos" w:cs="Times New Roman"/>
          <w:kern w:val="0"/>
          <w:sz w:val="24"/>
          <w:szCs w:val="24"/>
          <w:lang w:eastAsia="en-GB"/>
        </w:rPr>
        <w:t xml:space="preserve"> economy, and sustains a wide range of indirect services and supply chains.</w:t>
      </w:r>
    </w:p>
    <w:p w:rsidR="00FB2C6E" w:rsidRPr="00716AAA" w:rsidP="00E464A9">
      <w:p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Despite this, the visitor economies are too often treated as peripheral to national economic policy. This lack of strategic visibility filters down regionally and locally, limiting investment, weakening coordination, and reducing the </w:t>
      </w:r>
      <w:r w:rsidRPr="00716AAA">
        <w:rPr>
          <w:rFonts w:ascii="Aptos" w:eastAsia="Times New Roman" w:hAnsi="Aptos" w:cs="Times New Roman"/>
          <w:kern w:val="0"/>
          <w:sz w:val="24"/>
          <w:szCs w:val="24"/>
          <w:lang w:eastAsia="en-GB"/>
        </w:rPr>
        <w:t>South East</w:t>
      </w:r>
      <w:r w:rsidRPr="00716AAA">
        <w:rPr>
          <w:rFonts w:ascii="Aptos" w:eastAsia="Times New Roman" w:hAnsi="Aptos" w:cs="Times New Roman"/>
          <w:kern w:val="0"/>
          <w:sz w:val="24"/>
          <w:szCs w:val="24"/>
          <w:lang w:eastAsia="en-GB"/>
        </w:rPr>
        <w:t xml:space="preserve"> ability to deliver on national growth ambitions.</w:t>
      </w:r>
    </w:p>
    <w:p w:rsidR="00FB2C6E" w:rsidRPr="00716AAA" w:rsidP="00E464A9">
      <w:p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The Government’s national growth strategy (2026) </w:t>
      </w:r>
      <w:r w:rsidRPr="00716AAA">
        <w:rPr>
          <w:rFonts w:ascii="Aptos" w:eastAsia="Times New Roman" w:hAnsi="Aptos" w:cs="Times New Roman"/>
          <w:kern w:val="0"/>
          <w:sz w:val="24"/>
          <w:szCs w:val="24"/>
          <w:lang w:eastAsia="en-GB"/>
        </w:rPr>
        <w:t>only points</w:t>
      </w:r>
      <w:r w:rsidRPr="00716AAA">
        <w:rPr>
          <w:rFonts w:ascii="Aptos" w:eastAsia="Times New Roman" w:hAnsi="Aptos" w:cs="Times New Roman"/>
          <w:kern w:val="0"/>
          <w:sz w:val="24"/>
          <w:szCs w:val="24"/>
          <w:lang w:eastAsia="en-GB"/>
        </w:rPr>
        <w:t xml:space="preserve"> </w:t>
      </w:r>
      <w:r w:rsidRPr="00716AAA">
        <w:rPr>
          <w:rFonts w:ascii="Aptos" w:eastAsia="Times New Roman" w:hAnsi="Aptos" w:cs="Times New Roman"/>
          <w:kern w:val="0"/>
          <w:sz w:val="24"/>
          <w:szCs w:val="24"/>
          <w:lang w:eastAsia="en-GB"/>
        </w:rPr>
        <w:t xml:space="preserve">to </w:t>
      </w:r>
      <w:r w:rsidRPr="00716AAA">
        <w:rPr>
          <w:rFonts w:ascii="Aptos" w:eastAsia="Times New Roman" w:hAnsi="Aptos" w:cs="Times New Roman"/>
          <w:kern w:val="0"/>
          <w:sz w:val="24"/>
          <w:szCs w:val="24"/>
          <w:lang w:eastAsia="en-GB"/>
        </w:rPr>
        <w:t>arts, culture and the visitor economy as drivers of regional development, local pride, innovation and international competitiveness. The South East is well placed to deliver on these ambitions, but barriers continue to constrain growth.</w:t>
      </w:r>
    </w:p>
    <w:p w:rsidR="00FB2C6E" w:rsidRPr="00716AAA" w:rsidP="00E464A9">
      <w:p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Across the region, local authority budget reductions have disproportionately affected </w:t>
      </w:r>
      <w:r w:rsidRPr="00716AAA">
        <w:rPr>
          <w:rFonts w:ascii="Aptos" w:eastAsia="Times New Roman" w:hAnsi="Aptos" w:cs="Times New Roman"/>
          <w:kern w:val="0"/>
          <w:sz w:val="24"/>
          <w:szCs w:val="24"/>
          <w:lang w:eastAsia="en-GB"/>
        </w:rPr>
        <w:t>non-statutory</w:t>
      </w:r>
      <w:r w:rsidRPr="00716AAA">
        <w:rPr>
          <w:rFonts w:ascii="Aptos" w:eastAsia="Times New Roman" w:hAnsi="Aptos" w:cs="Times New Roman"/>
          <w:kern w:val="0"/>
          <w:sz w:val="24"/>
          <w:szCs w:val="24"/>
          <w:lang w:eastAsia="en-GB"/>
        </w:rPr>
        <w:t xml:space="preserve"> tourism services and destination management functions. The end of UK Shared Prosperity Fund (UKSPF) support has removed critical local project funding that previously helped “oil the wheels” of destination development and partnership working. Many destinations are now operating with limited or no dedicated tourism funding, while businesses are focused on survival rather than growth. Stakeholders across the South East also report concerns that northern destinations are receiving significantly greater levels</w:t>
      </w:r>
      <w:r w:rsidRPr="00716AAA">
        <w:rPr>
          <w:rFonts w:ascii="Aptos" w:eastAsia="Times New Roman" w:hAnsi="Aptos" w:cs="Times New Roman"/>
          <w:kern w:val="0"/>
          <w:sz w:val="24"/>
          <w:szCs w:val="24"/>
          <w:lang w:eastAsia="en-GB"/>
        </w:rPr>
        <w:t xml:space="preserve"> of national and devolved investment support</w:t>
      </w:r>
      <w:r w:rsidRPr="00716AAA">
        <w:rPr>
          <w:rFonts w:ascii="Aptos" w:eastAsia="Times New Roman" w:hAnsi="Aptos" w:cs="Times New Roman"/>
          <w:kern w:val="0"/>
          <w:sz w:val="24"/>
          <w:szCs w:val="24"/>
          <w:lang w:eastAsia="en-GB"/>
        </w:rPr>
        <w:t>, creating a significant gap and divide</w:t>
      </w:r>
      <w:r w:rsidRPr="00716AAA">
        <w:rPr>
          <w:rFonts w:ascii="Aptos" w:eastAsia="Times New Roman" w:hAnsi="Aptos" w:cs="Times New Roman"/>
          <w:kern w:val="0"/>
          <w:sz w:val="24"/>
          <w:szCs w:val="24"/>
          <w:lang w:eastAsia="en-GB"/>
        </w:rPr>
        <w:t>.</w:t>
      </w:r>
    </w:p>
    <w:p w:rsidR="00FB2C6E" w:rsidRPr="00716AAA" w:rsidP="00E464A9">
      <w:pPr>
        <w:spacing w:before="100" w:beforeAutospacing="1" w:after="100" w:afterAutospacing="1" w:line="240" w:lineRule="auto"/>
        <w:outlineLvl w:val="1"/>
        <w:rPr>
          <w:rFonts w:ascii="Aptos" w:eastAsia="Times New Roman" w:hAnsi="Aptos" w:cs="Times New Roman"/>
          <w:b/>
          <w:bCs/>
          <w:kern w:val="0"/>
          <w:sz w:val="36"/>
          <w:szCs w:val="36"/>
          <w:lang w:eastAsia="en-GB"/>
        </w:rPr>
      </w:pPr>
      <w:r w:rsidRPr="00716AAA">
        <w:rPr>
          <w:rFonts w:ascii="Aptos" w:eastAsia="Times New Roman" w:hAnsi="Aptos" w:cs="Times New Roman"/>
          <w:b/>
          <w:bCs/>
          <w:kern w:val="0"/>
          <w:sz w:val="36"/>
          <w:szCs w:val="36"/>
          <w:lang w:eastAsia="en-GB"/>
        </w:rPr>
        <w:t>2. The Role of the Visitor Economy in Regional Growth</w:t>
      </w:r>
    </w:p>
    <w:p w:rsidR="00FB2C6E" w:rsidRPr="00716AAA" w:rsidP="00E464A9">
      <w:p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The visitor economy is a proven mechanism for supporting local growth, regeneration and community empowerment. Across the South East, tourism underpins:</w:t>
      </w:r>
    </w:p>
    <w:p w:rsidR="00FB2C6E" w:rsidRPr="00716AAA" w:rsidP="00E464A9">
      <w:pPr>
        <w:numPr>
          <w:ilvl w:val="0"/>
          <w:numId w:val="44"/>
        </w:num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Place-making and regeneration, particularly in coastal and rural communities </w:t>
      </w:r>
    </w:p>
    <w:p w:rsidR="00FB2C6E" w:rsidRPr="00716AAA" w:rsidP="00E464A9">
      <w:pPr>
        <w:numPr>
          <w:ilvl w:val="0"/>
          <w:numId w:val="44"/>
        </w:num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Skills development and employment pathways, especially for young people </w:t>
      </w:r>
    </w:p>
    <w:p w:rsidR="00FB2C6E" w:rsidRPr="00716AAA" w:rsidP="00E464A9">
      <w:pPr>
        <w:numPr>
          <w:ilvl w:val="0"/>
          <w:numId w:val="44"/>
        </w:num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Business growth, including SMEs, cultural venues, attractions and hospitality </w:t>
      </w:r>
    </w:p>
    <w:p w:rsidR="00FB2C6E" w:rsidRPr="00716AAA" w:rsidP="00E464A9">
      <w:pPr>
        <w:numPr>
          <w:ilvl w:val="0"/>
          <w:numId w:val="44"/>
        </w:num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International trade and investment through inbound tourism and business events </w:t>
      </w:r>
    </w:p>
    <w:p w:rsidR="00FB2C6E" w:rsidRPr="00716AAA" w:rsidP="00E464A9">
      <w:pPr>
        <w:numPr>
          <w:ilvl w:val="0"/>
          <w:numId w:val="44"/>
        </w:num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Public health and wellbeing through access to culture, heritage and green spaces </w:t>
      </w:r>
    </w:p>
    <w:p w:rsidR="00FB2C6E" w:rsidRPr="00716AAA" w:rsidP="00E464A9">
      <w:p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The sector continues to demonstrate resilience despite significant challenges, including recruitment pressures, skills shortages, rising operating costs and wider market volatility.</w:t>
      </w:r>
    </w:p>
    <w:p w:rsidR="00FB2C6E" w:rsidRPr="00716AAA" w:rsidP="00E464A9">
      <w:p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These pressures are particularly acute in coastal economies such as Thanet, where tourism businesses face increasing energy, employment and operating costs that leave little capacity for reinvestment. Small businesses, not for profit attractions, charities and cultural venues across destinations such as Southampton are also under growing pressure from increases in National Insurance contributions, business rates and wage costs.</w:t>
      </w:r>
    </w:p>
    <w:p w:rsidR="00FB2C6E" w:rsidRPr="00716AAA" w:rsidP="00E464A9">
      <w:p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The South East’s visitor economy benefits a wide ecosystem of direct and indirect recipients, including accommodation providers, attractions, restaurants, transport operators, retail, supply chains, freelancers, cultural organisations and local communities.</w:t>
      </w:r>
    </w:p>
    <w:p w:rsidR="00FB2C6E" w:rsidRPr="00716AAA" w:rsidP="00E464A9">
      <w:p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However, several structural issues are undermining growth potential:</w:t>
      </w:r>
    </w:p>
    <w:p w:rsidR="00FB2C6E" w:rsidRPr="00716AAA" w:rsidP="00E464A9">
      <w:pPr>
        <w:numPr>
          <w:ilvl w:val="0"/>
          <w:numId w:val="45"/>
        </w:num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Heritage assets owned by financially constrained local authorities are increasingly at risk of deterioration due to insufficient maintenance budgets. </w:t>
      </w:r>
    </w:p>
    <w:p w:rsidR="00FB2C6E" w:rsidRPr="00716AAA" w:rsidP="00E464A9">
      <w:pPr>
        <w:numPr>
          <w:ilvl w:val="0"/>
          <w:numId w:val="45"/>
        </w:num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Short term lets continue to place pressure on housing and destination management, yet there has been no progress on the proposed national registration scheme that would provide local authorities with stronger management tools. </w:t>
      </w:r>
    </w:p>
    <w:p w:rsidR="00FB2C6E" w:rsidRPr="00716AAA" w:rsidP="00E464A9">
      <w:pPr>
        <w:numPr>
          <w:ilvl w:val="0"/>
          <w:numId w:val="45"/>
        </w:num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Increased online and influencer exposure can amplify negative perceptions of destinations at a time when councils lack the resources required for maintenance, cleansing and visitor management. </w:t>
      </w:r>
    </w:p>
    <w:p w:rsidR="00FB2C6E" w:rsidRPr="00716AAA" w:rsidP="00E464A9">
      <w:pPr>
        <w:numPr>
          <w:ilvl w:val="0"/>
          <w:numId w:val="45"/>
        </w:num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Ongoing uncertainty surrounding local government reorganisation is creating concern about how tourism functions and destination support will be delivered in SME dominated coastal economies. </w:t>
      </w:r>
    </w:p>
    <w:p w:rsidR="00FB2C6E" w:rsidRPr="00716AAA" w:rsidP="00E464A9">
      <w:p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To maximise the economic and social benefits of tourism, the South East requires a stronger and more balanced economic profile, with tourism and culture recognised as core economic assets rather than secondary policy considerations.</w:t>
      </w:r>
    </w:p>
    <w:p w:rsidR="00FB2C6E" w:rsidRPr="00716AAA" w:rsidP="00E464A9">
      <w:pPr>
        <w:spacing w:before="100" w:beforeAutospacing="1" w:after="100" w:afterAutospacing="1" w:line="240" w:lineRule="auto"/>
        <w:outlineLvl w:val="1"/>
        <w:rPr>
          <w:rFonts w:ascii="Aptos" w:eastAsia="Times New Roman" w:hAnsi="Aptos" w:cs="Times New Roman"/>
          <w:b/>
          <w:bCs/>
          <w:kern w:val="0"/>
          <w:sz w:val="36"/>
          <w:szCs w:val="36"/>
          <w:lang w:eastAsia="en-GB"/>
        </w:rPr>
      </w:pPr>
      <w:r w:rsidRPr="00716AAA">
        <w:rPr>
          <w:rFonts w:ascii="Aptos" w:eastAsia="Times New Roman" w:hAnsi="Aptos" w:cs="Times New Roman"/>
          <w:b/>
          <w:bCs/>
          <w:kern w:val="0"/>
          <w:sz w:val="36"/>
          <w:szCs w:val="36"/>
          <w:lang w:eastAsia="en-GB"/>
        </w:rPr>
        <w:t>3. The Role of LVEPs</w:t>
      </w:r>
    </w:p>
    <w:p w:rsidR="00FB2C6E" w:rsidRPr="00716AAA" w:rsidP="00E464A9">
      <w:p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Local Visitor Economy Partnerships (LVEPs) are intended to be the primary mechanism for delivering national tourism strategy at local level. For the South East, the LVEP model offers significant potential — but only if it is properly funded and structured.</w:t>
      </w:r>
    </w:p>
    <w:p w:rsidR="00FB2C6E" w:rsidRPr="00716AAA" w:rsidP="00E464A9">
      <w:p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LVEPs should support collaboration and </w:t>
      </w:r>
      <w:r w:rsidRPr="00716AAA">
        <w:rPr>
          <w:rFonts w:ascii="Aptos" w:eastAsia="Times New Roman" w:hAnsi="Aptos" w:cs="Times New Roman"/>
          <w:kern w:val="0"/>
          <w:sz w:val="24"/>
          <w:szCs w:val="24"/>
          <w:lang w:eastAsia="en-GB"/>
        </w:rPr>
        <w:t>cross-fertilisation</w:t>
      </w:r>
      <w:r w:rsidRPr="00716AAA">
        <w:rPr>
          <w:rFonts w:ascii="Aptos" w:eastAsia="Times New Roman" w:hAnsi="Aptos" w:cs="Times New Roman"/>
          <w:kern w:val="0"/>
          <w:sz w:val="24"/>
          <w:szCs w:val="24"/>
          <w:lang w:eastAsia="en-GB"/>
        </w:rPr>
        <w:t xml:space="preserve"> across all destinations, rather than concentrating investment and visibility solely on established “honeypot” locations. Visitor dispersal across the region is essential for sustainable growth, community benefit and </w:t>
      </w:r>
      <w:r w:rsidRPr="00716AAA">
        <w:rPr>
          <w:rFonts w:ascii="Aptos" w:eastAsia="Times New Roman" w:hAnsi="Aptos" w:cs="Times New Roman"/>
          <w:kern w:val="0"/>
          <w:sz w:val="24"/>
          <w:szCs w:val="24"/>
          <w:lang w:eastAsia="en-GB"/>
        </w:rPr>
        <w:t>long-term</w:t>
      </w:r>
      <w:r w:rsidRPr="00716AAA">
        <w:rPr>
          <w:rFonts w:ascii="Aptos" w:eastAsia="Times New Roman" w:hAnsi="Aptos" w:cs="Times New Roman"/>
          <w:kern w:val="0"/>
          <w:sz w:val="24"/>
          <w:szCs w:val="24"/>
          <w:lang w:eastAsia="en-GB"/>
        </w:rPr>
        <w:t xml:space="preserve"> resilience.</w:t>
      </w:r>
    </w:p>
    <w:p w:rsidR="00FB2C6E" w:rsidRPr="00716AAA" w:rsidP="00E464A9">
      <w:p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However, the current framework is undermined by inconsistent structures, limited funding and unequal capacity across the country.</w:t>
      </w:r>
    </w:p>
    <w:p w:rsidR="00FB2C6E" w:rsidRPr="00716AAA" w:rsidP="00E464A9">
      <w:p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In areas such as Thanet</w:t>
      </w:r>
      <w:r w:rsidRPr="00716AAA">
        <w:rPr>
          <w:rFonts w:ascii="Aptos" w:eastAsia="Times New Roman" w:hAnsi="Aptos" w:cs="Times New Roman"/>
          <w:kern w:val="0"/>
          <w:sz w:val="24"/>
          <w:szCs w:val="24"/>
          <w:lang w:eastAsia="en-GB"/>
        </w:rPr>
        <w:t xml:space="preserve">, Reading, </w:t>
      </w:r>
      <w:r w:rsidRPr="00716AAA">
        <w:rPr>
          <w:rFonts w:ascii="Aptos" w:eastAsia="Times New Roman" w:hAnsi="Aptos" w:cs="Times New Roman"/>
          <w:kern w:val="0"/>
          <w:sz w:val="24"/>
          <w:szCs w:val="24"/>
          <w:lang w:eastAsia="en-GB"/>
        </w:rPr>
        <w:t xml:space="preserve">and </w:t>
      </w:r>
      <w:r w:rsidRPr="00716AAA">
        <w:rPr>
          <w:rFonts w:ascii="Aptos" w:eastAsia="Times New Roman" w:hAnsi="Aptos" w:cs="Times New Roman"/>
          <w:kern w:val="0"/>
          <w:sz w:val="24"/>
          <w:szCs w:val="24"/>
          <w:lang w:eastAsia="en-GB"/>
        </w:rPr>
        <w:t>1066 Country</w:t>
      </w:r>
      <w:r w:rsidRPr="00716AAA">
        <w:rPr>
          <w:rFonts w:ascii="Aptos" w:eastAsia="Times New Roman" w:hAnsi="Aptos" w:cs="Times New Roman"/>
          <w:kern w:val="0"/>
          <w:sz w:val="24"/>
          <w:szCs w:val="24"/>
          <w:lang w:eastAsia="en-GB"/>
        </w:rPr>
        <w:t>, smaller destinations report that they are unable to engage effectively with VisitEngland because the current system prioritises recognised LVEPs while offering no meaningful funding support for destinations attempting to establish or participate in these structures. Berkshire stakeholders have identified the absence of initial “pump prime” funding as the single biggest barrier to establishing an operational LVEP. Even one year of Government support for a dedicated post would sig</w:t>
      </w:r>
      <w:r w:rsidRPr="00716AAA">
        <w:rPr>
          <w:rFonts w:ascii="Aptos" w:eastAsia="Times New Roman" w:hAnsi="Aptos" w:cs="Times New Roman"/>
          <w:kern w:val="0"/>
          <w:sz w:val="24"/>
          <w:szCs w:val="24"/>
          <w:lang w:eastAsia="en-GB"/>
        </w:rPr>
        <w:t>nificantly accelerate delivery capacity and strategic coordination.</w:t>
      </w:r>
    </w:p>
    <w:p w:rsidR="00FB2C6E" w:rsidRPr="00716AAA" w:rsidP="00E464A9">
      <w:p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At present, many LVEP development activities are being absorbed into existing staff responsibilities, reducing operational efficiency and slowing progress. Without early stage investment, there is a significant risk that areas without devolved or mayoral structures will fall behind in national programmes, international marketing opportunities and sector development initiatives.</w:t>
      </w:r>
    </w:p>
    <w:p w:rsidR="00FB2C6E" w:rsidRPr="00716AAA" w:rsidP="00E464A9">
      <w:p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There is also increasing concern about funding inequality between Mayoral Combined Authorities, many of which can invest directly into tourism and destination management, and </w:t>
      </w:r>
      <w:r w:rsidRPr="00716AAA">
        <w:rPr>
          <w:rFonts w:ascii="Aptos" w:eastAsia="Times New Roman" w:hAnsi="Aptos" w:cs="Times New Roman"/>
          <w:kern w:val="0"/>
          <w:sz w:val="24"/>
          <w:szCs w:val="24"/>
          <w:lang w:eastAsia="en-GB"/>
        </w:rPr>
        <w:t>non-devolved</w:t>
      </w:r>
      <w:r w:rsidRPr="00716AAA">
        <w:rPr>
          <w:rFonts w:ascii="Aptos" w:eastAsia="Times New Roman" w:hAnsi="Aptos" w:cs="Times New Roman"/>
          <w:kern w:val="0"/>
          <w:sz w:val="24"/>
          <w:szCs w:val="24"/>
          <w:lang w:eastAsia="en-GB"/>
        </w:rPr>
        <w:t xml:space="preserve"> areas that lack equivalent powers or funding mechanisms.</w:t>
      </w:r>
    </w:p>
    <w:p w:rsidR="00FB2C6E" w:rsidRPr="00716AAA" w:rsidP="00E464A9">
      <w:p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Government should therefore provide dedicated establishment funding for LVEPs and ensure that all destinations can participate on an equitable basis.</w:t>
      </w:r>
    </w:p>
    <w:p w:rsidR="00FB2C6E" w:rsidP="00E464A9">
      <w:p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Alongside this, a statutory framework should be introduced guaranteeing full </w:t>
      </w:r>
      <w:r w:rsidRPr="00716AAA">
        <w:rPr>
          <w:rFonts w:ascii="Aptos" w:eastAsia="Times New Roman" w:hAnsi="Aptos" w:cs="Times New Roman"/>
          <w:kern w:val="0"/>
          <w:sz w:val="24"/>
          <w:szCs w:val="24"/>
          <w:lang w:eastAsia="en-GB"/>
        </w:rPr>
        <w:t xml:space="preserve">overview </w:t>
      </w:r>
      <w:r w:rsidRPr="00716AAA">
        <w:rPr>
          <w:rFonts w:ascii="Aptos" w:eastAsia="Times New Roman" w:hAnsi="Aptos" w:cs="Times New Roman"/>
          <w:kern w:val="0"/>
          <w:sz w:val="24"/>
          <w:szCs w:val="24"/>
          <w:lang w:eastAsia="en-GB"/>
        </w:rPr>
        <w:t xml:space="preserve">of any tourism levy revenue to tourism infrastructure, destination management and visitor economy promotion. LVEPs should become statutory consultees on levy expenditure decisions within their areas, ensuring that funding supports </w:t>
      </w:r>
      <w:r w:rsidRPr="00716AAA">
        <w:rPr>
          <w:rFonts w:ascii="Aptos" w:eastAsia="Times New Roman" w:hAnsi="Aptos" w:cs="Times New Roman"/>
          <w:kern w:val="0"/>
          <w:sz w:val="24"/>
          <w:szCs w:val="24"/>
          <w:lang w:eastAsia="en-GB"/>
        </w:rPr>
        <w:t>destination-led</w:t>
      </w:r>
      <w:r w:rsidRPr="00716AAA">
        <w:rPr>
          <w:rFonts w:ascii="Aptos" w:eastAsia="Times New Roman" w:hAnsi="Aptos" w:cs="Times New Roman"/>
          <w:kern w:val="0"/>
          <w:sz w:val="24"/>
          <w:szCs w:val="24"/>
          <w:lang w:eastAsia="en-GB"/>
        </w:rPr>
        <w:t xml:space="preserve"> priorities rather than being absorbed into wider local authority budgets.</w:t>
      </w:r>
    </w:p>
    <w:p w:rsidR="00FB2C6E" w:rsidRPr="00716AAA" w:rsidP="00E464A9">
      <w:pPr>
        <w:spacing w:before="100" w:beforeAutospacing="1" w:after="100" w:afterAutospacing="1" w:line="240" w:lineRule="auto"/>
        <w:rPr>
          <w:rFonts w:ascii="Aptos" w:eastAsia="Times New Roman" w:hAnsi="Aptos" w:cs="Times New Roman"/>
          <w:kern w:val="0"/>
          <w:sz w:val="24"/>
          <w:szCs w:val="24"/>
          <w:lang w:eastAsia="en-GB"/>
        </w:rPr>
      </w:pPr>
    </w:p>
    <w:p w:rsidR="00FB2C6E" w:rsidRPr="00716AAA" w:rsidP="00E464A9">
      <w:pPr>
        <w:spacing w:before="100" w:beforeAutospacing="1" w:after="100" w:afterAutospacing="1" w:line="240" w:lineRule="auto"/>
        <w:outlineLvl w:val="1"/>
        <w:rPr>
          <w:rFonts w:ascii="Aptos" w:eastAsia="Times New Roman" w:hAnsi="Aptos" w:cs="Times New Roman"/>
          <w:b/>
          <w:bCs/>
          <w:kern w:val="0"/>
          <w:sz w:val="36"/>
          <w:szCs w:val="36"/>
          <w:lang w:eastAsia="en-GB"/>
        </w:rPr>
      </w:pPr>
      <w:r w:rsidRPr="00716AAA">
        <w:rPr>
          <w:rFonts w:ascii="Aptos" w:eastAsia="Times New Roman" w:hAnsi="Aptos" w:cs="Times New Roman"/>
          <w:b/>
          <w:bCs/>
          <w:kern w:val="0"/>
          <w:sz w:val="36"/>
          <w:szCs w:val="36"/>
          <w:lang w:eastAsia="en-GB"/>
        </w:rPr>
        <w:t>4. Tourism Competitiveness, Taxation and International Perception</w:t>
      </w:r>
    </w:p>
    <w:p w:rsidR="00FB2C6E" w:rsidRPr="00716AAA" w:rsidP="00E464A9">
      <w:p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The South East’s visitor economy is increasingly operating within a highly uncompetitive national environment.</w:t>
      </w:r>
    </w:p>
    <w:p w:rsidR="00FB2C6E" w:rsidRPr="00716AAA" w:rsidP="00E464A9">
      <w:p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Evidence from the Tourism Alliance highlights that the UK is now one of the least price competitive tourism destinations globally. According to analysis of the World Economic Forum Travel and Tourism Development Index 2024, the UK ranks 113th out of 119 countries for price competitiveness.</w:t>
      </w:r>
    </w:p>
    <w:p w:rsidR="00FB2C6E" w:rsidRPr="00716AAA" w:rsidP="00E464A9">
      <w:p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Several factors are contributing to this position:</w:t>
      </w:r>
    </w:p>
    <w:p w:rsidR="00FB2C6E" w:rsidRPr="00716AAA" w:rsidP="00E464A9">
      <w:pPr>
        <w:numPr>
          <w:ilvl w:val="0"/>
          <w:numId w:val="46"/>
        </w:num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High accommodation VAT rates compared with European competitors </w:t>
      </w:r>
    </w:p>
    <w:p w:rsidR="00FB2C6E" w:rsidRPr="00716AAA" w:rsidP="00E464A9">
      <w:pPr>
        <w:numPr>
          <w:ilvl w:val="0"/>
          <w:numId w:val="46"/>
        </w:num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The abolition of tax free shopping </w:t>
      </w:r>
    </w:p>
    <w:p w:rsidR="00FB2C6E" w:rsidRPr="00716AAA" w:rsidP="00E464A9">
      <w:pPr>
        <w:numPr>
          <w:ilvl w:val="0"/>
          <w:numId w:val="46"/>
        </w:num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Introduction of Electronic Travel Authorisations (ETAs) </w:t>
      </w:r>
    </w:p>
    <w:p w:rsidR="00FB2C6E" w:rsidRPr="00716AAA" w:rsidP="00E464A9">
      <w:pPr>
        <w:numPr>
          <w:ilvl w:val="0"/>
          <w:numId w:val="46"/>
        </w:num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High Air Passenger Duty (APD), particularly on long haul routes </w:t>
      </w:r>
    </w:p>
    <w:p w:rsidR="00FB2C6E" w:rsidRPr="00716AAA" w:rsidP="00E464A9">
      <w:pPr>
        <w:numPr>
          <w:ilvl w:val="0"/>
          <w:numId w:val="46"/>
        </w:num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Reduced air connectivity in some markets post pandemic </w:t>
      </w:r>
    </w:p>
    <w:p w:rsidR="00FB2C6E" w:rsidRPr="00716AAA" w:rsidP="00E464A9">
      <w:pPr>
        <w:numPr>
          <w:ilvl w:val="0"/>
          <w:numId w:val="46"/>
        </w:num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Higher wage, energy and supply chain costs for UK hospitality businesses </w:t>
      </w:r>
    </w:p>
    <w:p w:rsidR="00FB2C6E" w:rsidRPr="00716AAA" w:rsidP="00E464A9">
      <w:p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The UK accommodation VAT rate remains at 20%, compared with an EU average of approximately 9%. A couple staying one night in a </w:t>
      </w:r>
      <w:r w:rsidRPr="00716AAA">
        <w:rPr>
          <w:rFonts w:ascii="Aptos" w:eastAsia="Times New Roman" w:hAnsi="Aptos" w:cs="Times New Roman"/>
          <w:kern w:val="0"/>
          <w:sz w:val="24"/>
          <w:szCs w:val="24"/>
          <w:lang w:eastAsia="en-GB"/>
        </w:rPr>
        <w:t>three-star</w:t>
      </w:r>
      <w:r w:rsidRPr="00716AAA">
        <w:rPr>
          <w:rFonts w:ascii="Aptos" w:eastAsia="Times New Roman" w:hAnsi="Aptos" w:cs="Times New Roman"/>
          <w:kern w:val="0"/>
          <w:sz w:val="24"/>
          <w:szCs w:val="24"/>
          <w:lang w:eastAsia="en-GB"/>
        </w:rPr>
        <w:t xml:space="preserve"> UK hotel pays significantly more in direct taxation than they would in comparable European destinations before any local tourism levy is applied.</w:t>
      </w:r>
    </w:p>
    <w:p w:rsidR="00FB2C6E" w:rsidRPr="00716AAA" w:rsidP="00E464A9">
      <w:p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Stakeholders across the South East report growing concern that England is increasingly perceived by international visitors as both expensive and, in some cases, less welcoming or less safe than competitor destinations.</w:t>
      </w:r>
    </w:p>
    <w:p w:rsidR="00FB2C6E" w:rsidRPr="00716AAA" w:rsidP="00E464A9">
      <w:p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Visa and ETA costs also create additional barriers for international visitors. While the UK ETA is lower cost in isolation, it compares poorly in value terms against Schengen access, which allows travel across multiple European countries under a single visa arrangement. This is particularly significant for emerging inbound markets in Asia and the Gulf.</w:t>
      </w:r>
    </w:p>
    <w:p w:rsidR="00FB2C6E" w:rsidRPr="00716AAA" w:rsidP="00E464A9">
      <w:p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Cruise tourism represents a major growth opportunity for the South East, particularly for destinations such as Southampton</w:t>
      </w:r>
      <w:r w:rsidRPr="00716AAA">
        <w:rPr>
          <w:rFonts w:ascii="Aptos" w:eastAsia="Times New Roman" w:hAnsi="Aptos" w:cs="Times New Roman"/>
          <w:kern w:val="0"/>
          <w:sz w:val="24"/>
          <w:szCs w:val="24"/>
          <w:lang w:eastAsia="en-GB"/>
        </w:rPr>
        <w:t xml:space="preserve"> and Portsmouth</w:t>
      </w:r>
      <w:r w:rsidRPr="00716AAA">
        <w:rPr>
          <w:rFonts w:ascii="Aptos" w:eastAsia="Times New Roman" w:hAnsi="Aptos" w:cs="Times New Roman"/>
          <w:kern w:val="0"/>
          <w:sz w:val="24"/>
          <w:szCs w:val="24"/>
          <w:lang w:eastAsia="en-GB"/>
        </w:rPr>
        <w:t>. However, stakeholders continue to express concern that the Department for Culture, Media and Sport (DCMS) does not adequately recognise cruise tourism within national visitor economy policy, despite the Department for Transport leading a separate Cruise Growth Strategy. This disconnect limits policy coordination, visibility and investment opportunities.</w:t>
      </w:r>
    </w:p>
    <w:p w:rsidR="00FB2C6E" w:rsidRPr="00716AAA" w:rsidP="00E464A9">
      <w:p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To improve competitiveness, Government should reduce VAT on accommodation and hospitality to 10%, aligning more closely with European averages and addressing one of the most significant structural disadvantages facing both inbound and domestic tourism.</w:t>
      </w:r>
    </w:p>
    <w:p w:rsidR="00FB2C6E" w:rsidRPr="00716AAA" w:rsidP="00E464A9">
      <w:pPr>
        <w:spacing w:before="100" w:beforeAutospacing="1" w:after="100" w:afterAutospacing="1" w:line="240" w:lineRule="auto"/>
        <w:outlineLvl w:val="1"/>
        <w:rPr>
          <w:rFonts w:ascii="Aptos" w:eastAsia="Times New Roman" w:hAnsi="Aptos" w:cs="Times New Roman"/>
          <w:b/>
          <w:bCs/>
          <w:kern w:val="0"/>
          <w:sz w:val="36"/>
          <w:szCs w:val="36"/>
          <w:lang w:eastAsia="en-GB"/>
        </w:rPr>
      </w:pPr>
      <w:r w:rsidRPr="00716AAA">
        <w:rPr>
          <w:rFonts w:ascii="Aptos" w:eastAsia="Times New Roman" w:hAnsi="Aptos" w:cs="Times New Roman"/>
          <w:b/>
          <w:bCs/>
          <w:kern w:val="0"/>
          <w:sz w:val="36"/>
          <w:szCs w:val="36"/>
          <w:lang w:eastAsia="en-GB"/>
        </w:rPr>
        <w:t>5. Tourism Levy: Pros, Cons and Considerations</w:t>
      </w:r>
    </w:p>
    <w:p w:rsidR="00FB2C6E" w:rsidRPr="00716AAA" w:rsidP="00E464A9">
      <w:p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The debate around an overnight tourism levy remains active, with consultation outcomes still pending. While the proposal could generate meaningful investment for the visitor economy, significant concerns remain regarding implementation, competitiveness and governance.</w:t>
      </w:r>
    </w:p>
    <w:p w:rsidR="00FB2C6E" w:rsidRPr="00716AAA" w:rsidP="00E464A9">
      <w:pPr>
        <w:spacing w:before="100" w:beforeAutospacing="1" w:after="100" w:afterAutospacing="1" w:line="240" w:lineRule="auto"/>
        <w:outlineLvl w:val="2"/>
        <w:rPr>
          <w:rFonts w:ascii="Aptos" w:eastAsia="Times New Roman" w:hAnsi="Aptos" w:cs="Times New Roman"/>
          <w:b/>
          <w:bCs/>
          <w:kern w:val="0"/>
          <w:sz w:val="27"/>
          <w:szCs w:val="27"/>
          <w:lang w:eastAsia="en-GB"/>
        </w:rPr>
      </w:pPr>
      <w:r w:rsidRPr="00716AAA">
        <w:rPr>
          <w:rFonts w:ascii="Aptos" w:eastAsia="Times New Roman" w:hAnsi="Aptos" w:cs="Times New Roman"/>
          <w:b/>
          <w:bCs/>
          <w:kern w:val="0"/>
          <w:sz w:val="27"/>
          <w:szCs w:val="27"/>
          <w:lang w:eastAsia="en-GB"/>
        </w:rPr>
        <w:t>Potential Benefits</w:t>
      </w:r>
    </w:p>
    <w:p w:rsidR="00FB2C6E" w:rsidRPr="00716AAA" w:rsidP="00E464A9">
      <w:pPr>
        <w:numPr>
          <w:ilvl w:val="0"/>
          <w:numId w:val="47"/>
        </w:num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Generation of additional revenue for an underfunded sector </w:t>
      </w:r>
    </w:p>
    <w:p w:rsidR="00FB2C6E" w:rsidRPr="00716AAA" w:rsidP="00E464A9">
      <w:pPr>
        <w:numPr>
          <w:ilvl w:val="0"/>
          <w:numId w:val="47"/>
        </w:num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Investment in </w:t>
      </w:r>
      <w:r w:rsidRPr="00716AAA">
        <w:rPr>
          <w:rFonts w:ascii="Aptos" w:eastAsia="Times New Roman" w:hAnsi="Aptos" w:cs="Times New Roman"/>
          <w:kern w:val="0"/>
          <w:sz w:val="24"/>
          <w:szCs w:val="24"/>
          <w:lang w:eastAsia="en-GB"/>
        </w:rPr>
        <w:t>place-making</w:t>
      </w:r>
      <w:r w:rsidRPr="00716AAA">
        <w:rPr>
          <w:rFonts w:ascii="Aptos" w:eastAsia="Times New Roman" w:hAnsi="Aptos" w:cs="Times New Roman"/>
          <w:kern w:val="0"/>
          <w:sz w:val="24"/>
          <w:szCs w:val="24"/>
          <w:lang w:eastAsia="en-GB"/>
        </w:rPr>
        <w:t xml:space="preserve"> and destination infrastructure </w:t>
      </w:r>
    </w:p>
    <w:p w:rsidR="00FB2C6E" w:rsidRPr="00716AAA" w:rsidP="00E464A9">
      <w:pPr>
        <w:numPr>
          <w:ilvl w:val="0"/>
          <w:numId w:val="47"/>
        </w:num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Potential support for sustainable tourism growth if funds are transparently managed </w:t>
      </w:r>
    </w:p>
    <w:p w:rsidR="00FB2C6E" w:rsidRPr="00716AAA" w:rsidP="00E464A9">
      <w:pPr>
        <w:spacing w:before="100" w:beforeAutospacing="1" w:after="100" w:afterAutospacing="1" w:line="240" w:lineRule="auto"/>
        <w:outlineLvl w:val="2"/>
        <w:rPr>
          <w:rFonts w:ascii="Aptos" w:eastAsia="Times New Roman" w:hAnsi="Aptos" w:cs="Times New Roman"/>
          <w:b/>
          <w:bCs/>
          <w:kern w:val="0"/>
          <w:sz w:val="27"/>
          <w:szCs w:val="27"/>
          <w:lang w:eastAsia="en-GB"/>
        </w:rPr>
      </w:pPr>
      <w:r w:rsidRPr="00716AAA">
        <w:rPr>
          <w:rFonts w:ascii="Aptos" w:eastAsia="Times New Roman" w:hAnsi="Aptos" w:cs="Times New Roman"/>
          <w:b/>
          <w:bCs/>
          <w:kern w:val="0"/>
          <w:sz w:val="27"/>
          <w:szCs w:val="27"/>
          <w:lang w:eastAsia="en-GB"/>
        </w:rPr>
        <w:t>Risks and Concerns</w:t>
      </w:r>
    </w:p>
    <w:p w:rsidR="00FB2C6E" w:rsidRPr="00716AAA" w:rsidP="00E464A9">
      <w:pPr>
        <w:numPr>
          <w:ilvl w:val="0"/>
          <w:numId w:val="48"/>
        </w:num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Without ringfencing, levy income may simply offset wider local authority budget pressures rather than supporting the visitor economy directly. </w:t>
      </w:r>
    </w:p>
    <w:p w:rsidR="00FB2C6E" w:rsidRPr="00716AAA" w:rsidP="00E464A9">
      <w:pPr>
        <w:numPr>
          <w:ilvl w:val="0"/>
          <w:numId w:val="48"/>
        </w:num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The UK is already regarded as one of the most expensive tourism markets globally, and additional charges may further reduce competitiveness. </w:t>
      </w:r>
    </w:p>
    <w:p w:rsidR="00FB2C6E" w:rsidRPr="00716AAA" w:rsidP="00E464A9">
      <w:pPr>
        <w:numPr>
          <w:ilvl w:val="0"/>
          <w:numId w:val="48"/>
        </w:num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There is currently limited clarity on whether residents would be exempt from levy arrangements. </w:t>
      </w:r>
    </w:p>
    <w:p w:rsidR="00FB2C6E" w:rsidRPr="00716AAA" w:rsidP="00E464A9">
      <w:pPr>
        <w:numPr>
          <w:ilvl w:val="0"/>
          <w:numId w:val="48"/>
        </w:num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Businesses across Hampshire and the wider South East report mixed views and limited understanding of how a levy would operate in practice. </w:t>
      </w:r>
    </w:p>
    <w:p w:rsidR="00FB2C6E" w:rsidRPr="00716AAA" w:rsidP="00E464A9">
      <w:pPr>
        <w:numPr>
          <w:ilvl w:val="0"/>
          <w:numId w:val="48"/>
        </w:num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Different sectors may be affected unevenly. For example, cruise markets may respond differently to levies than traditional overnight accommodation sectors. </w:t>
      </w:r>
    </w:p>
    <w:p w:rsidR="00FB2C6E" w:rsidRPr="00716AAA" w:rsidP="00E464A9">
      <w:p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There are examples where visitor levies have operated successfully, including Manchester and Liverpool, where schemes have been linked to clearly defined visitor economy outcomes and developed with strong industry engagement. International cruise destinations have also used levies effectively, although the UK market context differs significantly.</w:t>
      </w:r>
    </w:p>
    <w:p w:rsidR="00FB2C6E" w:rsidRPr="00716AAA" w:rsidP="00E464A9">
      <w:p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For the South East, any future tourism levy must be transparent, locally accountable and fully ringfenced for visitor economy investment.</w:t>
      </w:r>
    </w:p>
    <w:p w:rsidR="00FB2C6E" w:rsidRPr="00716AAA" w:rsidP="00E464A9">
      <w:pPr>
        <w:spacing w:before="100" w:beforeAutospacing="1" w:after="100" w:afterAutospacing="1" w:line="240" w:lineRule="auto"/>
        <w:outlineLvl w:val="1"/>
        <w:rPr>
          <w:rFonts w:ascii="Aptos" w:eastAsia="Times New Roman" w:hAnsi="Aptos" w:cs="Times New Roman"/>
          <w:b/>
          <w:bCs/>
          <w:kern w:val="0"/>
          <w:sz w:val="36"/>
          <w:szCs w:val="36"/>
          <w:lang w:eastAsia="en-GB"/>
        </w:rPr>
      </w:pPr>
      <w:r w:rsidRPr="00716AAA">
        <w:rPr>
          <w:rFonts w:ascii="Aptos" w:eastAsia="Times New Roman" w:hAnsi="Aptos" w:cs="Times New Roman"/>
          <w:b/>
          <w:bCs/>
          <w:kern w:val="0"/>
          <w:sz w:val="36"/>
          <w:szCs w:val="36"/>
          <w:lang w:eastAsia="en-GB"/>
        </w:rPr>
        <w:t>6. Conclusion and Recommendations</w:t>
      </w:r>
    </w:p>
    <w:p w:rsidR="00FB2C6E" w:rsidRPr="00716AAA" w:rsidP="00E464A9">
      <w:p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To unlock the full potential of the South East visitor </w:t>
      </w:r>
      <w:r w:rsidRPr="00716AAA">
        <w:rPr>
          <w:rFonts w:ascii="Aptos" w:eastAsia="Times New Roman" w:hAnsi="Aptos" w:cs="Times New Roman"/>
          <w:kern w:val="0"/>
          <w:sz w:val="24"/>
          <w:szCs w:val="24"/>
          <w:lang w:eastAsia="en-GB"/>
        </w:rPr>
        <w:t xml:space="preserve">economy, we believe the areas should be the priorities when focusing on the Future of Tourism:  </w:t>
      </w:r>
    </w:p>
    <w:p w:rsidR="00FB2C6E" w:rsidRPr="00716AAA" w:rsidP="00E464A9">
      <w:pPr>
        <w:numPr>
          <w:ilvl w:val="0"/>
          <w:numId w:val="49"/>
        </w:num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Provide pump prime funding for LVEP establishment, ensuring all destinations — not only Mayoral Combined Authorities — can participate effectively. </w:t>
      </w:r>
    </w:p>
    <w:p w:rsidR="00FB2C6E" w:rsidRPr="00716AAA" w:rsidP="00E464A9">
      <w:pPr>
        <w:numPr>
          <w:ilvl w:val="0"/>
          <w:numId w:val="49"/>
        </w:num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Recognise tourism and culture as core economic sectors within national growth policy. </w:t>
      </w:r>
    </w:p>
    <w:p w:rsidR="00FB2C6E" w:rsidRPr="00716AAA" w:rsidP="00E464A9">
      <w:pPr>
        <w:numPr>
          <w:ilvl w:val="0"/>
          <w:numId w:val="49"/>
        </w:num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Ensure fairness and equitable support for both the North and South of the country. </w:t>
      </w:r>
    </w:p>
    <w:p w:rsidR="00FB2C6E" w:rsidRPr="00716AAA" w:rsidP="00E464A9">
      <w:pPr>
        <w:numPr>
          <w:ilvl w:val="0"/>
          <w:numId w:val="49"/>
        </w:num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Recognise cruise tourism formally within DCMS policy and align departmental tourism strategies. </w:t>
      </w:r>
    </w:p>
    <w:p w:rsidR="00FB2C6E" w:rsidRPr="00716AAA" w:rsidP="00E464A9">
      <w:pPr>
        <w:numPr>
          <w:ilvl w:val="0"/>
          <w:numId w:val="49"/>
        </w:num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Reduce VAT on accommodation and hospitality to 10% to improve international competitiveness. </w:t>
      </w:r>
    </w:p>
    <w:p w:rsidR="00FB2C6E" w:rsidRPr="00716AAA" w:rsidP="00E464A9">
      <w:pPr>
        <w:numPr>
          <w:ilvl w:val="0"/>
          <w:numId w:val="49"/>
        </w:num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Support coastal and rural businesses facing acute operational cost pressures. </w:t>
      </w:r>
    </w:p>
    <w:p w:rsidR="00FB2C6E" w:rsidRPr="00716AAA" w:rsidP="00E464A9">
      <w:pPr>
        <w:numPr>
          <w:ilvl w:val="0"/>
          <w:numId w:val="49"/>
        </w:num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Ensure any tourism levy is fully ringfenced, transparent and reinvested directly into the visitor economy. </w:t>
      </w:r>
    </w:p>
    <w:p w:rsidR="00FB2C6E" w:rsidRPr="00716AAA" w:rsidP="00E464A9">
      <w:pPr>
        <w:numPr>
          <w:ilvl w:val="0"/>
          <w:numId w:val="49"/>
        </w:num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Strengthen destination management capacity to support visitor dispersal and sustainable growth across the whole region. </w:t>
      </w:r>
    </w:p>
    <w:p w:rsidR="00FB2C6E" w:rsidRPr="00716AAA" w:rsidP="00E464A9">
      <w:pPr>
        <w:numPr>
          <w:ilvl w:val="0"/>
          <w:numId w:val="49"/>
        </w:num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 xml:space="preserve">Provide greater clarity and support regarding </w:t>
      </w:r>
      <w:r w:rsidRPr="00716AAA">
        <w:rPr>
          <w:rFonts w:ascii="Aptos" w:eastAsia="Times New Roman" w:hAnsi="Aptos" w:cs="Times New Roman"/>
          <w:kern w:val="0"/>
          <w:sz w:val="24"/>
          <w:szCs w:val="24"/>
          <w:lang w:eastAsia="en-GB"/>
        </w:rPr>
        <w:t>short-term</w:t>
      </w:r>
      <w:r w:rsidRPr="00716AAA">
        <w:rPr>
          <w:rFonts w:ascii="Aptos" w:eastAsia="Times New Roman" w:hAnsi="Aptos" w:cs="Times New Roman"/>
          <w:kern w:val="0"/>
          <w:sz w:val="24"/>
          <w:szCs w:val="24"/>
          <w:lang w:eastAsia="en-GB"/>
        </w:rPr>
        <w:t xml:space="preserve"> lets regulation and local government reorganisation impacts on tourism delivery. </w:t>
      </w:r>
    </w:p>
    <w:p w:rsidR="00FB2C6E" w:rsidRPr="00716AAA" w:rsidP="00E464A9">
      <w:pPr>
        <w:spacing w:before="100" w:beforeAutospacing="1" w:after="100" w:afterAutospacing="1" w:line="240" w:lineRule="auto"/>
        <w:rPr>
          <w:rFonts w:ascii="Aptos" w:eastAsia="Times New Roman" w:hAnsi="Aptos" w:cs="Times New Roman"/>
          <w:kern w:val="0"/>
          <w:sz w:val="24"/>
          <w:szCs w:val="24"/>
          <w:lang w:eastAsia="en-GB"/>
        </w:rPr>
      </w:pPr>
      <w:r w:rsidRPr="00716AAA">
        <w:rPr>
          <w:rFonts w:ascii="Aptos" w:eastAsia="Times New Roman" w:hAnsi="Aptos" w:cs="Times New Roman"/>
          <w:kern w:val="0"/>
          <w:sz w:val="24"/>
          <w:szCs w:val="24"/>
          <w:lang w:eastAsia="en-GB"/>
        </w:rPr>
        <w:t>The South East has the assets, skills and ambition to deliver substantial economic and social value through tourism. With the right national support and investment framework, the region can play a leading role in the future growth and competitiveness of the UK visitor economy.</w:t>
      </w:r>
    </w:p>
    <w:p w:rsidR="00FB2C6E"/>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71ADB"/>
    <w:multiLevelType w:val="multilevel"/>
    <w:tmpl w:val="D4463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B964FB"/>
    <w:multiLevelType w:val="multilevel"/>
    <w:tmpl w:val="5A90D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AE6BE8"/>
    <w:multiLevelType w:val="multilevel"/>
    <w:tmpl w:val="DF9C0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A249D8"/>
    <w:multiLevelType w:val="multilevel"/>
    <w:tmpl w:val="58A29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B51E48"/>
    <w:multiLevelType w:val="multilevel"/>
    <w:tmpl w:val="C360D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7C20EE"/>
    <w:multiLevelType w:val="multilevel"/>
    <w:tmpl w:val="E376B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145C1F"/>
    <w:multiLevelType w:val="multilevel"/>
    <w:tmpl w:val="A0FEA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F77BE5"/>
    <w:multiLevelType w:val="multilevel"/>
    <w:tmpl w:val="B6E06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336FE5"/>
    <w:multiLevelType w:val="multilevel"/>
    <w:tmpl w:val="04E04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156365"/>
    <w:multiLevelType w:val="multilevel"/>
    <w:tmpl w:val="B296B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F50962"/>
    <w:multiLevelType w:val="multilevel"/>
    <w:tmpl w:val="5790B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0D5C66"/>
    <w:multiLevelType w:val="multilevel"/>
    <w:tmpl w:val="14F08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E75E1D"/>
    <w:multiLevelType w:val="multilevel"/>
    <w:tmpl w:val="940AB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7B12BD"/>
    <w:multiLevelType w:val="multilevel"/>
    <w:tmpl w:val="3A646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C881AD0"/>
    <w:multiLevelType w:val="multilevel"/>
    <w:tmpl w:val="8DA44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5A2CF9"/>
    <w:multiLevelType w:val="multilevel"/>
    <w:tmpl w:val="F16EC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164E5C"/>
    <w:multiLevelType w:val="multilevel"/>
    <w:tmpl w:val="ACEC4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5BF12BF"/>
    <w:multiLevelType w:val="multilevel"/>
    <w:tmpl w:val="99E69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B711F4D"/>
    <w:multiLevelType w:val="multilevel"/>
    <w:tmpl w:val="0DFA8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6D4EB5"/>
    <w:multiLevelType w:val="multilevel"/>
    <w:tmpl w:val="82BCC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2475096"/>
    <w:multiLevelType w:val="multilevel"/>
    <w:tmpl w:val="83EA0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3A66959"/>
    <w:multiLevelType w:val="multilevel"/>
    <w:tmpl w:val="9814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50B7405"/>
    <w:multiLevelType w:val="multilevel"/>
    <w:tmpl w:val="653E6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6C40274"/>
    <w:multiLevelType w:val="multilevel"/>
    <w:tmpl w:val="A8BE1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93E0491"/>
    <w:multiLevelType w:val="multilevel"/>
    <w:tmpl w:val="A3242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EBC563E"/>
    <w:multiLevelType w:val="multilevel"/>
    <w:tmpl w:val="8AEE4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F000A0B"/>
    <w:multiLevelType w:val="multilevel"/>
    <w:tmpl w:val="131C5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093EC1"/>
    <w:multiLevelType w:val="multilevel"/>
    <w:tmpl w:val="75A24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11E36D9"/>
    <w:multiLevelType w:val="multilevel"/>
    <w:tmpl w:val="BEE86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3AD59BF"/>
    <w:multiLevelType w:val="multilevel"/>
    <w:tmpl w:val="95DA6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4395DC4"/>
    <w:multiLevelType w:val="multilevel"/>
    <w:tmpl w:val="FA02B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54F0329"/>
    <w:multiLevelType w:val="multilevel"/>
    <w:tmpl w:val="DF3A7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72459CC"/>
    <w:multiLevelType w:val="multilevel"/>
    <w:tmpl w:val="46245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77748E3"/>
    <w:multiLevelType w:val="multilevel"/>
    <w:tmpl w:val="CBFC0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A3856E7"/>
    <w:multiLevelType w:val="multilevel"/>
    <w:tmpl w:val="4470F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E3D0511"/>
    <w:multiLevelType w:val="multilevel"/>
    <w:tmpl w:val="34EA6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550846"/>
    <w:multiLevelType w:val="multilevel"/>
    <w:tmpl w:val="111A5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0A5534F"/>
    <w:multiLevelType w:val="multilevel"/>
    <w:tmpl w:val="8DE4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A6D3624"/>
    <w:multiLevelType w:val="multilevel"/>
    <w:tmpl w:val="A4BC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804918"/>
    <w:multiLevelType w:val="multilevel"/>
    <w:tmpl w:val="C44A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B8E70ED"/>
    <w:multiLevelType w:val="multilevel"/>
    <w:tmpl w:val="16CCD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C634EBB"/>
    <w:multiLevelType w:val="multilevel"/>
    <w:tmpl w:val="5316F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D5A6268"/>
    <w:multiLevelType w:val="multilevel"/>
    <w:tmpl w:val="F4506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D71477E"/>
    <w:multiLevelType w:val="multilevel"/>
    <w:tmpl w:val="D396D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2DB15A1"/>
    <w:multiLevelType w:val="multilevel"/>
    <w:tmpl w:val="0952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3F83824"/>
    <w:multiLevelType w:val="hybridMultilevel"/>
    <w:tmpl w:val="140A3B8A"/>
    <w:lvl w:ilvl="0">
      <w:start w:val="0"/>
      <w:numFmt w:val="bullet"/>
      <w:lvlText w:val="-"/>
      <w:lvlJc w:val="left"/>
      <w:pPr>
        <w:ind w:left="420" w:hanging="360"/>
      </w:pPr>
      <w:rPr>
        <w:rFonts w:ascii="Times New Roman" w:eastAsia="Times New Roman" w:hAnsi="Times New Roman" w:cs="Times New Roman" w:hint="default"/>
      </w:rPr>
    </w:lvl>
    <w:lvl w:ilvl="1" w:tentative="1">
      <w:start w:val="1"/>
      <w:numFmt w:val="bullet"/>
      <w:lvlText w:val="o"/>
      <w:lvlJc w:val="left"/>
      <w:pPr>
        <w:ind w:left="1140" w:hanging="360"/>
      </w:pPr>
      <w:rPr>
        <w:rFonts w:ascii="Courier New" w:hAnsi="Courier New" w:cs="Courier New" w:hint="default"/>
      </w:rPr>
    </w:lvl>
    <w:lvl w:ilvl="2" w:tentative="1">
      <w:start w:val="1"/>
      <w:numFmt w:val="bullet"/>
      <w:lvlText w:val=""/>
      <w:lvlJc w:val="left"/>
      <w:pPr>
        <w:ind w:left="1860" w:hanging="360"/>
      </w:pPr>
      <w:rPr>
        <w:rFonts w:ascii="Wingdings" w:hAnsi="Wingdings" w:hint="default"/>
      </w:rPr>
    </w:lvl>
    <w:lvl w:ilvl="3" w:tentative="1">
      <w:start w:val="1"/>
      <w:numFmt w:val="bullet"/>
      <w:lvlText w:val=""/>
      <w:lvlJc w:val="left"/>
      <w:pPr>
        <w:ind w:left="2580" w:hanging="360"/>
      </w:pPr>
      <w:rPr>
        <w:rFonts w:ascii="Symbol" w:hAnsi="Symbol" w:hint="default"/>
      </w:rPr>
    </w:lvl>
    <w:lvl w:ilvl="4" w:tentative="1">
      <w:start w:val="1"/>
      <w:numFmt w:val="bullet"/>
      <w:lvlText w:val="o"/>
      <w:lvlJc w:val="left"/>
      <w:pPr>
        <w:ind w:left="3300" w:hanging="360"/>
      </w:pPr>
      <w:rPr>
        <w:rFonts w:ascii="Courier New" w:hAnsi="Courier New" w:cs="Courier New" w:hint="default"/>
      </w:rPr>
    </w:lvl>
    <w:lvl w:ilvl="5" w:tentative="1">
      <w:start w:val="1"/>
      <w:numFmt w:val="bullet"/>
      <w:lvlText w:val=""/>
      <w:lvlJc w:val="left"/>
      <w:pPr>
        <w:ind w:left="4020" w:hanging="360"/>
      </w:pPr>
      <w:rPr>
        <w:rFonts w:ascii="Wingdings" w:hAnsi="Wingdings" w:hint="default"/>
      </w:rPr>
    </w:lvl>
    <w:lvl w:ilvl="6" w:tentative="1">
      <w:start w:val="1"/>
      <w:numFmt w:val="bullet"/>
      <w:lvlText w:val=""/>
      <w:lvlJc w:val="left"/>
      <w:pPr>
        <w:ind w:left="4740" w:hanging="360"/>
      </w:pPr>
      <w:rPr>
        <w:rFonts w:ascii="Symbol" w:hAnsi="Symbol" w:hint="default"/>
      </w:rPr>
    </w:lvl>
    <w:lvl w:ilvl="7" w:tentative="1">
      <w:start w:val="1"/>
      <w:numFmt w:val="bullet"/>
      <w:lvlText w:val="o"/>
      <w:lvlJc w:val="left"/>
      <w:pPr>
        <w:ind w:left="5460" w:hanging="360"/>
      </w:pPr>
      <w:rPr>
        <w:rFonts w:ascii="Courier New" w:hAnsi="Courier New" w:cs="Courier New" w:hint="default"/>
      </w:rPr>
    </w:lvl>
    <w:lvl w:ilvl="8" w:tentative="1">
      <w:start w:val="1"/>
      <w:numFmt w:val="bullet"/>
      <w:lvlText w:val=""/>
      <w:lvlJc w:val="left"/>
      <w:pPr>
        <w:ind w:left="6180" w:hanging="360"/>
      </w:pPr>
      <w:rPr>
        <w:rFonts w:ascii="Wingdings" w:hAnsi="Wingdings" w:hint="default"/>
      </w:rPr>
    </w:lvl>
  </w:abstractNum>
  <w:abstractNum w:abstractNumId="46">
    <w:nsid w:val="74041DD4"/>
    <w:multiLevelType w:val="multilevel"/>
    <w:tmpl w:val="F35EE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5325DB4"/>
    <w:multiLevelType w:val="multilevel"/>
    <w:tmpl w:val="F61AE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D3061C4"/>
    <w:multiLevelType w:val="multilevel"/>
    <w:tmpl w:val="D084F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43"/>
  </w:num>
  <w:num w:numId="3">
    <w:abstractNumId w:val="33"/>
  </w:num>
  <w:num w:numId="4">
    <w:abstractNumId w:val="12"/>
  </w:num>
  <w:num w:numId="5">
    <w:abstractNumId w:val="25"/>
  </w:num>
  <w:num w:numId="6">
    <w:abstractNumId w:val="21"/>
  </w:num>
  <w:num w:numId="7">
    <w:abstractNumId w:val="39"/>
  </w:num>
  <w:num w:numId="8">
    <w:abstractNumId w:val="0"/>
  </w:num>
  <w:num w:numId="9">
    <w:abstractNumId w:val="19"/>
  </w:num>
  <w:num w:numId="10">
    <w:abstractNumId w:val="31"/>
  </w:num>
  <w:num w:numId="11">
    <w:abstractNumId w:val="48"/>
  </w:num>
  <w:num w:numId="12">
    <w:abstractNumId w:val="9"/>
  </w:num>
  <w:num w:numId="13">
    <w:abstractNumId w:val="24"/>
  </w:num>
  <w:num w:numId="14">
    <w:abstractNumId w:val="11"/>
  </w:num>
  <w:num w:numId="15">
    <w:abstractNumId w:val="44"/>
  </w:num>
  <w:num w:numId="16">
    <w:abstractNumId w:val="47"/>
  </w:num>
  <w:num w:numId="17">
    <w:abstractNumId w:val="14"/>
  </w:num>
  <w:num w:numId="18">
    <w:abstractNumId w:val="5"/>
  </w:num>
  <w:num w:numId="19">
    <w:abstractNumId w:val="28"/>
  </w:num>
  <w:num w:numId="20">
    <w:abstractNumId w:val="16"/>
  </w:num>
  <w:num w:numId="21">
    <w:abstractNumId w:val="41"/>
  </w:num>
  <w:num w:numId="22">
    <w:abstractNumId w:val="34"/>
  </w:num>
  <w:num w:numId="23">
    <w:abstractNumId w:val="30"/>
  </w:num>
  <w:num w:numId="24">
    <w:abstractNumId w:val="46"/>
  </w:num>
  <w:num w:numId="25">
    <w:abstractNumId w:val="42"/>
  </w:num>
  <w:num w:numId="26">
    <w:abstractNumId w:val="20"/>
  </w:num>
  <w:num w:numId="27">
    <w:abstractNumId w:val="23"/>
  </w:num>
  <w:num w:numId="28">
    <w:abstractNumId w:val="13"/>
  </w:num>
  <w:num w:numId="29">
    <w:abstractNumId w:val="38"/>
  </w:num>
  <w:num w:numId="30">
    <w:abstractNumId w:val="36"/>
  </w:num>
  <w:num w:numId="31">
    <w:abstractNumId w:val="37"/>
  </w:num>
  <w:num w:numId="32">
    <w:abstractNumId w:val="29"/>
  </w:num>
  <w:num w:numId="33">
    <w:abstractNumId w:val="10"/>
  </w:num>
  <w:num w:numId="34">
    <w:abstractNumId w:val="26"/>
  </w:num>
  <w:num w:numId="35">
    <w:abstractNumId w:val="4"/>
  </w:num>
  <w:num w:numId="36">
    <w:abstractNumId w:val="27"/>
  </w:num>
  <w:num w:numId="37">
    <w:abstractNumId w:val="17"/>
  </w:num>
  <w:num w:numId="38">
    <w:abstractNumId w:val="1"/>
  </w:num>
  <w:num w:numId="39">
    <w:abstractNumId w:val="35"/>
  </w:num>
  <w:num w:numId="40">
    <w:abstractNumId w:val="22"/>
  </w:num>
  <w:num w:numId="41">
    <w:abstractNumId w:val="8"/>
  </w:num>
  <w:num w:numId="42">
    <w:abstractNumId w:val="6"/>
  </w:num>
  <w:num w:numId="43">
    <w:abstractNumId w:val="45"/>
  </w:num>
  <w:num w:numId="44">
    <w:abstractNumId w:val="40"/>
  </w:num>
  <w:num w:numId="45">
    <w:abstractNumId w:val="15"/>
  </w:num>
  <w:num w:numId="46">
    <w:abstractNumId w:val="2"/>
  </w:num>
  <w:num w:numId="47">
    <w:abstractNumId w:val="7"/>
  </w:num>
  <w:num w:numId="48">
    <w:abstractNumId w:val="3"/>
  </w:num>
  <w:num w:numId="4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2713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713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7138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7138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7138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713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13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13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13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38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7138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7138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7138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7138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713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13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13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1383"/>
    <w:rPr>
      <w:rFonts w:eastAsiaTheme="majorEastAsia" w:cstheme="majorBidi"/>
      <w:color w:val="272727" w:themeColor="text1" w:themeTint="D8"/>
    </w:rPr>
  </w:style>
  <w:style w:type="paragraph" w:styleId="Title">
    <w:name w:val="Title"/>
    <w:basedOn w:val="Normal"/>
    <w:next w:val="Normal"/>
    <w:link w:val="TitleChar"/>
    <w:uiPriority w:val="10"/>
    <w:qFormat/>
    <w:rsid w:val="002713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13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13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13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1383"/>
    <w:pPr>
      <w:spacing w:before="160"/>
      <w:jc w:val="center"/>
    </w:pPr>
    <w:rPr>
      <w:i/>
      <w:iCs/>
      <w:color w:val="404040" w:themeColor="text1" w:themeTint="BF"/>
    </w:rPr>
  </w:style>
  <w:style w:type="character" w:customStyle="1" w:styleId="QuoteChar">
    <w:name w:val="Quote Char"/>
    <w:basedOn w:val="DefaultParagraphFont"/>
    <w:link w:val="Quote"/>
    <w:uiPriority w:val="29"/>
    <w:rsid w:val="00271383"/>
    <w:rPr>
      <w:i/>
      <w:iCs/>
      <w:color w:val="404040" w:themeColor="text1" w:themeTint="BF"/>
    </w:rPr>
  </w:style>
  <w:style w:type="paragraph" w:styleId="ListParagraph">
    <w:name w:val="List Paragraph"/>
    <w:basedOn w:val="Normal"/>
    <w:uiPriority w:val="34"/>
    <w:qFormat/>
    <w:rsid w:val="00271383"/>
    <w:pPr>
      <w:ind w:left="720"/>
      <w:contextualSpacing/>
    </w:pPr>
  </w:style>
  <w:style w:type="character" w:styleId="IntenseEmphasis">
    <w:name w:val="Intense Emphasis"/>
    <w:basedOn w:val="DefaultParagraphFont"/>
    <w:uiPriority w:val="21"/>
    <w:qFormat/>
    <w:rsid w:val="00271383"/>
    <w:rPr>
      <w:i/>
      <w:iCs/>
      <w:color w:val="2F5496" w:themeColor="accent1" w:themeShade="BF"/>
    </w:rPr>
  </w:style>
  <w:style w:type="paragraph" w:styleId="IntenseQuote">
    <w:name w:val="Intense Quote"/>
    <w:basedOn w:val="Normal"/>
    <w:next w:val="Normal"/>
    <w:link w:val="IntenseQuoteChar"/>
    <w:uiPriority w:val="30"/>
    <w:qFormat/>
    <w:rsid w:val="002713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71383"/>
    <w:rPr>
      <w:i/>
      <w:iCs/>
      <w:color w:val="2F5496" w:themeColor="accent1" w:themeShade="BF"/>
    </w:rPr>
  </w:style>
  <w:style w:type="character" w:styleId="IntenseReference">
    <w:name w:val="Intense Reference"/>
    <w:basedOn w:val="DefaultParagraphFont"/>
    <w:uiPriority w:val="32"/>
    <w:qFormat/>
    <w:rsid w:val="00271383"/>
    <w:rPr>
      <w:b/>
      <w:bCs/>
      <w:smallCaps/>
      <w:color w:val="2F5496" w:themeColor="accent1" w:themeShade="BF"/>
      <w:spacing w:val="5"/>
    </w:rPr>
  </w:style>
  <w:style w:type="paragraph" w:styleId="NormalWeb">
    <w:name w:val="Normal (Web)"/>
    <w:basedOn w:val="Normal"/>
    <w:uiPriority w:val="99"/>
    <w:unhideWhenUsed/>
    <w:rsid w:val="00716AAA"/>
    <w:pPr>
      <w:spacing w:before="100" w:beforeAutospacing="1" w:after="100" w:afterAutospacing="1" w:line="240" w:lineRule="auto"/>
    </w:pPr>
    <w:rPr>
      <w:rFonts w:ascii="Times New Roman" w:eastAsia="Times New Roman" w:hAnsi="Times New Roman" w:cs="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TOU0068</dc:title>
  <cp:revision>0</cp:revision>
</cp:coreProperties>
</file>