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D156E" w:rsidRPr="00560C4C" w:rsidP="005D156E">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the British Retail Consortium</w:t>
      </w:r>
    </w:p>
    <w:p w:rsidR="005D156E" w:rsidRPr="005D156E" w:rsidP="009B0C30">
      <w:pPr>
        <w:pStyle w:val="paragraph"/>
        <w:spacing w:before="0" w:beforeAutospacing="0" w:after="0" w:afterAutospacing="0" w:line="276" w:lineRule="auto"/>
        <w:contextualSpacing/>
        <w:textAlignment w:val="baseline"/>
        <w:rPr>
          <w:rStyle w:val="normaltextrun"/>
          <w:rFonts w:ascii="Lato" w:hAnsi="Lato" w:eastAsiaTheme="majorEastAsia" w:cs="Segoe UI"/>
          <w:b/>
          <w:bCs/>
          <w:color w:val="92278F"/>
          <w:sz w:val="22"/>
          <w:szCs w:val="22"/>
        </w:rPr>
      </w:pPr>
    </w:p>
    <w:p w:rsidR="00EA4DE4" w:rsidRPr="009D6C55" w:rsidP="00D81DB4">
      <w:pPr>
        <w:pStyle w:val="paragraph"/>
        <w:spacing w:before="0" w:beforeAutospacing="0" w:after="0" w:afterAutospacing="0" w:line="276" w:lineRule="auto"/>
        <w:textAlignment w:val="baseline"/>
        <w:rPr>
          <w:rFonts w:ascii="Lato" w:hAnsi="Lato" w:eastAsiaTheme="majorEastAsia" w:cs="Segoe UI"/>
          <w:sz w:val="22"/>
          <w:szCs w:val="22"/>
        </w:rPr>
      </w:pPr>
      <w:r w:rsidRPr="009D6C55">
        <w:rPr>
          <w:rFonts w:ascii="Lato" w:hAnsi="Lato" w:eastAsiaTheme="majorEastAsia" w:cs="Segoe UI"/>
          <w:sz w:val="22"/>
          <w:szCs w:val="22"/>
        </w:rPr>
        <w:t>The BRC is the lead trade association for UK retail. Our purpose is to make a positive difference to the retail industry and the customers it serves, today and in the future.</w:t>
      </w:r>
    </w:p>
    <w:p w:rsidR="00EA4DE4" w:rsidRPr="009D6C55" w:rsidP="00D81DB4">
      <w:pPr>
        <w:pStyle w:val="paragraph"/>
        <w:spacing w:before="0" w:beforeAutospacing="0" w:after="0" w:afterAutospacing="0" w:line="276" w:lineRule="auto"/>
        <w:textAlignment w:val="baseline"/>
        <w:rPr>
          <w:rFonts w:ascii="Lato" w:hAnsi="Lato" w:eastAsiaTheme="majorEastAsia" w:cs="Segoe UI"/>
          <w:sz w:val="22"/>
          <w:szCs w:val="22"/>
        </w:rPr>
      </w:pPr>
    </w:p>
    <w:p w:rsidR="00EA4DE4" w:rsidRPr="009D6C55" w:rsidP="00D81DB4">
      <w:pPr>
        <w:pStyle w:val="paragraph"/>
        <w:spacing w:before="0" w:beforeAutospacing="0" w:after="0" w:afterAutospacing="0" w:line="276" w:lineRule="auto"/>
        <w:textAlignment w:val="baseline"/>
        <w:rPr>
          <w:rFonts w:ascii="Lato" w:hAnsi="Lato" w:eastAsiaTheme="majorEastAsia" w:cs="Segoe UI"/>
          <w:sz w:val="22"/>
          <w:szCs w:val="22"/>
        </w:rPr>
      </w:pPr>
      <w:r w:rsidRPr="009D6C55">
        <w:rPr>
          <w:rFonts w:ascii="Lato" w:hAnsi="Lato" w:eastAsiaTheme="majorEastAsia" w:cs="Segoe UI"/>
          <w:sz w:val="22"/>
          <w:szCs w:val="22"/>
        </w:rPr>
        <w:t>Retail is the ‘everywhere economy’, a vital part of the socio-economic fabric of the UK. The industry makes up 5% of UK GDP and is the largest private sector employer, providing 3 million direct jobs and 2.7 million more in the supply chain. Retail has a presence in every village, town and city across the country.</w:t>
      </w:r>
    </w:p>
    <w:p w:rsidR="00EA4DE4" w:rsidRPr="009D6C55" w:rsidP="00D81DB4">
      <w:pPr>
        <w:pStyle w:val="paragraph"/>
        <w:spacing w:before="0" w:beforeAutospacing="0" w:after="0" w:afterAutospacing="0" w:line="276" w:lineRule="auto"/>
        <w:textAlignment w:val="baseline"/>
        <w:rPr>
          <w:rFonts w:ascii="Lato" w:hAnsi="Lato" w:eastAsiaTheme="majorEastAsia" w:cs="Segoe UI"/>
          <w:sz w:val="22"/>
          <w:szCs w:val="22"/>
        </w:rPr>
      </w:pPr>
    </w:p>
    <w:p w:rsidR="00EA4DE4" w:rsidRPr="009D6C55" w:rsidP="00D81DB4">
      <w:pPr>
        <w:pStyle w:val="paragraph"/>
        <w:spacing w:before="0" w:beforeAutospacing="0" w:after="0" w:afterAutospacing="0" w:line="276" w:lineRule="auto"/>
        <w:textAlignment w:val="baseline"/>
        <w:rPr>
          <w:rFonts w:ascii="Lato" w:hAnsi="Lato" w:eastAsiaTheme="majorEastAsia" w:cs="Segoe UI"/>
          <w:sz w:val="22"/>
          <w:szCs w:val="22"/>
        </w:rPr>
      </w:pPr>
      <w:r w:rsidRPr="009D6C55">
        <w:rPr>
          <w:rFonts w:ascii="Lato" w:hAnsi="Lato" w:eastAsiaTheme="majorEastAsia" w:cs="Segoe UI"/>
          <w:sz w:val="22"/>
          <w:szCs w:val="22"/>
        </w:rPr>
        <w:t>Over 200 major retailers are members of the BRC, with thousands of smaller, independents represented by BRC’s trade association members. Together, these businesses operate across all retail channels and categories and deliver over £350 billion of retail sales per year.</w:t>
      </w:r>
    </w:p>
    <w:p w:rsidR="00EA4DE4" w:rsidRPr="009D6C55" w:rsidP="00D81DB4">
      <w:pPr>
        <w:pStyle w:val="paragraph"/>
        <w:spacing w:before="0" w:beforeAutospacing="0" w:after="0" w:afterAutospacing="0" w:line="276" w:lineRule="auto"/>
        <w:textAlignment w:val="baseline"/>
        <w:rPr>
          <w:rFonts w:ascii="Lato" w:hAnsi="Lato" w:eastAsiaTheme="majorEastAsia" w:cs="Segoe UI"/>
          <w:sz w:val="22"/>
          <w:szCs w:val="22"/>
        </w:rPr>
      </w:pPr>
    </w:p>
    <w:p w:rsidR="00EA4DE4" w:rsidRPr="009D6C55" w:rsidP="009B0C30">
      <w:pPr>
        <w:pStyle w:val="paragraph"/>
        <w:spacing w:before="0" w:beforeAutospacing="0" w:after="0" w:afterAutospacing="0" w:line="276" w:lineRule="auto"/>
        <w:textAlignment w:val="baseline"/>
        <w:rPr>
          <w:rStyle w:val="normaltextrun"/>
          <w:rFonts w:ascii="Lato" w:hAnsi="Lato" w:eastAsiaTheme="majorEastAsia" w:cs="Segoe UI"/>
          <w:sz w:val="22"/>
          <w:szCs w:val="22"/>
        </w:rPr>
      </w:pPr>
      <w:r w:rsidRPr="009D6C55">
        <w:rPr>
          <w:rFonts w:ascii="Lato" w:hAnsi="Lato" w:eastAsiaTheme="majorEastAsia" w:cs="Segoe UI"/>
          <w:sz w:val="22"/>
          <w:szCs w:val="22"/>
        </w:rPr>
        <w:t>We build the reputation of the retail industry, work with our members to drive change, develop exceptional retail leaders, and use our expertise to influence government policy so retail businesses thrive and consumers benefit. Our work helps retailers trade legally, safely, ethically, profitably and sustainably.</w:t>
      </w:r>
    </w:p>
    <w:p w:rsidR="00EA4DE4" w:rsidRPr="009D6C55" w:rsidP="009B0C30">
      <w:pPr>
        <w:pStyle w:val="paragraph"/>
        <w:spacing w:before="0" w:beforeAutospacing="0" w:after="0" w:afterAutospacing="0" w:line="276" w:lineRule="auto"/>
        <w:contextualSpacing/>
        <w:textAlignment w:val="baseline"/>
        <w:rPr>
          <w:rStyle w:val="normaltextrun"/>
          <w:rFonts w:ascii="Lato" w:hAnsi="Lato" w:eastAsiaTheme="majorEastAsia" w:cs="Segoe UI"/>
          <w:b/>
          <w:bCs/>
          <w:color w:val="92278F"/>
          <w:sz w:val="22"/>
          <w:szCs w:val="22"/>
          <w:lang w:val="en-US"/>
        </w:rPr>
      </w:pPr>
    </w:p>
    <w:p w:rsidR="00EA4DE4" w:rsidRPr="009D6C55" w:rsidP="009B0C30">
      <w:pPr>
        <w:pStyle w:val="paragraph"/>
        <w:spacing w:before="0" w:beforeAutospacing="0" w:after="0" w:afterAutospacing="0" w:line="276" w:lineRule="auto"/>
        <w:contextualSpacing/>
        <w:textAlignment w:val="baseline"/>
        <w:rPr>
          <w:rStyle w:val="normaltextrun"/>
          <w:rFonts w:ascii="Lato" w:hAnsi="Lato" w:eastAsiaTheme="majorEastAsia" w:cs="Segoe UI"/>
          <w:b/>
          <w:bCs/>
          <w:color w:val="92278F"/>
          <w:sz w:val="22"/>
          <w:szCs w:val="22"/>
          <w:lang w:val="en-US"/>
        </w:rPr>
      </w:pPr>
      <w:r w:rsidRPr="009D6C55">
        <w:rPr>
          <w:rStyle w:val="normaltextrun"/>
          <w:rFonts w:ascii="Lato" w:hAnsi="Lato" w:eastAsiaTheme="majorEastAsia" w:cs="Segoe UI"/>
          <w:b/>
          <w:bCs/>
          <w:color w:val="92278F"/>
          <w:sz w:val="22"/>
          <w:szCs w:val="22"/>
          <w:lang w:val="en-US"/>
        </w:rPr>
        <w:t>Background to our submission</w:t>
      </w:r>
    </w:p>
    <w:p w:rsidR="00EA4DE4" w:rsidP="009B0C30">
      <w:pPr>
        <w:contextualSpacing/>
        <w:rPr>
          <w:rFonts w:ascii="Lato" w:hAnsi="Lato" w:eastAsiaTheme="majorEastAsia" w:cs="Segoe UI"/>
        </w:rPr>
      </w:pPr>
      <w:r w:rsidRPr="009D6C55">
        <w:rPr>
          <w:rFonts w:ascii="Lato" w:hAnsi="Lato" w:eastAsiaTheme="majorEastAsia" w:cs="Segoe UI"/>
        </w:rPr>
        <w:t xml:space="preserve">Our comments </w:t>
      </w:r>
      <w:r w:rsidRPr="009D6C55">
        <w:rPr>
          <w:rFonts w:ascii="Lato" w:hAnsi="Lato" w:eastAsiaTheme="majorEastAsia" w:cs="Segoe UI"/>
        </w:rPr>
        <w:t>respond to</w:t>
      </w:r>
      <w:r w:rsidRPr="009D6C55">
        <w:rPr>
          <w:rFonts w:ascii="Lato" w:hAnsi="Lato" w:eastAsiaTheme="majorEastAsia" w:cs="Segoe UI"/>
        </w:rPr>
        <w:t xml:space="preserve"> </w:t>
      </w:r>
      <w:r w:rsidRPr="009D6C55">
        <w:rPr>
          <w:rFonts w:ascii="Lato" w:hAnsi="Lato" w:eastAsiaTheme="majorEastAsia" w:cs="Segoe UI"/>
        </w:rPr>
        <w:t xml:space="preserve">the first question set out in the Terms of Reference – how effective are government policies in supporting the growth, competitiveness and long-term resilience of the tourism sector? </w:t>
      </w:r>
      <w:r w:rsidRPr="009D6C55">
        <w:rPr>
          <w:rFonts w:ascii="Lato" w:hAnsi="Lato" w:eastAsiaTheme="majorEastAsia" w:cs="Segoe UI"/>
        </w:rPr>
        <w:t>We have focused on the lack of a tax-free shopping scheme for international visitors to the UK</w:t>
      </w:r>
      <w:r w:rsidRPr="009D6C55">
        <w:rPr>
          <w:rFonts w:ascii="Lato" w:hAnsi="Lato" w:eastAsiaTheme="majorEastAsia" w:cs="Segoe UI"/>
        </w:rPr>
        <w:t xml:space="preserve">, which not only impacts the vitality of the tourism sector, but also the retail industry. </w:t>
      </w:r>
    </w:p>
    <w:p w:rsidR="00EA4DE4" w:rsidP="009B0C30">
      <w:pPr>
        <w:contextualSpacing/>
        <w:rPr>
          <w:rFonts w:ascii="Lato" w:hAnsi="Lato" w:eastAsiaTheme="majorEastAsia" w:cs="Segoe UI"/>
        </w:rPr>
      </w:pPr>
    </w:p>
    <w:p w:rsidR="00EA4DE4" w:rsidP="009B0C30">
      <w:pPr>
        <w:contextualSpacing/>
        <w:rPr>
          <w:rFonts w:ascii="Lato" w:hAnsi="Lato" w:eastAsiaTheme="majorEastAsia" w:cs="Segoe UI"/>
        </w:rPr>
      </w:pPr>
      <w:r>
        <w:rPr>
          <w:rFonts w:ascii="Lato" w:hAnsi="Lato" w:eastAsiaTheme="majorEastAsia" w:cs="Segoe UI"/>
        </w:rPr>
        <w:t xml:space="preserve">Since the UK’s tax-free shopping scheme for international visitor – the VAT Retail Export Scheme </w:t>
      </w:r>
      <w:r>
        <w:rPr>
          <w:rFonts w:ascii="Lato" w:hAnsi="Lato" w:eastAsiaTheme="majorEastAsia" w:cs="Segoe UI"/>
        </w:rPr>
        <w:t xml:space="preserve">(VAT RES) </w:t>
      </w:r>
      <w:r>
        <w:rPr>
          <w:rFonts w:ascii="Lato" w:hAnsi="Lato" w:eastAsiaTheme="majorEastAsia" w:cs="Segoe UI"/>
        </w:rPr>
        <w:t xml:space="preserve">– was scrapped </w:t>
      </w:r>
      <w:r>
        <w:rPr>
          <w:rFonts w:ascii="Lato" w:hAnsi="Lato" w:eastAsiaTheme="majorEastAsia" w:cs="Segoe UI"/>
        </w:rPr>
        <w:t xml:space="preserve">in January 2021, new evidence has come to light showing the positive impact such a scheme </w:t>
      </w:r>
      <w:r>
        <w:rPr>
          <w:rFonts w:ascii="Lato" w:hAnsi="Lato" w:eastAsiaTheme="majorEastAsia" w:cs="Segoe UI"/>
        </w:rPr>
        <w:t>could have</w:t>
      </w:r>
      <w:r>
        <w:rPr>
          <w:rFonts w:ascii="Lato" w:hAnsi="Lato" w:eastAsiaTheme="majorEastAsia" w:cs="Segoe UI"/>
        </w:rPr>
        <w:t xml:space="preserve"> on UK visitor numbers and tourist spend.</w:t>
      </w:r>
    </w:p>
    <w:p w:rsidR="00EA4DE4" w:rsidP="009B0C30">
      <w:pPr>
        <w:contextualSpacing/>
        <w:rPr>
          <w:rFonts w:ascii="Lato" w:hAnsi="Lato" w:eastAsiaTheme="majorEastAsia" w:cs="Segoe UI"/>
        </w:rPr>
      </w:pPr>
    </w:p>
    <w:p w:rsidR="00EA4DE4" w:rsidRPr="009D6C55" w:rsidP="009B0C30">
      <w:pPr>
        <w:contextualSpacing/>
        <w:rPr>
          <w:rFonts w:ascii="Lato" w:hAnsi="Lato"/>
          <w:b/>
          <w:color w:val="92278F"/>
        </w:rPr>
      </w:pPr>
      <w:r>
        <w:rPr>
          <w:rFonts w:ascii="Lato" w:hAnsi="Lato" w:eastAsiaTheme="majorEastAsia" w:cs="Segoe UI"/>
        </w:rPr>
        <w:t xml:space="preserve">We believe that </w:t>
      </w:r>
      <w:r>
        <w:rPr>
          <w:rFonts w:ascii="Lato" w:hAnsi="Lato" w:eastAsiaTheme="majorEastAsia" w:cs="Segoe UI"/>
        </w:rPr>
        <w:t xml:space="preserve">in light of this new evidence, </w:t>
      </w:r>
      <w:r>
        <w:rPr>
          <w:rFonts w:ascii="Lato" w:hAnsi="Lato" w:eastAsiaTheme="majorEastAsia" w:cs="Segoe UI"/>
        </w:rPr>
        <w:t xml:space="preserve">the government </w:t>
      </w:r>
      <w:r>
        <w:rPr>
          <w:rFonts w:ascii="Lato" w:hAnsi="Lato" w:eastAsiaTheme="majorEastAsia" w:cs="Segoe UI"/>
        </w:rPr>
        <w:t>should</w:t>
      </w:r>
      <w:r>
        <w:rPr>
          <w:rFonts w:ascii="Lato" w:hAnsi="Lato" w:eastAsiaTheme="majorEastAsia" w:cs="Segoe UI"/>
        </w:rPr>
        <w:t xml:space="preserve"> review the impact of tax-free shopping on the economy</w:t>
      </w:r>
      <w:r>
        <w:rPr>
          <w:rFonts w:ascii="Lato" w:hAnsi="Lato" w:eastAsiaTheme="majorEastAsia" w:cs="Segoe UI"/>
        </w:rPr>
        <w:t xml:space="preserve"> and the potential benefits of </w:t>
      </w:r>
      <w:r>
        <w:rPr>
          <w:rFonts w:ascii="Lato" w:hAnsi="Lato" w:eastAsiaTheme="majorEastAsia" w:cs="Segoe UI"/>
        </w:rPr>
        <w:t>creating a regime which covers all international visitors to the UK,</w:t>
      </w:r>
      <w:r>
        <w:rPr>
          <w:rFonts w:ascii="Lato" w:hAnsi="Lato" w:eastAsiaTheme="majorEastAsia" w:cs="Segoe UI"/>
        </w:rPr>
        <w:t xml:space="preserve"> </w:t>
      </w:r>
      <w:r>
        <w:rPr>
          <w:rFonts w:ascii="Lato" w:hAnsi="Lato" w:eastAsiaTheme="majorEastAsia" w:cs="Segoe UI"/>
        </w:rPr>
        <w:t>with</w:t>
      </w:r>
      <w:r>
        <w:rPr>
          <w:rFonts w:ascii="Lato" w:hAnsi="Lato" w:eastAsiaTheme="majorEastAsia" w:cs="Segoe UI"/>
        </w:rPr>
        <w:t xml:space="preserve"> that a commitment to this end </w:t>
      </w:r>
      <w:r>
        <w:rPr>
          <w:rFonts w:ascii="Lato" w:hAnsi="Lato" w:eastAsiaTheme="majorEastAsia" w:cs="Segoe UI"/>
        </w:rPr>
        <w:t xml:space="preserve">featuring </w:t>
      </w:r>
      <w:r>
        <w:rPr>
          <w:rFonts w:ascii="Lato" w:hAnsi="Lato" w:eastAsiaTheme="majorEastAsia" w:cs="Segoe UI"/>
        </w:rPr>
        <w:t>in the forthcoming National Visitor Economy Strategy</w:t>
      </w:r>
      <w:r>
        <w:rPr>
          <w:rFonts w:ascii="Lato" w:hAnsi="Lato" w:eastAsiaTheme="majorEastAsia" w:cs="Segoe UI"/>
        </w:rPr>
        <w:t xml:space="preserve">. </w:t>
      </w:r>
    </w:p>
    <w:p w:rsidR="00EA4DE4" w:rsidRPr="009D6C55" w:rsidP="009B0C30">
      <w:pPr>
        <w:contextualSpacing/>
        <w:rPr>
          <w:rFonts w:ascii="Lato" w:hAnsi="Lato"/>
          <w:b/>
          <w:color w:val="92278F"/>
        </w:rPr>
      </w:pPr>
    </w:p>
    <w:p w:rsidR="00EA4DE4" w:rsidRPr="009D6C55" w:rsidP="009B0C30">
      <w:pPr>
        <w:contextualSpacing/>
        <w:rPr>
          <w:rFonts w:ascii="Lato" w:hAnsi="Lato"/>
          <w:b/>
          <w:color w:val="92278F"/>
        </w:rPr>
      </w:pPr>
      <w:r w:rsidRPr="009D6C55">
        <w:rPr>
          <w:rFonts w:ascii="Lato" w:hAnsi="Lato"/>
          <w:b/>
          <w:color w:val="92278F"/>
        </w:rPr>
        <w:t>Submission</w:t>
      </w:r>
    </w:p>
    <w:p w:rsidR="00EA4DE4" w:rsidP="009B0C30">
      <w:pPr>
        <w:contextualSpacing/>
        <w:rPr>
          <w:rFonts w:ascii="Lato" w:hAnsi="Lato"/>
          <w:bCs/>
          <w:color w:val="92278F"/>
        </w:rPr>
      </w:pPr>
    </w:p>
    <w:p w:rsidR="00EA4DE4" w:rsidP="00A1646E">
      <w:pPr>
        <w:pStyle w:val="ListParagraph"/>
        <w:numPr>
          <w:ilvl w:val="0"/>
          <w:numId w:val="15"/>
        </w:numPr>
        <w:rPr>
          <w:rFonts w:ascii="Lato" w:hAnsi="Lato"/>
          <w:bCs/>
        </w:rPr>
      </w:pPr>
      <w:r>
        <w:rPr>
          <w:rFonts w:ascii="Lato" w:hAnsi="Lato"/>
          <w:bCs/>
        </w:rPr>
        <w:t xml:space="preserve">When the UK left the EU in 2021, the government had to decide whether to </w:t>
      </w:r>
      <w:r>
        <w:rPr>
          <w:rFonts w:ascii="Lato" w:hAnsi="Lato"/>
          <w:bCs/>
        </w:rPr>
        <w:t>either extend the VAT RES scheme to EU residents or end it for non-EU visitors</w:t>
      </w:r>
      <w:r>
        <w:rPr>
          <w:rFonts w:ascii="Lato" w:hAnsi="Lato"/>
          <w:bCs/>
        </w:rPr>
        <w:t xml:space="preserve">, as dictated by World Trade Organisation rules. </w:t>
      </w:r>
      <w:r>
        <w:rPr>
          <w:rFonts w:ascii="Lato" w:hAnsi="Lato"/>
          <w:bCs/>
        </w:rPr>
        <w:t xml:space="preserve">The government elected to take the latter option, based on Treasury analysis </w:t>
      </w:r>
      <w:r>
        <w:rPr>
          <w:rFonts w:ascii="Lato" w:hAnsi="Lato"/>
          <w:bCs/>
        </w:rPr>
        <w:t>which indicated that – in a ‘worst-case scenario’ – extending the scheme</w:t>
      </w:r>
      <w:r>
        <w:rPr>
          <w:rFonts w:ascii="Lato" w:hAnsi="Lato"/>
          <w:bCs/>
        </w:rPr>
        <w:t xml:space="preserve"> to EU visitors</w:t>
      </w:r>
      <w:r>
        <w:rPr>
          <w:rFonts w:ascii="Lato" w:hAnsi="Lato"/>
          <w:bCs/>
        </w:rPr>
        <w:t xml:space="preserve"> would come at a </w:t>
      </w:r>
      <w:r>
        <w:rPr>
          <w:rFonts w:ascii="Lato" w:hAnsi="Lato"/>
          <w:bCs/>
        </w:rPr>
        <w:t xml:space="preserve">maximum </w:t>
      </w:r>
      <w:r>
        <w:rPr>
          <w:rFonts w:ascii="Lato" w:hAnsi="Lato"/>
          <w:bCs/>
        </w:rPr>
        <w:t xml:space="preserve">£900m </w:t>
      </w:r>
      <w:r>
        <w:rPr>
          <w:rFonts w:ascii="Lato" w:hAnsi="Lato"/>
          <w:bCs/>
        </w:rPr>
        <w:t xml:space="preserve">deadweight </w:t>
      </w:r>
      <w:r>
        <w:rPr>
          <w:rFonts w:ascii="Lato" w:hAnsi="Lato"/>
          <w:bCs/>
        </w:rPr>
        <w:t>cost to the Excheque</w:t>
      </w:r>
      <w:r>
        <w:rPr>
          <w:rFonts w:ascii="Lato" w:hAnsi="Lato"/>
          <w:bCs/>
        </w:rPr>
        <w:t>r</w:t>
      </w:r>
      <w:r>
        <w:rPr>
          <w:rFonts w:ascii="Lato" w:hAnsi="Lato"/>
          <w:bCs/>
        </w:rPr>
        <w:t>.</w:t>
      </w:r>
      <w:r>
        <w:rPr>
          <w:rFonts w:ascii="Lato" w:hAnsi="Lato"/>
          <w:bCs/>
        </w:rPr>
        <w:t xml:space="preserve"> </w:t>
      </w:r>
    </w:p>
    <w:p w:rsidR="00EA4DE4" w:rsidP="00116FD8">
      <w:pPr>
        <w:pStyle w:val="ListParagraph"/>
        <w:rPr>
          <w:rFonts w:ascii="Lato" w:hAnsi="Lato"/>
          <w:bCs/>
        </w:rPr>
      </w:pPr>
    </w:p>
    <w:p w:rsidR="00EA4DE4" w:rsidP="00A1646E">
      <w:pPr>
        <w:pStyle w:val="ListParagraph"/>
        <w:numPr>
          <w:ilvl w:val="0"/>
          <w:numId w:val="15"/>
        </w:numPr>
        <w:rPr>
          <w:rFonts w:ascii="Lato" w:hAnsi="Lato"/>
          <w:bCs/>
        </w:rPr>
      </w:pPr>
      <w:r>
        <w:rPr>
          <w:rFonts w:ascii="Lato" w:hAnsi="Lato"/>
          <w:bCs/>
        </w:rPr>
        <w:t xml:space="preserve">This figure was arrived at </w:t>
      </w:r>
      <w:r>
        <w:rPr>
          <w:rFonts w:ascii="Lato" w:hAnsi="Lato"/>
          <w:bCs/>
        </w:rPr>
        <w:t xml:space="preserve">by assuming that EU visitors to the UK spent at the same level as non-EU visitors, and </w:t>
      </w:r>
      <w:r>
        <w:rPr>
          <w:rFonts w:ascii="Lato" w:hAnsi="Lato"/>
          <w:bCs/>
        </w:rPr>
        <w:t xml:space="preserve">because there </w:t>
      </w:r>
      <w:r>
        <w:rPr>
          <w:rFonts w:ascii="Lato" w:hAnsi="Lato"/>
          <w:bCs/>
        </w:rPr>
        <w:t>we</w:t>
      </w:r>
      <w:r>
        <w:rPr>
          <w:rFonts w:ascii="Lato" w:hAnsi="Lato"/>
          <w:bCs/>
        </w:rPr>
        <w:t xml:space="preserve">re 1.7 EU visitors for every non-EU visitor in </w:t>
      </w:r>
    </w:p>
    <w:p w:rsidR="00EA4DE4" w:rsidRPr="00116FD8" w:rsidP="00116FD8">
      <w:pPr>
        <w:pStyle w:val="ListParagraph"/>
        <w:rPr>
          <w:rFonts w:ascii="Lato" w:hAnsi="Lato"/>
          <w:bCs/>
        </w:rPr>
      </w:pPr>
    </w:p>
    <w:p w:rsidR="00EA4DE4" w:rsidP="00116FD8">
      <w:pPr>
        <w:pStyle w:val="ListParagraph"/>
        <w:rPr>
          <w:rFonts w:ascii="Lato" w:hAnsi="Lato"/>
          <w:bCs/>
        </w:rPr>
      </w:pPr>
    </w:p>
    <w:p w:rsidR="00EA4DE4" w:rsidRPr="00116FD8" w:rsidP="00116FD8">
      <w:pPr>
        <w:pStyle w:val="ListParagraph"/>
        <w:rPr>
          <w:rFonts w:ascii="Lato" w:hAnsi="Lato"/>
          <w:bCs/>
        </w:rPr>
      </w:pPr>
    </w:p>
    <w:p w:rsidR="00EA4DE4" w:rsidP="00340342">
      <w:pPr>
        <w:pStyle w:val="ListParagraph"/>
        <w:rPr>
          <w:rFonts w:ascii="Lato" w:hAnsi="Lato"/>
          <w:bCs/>
        </w:rPr>
      </w:pPr>
      <w:r>
        <w:rPr>
          <w:rFonts w:ascii="Lato" w:hAnsi="Lato"/>
          <w:bCs/>
        </w:rPr>
        <w:t>2019.</w:t>
      </w:r>
      <w:r>
        <w:rPr>
          <w:rFonts w:ascii="Lato" w:hAnsi="Lato"/>
          <w:bCs/>
        </w:rPr>
        <w:t xml:space="preserve"> </w:t>
      </w:r>
      <w:r>
        <w:rPr>
          <w:rFonts w:ascii="Lato" w:hAnsi="Lato"/>
          <w:bCs/>
        </w:rPr>
        <w:t>With VAT</w:t>
      </w:r>
      <w:r>
        <w:rPr>
          <w:rFonts w:ascii="Lato" w:hAnsi="Lato"/>
          <w:bCs/>
        </w:rPr>
        <w:t xml:space="preserve"> refunds for non-EU visitors to the UK in 2019 totall</w:t>
      </w:r>
      <w:r>
        <w:rPr>
          <w:rFonts w:ascii="Lato" w:hAnsi="Lato"/>
          <w:bCs/>
        </w:rPr>
        <w:t>ing</w:t>
      </w:r>
      <w:r>
        <w:rPr>
          <w:rFonts w:ascii="Lato" w:hAnsi="Lato"/>
          <w:bCs/>
        </w:rPr>
        <w:t xml:space="preserve"> £500m </w:t>
      </w:r>
      <w:r>
        <w:rPr>
          <w:rFonts w:ascii="Lato" w:hAnsi="Lato"/>
          <w:bCs/>
        </w:rPr>
        <w:t xml:space="preserve">according to Treasury analysis, it was forecast that VAT refunds for EU visitors would total some £900m </w:t>
      </w:r>
      <w:r>
        <w:rPr>
          <w:rFonts w:ascii="Lato" w:hAnsi="Lato"/>
          <w:bCs/>
        </w:rPr>
        <w:t>–</w:t>
      </w:r>
      <w:r>
        <w:rPr>
          <w:rFonts w:ascii="Lato" w:hAnsi="Lato"/>
          <w:bCs/>
        </w:rPr>
        <w:t xml:space="preserve"> </w:t>
      </w:r>
      <w:r>
        <w:rPr>
          <w:rFonts w:ascii="Lato" w:hAnsi="Lato"/>
          <w:bCs/>
        </w:rPr>
        <w:t>yielding an assumed</w:t>
      </w:r>
      <w:r>
        <w:rPr>
          <w:rFonts w:ascii="Lato" w:hAnsi="Lato"/>
          <w:bCs/>
        </w:rPr>
        <w:t xml:space="preserve"> £1.4bn maximum cost to the Exchequer if </w:t>
      </w:r>
      <w:r>
        <w:rPr>
          <w:rFonts w:ascii="Lato" w:hAnsi="Lato"/>
          <w:bCs/>
        </w:rPr>
        <w:t xml:space="preserve">tax-free shopping were retained and extended to all international visitors. </w:t>
      </w:r>
      <w:r w:rsidRPr="009D132D">
        <w:rPr>
          <w:rFonts w:ascii="Lato" w:hAnsi="Lato"/>
          <w:bCs/>
        </w:rPr>
        <w:t xml:space="preserve">The analysis also assumed that extending the scheme would lead to little if any change to the number of visitors to the UK or their spending levels. </w:t>
      </w:r>
    </w:p>
    <w:p w:rsidR="00EA4DE4" w:rsidP="00340342">
      <w:pPr>
        <w:pStyle w:val="ListParagraph"/>
        <w:rPr>
          <w:rFonts w:ascii="Lato" w:hAnsi="Lato"/>
          <w:bCs/>
        </w:rPr>
      </w:pPr>
    </w:p>
    <w:p w:rsidR="00EA4DE4" w:rsidP="009D132D">
      <w:pPr>
        <w:pStyle w:val="ListParagraph"/>
        <w:numPr>
          <w:ilvl w:val="0"/>
          <w:numId w:val="15"/>
        </w:numPr>
        <w:rPr>
          <w:rFonts w:ascii="Lato" w:hAnsi="Lato"/>
          <w:bCs/>
        </w:rPr>
      </w:pPr>
      <w:r w:rsidRPr="009D132D">
        <w:rPr>
          <w:rFonts w:ascii="Lato" w:hAnsi="Lato"/>
          <w:bCs/>
        </w:rPr>
        <w:t>However,</w:t>
      </w:r>
      <w:r w:rsidRPr="009D132D">
        <w:rPr>
          <w:rFonts w:ascii="Lato" w:hAnsi="Lato"/>
          <w:bCs/>
        </w:rPr>
        <w:t xml:space="preserve"> more recent</w:t>
      </w:r>
      <w:r w:rsidRPr="009D132D">
        <w:rPr>
          <w:rFonts w:ascii="Lato" w:hAnsi="Lato"/>
          <w:bCs/>
        </w:rPr>
        <w:t xml:space="preserve"> evidence</w:t>
      </w:r>
      <w:r>
        <w:rPr>
          <w:rFonts w:ascii="Lato" w:hAnsi="Lato"/>
          <w:bCs/>
        </w:rPr>
        <w:t xml:space="preserve"> </w:t>
      </w:r>
      <w:r>
        <w:rPr>
          <w:rFonts w:ascii="Lato" w:hAnsi="Lato"/>
          <w:bCs/>
        </w:rPr>
        <w:t xml:space="preserve">provides a clearer picture on the impact a tax-free shopping scheme for all international visitors would have on the Exchequer. </w:t>
      </w:r>
      <w:r>
        <w:rPr>
          <w:rFonts w:ascii="Lato" w:hAnsi="Lato"/>
          <w:bCs/>
        </w:rPr>
        <w:t xml:space="preserve">Using data on actual spending levels </w:t>
      </w:r>
      <w:r>
        <w:rPr>
          <w:rFonts w:ascii="Lato" w:hAnsi="Lato"/>
          <w:bCs/>
        </w:rPr>
        <w:t>which has become available since the decision to scrap tax-free shopping</w:t>
      </w:r>
      <w:r>
        <w:rPr>
          <w:rFonts w:ascii="Lato" w:hAnsi="Lato"/>
          <w:bCs/>
        </w:rPr>
        <w:t xml:space="preserve">, </w:t>
      </w:r>
      <w:r>
        <w:rPr>
          <w:rFonts w:ascii="Lato" w:hAnsi="Lato"/>
          <w:bCs/>
        </w:rPr>
        <w:t xml:space="preserve">analysis by </w:t>
      </w:r>
      <w:r>
        <w:rPr>
          <w:rFonts w:ascii="Lato" w:hAnsi="Lato"/>
          <w:bCs/>
        </w:rPr>
        <w:t xml:space="preserve">the Association for International </w:t>
      </w:r>
      <w:r>
        <w:rPr>
          <w:rFonts w:ascii="Lato" w:hAnsi="Lato"/>
          <w:bCs/>
        </w:rPr>
        <w:t xml:space="preserve">shows that EU visitors to the UK in 2019 accounted for just 6% of total international visitor spending. This is primarily down to the comparable prices customers pay for goods in the EU and UK, </w:t>
      </w:r>
      <w:r>
        <w:rPr>
          <w:rFonts w:ascii="Lato" w:hAnsi="Lato"/>
          <w:bCs/>
        </w:rPr>
        <w:t>and the 6% share suggests that th</w:t>
      </w:r>
      <w:r>
        <w:rPr>
          <w:rFonts w:ascii="Lato" w:hAnsi="Lato"/>
          <w:bCs/>
        </w:rPr>
        <w:t>e actual maximum deadweight cost</w:t>
      </w:r>
      <w:r>
        <w:rPr>
          <w:rFonts w:ascii="Lato" w:hAnsi="Lato"/>
          <w:bCs/>
        </w:rPr>
        <w:t xml:space="preserve"> of extending the scheme to EU visitors was only around £34m, rather than £900m. </w:t>
      </w:r>
      <w:r>
        <w:rPr>
          <w:rFonts w:ascii="Lato" w:hAnsi="Lato"/>
          <w:bCs/>
        </w:rPr>
        <w:t xml:space="preserve"> </w:t>
      </w:r>
    </w:p>
    <w:p w:rsidR="00EA4DE4" w:rsidRPr="009D132D" w:rsidP="00340342">
      <w:pPr>
        <w:pStyle w:val="ListParagraph"/>
        <w:rPr>
          <w:rFonts w:ascii="Lato" w:hAnsi="Lato"/>
          <w:bCs/>
        </w:rPr>
      </w:pPr>
    </w:p>
    <w:p w:rsidR="00EA4DE4" w:rsidP="00D47479">
      <w:pPr>
        <w:pStyle w:val="ListParagraph"/>
        <w:numPr>
          <w:ilvl w:val="0"/>
          <w:numId w:val="15"/>
        </w:numPr>
        <w:rPr>
          <w:rFonts w:ascii="Lato" w:hAnsi="Lato"/>
          <w:bCs/>
        </w:rPr>
      </w:pPr>
      <w:r>
        <w:rPr>
          <w:rFonts w:ascii="Lato" w:hAnsi="Lato"/>
          <w:bCs/>
        </w:rPr>
        <w:t>Moreover, since the end of tax-free shopping for international visitors to the UK in 2021</w:t>
      </w:r>
      <w:r>
        <w:rPr>
          <w:rFonts w:ascii="Lato" w:hAnsi="Lato"/>
          <w:bCs/>
        </w:rPr>
        <w:t>, European nations</w:t>
      </w:r>
      <w:r>
        <w:rPr>
          <w:rFonts w:ascii="Lato" w:hAnsi="Lato"/>
          <w:bCs/>
        </w:rPr>
        <w:t xml:space="preserve"> which </w:t>
      </w:r>
      <w:r>
        <w:rPr>
          <w:rFonts w:ascii="Lato" w:hAnsi="Lato"/>
          <w:bCs/>
        </w:rPr>
        <w:t>still offer</w:t>
      </w:r>
      <w:r>
        <w:rPr>
          <w:rFonts w:ascii="Lato" w:hAnsi="Lato"/>
          <w:bCs/>
        </w:rPr>
        <w:t xml:space="preserve"> tax-free shopping to non-EU visitors</w:t>
      </w:r>
      <w:r>
        <w:rPr>
          <w:rFonts w:ascii="Lato" w:hAnsi="Lato"/>
          <w:bCs/>
        </w:rPr>
        <w:t xml:space="preserve"> have seen a </w:t>
      </w:r>
      <w:r>
        <w:rPr>
          <w:rFonts w:ascii="Lato" w:hAnsi="Lato"/>
          <w:bCs/>
        </w:rPr>
        <w:t xml:space="preserve">large increase in international visitors and in their spending. </w:t>
      </w:r>
      <w:r>
        <w:rPr>
          <w:rFonts w:ascii="Lato" w:hAnsi="Lato"/>
          <w:bCs/>
        </w:rPr>
        <w:t>AIR data shows that spending on tax-free shopping by UK visitors to the EU totalled £140m in 2021, before rising to £730m in 2024</w:t>
      </w:r>
      <w:r>
        <w:rPr>
          <w:rFonts w:ascii="Lato" w:hAnsi="Lato"/>
          <w:bCs/>
        </w:rPr>
        <w:t xml:space="preserve">, and was on track to reach £1bn last year. </w:t>
      </w:r>
      <w:r>
        <w:rPr>
          <w:rFonts w:ascii="Lato" w:hAnsi="Lato"/>
          <w:bCs/>
        </w:rPr>
        <w:t>The number of UK visitor</w:t>
      </w:r>
      <w:r>
        <w:rPr>
          <w:rFonts w:ascii="Lato" w:hAnsi="Lato"/>
          <w:bCs/>
        </w:rPr>
        <w:t xml:space="preserve"> ‘bed nights’ in Paris – the European shopping destination most favoured by UK travellers</w:t>
      </w:r>
      <w:r>
        <w:rPr>
          <w:rFonts w:ascii="Lato" w:hAnsi="Lato"/>
          <w:bCs/>
        </w:rPr>
        <w:t xml:space="preserve"> – rose to 230% of 2019 levels in 2019, compared to a increase of 10-20% for visitors from most other European countries</w:t>
      </w:r>
      <w:r>
        <w:rPr>
          <w:rStyle w:val="FootnoteReference"/>
          <w:rFonts w:ascii="Lato" w:hAnsi="Lato"/>
          <w:bCs/>
        </w:rPr>
        <w:footnoteReference w:id="2"/>
      </w:r>
      <w:r>
        <w:rPr>
          <w:rFonts w:ascii="Lato" w:hAnsi="Lato"/>
          <w:bCs/>
        </w:rPr>
        <w:t xml:space="preserve">. </w:t>
      </w:r>
      <w:r>
        <w:rPr>
          <w:rFonts w:ascii="Lato" w:hAnsi="Lato"/>
          <w:bCs/>
        </w:rPr>
        <w:t xml:space="preserve">This evidence demonstrates that the tax-free shopping offer can create a whole new shopping-led </w:t>
      </w:r>
      <w:r>
        <w:rPr>
          <w:rFonts w:ascii="Lato" w:hAnsi="Lato"/>
          <w:bCs/>
        </w:rPr>
        <w:t xml:space="preserve">tourism market, one which the UK – with its vibrant mix of retailers and brands – would be poised to gain from. </w:t>
      </w:r>
      <w:r w:rsidRPr="00D47479">
        <w:rPr>
          <w:rFonts w:ascii="Lato" w:hAnsi="Lato"/>
          <w:bCs/>
        </w:rPr>
        <w:t xml:space="preserve"> </w:t>
      </w:r>
    </w:p>
    <w:p w:rsidR="00EA4DE4" w:rsidRPr="00D47479" w:rsidP="00340342">
      <w:pPr>
        <w:pStyle w:val="ListParagraph"/>
        <w:rPr>
          <w:rFonts w:ascii="Lato" w:hAnsi="Lato"/>
          <w:bCs/>
        </w:rPr>
      </w:pPr>
    </w:p>
    <w:p w:rsidR="00EA4DE4" w:rsidP="00F52D8C">
      <w:pPr>
        <w:pStyle w:val="ListParagraph"/>
        <w:numPr>
          <w:ilvl w:val="0"/>
          <w:numId w:val="15"/>
        </w:numPr>
        <w:rPr>
          <w:rFonts w:ascii="Lato" w:hAnsi="Lato"/>
          <w:bCs/>
        </w:rPr>
      </w:pPr>
      <w:r>
        <w:rPr>
          <w:rFonts w:ascii="Lato" w:hAnsi="Lato"/>
          <w:bCs/>
        </w:rPr>
        <w:t>AIR</w:t>
      </w:r>
      <w:r>
        <w:rPr>
          <w:rFonts w:ascii="Lato" w:hAnsi="Lato"/>
          <w:bCs/>
        </w:rPr>
        <w:t xml:space="preserve"> has</w:t>
      </w:r>
      <w:r>
        <w:rPr>
          <w:rFonts w:ascii="Lato" w:hAnsi="Lato"/>
          <w:bCs/>
        </w:rPr>
        <w:t xml:space="preserve"> also</w:t>
      </w:r>
      <w:r>
        <w:rPr>
          <w:rFonts w:ascii="Lato" w:hAnsi="Lato"/>
          <w:bCs/>
        </w:rPr>
        <w:t xml:space="preserve"> </w:t>
      </w:r>
      <w:r>
        <w:rPr>
          <w:rFonts w:ascii="Lato" w:hAnsi="Lato"/>
          <w:bCs/>
        </w:rPr>
        <w:t>produced figures which show th</w:t>
      </w:r>
      <w:r>
        <w:rPr>
          <w:rFonts w:ascii="Lato" w:hAnsi="Lato"/>
          <w:bCs/>
        </w:rPr>
        <w:t>at the</w:t>
      </w:r>
      <w:r>
        <w:rPr>
          <w:rFonts w:ascii="Lato" w:hAnsi="Lato"/>
          <w:bCs/>
        </w:rPr>
        <w:t xml:space="preserve"> recovery of international visitor numbers and </w:t>
      </w:r>
      <w:r>
        <w:rPr>
          <w:rFonts w:ascii="Lato" w:hAnsi="Lato"/>
          <w:bCs/>
        </w:rPr>
        <w:t xml:space="preserve">their </w:t>
      </w:r>
      <w:r>
        <w:rPr>
          <w:rFonts w:ascii="Lato" w:hAnsi="Lato"/>
          <w:bCs/>
        </w:rPr>
        <w:t xml:space="preserve">spending </w:t>
      </w:r>
      <w:r>
        <w:rPr>
          <w:rFonts w:ascii="Lato" w:hAnsi="Lato"/>
          <w:bCs/>
        </w:rPr>
        <w:t xml:space="preserve">in the UK </w:t>
      </w:r>
      <w:r>
        <w:rPr>
          <w:rFonts w:ascii="Lato" w:hAnsi="Lato"/>
          <w:bCs/>
        </w:rPr>
        <w:t>since the end of the pandemic</w:t>
      </w:r>
      <w:r>
        <w:rPr>
          <w:rFonts w:ascii="Lato" w:hAnsi="Lato"/>
          <w:bCs/>
        </w:rPr>
        <w:t xml:space="preserve"> has flagged behind that of comparable European economies</w:t>
      </w:r>
      <w:r>
        <w:rPr>
          <w:rFonts w:ascii="Lato" w:hAnsi="Lato"/>
          <w:bCs/>
        </w:rPr>
        <w:t>.</w:t>
      </w:r>
      <w:r>
        <w:rPr>
          <w:rFonts w:ascii="Lato" w:hAnsi="Lato"/>
          <w:bCs/>
        </w:rPr>
        <w:t xml:space="preserve"> </w:t>
      </w:r>
      <w:r>
        <w:rPr>
          <w:rFonts w:ascii="Lato" w:hAnsi="Lato"/>
          <w:bCs/>
        </w:rPr>
        <w:t>The figures s</w:t>
      </w:r>
      <w:r>
        <w:rPr>
          <w:rFonts w:ascii="Lato" w:hAnsi="Lato"/>
          <w:bCs/>
        </w:rPr>
        <w:t xml:space="preserve">uggest that the existence of tax-free shopping </w:t>
      </w:r>
      <w:r>
        <w:rPr>
          <w:rFonts w:ascii="Lato" w:hAnsi="Lato"/>
          <w:bCs/>
        </w:rPr>
        <w:t xml:space="preserve">in these countries </w:t>
      </w:r>
      <w:r>
        <w:rPr>
          <w:rFonts w:ascii="Lato" w:hAnsi="Lato"/>
          <w:bCs/>
        </w:rPr>
        <w:t xml:space="preserve">has supported the recovery of </w:t>
      </w:r>
      <w:r>
        <w:rPr>
          <w:rFonts w:ascii="Lato" w:hAnsi="Lato"/>
          <w:bCs/>
        </w:rPr>
        <w:t>their</w:t>
      </w:r>
      <w:r>
        <w:rPr>
          <w:rFonts w:ascii="Lato" w:hAnsi="Lato"/>
          <w:bCs/>
        </w:rPr>
        <w:t xml:space="preserve"> visitor economies</w:t>
      </w:r>
      <w:r>
        <w:rPr>
          <w:rStyle w:val="EndnoteReference"/>
          <w:rFonts w:ascii="Lato" w:hAnsi="Lato"/>
          <w:bCs/>
        </w:rPr>
        <w:endnoteReference w:id="2"/>
      </w:r>
      <w:r>
        <w:rPr>
          <w:rFonts w:ascii="Lato" w:hAnsi="Lato"/>
          <w:bCs/>
        </w:rPr>
        <w:t>:</w:t>
      </w:r>
    </w:p>
    <w:p w:rsidR="00EA4DE4" w:rsidP="00595883">
      <w:pPr>
        <w:pStyle w:val="ListParagraph"/>
        <w:numPr>
          <w:ilvl w:val="1"/>
          <w:numId w:val="15"/>
        </w:numPr>
        <w:rPr>
          <w:rFonts w:ascii="Lato" w:hAnsi="Lato"/>
          <w:bCs/>
        </w:rPr>
      </w:pPr>
      <w:r>
        <w:rPr>
          <w:rFonts w:ascii="Lato" w:hAnsi="Lato"/>
          <w:bCs/>
        </w:rPr>
        <w:t>In France, international visitor numbers in 2024 were at 112% of 2019 levels</w:t>
      </w:r>
      <w:r>
        <w:rPr>
          <w:rFonts w:ascii="Lato" w:hAnsi="Lato"/>
          <w:bCs/>
        </w:rPr>
        <w:t xml:space="preserve">; visitor spending on shopping was at 159% of 2019 levels. </w:t>
      </w:r>
    </w:p>
    <w:p w:rsidR="00EA4DE4" w:rsidP="00595883">
      <w:pPr>
        <w:pStyle w:val="ListParagraph"/>
        <w:numPr>
          <w:ilvl w:val="1"/>
          <w:numId w:val="15"/>
        </w:numPr>
        <w:rPr>
          <w:rFonts w:ascii="Lato" w:hAnsi="Lato"/>
          <w:bCs/>
        </w:rPr>
      </w:pPr>
      <w:r>
        <w:rPr>
          <w:rFonts w:ascii="Lato" w:hAnsi="Lato"/>
          <w:bCs/>
        </w:rPr>
        <w:t xml:space="preserve">In Spain, international visitor numbers in 2024 were at 113% of 2019 levels; visitor spending on shopping </w:t>
      </w:r>
      <w:r>
        <w:rPr>
          <w:rFonts w:ascii="Lato" w:hAnsi="Lato"/>
          <w:bCs/>
        </w:rPr>
        <w:t>was at 166% of 2024 levels.</w:t>
      </w:r>
    </w:p>
    <w:p w:rsidR="00EA4DE4" w:rsidP="00595883">
      <w:pPr>
        <w:pStyle w:val="ListParagraph"/>
        <w:numPr>
          <w:ilvl w:val="1"/>
          <w:numId w:val="15"/>
        </w:numPr>
        <w:rPr>
          <w:rFonts w:ascii="Lato" w:hAnsi="Lato"/>
          <w:bCs/>
        </w:rPr>
      </w:pPr>
      <w:r>
        <w:rPr>
          <w:rFonts w:ascii="Lato" w:hAnsi="Lato"/>
          <w:bCs/>
        </w:rPr>
        <w:t>In Italy, international visitor numbers</w:t>
      </w:r>
      <w:r>
        <w:rPr>
          <w:rFonts w:ascii="Lato" w:hAnsi="Lato"/>
          <w:bCs/>
        </w:rPr>
        <w:t xml:space="preserve"> in 2024</w:t>
      </w:r>
      <w:r>
        <w:rPr>
          <w:rFonts w:ascii="Lato" w:hAnsi="Lato"/>
          <w:bCs/>
        </w:rPr>
        <w:t xml:space="preserve"> were at 105% of 2019 levels; visitor spending </w:t>
      </w:r>
      <w:r>
        <w:rPr>
          <w:rFonts w:ascii="Lato" w:hAnsi="Lato"/>
          <w:bCs/>
        </w:rPr>
        <w:t>on shopping was at 137% of 2019 levels.</w:t>
      </w:r>
    </w:p>
    <w:p w:rsidR="00EA4DE4" w:rsidP="00595883">
      <w:pPr>
        <w:pStyle w:val="ListParagraph"/>
        <w:numPr>
          <w:ilvl w:val="1"/>
          <w:numId w:val="15"/>
        </w:numPr>
        <w:rPr>
          <w:rFonts w:ascii="Lato" w:hAnsi="Lato"/>
          <w:bCs/>
        </w:rPr>
      </w:pPr>
      <w:r>
        <w:rPr>
          <w:rFonts w:ascii="Lato" w:hAnsi="Lato"/>
          <w:bCs/>
        </w:rPr>
        <w:t xml:space="preserve">In the UK, international visitor numbers in 2024 were at 99% of 2019 levels; visitor spending on </w:t>
      </w:r>
      <w:r>
        <w:rPr>
          <w:rFonts w:ascii="Lato" w:hAnsi="Lato"/>
          <w:bCs/>
        </w:rPr>
        <w:t xml:space="preserve">shopping was at 75% of 2019 levels. </w:t>
      </w:r>
    </w:p>
    <w:p w:rsidR="00EA4DE4" w:rsidP="00116FD8">
      <w:pPr>
        <w:pStyle w:val="ListParagraph"/>
        <w:ind w:left="1440"/>
        <w:rPr>
          <w:rFonts w:ascii="Lato" w:hAnsi="Lato"/>
          <w:bCs/>
        </w:rPr>
      </w:pPr>
    </w:p>
    <w:p w:rsidR="00EA4DE4" w:rsidP="00F52D8C">
      <w:pPr>
        <w:pStyle w:val="ListParagraph"/>
        <w:numPr>
          <w:ilvl w:val="0"/>
          <w:numId w:val="15"/>
        </w:numPr>
        <w:rPr>
          <w:rFonts w:ascii="Lato" w:hAnsi="Lato"/>
          <w:bCs/>
        </w:rPr>
      </w:pPr>
      <w:r>
        <w:rPr>
          <w:rFonts w:ascii="Lato" w:hAnsi="Lato"/>
          <w:bCs/>
        </w:rPr>
        <w:t xml:space="preserve">If the UK were to </w:t>
      </w:r>
      <w:r>
        <w:rPr>
          <w:rFonts w:ascii="Lato" w:hAnsi="Lato"/>
          <w:bCs/>
        </w:rPr>
        <w:t>implement a tax-free shopping scheme for all international visitors, and the</w:t>
      </w:r>
      <w:r>
        <w:rPr>
          <w:rFonts w:ascii="Lato" w:hAnsi="Lato"/>
          <w:bCs/>
        </w:rPr>
        <w:t xml:space="preserve"> spending levels of EU visitors </w:t>
      </w:r>
      <w:r>
        <w:rPr>
          <w:rFonts w:ascii="Lato" w:hAnsi="Lato"/>
          <w:bCs/>
        </w:rPr>
        <w:t xml:space="preserve">mirrored that of UK visitors to the EU, </w:t>
      </w:r>
      <w:r>
        <w:rPr>
          <w:rFonts w:ascii="Lato" w:hAnsi="Lato"/>
          <w:bCs/>
        </w:rPr>
        <w:t>AIR estimates that a new, shopping-led tourism market worth £3.65bn would be created</w:t>
      </w:r>
      <w:r>
        <w:rPr>
          <w:rFonts w:ascii="Lato" w:hAnsi="Lato"/>
          <w:bCs/>
        </w:rPr>
        <w:t>, with the UK regions standing to benefit</w:t>
      </w:r>
      <w:r>
        <w:rPr>
          <w:rFonts w:ascii="Lato" w:hAnsi="Lato"/>
          <w:bCs/>
        </w:rPr>
        <w:t xml:space="preserve"> and 40,000 new jobs delivered outside London</w:t>
      </w:r>
      <w:r>
        <w:rPr>
          <w:rStyle w:val="FootnoteReference"/>
          <w:rFonts w:ascii="Lato" w:hAnsi="Lato"/>
          <w:bCs/>
        </w:rPr>
        <w:footnoteReference w:id="3"/>
      </w:r>
      <w:r>
        <w:rPr>
          <w:rFonts w:ascii="Lato" w:hAnsi="Lato"/>
          <w:bCs/>
        </w:rPr>
        <w:t>.</w:t>
      </w:r>
      <w:r>
        <w:rPr>
          <w:rFonts w:ascii="Lato" w:hAnsi="Lato"/>
          <w:bCs/>
        </w:rPr>
        <w:t xml:space="preserve"> </w:t>
      </w:r>
      <w:r>
        <w:rPr>
          <w:rFonts w:ascii="Lato" w:hAnsi="Lato"/>
          <w:bCs/>
        </w:rPr>
        <w:t xml:space="preserve">This would be a huge boost for retailers, leisure and tourism providers, hospitality and UK manufacturing. </w:t>
      </w:r>
    </w:p>
    <w:p w:rsidR="00EA4DE4" w:rsidP="00116FD8">
      <w:pPr>
        <w:pStyle w:val="ListParagraph"/>
        <w:rPr>
          <w:rFonts w:ascii="Lato" w:hAnsi="Lato"/>
          <w:bCs/>
        </w:rPr>
      </w:pPr>
    </w:p>
    <w:p w:rsidR="00EA4DE4" w:rsidRPr="006B0FED" w:rsidP="006B0FED">
      <w:pPr>
        <w:pStyle w:val="ListParagraph"/>
        <w:numPr>
          <w:ilvl w:val="0"/>
          <w:numId w:val="15"/>
        </w:numPr>
        <w:rPr>
          <w:rFonts w:ascii="Lato" w:hAnsi="Lato"/>
          <w:bCs/>
        </w:rPr>
      </w:pPr>
      <w:r>
        <w:rPr>
          <w:rFonts w:ascii="Lato" w:hAnsi="Lato"/>
          <w:bCs/>
        </w:rPr>
        <w:t xml:space="preserve">We believe that the </w:t>
      </w:r>
      <w:r>
        <w:rPr>
          <w:rFonts w:ascii="Lato" w:hAnsi="Lato"/>
          <w:bCs/>
        </w:rPr>
        <w:t>emergence of</w:t>
      </w:r>
      <w:r>
        <w:rPr>
          <w:rFonts w:ascii="Lato" w:hAnsi="Lato"/>
          <w:bCs/>
        </w:rPr>
        <w:t xml:space="preserve"> new evidence since the 2020 Treasury forecasts merits a</w:t>
      </w:r>
      <w:r>
        <w:rPr>
          <w:rFonts w:ascii="Lato" w:hAnsi="Lato"/>
          <w:bCs/>
        </w:rPr>
        <w:t xml:space="preserve"> government</w:t>
      </w:r>
      <w:r>
        <w:rPr>
          <w:rFonts w:ascii="Lato" w:hAnsi="Lato"/>
          <w:bCs/>
        </w:rPr>
        <w:t xml:space="preserve"> review of </w:t>
      </w:r>
      <w:r>
        <w:rPr>
          <w:rFonts w:ascii="Lato" w:hAnsi="Lato"/>
          <w:bCs/>
        </w:rPr>
        <w:t>the impact on the Exchequer of ending the UK’s tax-free shopping regime, and</w:t>
      </w:r>
      <w:r>
        <w:rPr>
          <w:rFonts w:ascii="Lato" w:hAnsi="Lato"/>
          <w:bCs/>
        </w:rPr>
        <w:t xml:space="preserve"> on extending tax-free shopping to all international </w:t>
      </w:r>
      <w:r w:rsidRPr="006B0FED">
        <w:rPr>
          <w:rFonts w:ascii="Lato" w:hAnsi="Lato"/>
          <w:bCs/>
        </w:rPr>
        <w:t xml:space="preserve">visitors to the UK. </w:t>
      </w:r>
      <w:r w:rsidRPr="006B0FED">
        <w:rPr>
          <w:rFonts w:ascii="Lato" w:hAnsi="Lato"/>
          <w:bCs/>
        </w:rPr>
        <w:t xml:space="preserve">A commitment to undertaking this review in the forthcoming National Visitor Economy Strategy would be </w:t>
      </w:r>
      <w:r w:rsidRPr="006B0FED">
        <w:rPr>
          <w:rFonts w:ascii="Lato" w:hAnsi="Lato"/>
          <w:bCs/>
        </w:rPr>
        <w:t>welcome</w:t>
      </w:r>
    </w:p>
    <w:sectPr w:rsidSect="00E503E0">
      <w:headerReference w:type="default" r:id="rId10"/>
      <w:footerReference w:type="default" r:id="rId11"/>
      <w:pgSz w:w="11906" w:h="16838"/>
      <w:pgMar w:top="1440" w:right="991"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EA4DE4" w:rsidP="00323E1F">
      <w:pPr>
        <w:spacing w:after="0" w:line="240" w:lineRule="auto"/>
      </w:pPr>
      <w:r>
        <w:separator/>
      </w:r>
    </w:p>
  </w:endnote>
  <w:endnote w:type="continuationSeparator" w:id="1">
    <w:p w:rsidR="00EA4DE4" w:rsidP="00323E1F">
      <w:pPr>
        <w:spacing w:after="0" w:line="240" w:lineRule="auto"/>
      </w:pPr>
      <w:r>
        <w:continuationSeparator/>
      </w:r>
    </w:p>
  </w:endnote>
  <w:endnote w:id="2">
    <w:p w:rsidR="00EA4DE4">
      <w:pPr>
        <w:pStyle w:val="EndnoteText"/>
      </w:pPr>
      <w:r>
        <w:rPr>
          <w:rStyle w:val="EndnoteReference"/>
        </w:rPr>
        <w:endnoteRef/>
      </w:r>
      <w:r>
        <w:t xml:space="preserve"> </w:t>
      </w:r>
      <w:r>
        <w:t>Ibid</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1756104"/>
      <w:docPartObj>
        <w:docPartGallery w:val="Page Numbers (Bottom of Page)"/>
        <w:docPartUnique/>
      </w:docPartObj>
    </w:sdtPr>
    <w:sdtEndPr>
      <w:rPr>
        <w:noProof/>
      </w:rPr>
    </w:sdtEndPr>
    <w:sdtContent>
      <w:p w:rsidR="00EA4D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A4DE4" w:rsidRPr="00E815F5" w:rsidP="00B3199A">
    <w:pPr>
      <w:pStyle w:val="NoParagraphStyle"/>
      <w:jc w:val="right"/>
      <w:rPr>
        <w:color w:val="A6A6A6"/>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A4DE4" w:rsidP="00323E1F">
      <w:pPr>
        <w:spacing w:after="0" w:line="240" w:lineRule="auto"/>
      </w:pPr>
      <w:r>
        <w:separator/>
      </w:r>
    </w:p>
  </w:footnote>
  <w:footnote w:type="continuationSeparator" w:id="1">
    <w:p w:rsidR="00EA4DE4" w:rsidP="00323E1F">
      <w:pPr>
        <w:spacing w:after="0" w:line="240" w:lineRule="auto"/>
      </w:pPr>
      <w:r>
        <w:continuationSeparator/>
      </w:r>
    </w:p>
  </w:footnote>
  <w:footnote w:id="2">
    <w:p w:rsidR="00EA4DE4">
      <w:pPr>
        <w:pStyle w:val="FootnoteText"/>
      </w:pPr>
      <w:r>
        <w:rPr>
          <w:rStyle w:val="FootnoteReference"/>
        </w:rPr>
        <w:footnoteRef/>
      </w:r>
      <w:r>
        <w:t xml:space="preserve"> </w:t>
      </w:r>
      <w:r>
        <w:t xml:space="preserve">Association of International Retail Budget 2025 submission, </w:t>
      </w:r>
      <w:r>
        <w:fldChar w:fldCharType="begin"/>
      </w:r>
      <w:r>
        <w:instrText xml:space="preserve"> HYPERLINK "https://www.internationalretail.co.uk/wp-content/uploads/2025/10/AIR-Budget-Submission-2025.pdf" </w:instrText>
      </w:r>
      <w:r>
        <w:fldChar w:fldCharType="separate"/>
      </w:r>
      <w:r w:rsidRPr="006A5A57">
        <w:rPr>
          <w:rStyle w:val="Hyperlink"/>
        </w:rPr>
        <w:t>https://www.internationalretail.co.uk/wp-content/uploads/2025/10/AIR-Budget-Submission-2025.pdf</w:t>
      </w:r>
      <w:r>
        <w:fldChar w:fldCharType="end"/>
      </w:r>
    </w:p>
  </w:footnote>
  <w:footnote w:id="3">
    <w:p w:rsidR="00EA4DE4">
      <w:pPr>
        <w:pStyle w:val="FootnoteText"/>
      </w:pPr>
      <w:r>
        <w:rPr>
          <w:rStyle w:val="FootnoteReference"/>
        </w:rPr>
        <w:footnoteRef/>
      </w:r>
      <w:r>
        <w:t xml:space="preserve"> </w:t>
      </w:r>
      <w: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4DE4" w:rsidRPr="005E5131" w:rsidP="00323E1F">
    <w:pPr>
      <w:pStyle w:val="Header"/>
      <w:rPr>
        <w:sz w:val="16"/>
        <w:szCs w:val="16"/>
      </w:rPr>
    </w:pPr>
    <w:r w:rsidRPr="006106E6">
      <w:rPr>
        <w:noProof/>
        <w:lang w:eastAsia="en-GB"/>
      </w:rPr>
      <w:t xml:space="preserve"> </w:t>
    </w:r>
  </w:p>
  <w:p w:rsidR="00EA4DE4" w:rsidP="00CC10C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72BE3"/>
    <w:multiLevelType w:val="hybridMultilevel"/>
    <w:tmpl w:val="C20A82D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F667D2"/>
    <w:multiLevelType w:val="hybridMultilevel"/>
    <w:tmpl w:val="726C0E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EB2D54"/>
    <w:multiLevelType w:val="hybridMultilevel"/>
    <w:tmpl w:val="4AE226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C4B5DE6"/>
    <w:multiLevelType w:val="hybridMultilevel"/>
    <w:tmpl w:val="0E680C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885B6F"/>
    <w:multiLevelType w:val="hybridMultilevel"/>
    <w:tmpl w:val="781093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CE4B03"/>
    <w:multiLevelType w:val="hybridMultilevel"/>
    <w:tmpl w:val="0232930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color w:val="auto"/>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F173958"/>
    <w:multiLevelType w:val="multilevel"/>
    <w:tmpl w:val="4830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AF107F"/>
    <w:multiLevelType w:val="hybridMultilevel"/>
    <w:tmpl w:val="FFFFFFFF"/>
    <w:lvl w:ilvl="0">
      <w:start w:val="1"/>
      <w:numFmt w:val="bullet"/>
      <w:lvlText w:val="o"/>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8">
    <w:nsid w:val="4301234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44A36AAC"/>
    <w:multiLevelType w:val="hybridMultilevel"/>
    <w:tmpl w:val="35EC24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8B0543D"/>
    <w:multiLevelType w:val="hybridMultilevel"/>
    <w:tmpl w:val="868C31D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66809FC"/>
    <w:multiLevelType w:val="hybridMultilevel"/>
    <w:tmpl w:val="550AC9B2"/>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color w:val="auto"/>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5E982E42"/>
    <w:multiLevelType w:val="hybridMultilevel"/>
    <w:tmpl w:val="ABA68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2EE0A62"/>
    <w:multiLevelType w:val="hybridMultilevel"/>
    <w:tmpl w:val="23560BB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7DBA107F"/>
    <w:multiLevelType w:val="hybridMultilevel"/>
    <w:tmpl w:val="2E024D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1"/>
  </w:num>
  <w:num w:numId="3">
    <w:abstractNumId w:val="2"/>
  </w:num>
  <w:num w:numId="4">
    <w:abstractNumId w:val="13"/>
  </w:num>
  <w:num w:numId="5">
    <w:abstractNumId w:val="6"/>
  </w:num>
  <w:num w:numId="6">
    <w:abstractNumId w:val="3"/>
  </w:num>
  <w:num w:numId="7">
    <w:abstractNumId w:val="4"/>
  </w:num>
  <w:num w:numId="8">
    <w:abstractNumId w:val="10"/>
  </w:num>
  <w:num w:numId="9">
    <w:abstractNumId w:val="12"/>
  </w:num>
  <w:num w:numId="10">
    <w:abstractNumId w:val="9"/>
  </w:num>
  <w:num w:numId="11">
    <w:abstractNumId w:val="5"/>
  </w:num>
  <w:num w:numId="12">
    <w:abstractNumId w:val="7"/>
  </w:num>
  <w:num w:numId="13">
    <w:abstractNumId w:val="8"/>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oNotTrackMoves/>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76C3"/>
    <w:pPr>
      <w:spacing w:line="256" w:lineRule="auto"/>
    </w:pPr>
  </w:style>
  <w:style w:type="paragraph" w:styleId="Heading1">
    <w:name w:val="heading 1"/>
    <w:basedOn w:val="Normal"/>
    <w:next w:val="Normal"/>
    <w:link w:val="Heading1Char"/>
    <w:uiPriority w:val="9"/>
    <w:qFormat/>
    <w:rsid w:val="002969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E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E1F"/>
  </w:style>
  <w:style w:type="paragraph" w:styleId="Footer">
    <w:name w:val="footer"/>
    <w:basedOn w:val="Normal"/>
    <w:link w:val="FooterChar"/>
    <w:uiPriority w:val="99"/>
    <w:unhideWhenUsed/>
    <w:rsid w:val="00323E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E1F"/>
  </w:style>
  <w:style w:type="paragraph" w:customStyle="1" w:styleId="NoParagraphStyle">
    <w:name w:val="[No Paragraph Style]"/>
    <w:rsid w:val="00323E1F"/>
    <w:pPr>
      <w:autoSpaceDE w:val="0"/>
      <w:autoSpaceDN w:val="0"/>
      <w:adjustRightInd w:val="0"/>
      <w:spacing w:after="0" w:line="288" w:lineRule="auto"/>
      <w:textAlignment w:val="center"/>
    </w:pPr>
    <w:rPr>
      <w:rFonts w:ascii="Times  Roman" w:eastAsia="Times New Roman" w:hAnsi="Times  Roman" w:cs="Times  Roman"/>
      <w:color w:val="000000"/>
      <w:sz w:val="24"/>
      <w:szCs w:val="24"/>
      <w:lang w:eastAsia="en-GB"/>
    </w:rPr>
  </w:style>
  <w:style w:type="paragraph" w:styleId="FootnoteText">
    <w:name w:val="footnote text"/>
    <w:basedOn w:val="Normal"/>
    <w:link w:val="FootnoteTextChar"/>
    <w:uiPriority w:val="99"/>
    <w:semiHidden/>
    <w:unhideWhenUsed/>
    <w:rsid w:val="00543F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3F9E"/>
    <w:rPr>
      <w:sz w:val="20"/>
      <w:szCs w:val="20"/>
    </w:rPr>
  </w:style>
  <w:style w:type="character" w:styleId="FootnoteReference">
    <w:name w:val="footnote reference"/>
    <w:basedOn w:val="DefaultParagraphFont"/>
    <w:uiPriority w:val="99"/>
    <w:semiHidden/>
    <w:unhideWhenUsed/>
    <w:rsid w:val="00543F9E"/>
    <w:rPr>
      <w:vertAlign w:val="superscript"/>
    </w:rPr>
  </w:style>
  <w:style w:type="paragraph" w:styleId="BalloonText">
    <w:name w:val="Balloon Text"/>
    <w:basedOn w:val="Normal"/>
    <w:link w:val="BalloonTextChar"/>
    <w:uiPriority w:val="99"/>
    <w:semiHidden/>
    <w:unhideWhenUsed/>
    <w:rsid w:val="002F2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5CA"/>
    <w:rPr>
      <w:rFonts w:ascii="Tahoma" w:hAnsi="Tahoma" w:cs="Tahoma"/>
      <w:sz w:val="16"/>
      <w:szCs w:val="16"/>
    </w:rPr>
  </w:style>
  <w:style w:type="paragraph" w:customStyle="1" w:styleId="author">
    <w:name w:val="author"/>
    <w:basedOn w:val="Normal"/>
    <w:rsid w:val="00C042D6"/>
    <w:pPr>
      <w:spacing w:after="0" w:line="240" w:lineRule="auto"/>
      <w:ind w:right="-108"/>
      <w:jc w:val="right"/>
    </w:pPr>
    <w:rPr>
      <w:rFonts w:ascii="Arial" w:eastAsia="Times New Roman" w:hAnsi="Arial" w:cs="Times New Roman"/>
      <w:sz w:val="18"/>
      <w:szCs w:val="20"/>
    </w:rPr>
  </w:style>
  <w:style w:type="character" w:styleId="Hyperlink">
    <w:name w:val="Hyperlink"/>
    <w:uiPriority w:val="99"/>
    <w:rsid w:val="00C042D6"/>
    <w:rPr>
      <w:color w:val="0000FF"/>
      <w:u w:val="single"/>
    </w:rPr>
  </w:style>
  <w:style w:type="character" w:customStyle="1" w:styleId="Mention1">
    <w:name w:val="Mention1"/>
    <w:basedOn w:val="DefaultParagraphFont"/>
    <w:uiPriority w:val="99"/>
    <w:unhideWhenUsed/>
    <w:rsid w:val="009D42AA"/>
    <w:rPr>
      <w:color w:val="2B579A"/>
      <w:shd w:val="clear" w:color="auto" w:fill="E6E6E6"/>
    </w:rPr>
  </w:style>
  <w:style w:type="paragraph" w:styleId="ListParagraph">
    <w:name w:val="List Paragraph"/>
    <w:aliases w:val="Bullet 1,Bullet Points,Colorful List - Accent 11,Dot pt,F5 List Paragraph,Indicator Text,L,List Paragraph Char Char Char,List Paragraph1,List Paragraph11,List Paragraph2,MAIN CONTENT,No Spacing1,Normal numbered,Numbered Para 1,OBC Bullet"/>
    <w:basedOn w:val="Normal"/>
    <w:link w:val="ListParagraphChar"/>
    <w:uiPriority w:val="34"/>
    <w:qFormat/>
    <w:rsid w:val="009D42AA"/>
    <w:pPr>
      <w:spacing w:line="259" w:lineRule="auto"/>
      <w:ind w:left="720"/>
      <w:contextualSpacing/>
    </w:pPr>
  </w:style>
  <w:style w:type="character" w:customStyle="1" w:styleId="UnresolvedMention1">
    <w:name w:val="Unresolved Mention1"/>
    <w:basedOn w:val="DefaultParagraphFont"/>
    <w:uiPriority w:val="99"/>
    <w:semiHidden/>
    <w:unhideWhenUsed/>
    <w:rsid w:val="00E145C1"/>
    <w:rPr>
      <w:color w:val="808080"/>
      <w:shd w:val="clear" w:color="auto" w:fill="E6E6E6"/>
    </w:rPr>
  </w:style>
  <w:style w:type="paragraph" w:styleId="NormalWeb">
    <w:name w:val="Normal (Web)"/>
    <w:basedOn w:val="Normal"/>
    <w:uiPriority w:val="99"/>
    <w:unhideWhenUsed/>
    <w:rsid w:val="00A306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1748"/>
    <w:rPr>
      <w:sz w:val="16"/>
      <w:szCs w:val="16"/>
    </w:rPr>
  </w:style>
  <w:style w:type="paragraph" w:styleId="CommentText">
    <w:name w:val="annotation text"/>
    <w:basedOn w:val="Normal"/>
    <w:link w:val="CommentTextChar"/>
    <w:uiPriority w:val="99"/>
    <w:unhideWhenUsed/>
    <w:rsid w:val="007D1748"/>
    <w:pPr>
      <w:spacing w:line="240" w:lineRule="auto"/>
    </w:pPr>
    <w:rPr>
      <w:sz w:val="20"/>
      <w:szCs w:val="20"/>
    </w:rPr>
  </w:style>
  <w:style w:type="character" w:customStyle="1" w:styleId="CommentTextChar">
    <w:name w:val="Comment Text Char"/>
    <w:basedOn w:val="DefaultParagraphFont"/>
    <w:link w:val="CommentText"/>
    <w:uiPriority w:val="99"/>
    <w:rsid w:val="007D1748"/>
    <w:rPr>
      <w:sz w:val="20"/>
      <w:szCs w:val="20"/>
    </w:rPr>
  </w:style>
  <w:style w:type="paragraph" w:styleId="CommentSubject">
    <w:name w:val="annotation subject"/>
    <w:basedOn w:val="CommentText"/>
    <w:next w:val="CommentText"/>
    <w:link w:val="CommentSubjectChar"/>
    <w:uiPriority w:val="99"/>
    <w:semiHidden/>
    <w:unhideWhenUsed/>
    <w:rsid w:val="007D1748"/>
    <w:rPr>
      <w:b/>
      <w:bCs/>
    </w:rPr>
  </w:style>
  <w:style w:type="character" w:customStyle="1" w:styleId="CommentSubjectChar">
    <w:name w:val="Comment Subject Char"/>
    <w:basedOn w:val="CommentTextChar"/>
    <w:link w:val="CommentSubject"/>
    <w:uiPriority w:val="99"/>
    <w:semiHidden/>
    <w:rsid w:val="007D1748"/>
    <w:rPr>
      <w:b/>
      <w:bCs/>
      <w:sz w:val="20"/>
      <w:szCs w:val="20"/>
    </w:rPr>
  </w:style>
  <w:style w:type="character" w:styleId="FollowedHyperlink">
    <w:name w:val="FollowedHyperlink"/>
    <w:basedOn w:val="DefaultParagraphFont"/>
    <w:uiPriority w:val="99"/>
    <w:semiHidden/>
    <w:unhideWhenUsed/>
    <w:rsid w:val="007B06DA"/>
    <w:rPr>
      <w:color w:val="954F72" w:themeColor="followedHyperlink"/>
      <w:u w:val="single"/>
    </w:rPr>
  </w:style>
  <w:style w:type="paragraph" w:styleId="Revision">
    <w:name w:val="Revision"/>
    <w:hidden/>
    <w:uiPriority w:val="99"/>
    <w:semiHidden/>
    <w:rsid w:val="00177D29"/>
    <w:pPr>
      <w:spacing w:after="0" w:line="240" w:lineRule="auto"/>
    </w:pPr>
  </w:style>
  <w:style w:type="paragraph" w:customStyle="1" w:styleId="Default">
    <w:name w:val="Default"/>
    <w:rsid w:val="002D2035"/>
    <w:pPr>
      <w:autoSpaceDE w:val="0"/>
      <w:autoSpaceDN w:val="0"/>
      <w:adjustRightInd w:val="0"/>
      <w:spacing w:after="0" w:line="240" w:lineRule="auto"/>
    </w:pPr>
    <w:rPr>
      <w:rFonts w:ascii="Lato" w:hAnsi="Lato" w:cs="Lato"/>
      <w:color w:val="000000"/>
      <w:sz w:val="24"/>
      <w:szCs w:val="24"/>
    </w:rPr>
  </w:style>
  <w:style w:type="character" w:customStyle="1" w:styleId="normaltextrun">
    <w:name w:val="normaltextrun"/>
    <w:basedOn w:val="DefaultParagraphFont"/>
    <w:rsid w:val="009C46DE"/>
  </w:style>
  <w:style w:type="character" w:customStyle="1" w:styleId="eop">
    <w:name w:val="eop"/>
    <w:basedOn w:val="DefaultParagraphFont"/>
    <w:rsid w:val="009C46DE"/>
  </w:style>
  <w:style w:type="paragraph" w:customStyle="1" w:styleId="xmsolistparagraph">
    <w:name w:val="x_msolistparagraph"/>
    <w:basedOn w:val="Normal"/>
    <w:rsid w:val="00B23E3A"/>
    <w:pPr>
      <w:spacing w:after="0" w:line="240" w:lineRule="auto"/>
      <w:ind w:left="720"/>
    </w:pPr>
    <w:rPr>
      <w:rFonts w:ascii="Calibri" w:hAnsi="Calibri" w:cs="Calibri"/>
      <w:lang w:eastAsia="en-GB"/>
    </w:rPr>
  </w:style>
  <w:style w:type="paragraph" w:customStyle="1" w:styleId="paragraph">
    <w:name w:val="paragraph"/>
    <w:basedOn w:val="Normal"/>
    <w:rsid w:val="002A37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ullet 1 Char,Bullet Points Char,Colorful List - Accent 11 Char,Dot pt Char,F5 List Paragraph Char,Indicator Text Char,L Char,List Paragraph Char Char Char Char,List Paragraph1 Char,List Paragraph11 Char,List Paragraph2 Char"/>
    <w:basedOn w:val="DefaultParagraphFont"/>
    <w:link w:val="ListParagraph"/>
    <w:uiPriority w:val="34"/>
    <w:qFormat/>
    <w:locked/>
    <w:rsid w:val="006662AF"/>
  </w:style>
  <w:style w:type="paragraph" w:styleId="EndnoteText">
    <w:name w:val="endnote text"/>
    <w:basedOn w:val="Normal"/>
    <w:link w:val="EndnoteTextChar"/>
    <w:uiPriority w:val="99"/>
    <w:semiHidden/>
    <w:unhideWhenUsed/>
    <w:rsid w:val="00CF292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2926"/>
    <w:rPr>
      <w:sz w:val="20"/>
      <w:szCs w:val="20"/>
    </w:rPr>
  </w:style>
  <w:style w:type="character" w:styleId="EndnoteReference">
    <w:name w:val="endnote reference"/>
    <w:basedOn w:val="DefaultParagraphFont"/>
    <w:uiPriority w:val="99"/>
    <w:semiHidden/>
    <w:unhideWhenUsed/>
    <w:rsid w:val="00CF2926"/>
    <w:rPr>
      <w:vertAlign w:val="superscript"/>
    </w:rPr>
  </w:style>
  <w:style w:type="character" w:customStyle="1" w:styleId="Heading1Char">
    <w:name w:val="Heading 1 Char"/>
    <w:basedOn w:val="DefaultParagraphFont"/>
    <w:link w:val="Heading1"/>
    <w:uiPriority w:val="9"/>
    <w:rsid w:val="0029693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kavanagh\OneDrive%20-%20British%20Retail%20Consortium\Desktop%20files%20to%20be%20checked\February%202021\BRC%20letter.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c3f0dc8-64b1-46f9-b1d5-3e71a9e601e8">
      <UserInfo>
        <DisplayName>Danielle White</DisplayName>
        <AccountId>348</AccountId>
        <AccountType/>
      </UserInfo>
    </SharedWithUsers>
    <lcf76f155ced4ddcb4097134ff3c332f xmlns="1d962001-babb-4610-b16d-cace9963357f">
      <Terms xmlns="http://schemas.microsoft.com/office/infopath/2007/PartnerControls"/>
    </lcf76f155ced4ddcb4097134ff3c332f>
    <TaxCatchAll xmlns="1c3f0dc8-64b1-46f9-b1d5-3e71a9e601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E86BB51F83284D9255F94776019EE1" ma:contentTypeVersion="16" ma:contentTypeDescription="Create a new document." ma:contentTypeScope="" ma:versionID="485dd4996fea1d405db3f2281c8bb656">
  <xsd:schema xmlns:xsd="http://www.w3.org/2001/XMLSchema" xmlns:xs="http://www.w3.org/2001/XMLSchema" xmlns:p="http://schemas.microsoft.com/office/2006/metadata/properties" xmlns:ns2="1d962001-babb-4610-b16d-cace9963357f" xmlns:ns3="1c3f0dc8-64b1-46f9-b1d5-3e71a9e601e8" targetNamespace="http://schemas.microsoft.com/office/2006/metadata/properties" ma:root="true" ma:fieldsID="cc7b901188c6712896525cf9353b926c" ns2:_="" ns3:_="">
    <xsd:import namespace="1d962001-babb-4610-b16d-cace9963357f"/>
    <xsd:import namespace="1c3f0dc8-64b1-46f9-b1d5-3e71a9e601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62001-babb-4610-b16d-cace99633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8ce6dd-a231-4ca1-8534-b387953dbe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3f0dc8-64b1-46f9-b1d5-3e71a9e601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1973a9f-59f4-45a5-a5b5-4b5835b70d62}" ma:internalName="TaxCatchAll" ma:showField="CatchAllData" ma:web="1c3f0dc8-64b1-46f9-b1d5-3e71a9e601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2065CC-1005-4910-A359-C33C926763B4}">
  <ds:schemaRefs>
    <ds:schemaRef ds:uri="http://schemas.openxmlformats.org/officeDocument/2006/bibliography"/>
  </ds:schemaRefs>
</ds:datastoreItem>
</file>

<file path=customXml/itemProps2.xml><?xml version="1.0" encoding="utf-8"?>
<ds:datastoreItem xmlns:ds="http://schemas.openxmlformats.org/officeDocument/2006/customXml" ds:itemID="{13FB60D1-CE49-4D9A-8E13-B491CDE8D8C9}">
  <ds:schemaRefs>
    <ds:schemaRef ds:uri="http://schemas.microsoft.com/office/2006/metadata/properties"/>
    <ds:schemaRef ds:uri="http://schemas.microsoft.com/office/infopath/2007/PartnerControls"/>
    <ds:schemaRef ds:uri="1c3f0dc8-64b1-46f9-b1d5-3e71a9e601e8"/>
    <ds:schemaRef ds:uri="1d962001-babb-4610-b16d-cace9963357f"/>
  </ds:schemaRefs>
</ds:datastoreItem>
</file>

<file path=customXml/itemProps3.xml><?xml version="1.0" encoding="utf-8"?>
<ds:datastoreItem xmlns:ds="http://schemas.openxmlformats.org/officeDocument/2006/customXml" ds:itemID="{D537A51D-1480-43B6-9FE8-871DF9531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62001-babb-4610-b16d-cace9963357f"/>
    <ds:schemaRef ds:uri="1c3f0dc8-64b1-46f9-b1d5-3e71a9e60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55171D-0983-4294-9B4D-CDC049F8F87C}">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TOU0067</dc:title>
  <cp:revision>0</cp:revision>
</cp:coreProperties>
</file>